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36EF1" w14:textId="77777777" w:rsidR="00F2673F" w:rsidRPr="00502A4C" w:rsidRDefault="0083446F" w:rsidP="00510544">
      <w:pPr>
        <w:spacing w:before="0" w:line="480" w:lineRule="auto"/>
        <w:rPr>
          <w:b/>
          <w:sz w:val="22"/>
          <w:szCs w:val="22"/>
        </w:rPr>
      </w:pPr>
      <w:r>
        <w:rPr>
          <w:b/>
          <w:sz w:val="22"/>
          <w:szCs w:val="22"/>
        </w:rPr>
        <w:t>Title</w:t>
      </w:r>
    </w:p>
    <w:p w14:paraId="67B14051" w14:textId="50A499DB" w:rsidR="00631916" w:rsidRPr="00B4383C" w:rsidRDefault="00E07DE6" w:rsidP="00510544">
      <w:pPr>
        <w:spacing w:before="0" w:line="480" w:lineRule="auto"/>
        <w:rPr>
          <w:color w:val="auto"/>
          <w:sz w:val="22"/>
          <w:szCs w:val="22"/>
        </w:rPr>
      </w:pPr>
      <w:bookmarkStart w:id="0" w:name="_GoBack"/>
      <w:r w:rsidRPr="0083446F">
        <w:rPr>
          <w:sz w:val="22"/>
          <w:szCs w:val="22"/>
          <w:lang w:val="en-US"/>
        </w:rPr>
        <w:t xml:space="preserve">Key factors associated with social distress </w:t>
      </w:r>
      <w:r w:rsidRPr="0083446F">
        <w:rPr>
          <w:color w:val="auto"/>
          <w:sz w:val="22"/>
          <w:szCs w:val="22"/>
          <w:lang w:val="en-US"/>
        </w:rPr>
        <w:t xml:space="preserve">after prostate cancer: results from the United Kingdom Life After Prostate Cancer Diagnosis </w:t>
      </w:r>
      <w:r>
        <w:rPr>
          <w:color w:val="auto"/>
          <w:sz w:val="22"/>
          <w:szCs w:val="22"/>
          <w:lang w:val="en-US"/>
        </w:rPr>
        <w:t>study</w:t>
      </w:r>
    </w:p>
    <w:bookmarkEnd w:id="0"/>
    <w:p w14:paraId="4ACC16A5" w14:textId="0C8865AC" w:rsidR="00FB0D07" w:rsidRPr="00502A4C" w:rsidRDefault="00FB0D07" w:rsidP="00510544">
      <w:pPr>
        <w:spacing w:before="0" w:line="480" w:lineRule="auto"/>
        <w:rPr>
          <w:b/>
          <w:sz w:val="22"/>
          <w:szCs w:val="22"/>
        </w:rPr>
      </w:pPr>
      <w:r>
        <w:rPr>
          <w:b/>
          <w:sz w:val="22"/>
          <w:szCs w:val="22"/>
        </w:rPr>
        <w:t>Authors</w:t>
      </w:r>
    </w:p>
    <w:p w14:paraId="128D9E26" w14:textId="2274D503" w:rsidR="00F2673F" w:rsidRDefault="00F2673F" w:rsidP="00510544">
      <w:pPr>
        <w:pStyle w:val="Default"/>
        <w:spacing w:line="480" w:lineRule="auto"/>
        <w:rPr>
          <w:rFonts w:ascii="Arial" w:hAnsi="Arial" w:cs="Arial"/>
        </w:rPr>
      </w:pPr>
      <w:r w:rsidRPr="003D597E">
        <w:rPr>
          <w:rFonts w:ascii="Arial" w:hAnsi="Arial" w:cs="Arial"/>
        </w:rPr>
        <w:t>Penny Wright</w:t>
      </w:r>
      <w:r w:rsidRPr="003D597E">
        <w:rPr>
          <w:rFonts w:ascii="Arial" w:hAnsi="Arial" w:cs="Arial"/>
          <w:vertAlign w:val="superscript"/>
        </w:rPr>
        <w:t>1</w:t>
      </w:r>
      <w:r w:rsidR="0083446F">
        <w:rPr>
          <w:rFonts w:ascii="Arial" w:hAnsi="Arial" w:cs="Arial"/>
          <w:b/>
        </w:rPr>
        <w:t>$</w:t>
      </w:r>
      <w:r w:rsidRPr="003D597E">
        <w:rPr>
          <w:rFonts w:ascii="Arial" w:hAnsi="Arial" w:cs="Arial"/>
        </w:rPr>
        <w:t>, Sarah Wilding</w:t>
      </w:r>
      <w:r w:rsidRPr="003D597E">
        <w:rPr>
          <w:rFonts w:ascii="Arial" w:hAnsi="Arial" w:cs="Arial"/>
          <w:vertAlign w:val="superscript"/>
        </w:rPr>
        <w:t>1</w:t>
      </w:r>
      <w:r w:rsidR="00382F4B">
        <w:rPr>
          <w:rFonts w:ascii="Arial" w:hAnsi="Arial" w:cs="Arial"/>
          <w:vertAlign w:val="superscript"/>
        </w:rPr>
        <w:t>,2</w:t>
      </w:r>
      <w:r w:rsidRPr="003D597E">
        <w:rPr>
          <w:rFonts w:ascii="Arial" w:hAnsi="Arial" w:cs="Arial"/>
        </w:rPr>
        <w:t>, Eila Watson</w:t>
      </w:r>
      <w:r w:rsidR="00382F4B">
        <w:rPr>
          <w:rFonts w:ascii="Arial" w:hAnsi="Arial" w:cs="Arial"/>
          <w:vertAlign w:val="superscript"/>
        </w:rPr>
        <w:t>3</w:t>
      </w:r>
      <w:r w:rsidRPr="003D597E">
        <w:rPr>
          <w:rFonts w:ascii="Arial" w:hAnsi="Arial" w:cs="Arial"/>
        </w:rPr>
        <w:t>, Amy Downing</w:t>
      </w:r>
      <w:r w:rsidRPr="003D597E">
        <w:rPr>
          <w:rFonts w:ascii="Arial" w:hAnsi="Arial" w:cs="Arial"/>
          <w:vertAlign w:val="superscript"/>
        </w:rPr>
        <w:t>1</w:t>
      </w:r>
      <w:r w:rsidR="00382F4B">
        <w:rPr>
          <w:rFonts w:ascii="Arial" w:hAnsi="Arial" w:cs="Arial"/>
          <w:vertAlign w:val="superscript"/>
        </w:rPr>
        <w:t>,2</w:t>
      </w:r>
      <w:r w:rsidRPr="003D597E">
        <w:rPr>
          <w:rFonts w:ascii="Arial" w:hAnsi="Arial" w:cs="Arial"/>
        </w:rPr>
        <w:t>, Peter Selby</w:t>
      </w:r>
      <w:r w:rsidRPr="003D597E">
        <w:rPr>
          <w:rFonts w:ascii="Arial" w:hAnsi="Arial" w:cs="Arial"/>
          <w:vertAlign w:val="superscript"/>
        </w:rPr>
        <w:t>1</w:t>
      </w:r>
      <w:r w:rsidRPr="003D597E">
        <w:rPr>
          <w:rFonts w:ascii="Arial" w:hAnsi="Arial" w:cs="Arial"/>
        </w:rPr>
        <w:t>, Luke Hounsome</w:t>
      </w:r>
      <w:r w:rsidR="00382F4B">
        <w:rPr>
          <w:rFonts w:ascii="Arial" w:hAnsi="Arial" w:cs="Arial"/>
          <w:vertAlign w:val="superscript"/>
        </w:rPr>
        <w:t>4</w:t>
      </w:r>
      <w:r w:rsidRPr="003D597E">
        <w:rPr>
          <w:rFonts w:ascii="Arial" w:hAnsi="Arial" w:cs="Arial"/>
        </w:rPr>
        <w:t xml:space="preserve"> Richard Wagland</w:t>
      </w:r>
      <w:r w:rsidR="00382F4B">
        <w:rPr>
          <w:rFonts w:ascii="Arial" w:hAnsi="Arial" w:cs="Arial"/>
          <w:vertAlign w:val="superscript"/>
        </w:rPr>
        <w:t>5</w:t>
      </w:r>
      <w:r w:rsidRPr="003D597E">
        <w:rPr>
          <w:rFonts w:ascii="Arial" w:hAnsi="Arial" w:cs="Arial"/>
        </w:rPr>
        <w:t>, David H Brewster</w:t>
      </w:r>
      <w:r w:rsidR="00382F4B">
        <w:rPr>
          <w:rFonts w:ascii="Arial" w:hAnsi="Arial" w:cs="Arial"/>
          <w:vertAlign w:val="superscript"/>
        </w:rPr>
        <w:t>6</w:t>
      </w:r>
      <w:r w:rsidRPr="003D597E">
        <w:rPr>
          <w:rFonts w:ascii="Arial" w:hAnsi="Arial" w:cs="Arial"/>
        </w:rPr>
        <w:t>, Dyfed  Huws</w:t>
      </w:r>
      <w:r w:rsidR="00382F4B">
        <w:rPr>
          <w:rFonts w:ascii="Arial" w:hAnsi="Arial" w:cs="Arial"/>
          <w:vertAlign w:val="superscript"/>
        </w:rPr>
        <w:t>7</w:t>
      </w:r>
      <w:r w:rsidRPr="003D597E">
        <w:rPr>
          <w:rFonts w:ascii="Arial" w:hAnsi="Arial" w:cs="Arial"/>
        </w:rPr>
        <w:t>, Hugh Butcher</w:t>
      </w:r>
      <w:r w:rsidRPr="003D597E">
        <w:rPr>
          <w:rFonts w:ascii="Arial" w:hAnsi="Arial" w:cs="Arial"/>
          <w:vertAlign w:val="superscript"/>
        </w:rPr>
        <w:t>1</w:t>
      </w:r>
      <w:r w:rsidRPr="003D597E">
        <w:rPr>
          <w:rFonts w:ascii="Arial" w:hAnsi="Arial" w:cs="Arial"/>
        </w:rPr>
        <w:t>, Rebecca Mottram</w:t>
      </w:r>
      <w:r w:rsidRPr="003D597E">
        <w:rPr>
          <w:rFonts w:ascii="Arial" w:hAnsi="Arial" w:cs="Arial"/>
          <w:vertAlign w:val="superscript"/>
        </w:rPr>
        <w:t>1</w:t>
      </w:r>
      <w:r w:rsidR="00382F4B">
        <w:rPr>
          <w:rFonts w:ascii="Arial" w:hAnsi="Arial" w:cs="Arial"/>
          <w:vertAlign w:val="superscript"/>
        </w:rPr>
        <w:t>,2</w:t>
      </w:r>
      <w:r w:rsidRPr="003D597E">
        <w:rPr>
          <w:rFonts w:ascii="Arial" w:hAnsi="Arial" w:cs="Arial"/>
        </w:rPr>
        <w:t>, Therese Kearney</w:t>
      </w:r>
      <w:r w:rsidR="00382F4B">
        <w:rPr>
          <w:rFonts w:ascii="Arial" w:hAnsi="Arial" w:cs="Arial"/>
          <w:vertAlign w:val="superscript"/>
        </w:rPr>
        <w:t>8</w:t>
      </w:r>
      <w:r w:rsidRPr="003D597E">
        <w:rPr>
          <w:rFonts w:ascii="Arial" w:hAnsi="Arial" w:cs="Arial"/>
        </w:rPr>
        <w:t>, Majorie Allen</w:t>
      </w:r>
      <w:r w:rsidRPr="003D597E">
        <w:rPr>
          <w:rFonts w:ascii="Arial" w:hAnsi="Arial" w:cs="Arial"/>
          <w:vertAlign w:val="superscript"/>
        </w:rPr>
        <w:t>9</w:t>
      </w:r>
      <w:r w:rsidRPr="003D597E">
        <w:rPr>
          <w:rFonts w:ascii="Arial" w:hAnsi="Arial" w:cs="Arial"/>
        </w:rPr>
        <w:t>,  Anna Gavin</w:t>
      </w:r>
      <w:r w:rsidRPr="003D597E">
        <w:rPr>
          <w:rFonts w:ascii="Arial" w:hAnsi="Arial" w:cs="Arial"/>
          <w:vertAlign w:val="superscript"/>
        </w:rPr>
        <w:t>8</w:t>
      </w:r>
      <w:r w:rsidRPr="003D597E">
        <w:rPr>
          <w:rFonts w:ascii="Arial" w:hAnsi="Arial" w:cs="Arial"/>
        </w:rPr>
        <w:t>*, Adam Glaser</w:t>
      </w:r>
      <w:r w:rsidRPr="003D597E">
        <w:rPr>
          <w:rFonts w:ascii="Arial" w:hAnsi="Arial" w:cs="Arial"/>
          <w:vertAlign w:val="superscript"/>
        </w:rPr>
        <w:t>1,</w:t>
      </w:r>
      <w:r w:rsidR="00382F4B">
        <w:rPr>
          <w:rFonts w:ascii="Arial" w:hAnsi="Arial" w:cs="Arial"/>
          <w:vertAlign w:val="superscript"/>
        </w:rPr>
        <w:t>2,</w:t>
      </w:r>
      <w:r w:rsidRPr="003D597E">
        <w:rPr>
          <w:rFonts w:ascii="Arial" w:hAnsi="Arial" w:cs="Arial"/>
          <w:vertAlign w:val="superscript"/>
        </w:rPr>
        <w:t xml:space="preserve"> 9</w:t>
      </w:r>
      <w:r w:rsidRPr="003D597E">
        <w:rPr>
          <w:rFonts w:ascii="Arial" w:hAnsi="Arial" w:cs="Arial"/>
        </w:rPr>
        <w:t>*</w:t>
      </w:r>
    </w:p>
    <w:p w14:paraId="0C3C28F7" w14:textId="450F1965" w:rsidR="00631916" w:rsidRPr="008740BD" w:rsidRDefault="008740BD" w:rsidP="00510544">
      <w:pPr>
        <w:pStyle w:val="Default"/>
        <w:spacing w:line="480" w:lineRule="auto"/>
        <w:rPr>
          <w:rFonts w:ascii="Arial" w:eastAsiaTheme="minorHAnsi" w:hAnsi="Arial" w:cs="Arial"/>
          <w:b/>
          <w:bdr w:val="none" w:sz="0" w:space="0" w:color="auto"/>
          <w:lang w:eastAsia="en-US"/>
        </w:rPr>
      </w:pPr>
      <w:r w:rsidRPr="008740BD">
        <w:rPr>
          <w:rFonts w:ascii="Arial" w:eastAsiaTheme="minorHAnsi" w:hAnsi="Arial" w:cs="Arial"/>
          <w:b/>
          <w:bdr w:val="none" w:sz="0" w:space="0" w:color="auto"/>
          <w:lang w:eastAsia="en-US"/>
        </w:rPr>
        <w:t>Affiliations</w:t>
      </w:r>
    </w:p>
    <w:p w14:paraId="74DD05F6" w14:textId="77777777" w:rsidR="00F2673F" w:rsidRDefault="00F2673F" w:rsidP="00510544">
      <w:pPr>
        <w:pStyle w:val="NoSpacing"/>
        <w:spacing w:line="480" w:lineRule="auto"/>
        <w:rPr>
          <w:sz w:val="22"/>
          <w:szCs w:val="22"/>
        </w:rPr>
      </w:pPr>
      <w:r w:rsidRPr="00E90E9C">
        <w:rPr>
          <w:sz w:val="22"/>
          <w:szCs w:val="22"/>
          <w:vertAlign w:val="superscript"/>
        </w:rPr>
        <w:t xml:space="preserve">1 </w:t>
      </w:r>
      <w:r w:rsidRPr="00E90E9C">
        <w:rPr>
          <w:rStyle w:val="rphighlightallclass"/>
          <w:sz w:val="22"/>
          <w:szCs w:val="22"/>
        </w:rPr>
        <w:t xml:space="preserve">Leeds Institute of Medical Research at </w:t>
      </w:r>
      <w:r w:rsidRPr="00E90E9C">
        <w:rPr>
          <w:rStyle w:val="currenthithighlight"/>
          <w:sz w:val="22"/>
          <w:szCs w:val="22"/>
        </w:rPr>
        <w:t>St</w:t>
      </w:r>
      <w:r w:rsidRPr="00E90E9C">
        <w:rPr>
          <w:rStyle w:val="rphighlightallclass"/>
          <w:sz w:val="22"/>
          <w:szCs w:val="22"/>
        </w:rPr>
        <w:t xml:space="preserve"> </w:t>
      </w:r>
      <w:r w:rsidRPr="00E90E9C">
        <w:rPr>
          <w:rStyle w:val="highlight"/>
          <w:sz w:val="22"/>
          <w:szCs w:val="22"/>
        </w:rPr>
        <w:t>James</w:t>
      </w:r>
      <w:r w:rsidRPr="00E90E9C">
        <w:rPr>
          <w:rStyle w:val="rphighlightallclass"/>
          <w:sz w:val="22"/>
          <w:szCs w:val="22"/>
        </w:rPr>
        <w:t>'s</w:t>
      </w:r>
      <w:r w:rsidR="00382F4B">
        <w:rPr>
          <w:rStyle w:val="rphighlightallclass"/>
          <w:sz w:val="22"/>
          <w:szCs w:val="22"/>
        </w:rPr>
        <w:t>,</w:t>
      </w:r>
      <w:r w:rsidRPr="00E90E9C">
        <w:rPr>
          <w:rStyle w:val="rphighlightallclass"/>
          <w:sz w:val="22"/>
          <w:szCs w:val="22"/>
        </w:rPr>
        <w:t xml:space="preserve"> </w:t>
      </w:r>
      <w:r w:rsidRPr="00E90E9C">
        <w:rPr>
          <w:sz w:val="22"/>
          <w:szCs w:val="22"/>
        </w:rPr>
        <w:t xml:space="preserve">University of Leeds </w:t>
      </w:r>
    </w:p>
    <w:p w14:paraId="5E3A9ADD" w14:textId="77777777" w:rsidR="00382F4B" w:rsidRPr="00E90E9C" w:rsidRDefault="00382F4B" w:rsidP="00510544">
      <w:pPr>
        <w:pStyle w:val="NoSpacing"/>
        <w:spacing w:line="480" w:lineRule="auto"/>
        <w:rPr>
          <w:sz w:val="22"/>
          <w:szCs w:val="22"/>
        </w:rPr>
      </w:pPr>
      <w:r>
        <w:rPr>
          <w:sz w:val="22"/>
          <w:szCs w:val="22"/>
          <w:vertAlign w:val="superscript"/>
        </w:rPr>
        <w:t>2</w:t>
      </w:r>
      <w:r w:rsidRPr="00E90E9C">
        <w:rPr>
          <w:sz w:val="22"/>
          <w:szCs w:val="22"/>
        </w:rPr>
        <w:t>Leeds Institute of Data Analytics,</w:t>
      </w:r>
      <w:r w:rsidRPr="00E90E9C">
        <w:rPr>
          <w:sz w:val="22"/>
          <w:szCs w:val="22"/>
          <w:vertAlign w:val="superscript"/>
        </w:rPr>
        <w:t xml:space="preserve">   </w:t>
      </w:r>
      <w:r w:rsidRPr="00E90E9C">
        <w:rPr>
          <w:sz w:val="22"/>
          <w:szCs w:val="22"/>
        </w:rPr>
        <w:t xml:space="preserve">University of Leeds </w:t>
      </w:r>
    </w:p>
    <w:p w14:paraId="0953EABA" w14:textId="77777777" w:rsidR="00F2673F" w:rsidRPr="00502A4C" w:rsidRDefault="00382F4B" w:rsidP="00510544">
      <w:pPr>
        <w:pStyle w:val="NoSpacing"/>
        <w:spacing w:line="480" w:lineRule="auto"/>
        <w:rPr>
          <w:rFonts w:eastAsia="Times New Roman"/>
          <w:sz w:val="22"/>
          <w:szCs w:val="22"/>
        </w:rPr>
      </w:pPr>
      <w:r>
        <w:rPr>
          <w:sz w:val="22"/>
          <w:szCs w:val="22"/>
          <w:vertAlign w:val="superscript"/>
        </w:rPr>
        <w:t>3</w:t>
      </w:r>
      <w:r w:rsidRPr="00502A4C">
        <w:rPr>
          <w:sz w:val="22"/>
          <w:szCs w:val="22"/>
        </w:rPr>
        <w:t xml:space="preserve"> </w:t>
      </w:r>
      <w:r w:rsidR="00F2673F" w:rsidRPr="00502A4C">
        <w:rPr>
          <w:sz w:val="22"/>
          <w:szCs w:val="22"/>
        </w:rPr>
        <w:t>Faculty of Health and Life Sciences, Oxford Brookes University</w:t>
      </w:r>
    </w:p>
    <w:p w14:paraId="73609E42" w14:textId="77777777" w:rsidR="00F2673F" w:rsidRPr="00204741" w:rsidRDefault="00382F4B" w:rsidP="00510544">
      <w:pPr>
        <w:pStyle w:val="NoSpacing"/>
        <w:spacing w:line="480" w:lineRule="auto"/>
        <w:rPr>
          <w:sz w:val="22"/>
          <w:szCs w:val="22"/>
          <w:lang w:val="en-US"/>
        </w:rPr>
      </w:pPr>
      <w:r>
        <w:rPr>
          <w:sz w:val="22"/>
          <w:szCs w:val="22"/>
          <w:vertAlign w:val="superscript"/>
        </w:rPr>
        <w:t>4</w:t>
      </w:r>
      <w:r w:rsidRPr="00502A4C">
        <w:rPr>
          <w:sz w:val="22"/>
          <w:szCs w:val="22"/>
          <w:vertAlign w:val="superscript"/>
        </w:rPr>
        <w:t xml:space="preserve">   </w:t>
      </w:r>
      <w:r w:rsidR="00F2673F" w:rsidRPr="00502A4C">
        <w:rPr>
          <w:sz w:val="22"/>
          <w:szCs w:val="22"/>
        </w:rPr>
        <w:t>National Cancer Registration and Analysis Service, Public Health England</w:t>
      </w:r>
    </w:p>
    <w:p w14:paraId="5CA44F1F" w14:textId="77777777" w:rsidR="00F2673F" w:rsidRPr="00502A4C" w:rsidRDefault="00382F4B" w:rsidP="00510544">
      <w:pPr>
        <w:pStyle w:val="NoSpacing"/>
        <w:spacing w:line="480" w:lineRule="auto"/>
        <w:rPr>
          <w:sz w:val="22"/>
          <w:szCs w:val="22"/>
        </w:rPr>
      </w:pPr>
      <w:r>
        <w:rPr>
          <w:sz w:val="22"/>
          <w:szCs w:val="22"/>
          <w:vertAlign w:val="superscript"/>
        </w:rPr>
        <w:t>5</w:t>
      </w:r>
      <w:r w:rsidRPr="00502A4C">
        <w:rPr>
          <w:sz w:val="22"/>
          <w:szCs w:val="22"/>
          <w:vertAlign w:val="superscript"/>
        </w:rPr>
        <w:t xml:space="preserve">  </w:t>
      </w:r>
      <w:r w:rsidR="00F2673F" w:rsidRPr="00502A4C">
        <w:rPr>
          <w:sz w:val="22"/>
          <w:szCs w:val="22"/>
        </w:rPr>
        <w:t>Faculty of Health Sciences, University of Southampton</w:t>
      </w:r>
    </w:p>
    <w:p w14:paraId="267C4FED" w14:textId="77777777" w:rsidR="00F2673F" w:rsidRPr="00502A4C" w:rsidRDefault="00382F4B" w:rsidP="00510544">
      <w:pPr>
        <w:pStyle w:val="Heading2"/>
        <w:spacing w:before="0" w:after="0" w:line="480" w:lineRule="auto"/>
        <w:rPr>
          <w:rFonts w:eastAsia="Times New Roman"/>
          <w:b w:val="0"/>
          <w:color w:val="auto"/>
          <w:sz w:val="22"/>
          <w:szCs w:val="22"/>
        </w:rPr>
      </w:pPr>
      <w:r>
        <w:rPr>
          <w:b w:val="0"/>
          <w:sz w:val="22"/>
          <w:szCs w:val="22"/>
          <w:vertAlign w:val="superscript"/>
        </w:rPr>
        <w:t>6</w:t>
      </w:r>
      <w:r w:rsidRPr="00502A4C">
        <w:rPr>
          <w:b w:val="0"/>
          <w:sz w:val="22"/>
          <w:szCs w:val="22"/>
          <w:vertAlign w:val="superscript"/>
        </w:rPr>
        <w:t xml:space="preserve"> </w:t>
      </w:r>
      <w:r w:rsidR="00F2673F" w:rsidRPr="00502A4C">
        <w:rPr>
          <w:b w:val="0"/>
          <w:sz w:val="22"/>
          <w:szCs w:val="22"/>
        </w:rPr>
        <w:t>Deanery of Molecular, Genetic and Population Health Sciences, University of Edinburgh</w:t>
      </w:r>
    </w:p>
    <w:p w14:paraId="0A12EDA6" w14:textId="77777777" w:rsidR="00F2673F" w:rsidRPr="00502A4C" w:rsidRDefault="00382F4B" w:rsidP="00510544">
      <w:pPr>
        <w:pStyle w:val="NoSpacing"/>
        <w:spacing w:line="480" w:lineRule="auto"/>
        <w:rPr>
          <w:sz w:val="22"/>
          <w:szCs w:val="22"/>
        </w:rPr>
      </w:pPr>
      <w:r>
        <w:rPr>
          <w:sz w:val="22"/>
          <w:szCs w:val="22"/>
          <w:vertAlign w:val="superscript"/>
        </w:rPr>
        <w:t xml:space="preserve">7 </w:t>
      </w:r>
      <w:r w:rsidR="00F2673F" w:rsidRPr="00502A4C">
        <w:rPr>
          <w:sz w:val="22"/>
          <w:szCs w:val="22"/>
        </w:rPr>
        <w:t>Welsh Cancer Intelligence and Surveillance Unit, Public Health Wales</w:t>
      </w:r>
    </w:p>
    <w:p w14:paraId="1333B5C6" w14:textId="77777777" w:rsidR="00F2673F" w:rsidRPr="00502A4C" w:rsidRDefault="00F2673F" w:rsidP="00510544">
      <w:pPr>
        <w:pStyle w:val="NoSpacing"/>
        <w:spacing w:line="480" w:lineRule="auto"/>
        <w:rPr>
          <w:sz w:val="22"/>
          <w:szCs w:val="22"/>
        </w:rPr>
      </w:pPr>
      <w:r w:rsidRPr="00502A4C">
        <w:rPr>
          <w:sz w:val="22"/>
          <w:szCs w:val="22"/>
          <w:vertAlign w:val="superscript"/>
        </w:rPr>
        <w:t xml:space="preserve">8 </w:t>
      </w:r>
      <w:r w:rsidRPr="00502A4C">
        <w:rPr>
          <w:sz w:val="22"/>
          <w:szCs w:val="22"/>
        </w:rPr>
        <w:t>Northern Ireland Cancer Registry, Queen</w:t>
      </w:r>
      <w:r>
        <w:rPr>
          <w:sz w:val="22"/>
          <w:szCs w:val="22"/>
        </w:rPr>
        <w:t>’</w:t>
      </w:r>
      <w:r w:rsidRPr="00502A4C">
        <w:rPr>
          <w:sz w:val="22"/>
          <w:szCs w:val="22"/>
        </w:rPr>
        <w:t>s University Belfast, Royal Victoria Hospital, Belfast, UK</w:t>
      </w:r>
    </w:p>
    <w:p w14:paraId="123080CA" w14:textId="7CF585FD" w:rsidR="00F2673F" w:rsidRPr="00C84B11" w:rsidRDefault="00F2673F" w:rsidP="00C84B11">
      <w:pPr>
        <w:pStyle w:val="NoSpacing"/>
        <w:spacing w:line="480" w:lineRule="auto"/>
        <w:rPr>
          <w:sz w:val="22"/>
          <w:szCs w:val="22"/>
        </w:rPr>
      </w:pPr>
      <w:r w:rsidRPr="00502A4C">
        <w:rPr>
          <w:sz w:val="22"/>
          <w:szCs w:val="22"/>
          <w:vertAlign w:val="superscript"/>
        </w:rPr>
        <w:t>9</w:t>
      </w:r>
      <w:r w:rsidRPr="00502A4C">
        <w:rPr>
          <w:sz w:val="22"/>
          <w:szCs w:val="22"/>
        </w:rPr>
        <w:t xml:space="preserve"> Leeds Teaching Hospitals NHS Trust</w:t>
      </w:r>
    </w:p>
    <w:p w14:paraId="69C973D6" w14:textId="779C0049" w:rsidR="0083446F" w:rsidRDefault="0083446F" w:rsidP="00510544">
      <w:pPr>
        <w:spacing w:before="0" w:line="480" w:lineRule="auto"/>
        <w:rPr>
          <w:b/>
          <w:sz w:val="22"/>
          <w:szCs w:val="22"/>
        </w:rPr>
      </w:pPr>
      <w:r w:rsidRPr="00FB0D07">
        <w:rPr>
          <w:b/>
          <w:sz w:val="22"/>
          <w:szCs w:val="22"/>
        </w:rPr>
        <w:t>*These authors contributed equally to this work</w:t>
      </w:r>
      <w:r w:rsidR="00631916">
        <w:rPr>
          <w:b/>
          <w:sz w:val="22"/>
          <w:szCs w:val="22"/>
        </w:rPr>
        <w:t>, joint senior authors</w:t>
      </w:r>
      <w:r w:rsidRPr="00FB0D07">
        <w:rPr>
          <w:b/>
          <w:sz w:val="22"/>
          <w:szCs w:val="22"/>
        </w:rPr>
        <w:t>.</w:t>
      </w:r>
    </w:p>
    <w:p w14:paraId="39632EAA" w14:textId="1519897C" w:rsidR="00711EBA" w:rsidRPr="005F3EEC" w:rsidRDefault="00631916" w:rsidP="00711EBA">
      <w:pPr>
        <w:spacing w:before="0" w:line="480" w:lineRule="auto"/>
        <w:rPr>
          <w:b/>
          <w:sz w:val="22"/>
          <w:szCs w:val="22"/>
        </w:rPr>
      </w:pPr>
      <w:r>
        <w:rPr>
          <w:b/>
          <w:sz w:val="22"/>
          <w:szCs w:val="22"/>
        </w:rPr>
        <w:t xml:space="preserve">$ </w:t>
      </w:r>
      <w:r w:rsidR="00711EBA" w:rsidRPr="005F3EEC">
        <w:rPr>
          <w:b/>
          <w:sz w:val="22"/>
          <w:szCs w:val="22"/>
        </w:rPr>
        <w:t>Corresponding author</w:t>
      </w:r>
      <w:r w:rsidR="00711EBA">
        <w:rPr>
          <w:b/>
          <w:sz w:val="22"/>
          <w:szCs w:val="22"/>
        </w:rPr>
        <w:t xml:space="preserve"> </w:t>
      </w:r>
    </w:p>
    <w:p w14:paraId="58AD9E1D" w14:textId="77777777" w:rsidR="00711EBA" w:rsidRDefault="00711EBA" w:rsidP="00711EBA">
      <w:pPr>
        <w:pStyle w:val="NoSpacing"/>
        <w:spacing w:line="480" w:lineRule="auto"/>
        <w:rPr>
          <w:rStyle w:val="rphighlightallclass"/>
          <w:sz w:val="22"/>
          <w:szCs w:val="22"/>
        </w:rPr>
      </w:pPr>
      <w:r w:rsidRPr="00711EBA">
        <w:rPr>
          <w:sz w:val="22"/>
          <w:szCs w:val="22"/>
        </w:rPr>
        <w:t xml:space="preserve">Penny Wright, </w:t>
      </w:r>
      <w:r w:rsidRPr="00E90E9C">
        <w:rPr>
          <w:sz w:val="22"/>
          <w:szCs w:val="22"/>
          <w:vertAlign w:val="superscript"/>
        </w:rPr>
        <w:t xml:space="preserve"> </w:t>
      </w:r>
      <w:r w:rsidRPr="00E90E9C">
        <w:rPr>
          <w:rStyle w:val="rphighlightallclass"/>
          <w:sz w:val="22"/>
          <w:szCs w:val="22"/>
        </w:rPr>
        <w:t xml:space="preserve">Leeds Institute of Medical Research at </w:t>
      </w:r>
      <w:r w:rsidRPr="00E90E9C">
        <w:rPr>
          <w:rStyle w:val="currenthithighlight"/>
          <w:sz w:val="22"/>
          <w:szCs w:val="22"/>
        </w:rPr>
        <w:t>St</w:t>
      </w:r>
      <w:r w:rsidRPr="00E90E9C">
        <w:rPr>
          <w:rStyle w:val="rphighlightallclass"/>
          <w:sz w:val="22"/>
          <w:szCs w:val="22"/>
        </w:rPr>
        <w:t xml:space="preserve"> </w:t>
      </w:r>
      <w:r w:rsidRPr="00E90E9C">
        <w:rPr>
          <w:rStyle w:val="highlight"/>
          <w:sz w:val="22"/>
          <w:szCs w:val="22"/>
        </w:rPr>
        <w:t>James</w:t>
      </w:r>
      <w:r w:rsidRPr="00E90E9C">
        <w:rPr>
          <w:rStyle w:val="rphighlightallclass"/>
          <w:sz w:val="22"/>
          <w:szCs w:val="22"/>
        </w:rPr>
        <w:t>'s</w:t>
      </w:r>
      <w:r>
        <w:rPr>
          <w:rStyle w:val="rphighlightallclass"/>
          <w:sz w:val="22"/>
          <w:szCs w:val="22"/>
        </w:rPr>
        <w:t>,</w:t>
      </w:r>
      <w:r w:rsidRPr="00E90E9C">
        <w:rPr>
          <w:rStyle w:val="rphighlightallclass"/>
          <w:sz w:val="22"/>
          <w:szCs w:val="22"/>
        </w:rPr>
        <w:t xml:space="preserve"> </w:t>
      </w:r>
      <w:r>
        <w:rPr>
          <w:rStyle w:val="rphighlightallclass"/>
          <w:sz w:val="22"/>
          <w:szCs w:val="22"/>
        </w:rPr>
        <w:t xml:space="preserve">Level 6 Bexley Wing, St James’s University Hospital, Leeds LS9 7TF. </w:t>
      </w:r>
    </w:p>
    <w:p w14:paraId="706DCA42" w14:textId="77A2AFDF" w:rsidR="0083446F" w:rsidRPr="009B5B6D" w:rsidRDefault="00711EBA" w:rsidP="009B5B6D">
      <w:pPr>
        <w:pStyle w:val="NoSpacing"/>
        <w:spacing w:line="480" w:lineRule="auto"/>
        <w:rPr>
          <w:sz w:val="22"/>
          <w:szCs w:val="22"/>
        </w:rPr>
      </w:pPr>
      <w:r>
        <w:rPr>
          <w:rStyle w:val="rphighlightallclass"/>
          <w:sz w:val="22"/>
          <w:szCs w:val="22"/>
        </w:rPr>
        <w:lastRenderedPageBreak/>
        <w:t xml:space="preserve">Telephone: 00 44 113 2068488           Email: </w:t>
      </w:r>
      <w:hyperlink r:id="rId7" w:history="1">
        <w:r w:rsidRPr="00291CB9">
          <w:rPr>
            <w:rStyle w:val="Hyperlink"/>
            <w:sz w:val="22"/>
            <w:szCs w:val="22"/>
          </w:rPr>
          <w:t>e.p.wright@leeds.ac.uk</w:t>
        </w:r>
      </w:hyperlink>
      <w:r>
        <w:rPr>
          <w:rStyle w:val="rphighlightallclass"/>
          <w:sz w:val="22"/>
          <w:szCs w:val="22"/>
        </w:rPr>
        <w:t xml:space="preserve"> </w:t>
      </w:r>
      <w:r w:rsidRPr="00E90E9C">
        <w:rPr>
          <w:sz w:val="22"/>
          <w:szCs w:val="22"/>
        </w:rPr>
        <w:t xml:space="preserve"> </w:t>
      </w:r>
    </w:p>
    <w:p w14:paraId="0463E544" w14:textId="77777777" w:rsidR="009B5B6D" w:rsidRDefault="009B5B6D" w:rsidP="00510544">
      <w:pPr>
        <w:spacing w:before="0" w:line="480" w:lineRule="auto"/>
        <w:rPr>
          <w:b/>
          <w:sz w:val="22"/>
          <w:szCs w:val="22"/>
        </w:rPr>
      </w:pPr>
    </w:p>
    <w:p w14:paraId="7034EB3B" w14:textId="3BF6805C" w:rsidR="008740BD" w:rsidRDefault="008740BD" w:rsidP="00510544">
      <w:pPr>
        <w:spacing w:before="0" w:line="480" w:lineRule="auto"/>
        <w:rPr>
          <w:b/>
          <w:sz w:val="22"/>
          <w:szCs w:val="22"/>
        </w:rPr>
      </w:pPr>
      <w:r>
        <w:rPr>
          <w:b/>
          <w:sz w:val="22"/>
          <w:szCs w:val="22"/>
        </w:rPr>
        <w:t>Word count</w:t>
      </w:r>
      <w:r w:rsidR="00D21389">
        <w:rPr>
          <w:b/>
          <w:sz w:val="22"/>
          <w:szCs w:val="22"/>
        </w:rPr>
        <w:t xml:space="preserve"> main text = </w:t>
      </w:r>
      <w:r w:rsidR="001663B2">
        <w:rPr>
          <w:b/>
          <w:sz w:val="22"/>
          <w:szCs w:val="22"/>
        </w:rPr>
        <w:t>3</w:t>
      </w:r>
      <w:r w:rsidR="00B4383C">
        <w:rPr>
          <w:b/>
          <w:sz w:val="22"/>
          <w:szCs w:val="22"/>
        </w:rPr>
        <w:t>,</w:t>
      </w:r>
      <w:r w:rsidR="00BE2CE4">
        <w:rPr>
          <w:b/>
          <w:sz w:val="22"/>
          <w:szCs w:val="22"/>
        </w:rPr>
        <w:t>119</w:t>
      </w:r>
      <w:r w:rsidR="001663B2">
        <w:rPr>
          <w:b/>
          <w:sz w:val="22"/>
          <w:szCs w:val="22"/>
        </w:rPr>
        <w:t xml:space="preserve"> (</w:t>
      </w:r>
      <w:r w:rsidR="00B4383C">
        <w:rPr>
          <w:b/>
          <w:sz w:val="22"/>
          <w:szCs w:val="22"/>
        </w:rPr>
        <w:t>ex</w:t>
      </w:r>
      <w:r w:rsidR="001663B2">
        <w:rPr>
          <w:b/>
          <w:sz w:val="22"/>
          <w:szCs w:val="22"/>
        </w:rPr>
        <w:t>cluding funding and acknowledgements)</w:t>
      </w:r>
    </w:p>
    <w:p w14:paraId="1F533FC4" w14:textId="17B9CD65" w:rsidR="00B4383C" w:rsidRDefault="00BE2CE4" w:rsidP="00510544">
      <w:pPr>
        <w:spacing w:before="0" w:line="480" w:lineRule="auto"/>
        <w:rPr>
          <w:b/>
          <w:sz w:val="22"/>
          <w:szCs w:val="22"/>
        </w:rPr>
      </w:pPr>
      <w:r>
        <w:rPr>
          <w:b/>
          <w:sz w:val="22"/>
          <w:szCs w:val="22"/>
        </w:rPr>
        <w:t>Word count main text = 3</w:t>
      </w:r>
      <w:r w:rsidR="00B4383C">
        <w:rPr>
          <w:b/>
          <w:sz w:val="22"/>
          <w:szCs w:val="22"/>
        </w:rPr>
        <w:t>,</w:t>
      </w:r>
      <w:r>
        <w:rPr>
          <w:b/>
          <w:sz w:val="22"/>
          <w:szCs w:val="22"/>
        </w:rPr>
        <w:t>229</w:t>
      </w:r>
      <w:r w:rsidR="00B4383C">
        <w:rPr>
          <w:b/>
          <w:sz w:val="22"/>
          <w:szCs w:val="22"/>
        </w:rPr>
        <w:t xml:space="preserve"> (including funding and acknowledgements)</w:t>
      </w:r>
    </w:p>
    <w:p w14:paraId="5624A074" w14:textId="2415A1C8" w:rsidR="00D21389" w:rsidRDefault="00D21389" w:rsidP="00D21389">
      <w:pPr>
        <w:spacing w:before="0" w:line="480" w:lineRule="auto"/>
        <w:rPr>
          <w:b/>
          <w:sz w:val="22"/>
          <w:szCs w:val="22"/>
        </w:rPr>
      </w:pPr>
      <w:r>
        <w:rPr>
          <w:b/>
          <w:sz w:val="22"/>
          <w:szCs w:val="22"/>
        </w:rPr>
        <w:t>Word count abstract =  2</w:t>
      </w:r>
      <w:r w:rsidR="00B4383C">
        <w:rPr>
          <w:b/>
          <w:sz w:val="22"/>
          <w:szCs w:val="22"/>
        </w:rPr>
        <w:t>50</w:t>
      </w:r>
    </w:p>
    <w:p w14:paraId="3EE1BF0C" w14:textId="51738358" w:rsidR="001663B2" w:rsidRPr="00502A4C" w:rsidRDefault="001663B2" w:rsidP="00D21389">
      <w:pPr>
        <w:spacing w:before="0" w:line="480" w:lineRule="auto"/>
        <w:rPr>
          <w:b/>
          <w:sz w:val="22"/>
          <w:szCs w:val="22"/>
        </w:rPr>
      </w:pPr>
      <w:r>
        <w:rPr>
          <w:b/>
          <w:sz w:val="22"/>
          <w:szCs w:val="22"/>
        </w:rPr>
        <w:t>Word count Highlights = 48</w:t>
      </w:r>
    </w:p>
    <w:p w14:paraId="5DE37A76" w14:textId="57E1FCA6" w:rsidR="00F2673F" w:rsidRPr="00502A4C" w:rsidRDefault="00F2673F" w:rsidP="00510544">
      <w:pPr>
        <w:spacing w:before="0" w:line="480" w:lineRule="auto"/>
        <w:rPr>
          <w:b/>
          <w:sz w:val="22"/>
          <w:szCs w:val="22"/>
        </w:rPr>
      </w:pPr>
      <w:r w:rsidRPr="00502A4C">
        <w:rPr>
          <w:b/>
          <w:sz w:val="22"/>
          <w:szCs w:val="22"/>
        </w:rPr>
        <w:t>Abstract</w:t>
      </w:r>
      <w:r w:rsidR="0000336E">
        <w:rPr>
          <w:b/>
          <w:sz w:val="22"/>
          <w:szCs w:val="22"/>
        </w:rPr>
        <w:t xml:space="preserve"> </w:t>
      </w:r>
    </w:p>
    <w:p w14:paraId="7ADDE053" w14:textId="77777777" w:rsidR="00F2673F" w:rsidRDefault="00FB0D07" w:rsidP="00510544">
      <w:pPr>
        <w:spacing w:before="0" w:line="480" w:lineRule="auto"/>
        <w:rPr>
          <w:b/>
          <w:sz w:val="22"/>
          <w:szCs w:val="22"/>
        </w:rPr>
      </w:pPr>
      <w:r>
        <w:rPr>
          <w:b/>
          <w:sz w:val="22"/>
          <w:szCs w:val="22"/>
        </w:rPr>
        <w:t>Background</w:t>
      </w:r>
    </w:p>
    <w:p w14:paraId="2CF3B9BA" w14:textId="5A66D3BB" w:rsidR="00F2673F" w:rsidRDefault="00980A4B" w:rsidP="00510544">
      <w:pPr>
        <w:spacing w:before="0" w:line="480" w:lineRule="auto"/>
        <w:rPr>
          <w:sz w:val="22"/>
          <w:szCs w:val="22"/>
        </w:rPr>
      </w:pPr>
      <w:r>
        <w:rPr>
          <w:sz w:val="22"/>
          <w:szCs w:val="22"/>
        </w:rPr>
        <w:t xml:space="preserve">More men are living </w:t>
      </w:r>
      <w:r w:rsidR="00424A21">
        <w:rPr>
          <w:sz w:val="22"/>
          <w:szCs w:val="22"/>
        </w:rPr>
        <w:t>following</w:t>
      </w:r>
      <w:r>
        <w:rPr>
          <w:sz w:val="22"/>
          <w:szCs w:val="22"/>
        </w:rPr>
        <w:t xml:space="preserve"> a prostate cancer (PCa) diagnosis. </w:t>
      </w:r>
      <w:r w:rsidR="00D21389">
        <w:rPr>
          <w:sz w:val="22"/>
          <w:szCs w:val="22"/>
        </w:rPr>
        <w:t>They may need support</w:t>
      </w:r>
      <w:r w:rsidR="00D21389" w:rsidRPr="00795C84">
        <w:rPr>
          <w:sz w:val="22"/>
          <w:szCs w:val="22"/>
        </w:rPr>
        <w:t xml:space="preserve"> to </w:t>
      </w:r>
      <w:r w:rsidR="00D21389" w:rsidRPr="00502A4C">
        <w:rPr>
          <w:sz w:val="22"/>
          <w:szCs w:val="22"/>
        </w:rPr>
        <w:t>maximi</w:t>
      </w:r>
      <w:r w:rsidR="00D21389">
        <w:rPr>
          <w:sz w:val="22"/>
          <w:szCs w:val="22"/>
        </w:rPr>
        <w:t>z</w:t>
      </w:r>
      <w:r w:rsidR="00D21389" w:rsidRPr="00502A4C">
        <w:rPr>
          <w:sz w:val="22"/>
          <w:szCs w:val="22"/>
        </w:rPr>
        <w:t xml:space="preserve">e </w:t>
      </w:r>
      <w:r w:rsidR="00D21389">
        <w:rPr>
          <w:sz w:val="22"/>
          <w:szCs w:val="22"/>
        </w:rPr>
        <w:t xml:space="preserve">the </w:t>
      </w:r>
      <w:r w:rsidR="00D21389" w:rsidRPr="00502A4C">
        <w:rPr>
          <w:sz w:val="22"/>
          <w:szCs w:val="22"/>
        </w:rPr>
        <w:t xml:space="preserve">quality of </w:t>
      </w:r>
      <w:r w:rsidR="00D21389">
        <w:rPr>
          <w:sz w:val="22"/>
          <w:szCs w:val="22"/>
        </w:rPr>
        <w:t xml:space="preserve">their </w:t>
      </w:r>
      <w:r w:rsidR="00D21389" w:rsidRPr="00502A4C">
        <w:rPr>
          <w:sz w:val="22"/>
          <w:szCs w:val="22"/>
        </w:rPr>
        <w:t>survival</w:t>
      </w:r>
      <w:r w:rsidR="00D21389">
        <w:rPr>
          <w:sz w:val="22"/>
          <w:szCs w:val="22"/>
        </w:rPr>
        <w:t xml:space="preserve">. </w:t>
      </w:r>
      <w:r>
        <w:rPr>
          <w:sz w:val="22"/>
          <w:szCs w:val="22"/>
        </w:rPr>
        <w:t>P</w:t>
      </w:r>
      <w:r w:rsidRPr="00502A4C">
        <w:rPr>
          <w:sz w:val="22"/>
          <w:szCs w:val="22"/>
        </w:rPr>
        <w:t>hysical</w:t>
      </w:r>
      <w:r>
        <w:rPr>
          <w:sz w:val="22"/>
          <w:szCs w:val="22"/>
        </w:rPr>
        <w:t xml:space="preserve"> and psychological impacts of PCa</w:t>
      </w:r>
      <w:r w:rsidRPr="00502A4C">
        <w:rPr>
          <w:sz w:val="22"/>
          <w:szCs w:val="22"/>
        </w:rPr>
        <w:t xml:space="preserve"> are widely </w:t>
      </w:r>
      <w:r>
        <w:rPr>
          <w:sz w:val="22"/>
          <w:szCs w:val="22"/>
        </w:rPr>
        <w:t>documented</w:t>
      </w:r>
      <w:r w:rsidR="00424A21">
        <w:rPr>
          <w:sz w:val="22"/>
          <w:szCs w:val="22"/>
        </w:rPr>
        <w:t>. Less</w:t>
      </w:r>
      <w:r w:rsidRPr="00502A4C">
        <w:rPr>
          <w:sz w:val="22"/>
          <w:szCs w:val="22"/>
        </w:rPr>
        <w:t xml:space="preserve"> is known about </w:t>
      </w:r>
      <w:r>
        <w:rPr>
          <w:sz w:val="22"/>
          <w:szCs w:val="22"/>
        </w:rPr>
        <w:t>social impact</w:t>
      </w:r>
      <w:r w:rsidR="00424A21">
        <w:rPr>
          <w:sz w:val="22"/>
          <w:szCs w:val="22"/>
        </w:rPr>
        <w:t>s</w:t>
      </w:r>
      <w:r>
        <w:rPr>
          <w:sz w:val="22"/>
          <w:szCs w:val="22"/>
        </w:rPr>
        <w:t xml:space="preserve">. </w:t>
      </w:r>
      <w:r w:rsidRPr="00502A4C">
        <w:rPr>
          <w:sz w:val="22"/>
          <w:szCs w:val="22"/>
        </w:rPr>
        <w:t xml:space="preserve"> </w:t>
      </w:r>
      <w:r w:rsidR="001E2462">
        <w:rPr>
          <w:sz w:val="22"/>
          <w:szCs w:val="22"/>
        </w:rPr>
        <w:t>We aimed</w:t>
      </w:r>
      <w:r w:rsidR="0097725E">
        <w:rPr>
          <w:sz w:val="22"/>
          <w:szCs w:val="22"/>
        </w:rPr>
        <w:t xml:space="preserve"> to </w:t>
      </w:r>
      <w:r w:rsidR="00F2673F">
        <w:rPr>
          <w:sz w:val="22"/>
          <w:szCs w:val="22"/>
        </w:rPr>
        <w:t xml:space="preserve">identify key factors associated with social </w:t>
      </w:r>
      <w:r w:rsidR="00F2673F" w:rsidRPr="00ED21FB">
        <w:rPr>
          <w:sz w:val="22"/>
          <w:szCs w:val="22"/>
        </w:rPr>
        <w:t xml:space="preserve">distress following </w:t>
      </w:r>
      <w:r w:rsidR="0097725E">
        <w:rPr>
          <w:sz w:val="22"/>
          <w:szCs w:val="22"/>
        </w:rPr>
        <w:t>PCa</w:t>
      </w:r>
      <w:r w:rsidR="00424A21">
        <w:rPr>
          <w:sz w:val="22"/>
          <w:szCs w:val="22"/>
        </w:rPr>
        <w:t>.</w:t>
      </w:r>
      <w:r w:rsidR="00F2673F" w:rsidRPr="00ED21FB">
        <w:rPr>
          <w:sz w:val="22"/>
          <w:szCs w:val="22"/>
        </w:rPr>
        <w:t xml:space="preserve"> </w:t>
      </w:r>
    </w:p>
    <w:p w14:paraId="1D28EBDD" w14:textId="65D6D2C2" w:rsidR="00F2673F" w:rsidRDefault="00FB0D07" w:rsidP="00510544">
      <w:pPr>
        <w:spacing w:before="0" w:line="480" w:lineRule="auto"/>
        <w:rPr>
          <w:b/>
          <w:sz w:val="22"/>
          <w:szCs w:val="22"/>
        </w:rPr>
      </w:pPr>
      <w:r>
        <w:rPr>
          <w:b/>
          <w:sz w:val="22"/>
          <w:szCs w:val="22"/>
        </w:rPr>
        <w:t>Methods</w:t>
      </w:r>
      <w:r w:rsidR="00F2673F" w:rsidRPr="00022D92">
        <w:rPr>
          <w:b/>
          <w:sz w:val="22"/>
          <w:szCs w:val="22"/>
        </w:rPr>
        <w:t xml:space="preserve"> </w:t>
      </w:r>
    </w:p>
    <w:p w14:paraId="52D7802A" w14:textId="6FEA9048" w:rsidR="00980A4B" w:rsidRPr="000F4E4F" w:rsidRDefault="00980A4B" w:rsidP="00980A4B">
      <w:pPr>
        <w:spacing w:before="0" w:line="480" w:lineRule="auto"/>
        <w:rPr>
          <w:sz w:val="22"/>
          <w:szCs w:val="22"/>
        </w:rPr>
      </w:pPr>
      <w:r w:rsidRPr="00CC5C07">
        <w:rPr>
          <w:rFonts w:eastAsiaTheme="minorHAnsi"/>
          <w:color w:val="222222"/>
          <w:sz w:val="22"/>
          <w:szCs w:val="22"/>
          <w:lang w:eastAsia="en-US"/>
        </w:rPr>
        <w:t xml:space="preserve">The Life After Prostate Cancer </w:t>
      </w:r>
      <w:r>
        <w:rPr>
          <w:rFonts w:eastAsiaTheme="minorHAnsi"/>
          <w:color w:val="222222"/>
          <w:sz w:val="22"/>
          <w:szCs w:val="22"/>
          <w:lang w:eastAsia="en-US"/>
        </w:rPr>
        <w:t xml:space="preserve">Diagnosis </w:t>
      </w:r>
      <w:r w:rsidRPr="00CC5C07">
        <w:rPr>
          <w:rFonts w:eastAsiaTheme="minorHAnsi"/>
          <w:color w:val="222222"/>
          <w:sz w:val="22"/>
          <w:szCs w:val="22"/>
          <w:lang w:eastAsia="en-US"/>
        </w:rPr>
        <w:t xml:space="preserve">study </w:t>
      </w:r>
      <w:r>
        <w:rPr>
          <w:rFonts w:eastAsiaTheme="minorHAnsi"/>
          <w:color w:val="222222"/>
          <w:sz w:val="22"/>
          <w:szCs w:val="22"/>
          <w:lang w:eastAsia="en-US"/>
        </w:rPr>
        <w:t xml:space="preserve">is a </w:t>
      </w:r>
      <w:r w:rsidR="00D21389">
        <w:rPr>
          <w:rFonts w:eastAsiaTheme="minorHAnsi"/>
          <w:color w:val="222222"/>
          <w:sz w:val="22"/>
          <w:szCs w:val="22"/>
          <w:lang w:eastAsia="en-US"/>
        </w:rPr>
        <w:t xml:space="preserve">UK </w:t>
      </w:r>
      <w:r>
        <w:rPr>
          <w:rFonts w:eastAsiaTheme="minorHAnsi"/>
          <w:color w:val="222222"/>
          <w:sz w:val="22"/>
          <w:szCs w:val="22"/>
          <w:lang w:eastAsia="en-US"/>
        </w:rPr>
        <w:t xml:space="preserve">national cross-sectional survey </w:t>
      </w:r>
      <w:r w:rsidRPr="00CC5C07">
        <w:rPr>
          <w:rFonts w:eastAsiaTheme="minorHAnsi"/>
          <w:color w:val="222222"/>
          <w:sz w:val="22"/>
          <w:szCs w:val="22"/>
          <w:lang w:eastAsia="en-US"/>
        </w:rPr>
        <w:t>of</w:t>
      </w:r>
      <w:r>
        <w:rPr>
          <w:rFonts w:eastAsiaTheme="minorHAnsi"/>
          <w:color w:val="222222"/>
          <w:sz w:val="22"/>
          <w:szCs w:val="22"/>
          <w:lang w:eastAsia="en-US"/>
        </w:rPr>
        <w:t xml:space="preserve"> </w:t>
      </w:r>
      <w:r w:rsidRPr="00CC5C07">
        <w:rPr>
          <w:rFonts w:eastAsiaTheme="minorHAnsi"/>
          <w:color w:val="222222"/>
          <w:sz w:val="22"/>
          <w:szCs w:val="22"/>
          <w:lang w:eastAsia="en-US"/>
        </w:rPr>
        <w:t xml:space="preserve">men 18-42 months post diagnosis of </w:t>
      </w:r>
      <w:r>
        <w:rPr>
          <w:rFonts w:eastAsiaTheme="minorHAnsi"/>
          <w:color w:val="222222"/>
          <w:sz w:val="22"/>
          <w:szCs w:val="22"/>
          <w:lang w:eastAsia="en-US"/>
        </w:rPr>
        <w:t>PCa</w:t>
      </w:r>
      <w:r w:rsidR="00305451">
        <w:rPr>
          <w:rFonts w:eastAsiaTheme="minorHAnsi"/>
          <w:color w:val="222222"/>
          <w:sz w:val="22"/>
          <w:szCs w:val="22"/>
          <w:lang w:eastAsia="en-US"/>
        </w:rPr>
        <w:t>.</w:t>
      </w:r>
      <w:r w:rsidR="00D21389">
        <w:rPr>
          <w:rFonts w:eastAsiaTheme="minorHAnsi"/>
          <w:color w:val="222222"/>
          <w:sz w:val="22"/>
          <w:szCs w:val="22"/>
          <w:lang w:eastAsia="en-US"/>
        </w:rPr>
        <w:t>.</w:t>
      </w:r>
      <w:r w:rsidRPr="00980A4B">
        <w:rPr>
          <w:sz w:val="22"/>
          <w:szCs w:val="22"/>
        </w:rPr>
        <w:t xml:space="preserve"> </w:t>
      </w:r>
      <w:r w:rsidR="00305451">
        <w:rPr>
          <w:sz w:val="22"/>
          <w:szCs w:val="22"/>
        </w:rPr>
        <w:t>M</w:t>
      </w:r>
      <w:r w:rsidR="00D21389">
        <w:rPr>
          <w:sz w:val="22"/>
          <w:szCs w:val="22"/>
        </w:rPr>
        <w:t>en (n= 58</w:t>
      </w:r>
      <w:r w:rsidR="00B50E9E">
        <w:rPr>
          <w:sz w:val="22"/>
          <w:szCs w:val="22"/>
        </w:rPr>
        <w:t xml:space="preserve"> </w:t>
      </w:r>
      <w:r w:rsidR="00D21389">
        <w:rPr>
          <w:sz w:val="22"/>
          <w:szCs w:val="22"/>
        </w:rPr>
        <w:t xml:space="preserve">930) </w:t>
      </w:r>
      <w:r w:rsidR="00D21389" w:rsidRPr="00502A4C">
        <w:rPr>
          <w:sz w:val="22"/>
          <w:szCs w:val="22"/>
        </w:rPr>
        <w:t xml:space="preserve">were </w:t>
      </w:r>
      <w:r w:rsidR="00D21389">
        <w:rPr>
          <w:sz w:val="22"/>
          <w:szCs w:val="22"/>
        </w:rPr>
        <w:t xml:space="preserve">invited to participate by their diagnosing cancer centre including </w:t>
      </w:r>
      <w:r w:rsidRPr="00BC01CC">
        <w:rPr>
          <w:rFonts w:eastAsiaTheme="minorHAnsi"/>
          <w:color w:val="222222"/>
          <w:sz w:val="22"/>
          <w:szCs w:val="22"/>
          <w:lang w:eastAsia="en-US"/>
        </w:rPr>
        <w:t>8</w:t>
      </w:r>
      <w:r>
        <w:rPr>
          <w:rFonts w:eastAsiaTheme="minorHAnsi"/>
          <w:color w:val="222222"/>
          <w:sz w:val="22"/>
          <w:szCs w:val="22"/>
          <w:lang w:eastAsia="en-US"/>
        </w:rPr>
        <w:t>2</w:t>
      </w:r>
      <w:r w:rsidRPr="00BC01CC">
        <w:rPr>
          <w:rFonts w:eastAsiaTheme="minorHAnsi"/>
          <w:color w:val="222222"/>
          <w:sz w:val="22"/>
          <w:szCs w:val="22"/>
          <w:lang w:eastAsia="en-US"/>
        </w:rPr>
        <w:t>% of</w:t>
      </w:r>
      <w:r>
        <w:rPr>
          <w:rFonts w:eastAsiaTheme="minorHAnsi"/>
          <w:color w:val="222222"/>
          <w:sz w:val="22"/>
          <w:szCs w:val="22"/>
          <w:lang w:eastAsia="en-US"/>
        </w:rPr>
        <w:t xml:space="preserve"> English</w:t>
      </w:r>
      <w:r w:rsidRPr="00BC01CC">
        <w:rPr>
          <w:rFonts w:eastAsiaTheme="minorHAnsi"/>
          <w:color w:val="222222"/>
          <w:sz w:val="22"/>
          <w:szCs w:val="22"/>
          <w:lang w:eastAsia="en-US"/>
        </w:rPr>
        <w:t xml:space="preserve"> NHS Trusts (n=111) and 100% of all Health Boards in</w:t>
      </w:r>
      <w:r>
        <w:rPr>
          <w:rFonts w:eastAsiaTheme="minorHAnsi"/>
          <w:color w:val="222222"/>
          <w:sz w:val="22"/>
          <w:szCs w:val="22"/>
          <w:lang w:eastAsia="en-US"/>
        </w:rPr>
        <w:t xml:space="preserve"> </w:t>
      </w:r>
      <w:r w:rsidRPr="00BC01CC">
        <w:rPr>
          <w:rFonts w:eastAsiaTheme="minorHAnsi"/>
          <w:color w:val="222222"/>
          <w:sz w:val="22"/>
          <w:szCs w:val="22"/>
          <w:lang w:eastAsia="en-US"/>
        </w:rPr>
        <w:t>Northern Ireland (n=5), Scotland (n=14) and Wales (n=6)</w:t>
      </w:r>
      <w:r w:rsidR="00D21389">
        <w:rPr>
          <w:rFonts w:eastAsiaTheme="minorHAnsi"/>
          <w:color w:val="222222"/>
          <w:sz w:val="22"/>
          <w:szCs w:val="22"/>
          <w:lang w:eastAsia="en-US"/>
        </w:rPr>
        <w:t>.</w:t>
      </w:r>
      <w:r w:rsidRPr="00BC01CC">
        <w:rPr>
          <w:rFonts w:eastAsiaTheme="minorHAnsi"/>
          <w:color w:val="222222"/>
          <w:sz w:val="22"/>
          <w:szCs w:val="22"/>
          <w:lang w:eastAsia="en-US"/>
        </w:rPr>
        <w:t xml:space="preserve"> </w:t>
      </w:r>
      <w:r>
        <w:rPr>
          <w:sz w:val="22"/>
          <w:szCs w:val="22"/>
        </w:rPr>
        <w:t>Social distress was measured using the Social Difficulties Inventory (SDI-21), 16 item Social Distress scale with men assigned to ‘socially distressed’/‘not socially distressed’ groups</w:t>
      </w:r>
      <w:r w:rsidR="00D21389">
        <w:rPr>
          <w:sz w:val="22"/>
          <w:szCs w:val="22"/>
        </w:rPr>
        <w:t>,</w:t>
      </w:r>
      <w:r>
        <w:rPr>
          <w:sz w:val="22"/>
          <w:szCs w:val="22"/>
        </w:rPr>
        <w:t xml:space="preserve"> according to published guidelines.  </w:t>
      </w:r>
      <w:r>
        <w:rPr>
          <w:color w:val="000000" w:themeColor="text1"/>
          <w:sz w:val="22"/>
          <w:szCs w:val="22"/>
        </w:rPr>
        <w:t xml:space="preserve">Clinical and sociodemographic variables were collected from self-report and cancer registries. </w:t>
      </w:r>
    </w:p>
    <w:p w14:paraId="3AF83209" w14:textId="77777777" w:rsidR="00F2673F" w:rsidRDefault="00F2673F" w:rsidP="00510544">
      <w:pPr>
        <w:spacing w:before="0" w:line="480" w:lineRule="auto"/>
        <w:rPr>
          <w:b/>
          <w:sz w:val="22"/>
          <w:szCs w:val="22"/>
        </w:rPr>
      </w:pPr>
      <w:r>
        <w:rPr>
          <w:b/>
          <w:sz w:val="22"/>
          <w:szCs w:val="22"/>
        </w:rPr>
        <w:t>Results</w:t>
      </w:r>
    </w:p>
    <w:p w14:paraId="5EA444C1" w14:textId="64DF9D28" w:rsidR="00F2673F" w:rsidRPr="00BC01CC" w:rsidRDefault="00F2673F" w:rsidP="00304885">
      <w:pPr>
        <w:spacing w:before="0" w:line="480" w:lineRule="auto"/>
        <w:rPr>
          <w:sz w:val="22"/>
          <w:szCs w:val="22"/>
        </w:rPr>
      </w:pPr>
      <w:r>
        <w:rPr>
          <w:sz w:val="22"/>
          <w:szCs w:val="22"/>
        </w:rPr>
        <w:lastRenderedPageBreak/>
        <w:t>Response rate 60.8% (n= 35</w:t>
      </w:r>
      <w:r w:rsidR="007029CA">
        <w:rPr>
          <w:sz w:val="22"/>
          <w:szCs w:val="22"/>
        </w:rPr>
        <w:t xml:space="preserve"> </w:t>
      </w:r>
      <w:r>
        <w:rPr>
          <w:sz w:val="22"/>
          <w:szCs w:val="22"/>
        </w:rPr>
        <w:t>823</w:t>
      </w:r>
      <w:r w:rsidR="008D434B">
        <w:rPr>
          <w:sz w:val="22"/>
          <w:szCs w:val="22"/>
        </w:rPr>
        <w:t>)</w:t>
      </w:r>
      <w:r w:rsidR="00980A4B">
        <w:rPr>
          <w:sz w:val="22"/>
          <w:szCs w:val="22"/>
        </w:rPr>
        <w:t xml:space="preserve"> of whom </w:t>
      </w:r>
      <w:r w:rsidR="004B26CA">
        <w:rPr>
          <w:sz w:val="22"/>
          <w:szCs w:val="22"/>
        </w:rPr>
        <w:t xml:space="preserve">97% (n=29 </w:t>
      </w:r>
      <w:r w:rsidR="00980A4B" w:rsidRPr="00502A4C">
        <w:rPr>
          <w:sz w:val="22"/>
          <w:szCs w:val="22"/>
        </w:rPr>
        <w:t xml:space="preserve">351) </w:t>
      </w:r>
      <w:r w:rsidR="00980A4B">
        <w:rPr>
          <w:sz w:val="22"/>
          <w:szCs w:val="22"/>
        </w:rPr>
        <w:t xml:space="preserve">completed the </w:t>
      </w:r>
      <w:r w:rsidR="00980A4B" w:rsidRPr="00502A4C">
        <w:rPr>
          <w:sz w:val="22"/>
          <w:szCs w:val="22"/>
        </w:rPr>
        <w:t>S</w:t>
      </w:r>
      <w:r w:rsidR="00980A4B">
        <w:rPr>
          <w:sz w:val="22"/>
          <w:szCs w:val="22"/>
        </w:rPr>
        <w:t xml:space="preserve">ocial Distress </w:t>
      </w:r>
      <w:r w:rsidR="00980A4B" w:rsidRPr="00A75D9A">
        <w:rPr>
          <w:sz w:val="22"/>
          <w:szCs w:val="22"/>
        </w:rPr>
        <w:t xml:space="preserve">scale (mean age = 71.2; SD = 7.88).  </w:t>
      </w:r>
      <w:r w:rsidRPr="00A75D9A">
        <w:rPr>
          <w:sz w:val="22"/>
          <w:szCs w:val="22"/>
        </w:rPr>
        <w:t xml:space="preserve">The </w:t>
      </w:r>
      <w:r w:rsidR="00304885">
        <w:rPr>
          <w:sz w:val="22"/>
          <w:szCs w:val="22"/>
        </w:rPr>
        <w:t>proportion</w:t>
      </w:r>
      <w:r w:rsidR="00304885">
        <w:rPr>
          <w:rFonts w:eastAsia="Arial Unicode MS"/>
          <w:sz w:val="22"/>
          <w:szCs w:val="22"/>
        </w:rPr>
        <w:t xml:space="preserve"> </w:t>
      </w:r>
      <w:r>
        <w:rPr>
          <w:rFonts w:eastAsia="Arial Unicode MS"/>
          <w:sz w:val="22"/>
          <w:szCs w:val="22"/>
        </w:rPr>
        <w:t xml:space="preserve">of ‘socially distressed’ men was </w:t>
      </w:r>
      <w:r w:rsidRPr="00AB71CD">
        <w:rPr>
          <w:rFonts w:eastAsia="Arial Unicode MS"/>
          <w:sz w:val="22"/>
          <w:szCs w:val="22"/>
        </w:rPr>
        <w:t>9.4%</w:t>
      </w:r>
      <w:r>
        <w:rPr>
          <w:rFonts w:eastAsia="Arial Unicode MS"/>
          <w:sz w:val="22"/>
          <w:szCs w:val="22"/>
        </w:rPr>
        <w:t>. Multivariable logisti</w:t>
      </w:r>
      <w:r w:rsidR="0097725E">
        <w:rPr>
          <w:rFonts w:eastAsia="Arial Unicode MS"/>
          <w:sz w:val="22"/>
          <w:szCs w:val="22"/>
        </w:rPr>
        <w:t xml:space="preserve">c regression analysis revealed </w:t>
      </w:r>
      <w:r w:rsidRPr="00492B03">
        <w:rPr>
          <w:rFonts w:eastAsia="Arial Unicode MS"/>
          <w:sz w:val="22"/>
          <w:szCs w:val="22"/>
        </w:rPr>
        <w:t>unemploy</w:t>
      </w:r>
      <w:r>
        <w:rPr>
          <w:rFonts w:eastAsia="Arial Unicode MS"/>
          <w:sz w:val="22"/>
          <w:szCs w:val="22"/>
        </w:rPr>
        <w:t>ment</w:t>
      </w:r>
      <w:r w:rsidRPr="00492B03">
        <w:rPr>
          <w:rFonts w:eastAsia="Arial Unicode MS"/>
          <w:sz w:val="22"/>
          <w:szCs w:val="22"/>
        </w:rPr>
        <w:t xml:space="preserve"> versus employ</w:t>
      </w:r>
      <w:r>
        <w:rPr>
          <w:rFonts w:eastAsia="Arial Unicode MS"/>
          <w:sz w:val="22"/>
          <w:szCs w:val="22"/>
        </w:rPr>
        <w:t>ment (odds ratio (OR):</w:t>
      </w:r>
      <w:r w:rsidRPr="00492B03">
        <w:rPr>
          <w:rFonts w:eastAsia="Arial Unicode MS"/>
          <w:sz w:val="22"/>
          <w:szCs w:val="22"/>
        </w:rPr>
        <w:t>11.58 [95% CI 9.16-14.63</w:t>
      </w:r>
      <w:r w:rsidR="008D434B">
        <w:rPr>
          <w:rFonts w:eastAsia="Arial Unicode MS"/>
          <w:sz w:val="22"/>
          <w:szCs w:val="22"/>
        </w:rPr>
        <w:t>])</w:t>
      </w:r>
      <w:r w:rsidRPr="00492B03">
        <w:rPr>
          <w:rFonts w:eastAsia="Arial Unicode MS"/>
          <w:sz w:val="22"/>
          <w:szCs w:val="22"/>
        </w:rPr>
        <w:t xml:space="preserve"> and ≥3 </w:t>
      </w:r>
      <w:r>
        <w:rPr>
          <w:rFonts w:eastAsia="Arial Unicode MS"/>
          <w:sz w:val="22"/>
          <w:szCs w:val="22"/>
        </w:rPr>
        <w:t xml:space="preserve">co-morbidities versus none (OR: </w:t>
      </w:r>
      <w:r w:rsidRPr="00492B03">
        <w:rPr>
          <w:rFonts w:eastAsia="Arial Unicode MS"/>
          <w:sz w:val="22"/>
          <w:szCs w:val="22"/>
        </w:rPr>
        <w:t>5.37 [95% CI 4.61-6.27</w:t>
      </w:r>
      <w:r w:rsidR="008D434B">
        <w:rPr>
          <w:rFonts w:eastAsia="Arial Unicode MS"/>
          <w:sz w:val="22"/>
          <w:szCs w:val="22"/>
        </w:rPr>
        <w:t>])</w:t>
      </w:r>
      <w:r w:rsidR="001E2462">
        <w:rPr>
          <w:rFonts w:eastAsia="Arial Unicode MS"/>
          <w:sz w:val="22"/>
          <w:szCs w:val="22"/>
        </w:rPr>
        <w:t xml:space="preserve"> as </w:t>
      </w:r>
      <w:r w:rsidR="008D434B">
        <w:rPr>
          <w:rFonts w:eastAsia="Arial Unicode MS"/>
          <w:sz w:val="22"/>
          <w:szCs w:val="22"/>
        </w:rPr>
        <w:t xml:space="preserve">key </w:t>
      </w:r>
      <w:r w:rsidR="001E2462">
        <w:rPr>
          <w:rFonts w:eastAsia="Arial Unicode MS"/>
          <w:sz w:val="22"/>
          <w:szCs w:val="22"/>
        </w:rPr>
        <w:t>associations</w:t>
      </w:r>
      <w:r w:rsidRPr="00492B03">
        <w:rPr>
          <w:rFonts w:eastAsia="Arial Unicode MS"/>
          <w:sz w:val="22"/>
          <w:szCs w:val="22"/>
        </w:rPr>
        <w:t>. Other</w:t>
      </w:r>
      <w:r w:rsidR="001E2462">
        <w:rPr>
          <w:rFonts w:eastAsia="Arial Unicode MS"/>
          <w:sz w:val="22"/>
          <w:szCs w:val="22"/>
        </w:rPr>
        <w:t>s</w:t>
      </w:r>
      <w:r w:rsidRPr="00492B03">
        <w:rPr>
          <w:rFonts w:eastAsia="Arial Unicode MS"/>
          <w:sz w:val="22"/>
          <w:szCs w:val="22"/>
        </w:rPr>
        <w:t xml:space="preserve"> </w:t>
      </w:r>
      <w:r w:rsidR="001E2462">
        <w:rPr>
          <w:rFonts w:eastAsia="Arial Unicode MS"/>
          <w:sz w:val="22"/>
          <w:szCs w:val="22"/>
        </w:rPr>
        <w:t>were</w:t>
      </w:r>
      <w:r w:rsidRPr="00492B03">
        <w:rPr>
          <w:rFonts w:eastAsia="Arial Unicode MS"/>
          <w:sz w:val="22"/>
          <w:szCs w:val="22"/>
        </w:rPr>
        <w:t xml:space="preserve"> Androgen Deprivation Therapy</w:t>
      </w:r>
      <w:r>
        <w:rPr>
          <w:rFonts w:eastAsia="Arial Unicode MS"/>
          <w:sz w:val="22"/>
          <w:szCs w:val="22"/>
        </w:rPr>
        <w:t xml:space="preserve">, External Beam Radiotherapy in </w:t>
      </w:r>
      <w:r w:rsidR="008D434B">
        <w:rPr>
          <w:rFonts w:eastAsia="Arial Unicode MS"/>
          <w:sz w:val="22"/>
          <w:szCs w:val="22"/>
        </w:rPr>
        <w:t xml:space="preserve">combination with </w:t>
      </w:r>
      <w:r>
        <w:rPr>
          <w:rFonts w:eastAsia="Arial Unicode MS"/>
          <w:sz w:val="22"/>
          <w:szCs w:val="22"/>
        </w:rPr>
        <w:t xml:space="preserve">another treatment, </w:t>
      </w:r>
      <w:r w:rsidR="00305451" w:rsidRPr="00A9635B">
        <w:rPr>
          <w:rFonts w:eastAsia="Arial Unicode MS"/>
          <w:color w:val="auto"/>
          <w:sz w:val="22"/>
          <w:szCs w:val="22"/>
        </w:rPr>
        <w:t xml:space="preserve">age, </w:t>
      </w:r>
      <w:r w:rsidRPr="00A9635B">
        <w:rPr>
          <w:rFonts w:eastAsia="Arial Unicode MS"/>
          <w:color w:val="auto"/>
          <w:sz w:val="22"/>
          <w:szCs w:val="22"/>
        </w:rPr>
        <w:t xml:space="preserve">prior </w:t>
      </w:r>
      <w:r w:rsidRPr="00492B03">
        <w:rPr>
          <w:rFonts w:eastAsia="Arial Unicode MS"/>
          <w:sz w:val="22"/>
          <w:szCs w:val="22"/>
        </w:rPr>
        <w:t xml:space="preserve">mental health problems and living in a </w:t>
      </w:r>
      <w:r>
        <w:rPr>
          <w:rFonts w:eastAsia="Arial Unicode MS"/>
          <w:sz w:val="22"/>
          <w:szCs w:val="22"/>
        </w:rPr>
        <w:t xml:space="preserve">socio-economically </w:t>
      </w:r>
      <w:r w:rsidRPr="00492B03">
        <w:rPr>
          <w:rFonts w:eastAsia="Arial Unicode MS"/>
          <w:sz w:val="22"/>
          <w:szCs w:val="22"/>
        </w:rPr>
        <w:t>depriv</w:t>
      </w:r>
      <w:r>
        <w:rPr>
          <w:rFonts w:eastAsia="Arial Unicode MS"/>
          <w:sz w:val="22"/>
          <w:szCs w:val="22"/>
        </w:rPr>
        <w:t>ed</w:t>
      </w:r>
      <w:r w:rsidRPr="00492B03">
        <w:rPr>
          <w:rFonts w:eastAsia="Arial Unicode MS"/>
          <w:sz w:val="22"/>
          <w:szCs w:val="22"/>
        </w:rPr>
        <w:t xml:space="preserve"> area.</w:t>
      </w:r>
    </w:p>
    <w:p w14:paraId="5EEE96E0" w14:textId="77777777" w:rsidR="00F2673F" w:rsidRDefault="00F2673F" w:rsidP="00510544">
      <w:pPr>
        <w:spacing w:before="0" w:line="480" w:lineRule="auto"/>
        <w:rPr>
          <w:b/>
          <w:sz w:val="22"/>
          <w:szCs w:val="22"/>
        </w:rPr>
      </w:pPr>
      <w:r>
        <w:rPr>
          <w:b/>
          <w:sz w:val="22"/>
          <w:szCs w:val="22"/>
        </w:rPr>
        <w:t xml:space="preserve">Conclusion </w:t>
      </w:r>
    </w:p>
    <w:p w14:paraId="76531B3F" w14:textId="5C29705C" w:rsidR="00F2673F" w:rsidRPr="00AB71CD" w:rsidRDefault="00F2673F" w:rsidP="00510544">
      <w:pPr>
        <w:spacing w:before="0" w:line="480" w:lineRule="auto"/>
        <w:rPr>
          <w:sz w:val="22"/>
          <w:szCs w:val="22"/>
        </w:rPr>
      </w:pPr>
      <w:r w:rsidRPr="003C51C2">
        <w:rPr>
          <w:sz w:val="22"/>
          <w:szCs w:val="22"/>
        </w:rPr>
        <w:t xml:space="preserve">Most men following PCa are socially resilient. </w:t>
      </w:r>
      <w:r w:rsidRPr="00AB71CD">
        <w:rPr>
          <w:sz w:val="22"/>
          <w:szCs w:val="22"/>
        </w:rPr>
        <w:t xml:space="preserve">A simple checklist </w:t>
      </w:r>
      <w:r>
        <w:rPr>
          <w:sz w:val="22"/>
          <w:szCs w:val="22"/>
        </w:rPr>
        <w:t>could</w:t>
      </w:r>
      <w:r w:rsidRPr="00AB71CD">
        <w:rPr>
          <w:sz w:val="22"/>
          <w:szCs w:val="22"/>
        </w:rPr>
        <w:t xml:space="preserve"> help clinicians identify men </w:t>
      </w:r>
      <w:r w:rsidR="0014733C">
        <w:rPr>
          <w:sz w:val="22"/>
          <w:szCs w:val="22"/>
        </w:rPr>
        <w:t xml:space="preserve">at risk of social distress. </w:t>
      </w:r>
    </w:p>
    <w:p w14:paraId="554DB596" w14:textId="77777777" w:rsidR="00170BBC" w:rsidRDefault="00170BBC" w:rsidP="008740BD">
      <w:pPr>
        <w:spacing w:before="0" w:line="480" w:lineRule="auto"/>
        <w:rPr>
          <w:b/>
          <w:sz w:val="22"/>
          <w:szCs w:val="22"/>
        </w:rPr>
      </w:pPr>
    </w:p>
    <w:p w14:paraId="58E2A423" w14:textId="77777777" w:rsidR="00170BBC" w:rsidRDefault="00170BBC" w:rsidP="008740BD">
      <w:pPr>
        <w:spacing w:before="0" w:line="480" w:lineRule="auto"/>
        <w:rPr>
          <w:b/>
          <w:sz w:val="22"/>
          <w:szCs w:val="22"/>
        </w:rPr>
      </w:pPr>
    </w:p>
    <w:p w14:paraId="59E398A1" w14:textId="67879EC4" w:rsidR="008740BD" w:rsidRDefault="008740BD" w:rsidP="008740BD">
      <w:pPr>
        <w:spacing w:before="0" w:line="480" w:lineRule="auto"/>
        <w:rPr>
          <w:b/>
          <w:sz w:val="22"/>
          <w:szCs w:val="22"/>
        </w:rPr>
      </w:pPr>
      <w:r>
        <w:rPr>
          <w:b/>
          <w:sz w:val="22"/>
          <w:szCs w:val="22"/>
        </w:rPr>
        <w:t>Key words</w:t>
      </w:r>
    </w:p>
    <w:p w14:paraId="627E6454" w14:textId="03CC3355" w:rsidR="00170BBC" w:rsidRDefault="00D21389" w:rsidP="008740BD">
      <w:pPr>
        <w:spacing w:before="0" w:line="480" w:lineRule="auto"/>
        <w:rPr>
          <w:sz w:val="22"/>
          <w:szCs w:val="22"/>
        </w:rPr>
      </w:pPr>
      <w:r>
        <w:rPr>
          <w:sz w:val="22"/>
          <w:szCs w:val="22"/>
        </w:rPr>
        <w:t>P</w:t>
      </w:r>
      <w:r w:rsidR="008740BD" w:rsidRPr="00D21389">
        <w:rPr>
          <w:sz w:val="22"/>
          <w:szCs w:val="22"/>
        </w:rPr>
        <w:t xml:space="preserve">rostate </w:t>
      </w:r>
    </w:p>
    <w:p w14:paraId="735FD6C8" w14:textId="7BDDBC21" w:rsidR="00170BBC" w:rsidRDefault="00D21389" w:rsidP="008740BD">
      <w:pPr>
        <w:spacing w:before="0" w:line="480" w:lineRule="auto"/>
        <w:rPr>
          <w:sz w:val="22"/>
          <w:szCs w:val="22"/>
        </w:rPr>
      </w:pPr>
      <w:r>
        <w:rPr>
          <w:sz w:val="22"/>
          <w:szCs w:val="22"/>
        </w:rPr>
        <w:t>C</w:t>
      </w:r>
      <w:r w:rsidR="00170BBC">
        <w:rPr>
          <w:sz w:val="22"/>
          <w:szCs w:val="22"/>
        </w:rPr>
        <w:t>ancer</w:t>
      </w:r>
      <w:r w:rsidR="008740BD" w:rsidRPr="00D21389">
        <w:rPr>
          <w:sz w:val="22"/>
          <w:szCs w:val="22"/>
        </w:rPr>
        <w:t xml:space="preserve"> </w:t>
      </w:r>
    </w:p>
    <w:p w14:paraId="4A9596B1" w14:textId="4096B88C" w:rsidR="00170BBC" w:rsidRDefault="00170BBC" w:rsidP="008740BD">
      <w:pPr>
        <w:spacing w:before="0" w:line="480" w:lineRule="auto"/>
      </w:pPr>
      <w:r>
        <w:t>Psycho-</w:t>
      </w:r>
      <w:r w:rsidR="00381998">
        <w:t>o</w:t>
      </w:r>
      <w:r>
        <w:t>ncology</w:t>
      </w:r>
    </w:p>
    <w:p w14:paraId="6BF67E9E" w14:textId="6221ED33" w:rsidR="00170BBC" w:rsidRDefault="00D21389" w:rsidP="008740BD">
      <w:pPr>
        <w:spacing w:before="0" w:line="480" w:lineRule="auto"/>
        <w:rPr>
          <w:sz w:val="22"/>
          <w:szCs w:val="22"/>
        </w:rPr>
      </w:pPr>
      <w:r>
        <w:rPr>
          <w:sz w:val="22"/>
          <w:szCs w:val="22"/>
        </w:rPr>
        <w:t>Q</w:t>
      </w:r>
      <w:r w:rsidR="008740BD" w:rsidRPr="00D21389">
        <w:rPr>
          <w:sz w:val="22"/>
          <w:szCs w:val="22"/>
        </w:rPr>
        <w:t xml:space="preserve">uality of </w:t>
      </w:r>
      <w:r>
        <w:rPr>
          <w:sz w:val="22"/>
          <w:szCs w:val="22"/>
        </w:rPr>
        <w:t>L</w:t>
      </w:r>
      <w:r w:rsidR="00170BBC">
        <w:rPr>
          <w:sz w:val="22"/>
          <w:szCs w:val="22"/>
        </w:rPr>
        <w:t>ife</w:t>
      </w:r>
      <w:r w:rsidR="008740BD" w:rsidRPr="00D21389">
        <w:rPr>
          <w:sz w:val="22"/>
          <w:szCs w:val="22"/>
        </w:rPr>
        <w:t xml:space="preserve"> </w:t>
      </w:r>
    </w:p>
    <w:p w14:paraId="20DCD2D5" w14:textId="4ED3DC0C" w:rsidR="00170BBC" w:rsidRDefault="00D21389" w:rsidP="008740BD">
      <w:pPr>
        <w:spacing w:before="0" w:line="480" w:lineRule="auto"/>
        <w:rPr>
          <w:sz w:val="22"/>
          <w:szCs w:val="22"/>
        </w:rPr>
      </w:pPr>
      <w:r>
        <w:t>Patient Reported Outcome Measures</w:t>
      </w:r>
      <w:r w:rsidR="008740BD" w:rsidRPr="00D21389">
        <w:rPr>
          <w:sz w:val="22"/>
          <w:szCs w:val="22"/>
        </w:rPr>
        <w:t xml:space="preserve"> </w:t>
      </w:r>
    </w:p>
    <w:p w14:paraId="0B633F25" w14:textId="51821CFA" w:rsidR="008740BD" w:rsidRPr="00D21389" w:rsidRDefault="00170BBC" w:rsidP="008740BD">
      <w:pPr>
        <w:spacing w:before="0" w:line="480" w:lineRule="auto"/>
        <w:rPr>
          <w:sz w:val="22"/>
          <w:szCs w:val="22"/>
        </w:rPr>
      </w:pPr>
      <w:r>
        <w:rPr>
          <w:sz w:val="22"/>
          <w:szCs w:val="22"/>
        </w:rPr>
        <w:t>Survival</w:t>
      </w:r>
    </w:p>
    <w:p w14:paraId="2B1BDE6A" w14:textId="77777777" w:rsidR="00F2673F" w:rsidRPr="00502A4C" w:rsidRDefault="00F2673F" w:rsidP="00510544">
      <w:pPr>
        <w:spacing w:before="0" w:line="480" w:lineRule="auto"/>
        <w:rPr>
          <w:b/>
          <w:sz w:val="22"/>
          <w:szCs w:val="22"/>
        </w:rPr>
      </w:pPr>
      <w:r w:rsidRPr="00502A4C">
        <w:rPr>
          <w:b/>
          <w:sz w:val="22"/>
          <w:szCs w:val="22"/>
        </w:rPr>
        <w:br w:type="page"/>
      </w:r>
    </w:p>
    <w:p w14:paraId="67304606" w14:textId="796247F2" w:rsidR="00F2673F" w:rsidRPr="0016134C" w:rsidRDefault="006918C9" w:rsidP="0016134C">
      <w:pPr>
        <w:pStyle w:val="ListParagraph"/>
        <w:numPr>
          <w:ilvl w:val="0"/>
          <w:numId w:val="20"/>
        </w:numPr>
        <w:spacing w:before="0" w:line="480" w:lineRule="auto"/>
        <w:ind w:left="284" w:hanging="284"/>
        <w:rPr>
          <w:sz w:val="22"/>
          <w:szCs w:val="22"/>
        </w:rPr>
      </w:pPr>
      <w:r w:rsidRPr="0016134C">
        <w:rPr>
          <w:b/>
          <w:sz w:val="22"/>
          <w:szCs w:val="22"/>
        </w:rPr>
        <w:lastRenderedPageBreak/>
        <w:t>Introduction</w:t>
      </w:r>
    </w:p>
    <w:p w14:paraId="637DA51D" w14:textId="17154431" w:rsidR="003F26FF" w:rsidRPr="00A9635B" w:rsidRDefault="00F2673F" w:rsidP="003F26FF">
      <w:pPr>
        <w:spacing w:before="0" w:line="480" w:lineRule="auto"/>
        <w:rPr>
          <w:color w:val="auto"/>
          <w:sz w:val="22"/>
          <w:szCs w:val="22"/>
        </w:rPr>
      </w:pPr>
      <w:r w:rsidRPr="00502A4C">
        <w:rPr>
          <w:sz w:val="22"/>
          <w:szCs w:val="22"/>
        </w:rPr>
        <w:t xml:space="preserve">Prostate cancer (PCa) is the second most common cancer in men in </w:t>
      </w:r>
      <w:r>
        <w:rPr>
          <w:sz w:val="22"/>
          <w:szCs w:val="22"/>
        </w:rPr>
        <w:t>the developed world.  Over recent decades PCa incidence and</w:t>
      </w:r>
      <w:r w:rsidR="00165F6A">
        <w:rPr>
          <w:sz w:val="22"/>
          <w:szCs w:val="22"/>
        </w:rPr>
        <w:t xml:space="preserve"> prevalence </w:t>
      </w:r>
      <w:r>
        <w:rPr>
          <w:sz w:val="22"/>
          <w:szCs w:val="22"/>
        </w:rPr>
        <w:t xml:space="preserve">has increased considerably across Europe and in the United States (US) </w:t>
      </w:r>
      <w:r w:rsidRPr="00502A4C">
        <w:rPr>
          <w:sz w:val="22"/>
          <w:szCs w:val="22"/>
        </w:rPr>
        <w:t xml:space="preserve">following </w:t>
      </w:r>
      <w:r>
        <w:rPr>
          <w:sz w:val="22"/>
          <w:szCs w:val="22"/>
        </w:rPr>
        <w:t xml:space="preserve">introduction of </w:t>
      </w:r>
      <w:r w:rsidRPr="00AF2AA6">
        <w:rPr>
          <w:sz w:val="22"/>
          <w:szCs w:val="22"/>
        </w:rPr>
        <w:t xml:space="preserve">prostate-specific antigen (PSA) </w:t>
      </w:r>
      <w:r>
        <w:rPr>
          <w:sz w:val="22"/>
          <w:szCs w:val="22"/>
        </w:rPr>
        <w:t>testing</w:t>
      </w:r>
      <w:r w:rsidRPr="00AF2AA6">
        <w:rPr>
          <w:noProof/>
          <w:sz w:val="22"/>
          <w:szCs w:val="22"/>
          <w:vertAlign w:val="superscript"/>
        </w:rPr>
        <w:t>1</w:t>
      </w:r>
      <w:r w:rsidRPr="00502A4C">
        <w:rPr>
          <w:sz w:val="22"/>
          <w:szCs w:val="22"/>
        </w:rPr>
        <w:t>.  The physical symptoms and late effects of the disease and treatments are widely documented, particularly concerning sexual, urinary and bowel function</w:t>
      </w:r>
      <w:r w:rsidRPr="00657AB7">
        <w:rPr>
          <w:noProof/>
          <w:sz w:val="22"/>
          <w:szCs w:val="22"/>
          <w:vertAlign w:val="superscript"/>
        </w:rPr>
        <w:t>2,3</w:t>
      </w:r>
      <w:r w:rsidRPr="00502A4C">
        <w:rPr>
          <w:sz w:val="22"/>
          <w:szCs w:val="22"/>
        </w:rPr>
        <w:t>. Depression and anxiety are recogn</w:t>
      </w:r>
      <w:r>
        <w:rPr>
          <w:sz w:val="22"/>
          <w:szCs w:val="22"/>
        </w:rPr>
        <w:t>i</w:t>
      </w:r>
      <w:r w:rsidR="00304885">
        <w:rPr>
          <w:sz w:val="22"/>
          <w:szCs w:val="22"/>
        </w:rPr>
        <w:t>s</w:t>
      </w:r>
      <w:r>
        <w:rPr>
          <w:sz w:val="22"/>
          <w:szCs w:val="22"/>
        </w:rPr>
        <w:t>e</w:t>
      </w:r>
      <w:r w:rsidRPr="00502A4C">
        <w:rPr>
          <w:sz w:val="22"/>
          <w:szCs w:val="22"/>
        </w:rPr>
        <w:t>d psychological issues</w:t>
      </w:r>
      <w:r w:rsidRPr="00657AB7">
        <w:rPr>
          <w:noProof/>
          <w:sz w:val="22"/>
          <w:szCs w:val="22"/>
          <w:vertAlign w:val="superscript"/>
        </w:rPr>
        <w:t>4</w:t>
      </w:r>
      <w:r w:rsidRPr="00657AB7">
        <w:rPr>
          <w:sz w:val="22"/>
          <w:szCs w:val="22"/>
        </w:rPr>
        <w:t>.</w:t>
      </w:r>
      <w:r w:rsidRPr="00502A4C">
        <w:rPr>
          <w:sz w:val="22"/>
          <w:szCs w:val="22"/>
        </w:rPr>
        <w:t xml:space="preserve">  Less is known about </w:t>
      </w:r>
      <w:r>
        <w:rPr>
          <w:sz w:val="22"/>
          <w:szCs w:val="22"/>
        </w:rPr>
        <w:t xml:space="preserve">the social impact of PCa diagnosis and treatment on everyday life, </w:t>
      </w:r>
      <w:r w:rsidRPr="00502A4C">
        <w:rPr>
          <w:sz w:val="22"/>
          <w:szCs w:val="22"/>
        </w:rPr>
        <w:t>at home, at work, financially and recreationally</w:t>
      </w:r>
      <w:r w:rsidRPr="00657AB7">
        <w:rPr>
          <w:noProof/>
          <w:sz w:val="22"/>
          <w:szCs w:val="22"/>
          <w:vertAlign w:val="superscript"/>
        </w:rPr>
        <w:t>5</w:t>
      </w:r>
      <w:r w:rsidRPr="00502A4C">
        <w:rPr>
          <w:sz w:val="22"/>
          <w:szCs w:val="22"/>
        </w:rPr>
        <w:t xml:space="preserve">. </w:t>
      </w:r>
      <w:r w:rsidR="003F26FF" w:rsidRPr="00A9635B">
        <w:rPr>
          <w:color w:val="auto"/>
          <w:sz w:val="22"/>
          <w:szCs w:val="22"/>
        </w:rPr>
        <w:t xml:space="preserve">As cancer patients </w:t>
      </w:r>
      <w:r w:rsidR="00732056" w:rsidRPr="00A9635B">
        <w:rPr>
          <w:color w:val="auto"/>
          <w:sz w:val="22"/>
          <w:szCs w:val="22"/>
        </w:rPr>
        <w:t>surviving</w:t>
      </w:r>
      <w:r w:rsidR="006F3003" w:rsidRPr="00A9635B">
        <w:rPr>
          <w:color w:val="auto"/>
          <w:sz w:val="22"/>
          <w:szCs w:val="22"/>
        </w:rPr>
        <w:t xml:space="preserve"> longer</w:t>
      </w:r>
      <w:r w:rsidR="00732056" w:rsidRPr="00A9635B">
        <w:rPr>
          <w:color w:val="auto"/>
          <w:sz w:val="22"/>
          <w:szCs w:val="22"/>
        </w:rPr>
        <w:t>,</w:t>
      </w:r>
      <w:r w:rsidR="006F3003" w:rsidRPr="00A9635B">
        <w:rPr>
          <w:color w:val="auto"/>
          <w:sz w:val="22"/>
          <w:szCs w:val="22"/>
        </w:rPr>
        <w:t xml:space="preserve"> they </w:t>
      </w:r>
      <w:r w:rsidR="00D11C61" w:rsidRPr="00A9635B">
        <w:rPr>
          <w:color w:val="auto"/>
          <w:sz w:val="22"/>
          <w:szCs w:val="22"/>
        </w:rPr>
        <w:t>must be</w:t>
      </w:r>
      <w:r w:rsidR="003F26FF" w:rsidRPr="00A9635B">
        <w:rPr>
          <w:color w:val="auto"/>
          <w:sz w:val="22"/>
          <w:szCs w:val="22"/>
        </w:rPr>
        <w:t xml:space="preserve"> supported to maximise their rehabilitat</w:t>
      </w:r>
      <w:r w:rsidR="00732056" w:rsidRPr="00A9635B">
        <w:rPr>
          <w:color w:val="auto"/>
          <w:sz w:val="22"/>
          <w:szCs w:val="22"/>
        </w:rPr>
        <w:t>ion</w:t>
      </w:r>
      <w:r w:rsidR="00D644AD" w:rsidRPr="00A9635B">
        <w:rPr>
          <w:color w:val="auto"/>
          <w:sz w:val="22"/>
          <w:szCs w:val="22"/>
          <w:vertAlign w:val="superscript"/>
        </w:rPr>
        <w:t>6</w:t>
      </w:r>
      <w:r w:rsidR="003F26FF" w:rsidRPr="00A9635B">
        <w:rPr>
          <w:color w:val="auto"/>
          <w:sz w:val="22"/>
          <w:szCs w:val="22"/>
        </w:rPr>
        <w:t xml:space="preserve">. </w:t>
      </w:r>
    </w:p>
    <w:p w14:paraId="6093A289" w14:textId="77777777" w:rsidR="00B41CE3" w:rsidRPr="00A13987" w:rsidRDefault="00B41CE3" w:rsidP="003F26FF">
      <w:pPr>
        <w:spacing w:before="0" w:line="480" w:lineRule="auto"/>
        <w:rPr>
          <w:i/>
          <w:sz w:val="22"/>
          <w:szCs w:val="22"/>
        </w:rPr>
      </w:pPr>
    </w:p>
    <w:p w14:paraId="5B7E7514" w14:textId="75F66679" w:rsidR="00C05A25" w:rsidRPr="00C05A25" w:rsidRDefault="00F2673F" w:rsidP="00C05A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480" w:lineRule="auto"/>
        <w:rPr>
          <w:rFonts w:eastAsiaTheme="minorHAnsi"/>
          <w:color w:val="FF0000"/>
          <w:sz w:val="22"/>
          <w:szCs w:val="22"/>
          <w:lang w:eastAsia="en-US"/>
        </w:rPr>
      </w:pPr>
      <w:r w:rsidRPr="00C05A25">
        <w:rPr>
          <w:sz w:val="22"/>
          <w:szCs w:val="22"/>
        </w:rPr>
        <w:t xml:space="preserve">In the United Kingdom (UK), large scale Patient Reported Outcome Measure (PROM) surveys linked with clinical data have been recommended to examine the scale of </w:t>
      </w:r>
      <w:r w:rsidR="000C5DAB">
        <w:rPr>
          <w:sz w:val="22"/>
          <w:szCs w:val="22"/>
        </w:rPr>
        <w:t xml:space="preserve">psychosocial </w:t>
      </w:r>
      <w:r w:rsidRPr="00C05A25">
        <w:rPr>
          <w:sz w:val="22"/>
          <w:szCs w:val="22"/>
        </w:rPr>
        <w:t>issues faced by cancer survivors and to inform delivery of clinical care, service planning and policy decision making</w:t>
      </w:r>
      <w:r w:rsidR="00D644AD">
        <w:rPr>
          <w:noProof/>
          <w:sz w:val="22"/>
          <w:szCs w:val="22"/>
          <w:vertAlign w:val="superscript"/>
        </w:rPr>
        <w:t>7,8</w:t>
      </w:r>
      <w:r w:rsidRPr="00C05A25">
        <w:rPr>
          <w:sz w:val="22"/>
          <w:szCs w:val="22"/>
        </w:rPr>
        <w:t xml:space="preserve">.   An English national survey of colorectal cancer survivors allowed for complex predictive analyses of social distress using the Social Difficulties Inventory, </w:t>
      </w:r>
      <w:r w:rsidR="00912B36" w:rsidRPr="00C05A25">
        <w:rPr>
          <w:sz w:val="22"/>
          <w:szCs w:val="22"/>
        </w:rPr>
        <w:t>(</w:t>
      </w:r>
      <w:r w:rsidRPr="00C05A25">
        <w:rPr>
          <w:sz w:val="22"/>
          <w:szCs w:val="22"/>
        </w:rPr>
        <w:t>SDI-21</w:t>
      </w:r>
      <w:r w:rsidR="00912B36" w:rsidRPr="00C05A25">
        <w:rPr>
          <w:sz w:val="22"/>
          <w:szCs w:val="22"/>
        </w:rPr>
        <w:t>)</w:t>
      </w:r>
      <w:r w:rsidR="00D644AD">
        <w:rPr>
          <w:noProof/>
          <w:sz w:val="22"/>
          <w:szCs w:val="22"/>
          <w:vertAlign w:val="superscript"/>
        </w:rPr>
        <w:t>9,10</w:t>
      </w:r>
      <w:r w:rsidRPr="00C05A25">
        <w:rPr>
          <w:sz w:val="22"/>
          <w:szCs w:val="22"/>
        </w:rPr>
        <w:t>, a questionnaire designed to measure everyday social impacts following cancer diagnosis</w:t>
      </w:r>
      <w:r w:rsidRPr="00C05A25">
        <w:rPr>
          <w:noProof/>
          <w:sz w:val="22"/>
          <w:szCs w:val="22"/>
          <w:vertAlign w:val="superscript"/>
        </w:rPr>
        <w:t>1</w:t>
      </w:r>
      <w:r w:rsidR="00627DB3">
        <w:rPr>
          <w:noProof/>
          <w:sz w:val="22"/>
          <w:szCs w:val="22"/>
          <w:vertAlign w:val="superscript"/>
        </w:rPr>
        <w:t>1</w:t>
      </w:r>
      <w:r w:rsidRPr="00A9635B">
        <w:rPr>
          <w:color w:val="auto"/>
          <w:sz w:val="22"/>
          <w:szCs w:val="22"/>
        </w:rPr>
        <w:t xml:space="preserve">.  </w:t>
      </w:r>
      <w:r w:rsidR="00732056" w:rsidRPr="00A9635B">
        <w:rPr>
          <w:color w:val="auto"/>
          <w:sz w:val="22"/>
          <w:szCs w:val="22"/>
        </w:rPr>
        <w:t>Major associations with s</w:t>
      </w:r>
      <w:r w:rsidR="00600FFF" w:rsidRPr="00A9635B">
        <w:rPr>
          <w:color w:val="auto"/>
          <w:sz w:val="22"/>
          <w:szCs w:val="22"/>
        </w:rPr>
        <w:t xml:space="preserve">ocial distress </w:t>
      </w:r>
      <w:r w:rsidR="00732056" w:rsidRPr="00A9635B">
        <w:rPr>
          <w:color w:val="auto"/>
          <w:sz w:val="22"/>
          <w:szCs w:val="22"/>
        </w:rPr>
        <w:t xml:space="preserve">were </w:t>
      </w:r>
      <w:r w:rsidR="00600FFF" w:rsidRPr="00A9635B">
        <w:rPr>
          <w:color w:val="auto"/>
          <w:sz w:val="22"/>
          <w:szCs w:val="22"/>
        </w:rPr>
        <w:t>m</w:t>
      </w:r>
      <w:r w:rsidR="00C05A25" w:rsidRPr="00A9635B">
        <w:rPr>
          <w:color w:val="auto"/>
          <w:sz w:val="22"/>
          <w:szCs w:val="22"/>
        </w:rPr>
        <w:t>ulti-morbidity, unemployment, advanced disease, younger age</w:t>
      </w:r>
      <w:r w:rsidR="00600FFF" w:rsidRPr="00A9635B">
        <w:rPr>
          <w:color w:val="auto"/>
          <w:sz w:val="22"/>
          <w:szCs w:val="22"/>
        </w:rPr>
        <w:t xml:space="preserve"> and</w:t>
      </w:r>
      <w:r w:rsidR="00C05A25" w:rsidRPr="00A9635B">
        <w:rPr>
          <w:color w:val="auto"/>
          <w:sz w:val="22"/>
          <w:szCs w:val="22"/>
        </w:rPr>
        <w:t xml:space="preserve"> living in </w:t>
      </w:r>
      <w:r w:rsidR="00600FFF" w:rsidRPr="00A9635B">
        <w:rPr>
          <w:color w:val="auto"/>
          <w:sz w:val="22"/>
          <w:szCs w:val="22"/>
        </w:rPr>
        <w:t>more deprived areas.</w:t>
      </w:r>
      <w:r w:rsidR="00C05A25" w:rsidRPr="00A9635B">
        <w:rPr>
          <w:color w:val="auto"/>
          <w:sz w:val="22"/>
          <w:szCs w:val="22"/>
        </w:rPr>
        <w:t xml:space="preserve"> </w:t>
      </w:r>
      <w:r w:rsidR="00732056">
        <w:rPr>
          <w:sz w:val="22"/>
          <w:szCs w:val="22"/>
        </w:rPr>
        <w:t>P</w:t>
      </w:r>
      <w:r w:rsidRPr="00C05A25">
        <w:rPr>
          <w:sz w:val="22"/>
          <w:szCs w:val="22"/>
        </w:rPr>
        <w:t xml:space="preserve">ilot surveys have included </w:t>
      </w:r>
      <w:r w:rsidR="00600FFF" w:rsidRPr="00C05A25">
        <w:rPr>
          <w:sz w:val="22"/>
          <w:szCs w:val="22"/>
        </w:rPr>
        <w:t xml:space="preserve">social distress </w:t>
      </w:r>
      <w:r w:rsidRPr="00C05A25">
        <w:rPr>
          <w:sz w:val="22"/>
          <w:szCs w:val="22"/>
        </w:rPr>
        <w:t>assessment but the numbers surveyed precluded detailed multivariable analyses</w:t>
      </w:r>
      <w:r w:rsidRPr="00C05A25">
        <w:rPr>
          <w:noProof/>
          <w:sz w:val="22"/>
          <w:szCs w:val="22"/>
          <w:vertAlign w:val="superscript"/>
        </w:rPr>
        <w:t>1</w:t>
      </w:r>
      <w:r w:rsidR="00627DB3">
        <w:rPr>
          <w:noProof/>
          <w:sz w:val="22"/>
          <w:szCs w:val="22"/>
          <w:vertAlign w:val="superscript"/>
        </w:rPr>
        <w:t>2</w:t>
      </w:r>
      <w:r w:rsidRPr="00C05A25">
        <w:rPr>
          <w:sz w:val="22"/>
          <w:szCs w:val="22"/>
        </w:rPr>
        <w:t xml:space="preserve">. The National </w:t>
      </w:r>
      <w:r w:rsidR="00EC599B" w:rsidRPr="00C05A25">
        <w:rPr>
          <w:sz w:val="22"/>
          <w:szCs w:val="22"/>
        </w:rPr>
        <w:t xml:space="preserve">Health </w:t>
      </w:r>
      <w:r w:rsidRPr="00C05A25">
        <w:rPr>
          <w:sz w:val="22"/>
          <w:szCs w:val="22"/>
        </w:rPr>
        <w:t xml:space="preserve">Service (NHS) </w:t>
      </w:r>
      <w:r w:rsidRPr="00C05A25">
        <w:rPr>
          <w:sz w:val="22"/>
          <w:szCs w:val="22"/>
        </w:rPr>
        <w:lastRenderedPageBreak/>
        <w:t>England pilot of 866 men with PCa</w:t>
      </w:r>
      <w:r w:rsidR="00600FFF">
        <w:rPr>
          <w:sz w:val="22"/>
          <w:szCs w:val="22"/>
        </w:rPr>
        <w:t>,</w:t>
      </w:r>
      <w:r w:rsidRPr="00C05A25">
        <w:rPr>
          <w:sz w:val="22"/>
          <w:szCs w:val="22"/>
        </w:rPr>
        <w:t xml:space="preserve"> one to five years post diagnosis</w:t>
      </w:r>
      <w:r w:rsidR="00600FFF">
        <w:rPr>
          <w:sz w:val="22"/>
          <w:szCs w:val="22"/>
        </w:rPr>
        <w:t>,</w:t>
      </w:r>
      <w:r w:rsidRPr="00C05A25">
        <w:rPr>
          <w:sz w:val="22"/>
          <w:szCs w:val="22"/>
        </w:rPr>
        <w:t xml:space="preserve"> demonstrated a trend for men with PCa to be less socially distressed than patients from other tumour groups</w:t>
      </w:r>
      <w:r w:rsidRPr="00C05A25">
        <w:rPr>
          <w:noProof/>
          <w:sz w:val="22"/>
          <w:szCs w:val="22"/>
          <w:vertAlign w:val="superscript"/>
        </w:rPr>
        <w:t>1</w:t>
      </w:r>
      <w:r w:rsidR="00627DB3">
        <w:rPr>
          <w:noProof/>
          <w:sz w:val="22"/>
          <w:szCs w:val="22"/>
          <w:vertAlign w:val="superscript"/>
        </w:rPr>
        <w:t>2</w:t>
      </w:r>
      <w:r w:rsidRPr="00C05A25">
        <w:rPr>
          <w:sz w:val="22"/>
          <w:szCs w:val="22"/>
        </w:rPr>
        <w:t xml:space="preserve">. </w:t>
      </w:r>
    </w:p>
    <w:p w14:paraId="5C8866E0" w14:textId="77777777" w:rsidR="00F2673F" w:rsidRPr="009E7B6A" w:rsidRDefault="00F2673F" w:rsidP="0051054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480" w:lineRule="auto"/>
        <w:rPr>
          <w:rFonts w:eastAsiaTheme="minorHAnsi"/>
          <w:color w:val="auto"/>
          <w:sz w:val="22"/>
          <w:szCs w:val="22"/>
          <w:lang w:eastAsia="en-US"/>
        </w:rPr>
      </w:pPr>
    </w:p>
    <w:p w14:paraId="570E388D" w14:textId="7CBD96FA" w:rsidR="00F2673F" w:rsidRPr="006F3003" w:rsidRDefault="003F26FF" w:rsidP="00AE22F4">
      <w:pPr>
        <w:spacing w:before="0" w:line="480" w:lineRule="auto"/>
        <w:rPr>
          <w:i/>
          <w:color w:val="FF0000"/>
          <w:sz w:val="22"/>
          <w:szCs w:val="22"/>
        </w:rPr>
      </w:pPr>
      <w:r w:rsidRPr="009E7B6A">
        <w:rPr>
          <w:sz w:val="22"/>
          <w:szCs w:val="22"/>
        </w:rPr>
        <w:t xml:space="preserve">Ideally, screening programs integrated into routine care might identify men who would benefit from psychosocial support or rehabilitation. </w:t>
      </w:r>
      <w:r w:rsidR="00600FFF" w:rsidRPr="00A9635B">
        <w:rPr>
          <w:color w:val="auto"/>
          <w:sz w:val="22"/>
          <w:szCs w:val="22"/>
        </w:rPr>
        <w:t>T</w:t>
      </w:r>
      <w:r w:rsidRPr="00A9635B">
        <w:rPr>
          <w:color w:val="auto"/>
          <w:sz w:val="22"/>
          <w:szCs w:val="22"/>
        </w:rPr>
        <w:t xml:space="preserve">he </w:t>
      </w:r>
      <w:r w:rsidR="00600FFF" w:rsidRPr="00A9635B">
        <w:rPr>
          <w:color w:val="auto"/>
          <w:sz w:val="22"/>
          <w:szCs w:val="22"/>
        </w:rPr>
        <w:t xml:space="preserve">UK </w:t>
      </w:r>
      <w:r w:rsidR="00EC75F8" w:rsidRPr="00A9635B">
        <w:rPr>
          <w:color w:val="auto"/>
          <w:sz w:val="22"/>
          <w:szCs w:val="22"/>
        </w:rPr>
        <w:t xml:space="preserve">National Cancer Survivorship Initiative </w:t>
      </w:r>
      <w:r w:rsidR="00600FFF" w:rsidRPr="00A9635B">
        <w:rPr>
          <w:color w:val="auto"/>
          <w:sz w:val="22"/>
          <w:szCs w:val="22"/>
        </w:rPr>
        <w:t>promoted</w:t>
      </w:r>
      <w:r w:rsidR="00EC75F8" w:rsidRPr="00A9635B">
        <w:rPr>
          <w:color w:val="auto"/>
          <w:sz w:val="22"/>
          <w:szCs w:val="22"/>
        </w:rPr>
        <w:t xml:space="preserve"> including social assessment as part of</w:t>
      </w:r>
      <w:r w:rsidRPr="00A9635B">
        <w:rPr>
          <w:color w:val="auto"/>
          <w:sz w:val="22"/>
          <w:szCs w:val="22"/>
        </w:rPr>
        <w:t xml:space="preserve"> </w:t>
      </w:r>
      <w:r w:rsidR="00EC75F8" w:rsidRPr="00A9635B">
        <w:rPr>
          <w:color w:val="auto"/>
          <w:sz w:val="22"/>
          <w:szCs w:val="22"/>
        </w:rPr>
        <w:t>comprehensive programmes of supportive care</w:t>
      </w:r>
      <w:r w:rsidR="00D8054A" w:rsidRPr="00A9635B">
        <w:rPr>
          <w:color w:val="auto"/>
          <w:sz w:val="22"/>
          <w:szCs w:val="22"/>
          <w:vertAlign w:val="superscript"/>
        </w:rPr>
        <w:t>8</w:t>
      </w:r>
      <w:r w:rsidR="00EC75F8" w:rsidRPr="00A9635B">
        <w:rPr>
          <w:color w:val="auto"/>
          <w:sz w:val="22"/>
          <w:szCs w:val="22"/>
        </w:rPr>
        <w:t xml:space="preserve">. </w:t>
      </w:r>
      <w:r w:rsidR="00F2673F" w:rsidRPr="00A9635B">
        <w:rPr>
          <w:color w:val="auto"/>
          <w:sz w:val="22"/>
          <w:szCs w:val="22"/>
        </w:rPr>
        <w:t>I</w:t>
      </w:r>
      <w:r w:rsidR="00F2673F" w:rsidRPr="009E7B6A">
        <w:rPr>
          <w:sz w:val="22"/>
          <w:szCs w:val="22"/>
        </w:rPr>
        <w:t>n the United States</w:t>
      </w:r>
      <w:r w:rsidR="00912B36">
        <w:rPr>
          <w:sz w:val="22"/>
          <w:szCs w:val="22"/>
        </w:rPr>
        <w:t>,</w:t>
      </w:r>
      <w:r w:rsidR="00F2673F" w:rsidRPr="009E7B6A">
        <w:rPr>
          <w:sz w:val="22"/>
          <w:szCs w:val="22"/>
        </w:rPr>
        <w:t xml:space="preserve"> a taskforce examine</w:t>
      </w:r>
      <w:r w:rsidR="00600FFF">
        <w:rPr>
          <w:sz w:val="22"/>
          <w:szCs w:val="22"/>
        </w:rPr>
        <w:t>d</w:t>
      </w:r>
      <w:r w:rsidR="00F2673F" w:rsidRPr="009E7B6A">
        <w:rPr>
          <w:sz w:val="22"/>
          <w:szCs w:val="22"/>
        </w:rPr>
        <w:t xml:space="preserve"> evidence and ma</w:t>
      </w:r>
      <w:r w:rsidR="00600FFF">
        <w:rPr>
          <w:sz w:val="22"/>
          <w:szCs w:val="22"/>
        </w:rPr>
        <w:t>d</w:t>
      </w:r>
      <w:r w:rsidR="00F2673F" w:rsidRPr="009E7B6A">
        <w:rPr>
          <w:sz w:val="22"/>
          <w:szCs w:val="22"/>
        </w:rPr>
        <w:t>e recommendations regarding cancer rehabilitation to meet the needs of cancer survivors</w:t>
      </w:r>
      <w:r w:rsidR="00F2673F" w:rsidRPr="009E7B6A">
        <w:rPr>
          <w:noProof/>
          <w:sz w:val="22"/>
          <w:szCs w:val="22"/>
          <w:vertAlign w:val="superscript"/>
        </w:rPr>
        <w:t>13</w:t>
      </w:r>
      <w:r w:rsidR="00F2673F" w:rsidRPr="009E7B6A">
        <w:rPr>
          <w:sz w:val="22"/>
          <w:szCs w:val="22"/>
        </w:rPr>
        <w:t>. One barrier</w:t>
      </w:r>
      <w:r w:rsidR="00F2673F">
        <w:rPr>
          <w:sz w:val="22"/>
          <w:szCs w:val="22"/>
        </w:rPr>
        <w:t xml:space="preserve"> identified</w:t>
      </w:r>
      <w:r w:rsidR="00F2673F" w:rsidRPr="009E7B6A">
        <w:rPr>
          <w:sz w:val="22"/>
          <w:szCs w:val="22"/>
        </w:rPr>
        <w:t xml:space="preserve"> to integrating rehabilitation into oncology care was a lack of PROMs for assessment within the social domain (e.g. communication, employment, community and social participation).  In Canada, the </w:t>
      </w:r>
      <w:r w:rsidR="00F2673F" w:rsidRPr="009E7B6A">
        <w:rPr>
          <w:rFonts w:eastAsiaTheme="minorHAnsi"/>
          <w:color w:val="auto"/>
          <w:sz w:val="22"/>
          <w:szCs w:val="22"/>
          <w:lang w:eastAsia="en-US"/>
        </w:rPr>
        <w:t>Distress Assessment and Response Tool (DART) program</w:t>
      </w:r>
      <w:r w:rsidR="00F2673F" w:rsidRPr="009E7B6A">
        <w:rPr>
          <w:sz w:val="22"/>
          <w:szCs w:val="22"/>
        </w:rPr>
        <w:t xml:space="preserve"> has overcome many challenges faced in routine distress screening, including choice of assessment tools</w:t>
      </w:r>
      <w:r w:rsidR="00F2673F" w:rsidRPr="009E7B6A">
        <w:rPr>
          <w:noProof/>
          <w:sz w:val="22"/>
          <w:szCs w:val="22"/>
          <w:vertAlign w:val="superscript"/>
        </w:rPr>
        <w:t>14</w:t>
      </w:r>
      <w:r w:rsidR="00F2673F" w:rsidRPr="009E7B6A">
        <w:rPr>
          <w:sz w:val="22"/>
          <w:szCs w:val="22"/>
        </w:rPr>
        <w:t xml:space="preserve">. </w:t>
      </w:r>
      <w:r w:rsidR="00600FFF" w:rsidRPr="009E7B6A">
        <w:rPr>
          <w:sz w:val="22"/>
          <w:szCs w:val="22"/>
        </w:rPr>
        <w:t xml:space="preserve">DART </w:t>
      </w:r>
      <w:r w:rsidR="00600FFF">
        <w:rPr>
          <w:sz w:val="22"/>
          <w:szCs w:val="22"/>
        </w:rPr>
        <w:t xml:space="preserve">includes the </w:t>
      </w:r>
      <w:r w:rsidR="00F2673F" w:rsidRPr="009E7B6A">
        <w:rPr>
          <w:sz w:val="22"/>
          <w:szCs w:val="22"/>
        </w:rPr>
        <w:t xml:space="preserve">SDI-21 </w:t>
      </w:r>
      <w:r w:rsidR="00600FFF">
        <w:rPr>
          <w:sz w:val="22"/>
          <w:szCs w:val="22"/>
        </w:rPr>
        <w:t xml:space="preserve">which covers </w:t>
      </w:r>
      <w:r w:rsidR="00F2673F" w:rsidRPr="009E7B6A">
        <w:rPr>
          <w:sz w:val="22"/>
          <w:szCs w:val="22"/>
        </w:rPr>
        <w:t xml:space="preserve">the </w:t>
      </w:r>
      <w:r w:rsidR="00382500" w:rsidRPr="009E7B6A">
        <w:rPr>
          <w:sz w:val="22"/>
          <w:szCs w:val="22"/>
        </w:rPr>
        <w:t xml:space="preserve">social domain </w:t>
      </w:r>
      <w:r w:rsidR="00F2673F" w:rsidRPr="009E7B6A">
        <w:rPr>
          <w:sz w:val="22"/>
          <w:szCs w:val="22"/>
        </w:rPr>
        <w:t>issues outlined above</w:t>
      </w:r>
      <w:r w:rsidR="00382500">
        <w:rPr>
          <w:sz w:val="22"/>
          <w:szCs w:val="22"/>
        </w:rPr>
        <w:t>,</w:t>
      </w:r>
      <w:r w:rsidR="00F2673F" w:rsidRPr="009E7B6A">
        <w:rPr>
          <w:sz w:val="22"/>
          <w:szCs w:val="22"/>
        </w:rPr>
        <w:t xml:space="preserve"> and has demonstrated usefulness by being a key indicator of </w:t>
      </w:r>
      <w:r w:rsidR="00F2673F" w:rsidRPr="009E7B6A">
        <w:rPr>
          <w:rFonts w:eastAsia="Times New Roman"/>
          <w:color w:val="auto"/>
          <w:sz w:val="22"/>
          <w:szCs w:val="22"/>
        </w:rPr>
        <w:t>suicidal ideation and intention</w:t>
      </w:r>
      <w:r w:rsidR="00F2673F" w:rsidRPr="009E7B6A">
        <w:rPr>
          <w:rFonts w:eastAsia="Times New Roman"/>
          <w:noProof/>
          <w:color w:val="auto"/>
          <w:sz w:val="22"/>
          <w:szCs w:val="22"/>
          <w:vertAlign w:val="superscript"/>
        </w:rPr>
        <w:t>15</w:t>
      </w:r>
      <w:r w:rsidR="00F2673F" w:rsidRPr="009E7B6A">
        <w:rPr>
          <w:rFonts w:eastAsia="Times New Roman"/>
          <w:color w:val="auto"/>
          <w:sz w:val="22"/>
          <w:szCs w:val="22"/>
        </w:rPr>
        <w:t xml:space="preserve">.  </w:t>
      </w:r>
      <w:r w:rsidR="00F2673F" w:rsidRPr="009E7B6A">
        <w:rPr>
          <w:sz w:val="22"/>
          <w:szCs w:val="22"/>
        </w:rPr>
        <w:t>However, many cancer care services may be unable to introduce routine psychosocial and rehabilitation screening due to practical and financial challenges.  Identifying ‘at risk’ patients using known factors associated with social distress may be a more realistic option for many clinicians</w:t>
      </w:r>
      <w:r w:rsidR="00F2673F">
        <w:rPr>
          <w:sz w:val="22"/>
          <w:szCs w:val="22"/>
        </w:rPr>
        <w:t xml:space="preserve">. </w:t>
      </w:r>
      <w:r w:rsidR="00600FFF">
        <w:rPr>
          <w:sz w:val="22"/>
          <w:szCs w:val="22"/>
        </w:rPr>
        <w:t xml:space="preserve"> </w:t>
      </w:r>
      <w:r w:rsidR="00F2673F" w:rsidRPr="009E7B6A">
        <w:rPr>
          <w:sz w:val="22"/>
          <w:szCs w:val="22"/>
        </w:rPr>
        <w:t xml:space="preserve">As </w:t>
      </w:r>
      <w:r w:rsidR="00F2673F">
        <w:rPr>
          <w:sz w:val="22"/>
          <w:szCs w:val="22"/>
        </w:rPr>
        <w:t>PCa</w:t>
      </w:r>
      <w:r w:rsidR="00F2673F" w:rsidRPr="009E7B6A">
        <w:rPr>
          <w:sz w:val="22"/>
          <w:szCs w:val="22"/>
        </w:rPr>
        <w:t xml:space="preserve"> is </w:t>
      </w:r>
      <w:r w:rsidR="00F2673F">
        <w:rPr>
          <w:sz w:val="22"/>
          <w:szCs w:val="22"/>
        </w:rPr>
        <w:t xml:space="preserve">one of the most common cancers with which </w:t>
      </w:r>
      <w:r w:rsidR="00F2673F" w:rsidRPr="009E7B6A">
        <w:rPr>
          <w:sz w:val="22"/>
          <w:szCs w:val="22"/>
        </w:rPr>
        <w:t xml:space="preserve">men may live for many years following diagnosis, </w:t>
      </w:r>
      <w:r w:rsidR="00F2673F">
        <w:rPr>
          <w:sz w:val="22"/>
          <w:szCs w:val="22"/>
        </w:rPr>
        <w:t>early identification of</w:t>
      </w:r>
      <w:r w:rsidR="00F2673F" w:rsidRPr="009E7B6A">
        <w:rPr>
          <w:sz w:val="22"/>
          <w:szCs w:val="22"/>
        </w:rPr>
        <w:t xml:space="preserve"> men who may benefit from support and rehabilitation must be</w:t>
      </w:r>
      <w:r w:rsidR="00732056">
        <w:rPr>
          <w:sz w:val="22"/>
          <w:szCs w:val="22"/>
        </w:rPr>
        <w:t>come</w:t>
      </w:r>
      <w:r w:rsidR="00F2673F">
        <w:rPr>
          <w:sz w:val="22"/>
          <w:szCs w:val="22"/>
        </w:rPr>
        <w:t xml:space="preserve"> a </w:t>
      </w:r>
      <w:r w:rsidR="00F2673F" w:rsidRPr="009E7B6A">
        <w:rPr>
          <w:sz w:val="22"/>
          <w:szCs w:val="22"/>
        </w:rPr>
        <w:t>key</w:t>
      </w:r>
      <w:r w:rsidR="00F2673F">
        <w:rPr>
          <w:sz w:val="22"/>
          <w:szCs w:val="22"/>
        </w:rPr>
        <w:t xml:space="preserve"> component of</w:t>
      </w:r>
      <w:r w:rsidR="00F2673F" w:rsidRPr="009E7B6A">
        <w:rPr>
          <w:sz w:val="22"/>
          <w:szCs w:val="22"/>
        </w:rPr>
        <w:t xml:space="preserve"> follow-up care.  </w:t>
      </w:r>
    </w:p>
    <w:p w14:paraId="579C60D9" w14:textId="77777777" w:rsidR="00F2673F" w:rsidRDefault="00F2673F" w:rsidP="0051054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480" w:lineRule="auto"/>
        <w:rPr>
          <w:sz w:val="22"/>
          <w:szCs w:val="22"/>
        </w:rPr>
      </w:pPr>
    </w:p>
    <w:p w14:paraId="253C46B1" w14:textId="16EDB0C8" w:rsidR="00F2673F" w:rsidRPr="009E7B6A" w:rsidRDefault="00F2673F" w:rsidP="0051054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480" w:lineRule="auto"/>
        <w:rPr>
          <w:sz w:val="22"/>
          <w:szCs w:val="22"/>
        </w:rPr>
      </w:pPr>
      <w:r w:rsidRPr="009E7B6A">
        <w:rPr>
          <w:sz w:val="22"/>
          <w:szCs w:val="22"/>
        </w:rPr>
        <w:lastRenderedPageBreak/>
        <w:t>The Life After P</w:t>
      </w:r>
      <w:r w:rsidR="008D74EB">
        <w:rPr>
          <w:sz w:val="22"/>
          <w:szCs w:val="22"/>
        </w:rPr>
        <w:t xml:space="preserve">rostate </w:t>
      </w:r>
      <w:r w:rsidRPr="009E7B6A">
        <w:rPr>
          <w:sz w:val="22"/>
          <w:szCs w:val="22"/>
        </w:rPr>
        <w:t>Ca</w:t>
      </w:r>
      <w:r w:rsidR="008D74EB">
        <w:rPr>
          <w:sz w:val="22"/>
          <w:szCs w:val="22"/>
        </w:rPr>
        <w:t>ncer</w:t>
      </w:r>
      <w:r w:rsidRPr="009E7B6A">
        <w:rPr>
          <w:sz w:val="22"/>
          <w:szCs w:val="22"/>
        </w:rPr>
        <w:t xml:space="preserve"> Diagnosis (LAPCD) study is a large UK-wide evaluation of quality of life (QoL) in men diagnosed with PCa</w:t>
      </w:r>
      <w:r w:rsidRPr="009E7B6A">
        <w:rPr>
          <w:noProof/>
          <w:sz w:val="22"/>
          <w:szCs w:val="22"/>
          <w:vertAlign w:val="superscript"/>
        </w:rPr>
        <w:t>16</w:t>
      </w:r>
      <w:r w:rsidRPr="009E7B6A">
        <w:rPr>
          <w:sz w:val="22"/>
          <w:szCs w:val="22"/>
        </w:rPr>
        <w:t xml:space="preserve">.  The aim </w:t>
      </w:r>
      <w:r>
        <w:rPr>
          <w:sz w:val="22"/>
          <w:szCs w:val="22"/>
        </w:rPr>
        <w:t xml:space="preserve">of this sub-study </w:t>
      </w:r>
      <w:r w:rsidRPr="009E7B6A">
        <w:rPr>
          <w:sz w:val="22"/>
          <w:szCs w:val="22"/>
        </w:rPr>
        <w:t>is to util</w:t>
      </w:r>
      <w:r>
        <w:rPr>
          <w:sz w:val="22"/>
          <w:szCs w:val="22"/>
        </w:rPr>
        <w:t>i</w:t>
      </w:r>
      <w:r w:rsidR="00304885">
        <w:rPr>
          <w:sz w:val="22"/>
          <w:szCs w:val="22"/>
        </w:rPr>
        <w:t>s</w:t>
      </w:r>
      <w:r>
        <w:rPr>
          <w:sz w:val="22"/>
          <w:szCs w:val="22"/>
        </w:rPr>
        <w:t>e</w:t>
      </w:r>
      <w:r w:rsidRPr="009E7B6A">
        <w:rPr>
          <w:sz w:val="22"/>
          <w:szCs w:val="22"/>
        </w:rPr>
        <w:t xml:space="preserve"> LAPCD data to identify key factors associated with social distress in men with PCa, thus </w:t>
      </w:r>
      <w:r w:rsidR="00B41CE3" w:rsidRPr="009135DB">
        <w:rPr>
          <w:color w:val="auto"/>
          <w:sz w:val="22"/>
          <w:szCs w:val="22"/>
        </w:rPr>
        <w:t xml:space="preserve">informing clinical practice and </w:t>
      </w:r>
      <w:r w:rsidRPr="009E7B6A">
        <w:rPr>
          <w:sz w:val="22"/>
          <w:szCs w:val="22"/>
        </w:rPr>
        <w:t xml:space="preserve">enabling </w:t>
      </w:r>
      <w:r>
        <w:rPr>
          <w:sz w:val="22"/>
          <w:szCs w:val="22"/>
        </w:rPr>
        <w:t xml:space="preserve">prompt </w:t>
      </w:r>
      <w:r w:rsidRPr="009E7B6A">
        <w:rPr>
          <w:sz w:val="22"/>
          <w:szCs w:val="22"/>
        </w:rPr>
        <w:t>recognition of the most vulnerable men likely requiring support to optimi</w:t>
      </w:r>
      <w:r w:rsidR="00304885">
        <w:rPr>
          <w:sz w:val="22"/>
          <w:szCs w:val="22"/>
        </w:rPr>
        <w:t>s</w:t>
      </w:r>
      <w:r w:rsidRPr="009E7B6A">
        <w:rPr>
          <w:sz w:val="22"/>
          <w:szCs w:val="22"/>
        </w:rPr>
        <w:t xml:space="preserve">e their quality of survival. </w:t>
      </w:r>
    </w:p>
    <w:p w14:paraId="1470B052" w14:textId="77777777" w:rsidR="00F2673F" w:rsidRPr="009E7B6A" w:rsidRDefault="00F2673F" w:rsidP="00510544">
      <w:pPr>
        <w:spacing w:before="0" w:line="480" w:lineRule="auto"/>
        <w:rPr>
          <w:rFonts w:eastAsia="Times New Roman"/>
          <w:sz w:val="22"/>
          <w:szCs w:val="22"/>
        </w:rPr>
      </w:pPr>
    </w:p>
    <w:p w14:paraId="42290039" w14:textId="77777777" w:rsidR="00F2673F" w:rsidRPr="009E7B6A"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b/>
          <w:sz w:val="22"/>
          <w:szCs w:val="22"/>
        </w:rPr>
      </w:pPr>
      <w:r w:rsidRPr="009E7B6A">
        <w:rPr>
          <w:b/>
          <w:sz w:val="22"/>
          <w:szCs w:val="22"/>
        </w:rPr>
        <w:br w:type="page"/>
      </w:r>
    </w:p>
    <w:p w14:paraId="39FA5AA8" w14:textId="57ED7087" w:rsidR="00F2673F" w:rsidRPr="00381998" w:rsidRDefault="0000336E" w:rsidP="00381998">
      <w:pPr>
        <w:pStyle w:val="ListParagraph"/>
        <w:numPr>
          <w:ilvl w:val="0"/>
          <w:numId w:val="20"/>
        </w:numPr>
        <w:spacing w:before="0" w:line="480" w:lineRule="auto"/>
        <w:ind w:left="284" w:hanging="284"/>
        <w:rPr>
          <w:b/>
          <w:sz w:val="22"/>
          <w:szCs w:val="22"/>
        </w:rPr>
      </w:pPr>
      <w:r w:rsidRPr="00381998">
        <w:rPr>
          <w:b/>
          <w:sz w:val="22"/>
          <w:szCs w:val="22"/>
        </w:rPr>
        <w:lastRenderedPageBreak/>
        <w:t>Material and methods</w:t>
      </w:r>
    </w:p>
    <w:p w14:paraId="5474B19A" w14:textId="42BDC7B0" w:rsidR="00F2673F" w:rsidRPr="009E7B6A" w:rsidRDefault="00381998" w:rsidP="00510544">
      <w:pPr>
        <w:spacing w:before="0" w:line="480" w:lineRule="auto"/>
        <w:rPr>
          <w:b/>
          <w:i/>
          <w:sz w:val="22"/>
          <w:szCs w:val="22"/>
        </w:rPr>
      </w:pPr>
      <w:r>
        <w:rPr>
          <w:b/>
          <w:i/>
          <w:sz w:val="22"/>
          <w:szCs w:val="22"/>
        </w:rPr>
        <w:t xml:space="preserve">2.1 </w:t>
      </w:r>
      <w:r w:rsidR="00F2673F" w:rsidRPr="009E7B6A">
        <w:rPr>
          <w:b/>
          <w:i/>
          <w:sz w:val="22"/>
          <w:szCs w:val="22"/>
        </w:rPr>
        <w:t>Study design</w:t>
      </w:r>
    </w:p>
    <w:p w14:paraId="1BCE413B" w14:textId="4B2351B4" w:rsidR="00F2673F" w:rsidRPr="00BC63CD" w:rsidRDefault="00F2673F" w:rsidP="00C165AE">
      <w:pPr>
        <w:spacing w:before="0" w:line="480" w:lineRule="auto"/>
        <w:rPr>
          <w:sz w:val="22"/>
          <w:szCs w:val="22"/>
        </w:rPr>
      </w:pPr>
      <w:r w:rsidRPr="009E7B6A">
        <w:rPr>
          <w:sz w:val="22"/>
          <w:szCs w:val="22"/>
        </w:rPr>
        <w:t>The LAPCD study design has been detailed previously</w:t>
      </w:r>
      <w:r w:rsidRPr="009E7B6A">
        <w:rPr>
          <w:noProof/>
          <w:sz w:val="22"/>
          <w:szCs w:val="22"/>
          <w:vertAlign w:val="superscript"/>
        </w:rPr>
        <w:t>16</w:t>
      </w:r>
      <w:r w:rsidRPr="009E7B6A">
        <w:rPr>
          <w:sz w:val="22"/>
          <w:szCs w:val="22"/>
        </w:rPr>
        <w:t xml:space="preserve">. In brief, men with PCa between 18 and 42 months post diagnosis identified through national cancer registration systems in England, Wales and NI, and through hospital activity data in Scotland, were eligible to participate. They were invited to participate by their diagnosing cancer centre. Two reminders were sent to non-responders. The survey was run between </w:t>
      </w:r>
      <w:r w:rsidRPr="00CC5C07">
        <w:rPr>
          <w:rFonts w:eastAsiaTheme="minorHAnsi"/>
          <w:color w:val="222222"/>
          <w:sz w:val="22"/>
          <w:szCs w:val="22"/>
          <w:lang w:eastAsia="en-US"/>
        </w:rPr>
        <w:t>October 2015 and N</w:t>
      </w:r>
      <w:r w:rsidR="001C4245">
        <w:rPr>
          <w:rFonts w:eastAsiaTheme="minorHAnsi"/>
          <w:color w:val="222222"/>
          <w:sz w:val="22"/>
          <w:szCs w:val="22"/>
          <w:lang w:eastAsia="en-US"/>
        </w:rPr>
        <w:t>ovember 2016</w:t>
      </w:r>
      <w:r w:rsidR="001663B2">
        <w:rPr>
          <w:rFonts w:eastAsiaTheme="minorHAnsi"/>
          <w:color w:val="222222"/>
          <w:sz w:val="22"/>
          <w:szCs w:val="22"/>
          <w:lang w:eastAsia="en-US"/>
        </w:rPr>
        <w:t xml:space="preserve">. </w:t>
      </w:r>
      <w:r w:rsidR="001C4245">
        <w:rPr>
          <w:rFonts w:eastAsiaTheme="minorHAnsi"/>
          <w:color w:val="222222"/>
          <w:sz w:val="22"/>
          <w:szCs w:val="22"/>
          <w:lang w:eastAsia="en-US"/>
        </w:rPr>
        <w:t xml:space="preserve"> </w:t>
      </w:r>
      <w:r w:rsidR="001663B2">
        <w:rPr>
          <w:sz w:val="22"/>
          <w:szCs w:val="22"/>
        </w:rPr>
        <w:t xml:space="preserve">Ethical </w:t>
      </w:r>
      <w:r w:rsidR="00C165AE" w:rsidRPr="00A511EC">
        <w:rPr>
          <w:sz w:val="22"/>
          <w:szCs w:val="22"/>
        </w:rPr>
        <w:t xml:space="preserve">approval </w:t>
      </w:r>
      <w:r w:rsidR="001663B2">
        <w:rPr>
          <w:sz w:val="22"/>
          <w:szCs w:val="22"/>
        </w:rPr>
        <w:t>was provided by</w:t>
      </w:r>
      <w:r w:rsidR="00C165AE" w:rsidRPr="00A511EC">
        <w:rPr>
          <w:sz w:val="22"/>
          <w:szCs w:val="22"/>
        </w:rPr>
        <w:t>: Newcastle &amp; North Tyneside 1 Research Ethics Committee (15/NE/0036), Confidentiality Advisory Group (15/CAG/0110), NHS Scotland Public Benefit and Privacy Panel (0516-0364), and NHS R&amp;D approval from Wales, Scotland and Northern Ireland.  </w:t>
      </w:r>
      <w:r w:rsidR="00C165AE">
        <w:rPr>
          <w:sz w:val="22"/>
          <w:szCs w:val="22"/>
        </w:rPr>
        <w:t xml:space="preserve">Informed consent was accepted as given on return of </w:t>
      </w:r>
      <w:r w:rsidR="00C165AE" w:rsidRPr="00A511EC">
        <w:rPr>
          <w:sz w:val="22"/>
          <w:szCs w:val="22"/>
        </w:rPr>
        <w:t>a completed s</w:t>
      </w:r>
      <w:r w:rsidR="00C165AE">
        <w:rPr>
          <w:sz w:val="22"/>
          <w:szCs w:val="22"/>
        </w:rPr>
        <w:t>urvey.</w:t>
      </w:r>
    </w:p>
    <w:p w14:paraId="52A93792" w14:textId="77777777" w:rsidR="00BC63CD" w:rsidRDefault="00BC63CD" w:rsidP="00510544">
      <w:pPr>
        <w:spacing w:before="0" w:line="480" w:lineRule="auto"/>
        <w:rPr>
          <w:b/>
          <w:i/>
          <w:sz w:val="22"/>
          <w:szCs w:val="22"/>
        </w:rPr>
      </w:pPr>
    </w:p>
    <w:p w14:paraId="40C5AC4A" w14:textId="02CB9B37" w:rsidR="00F2673F" w:rsidRPr="009E7B6A" w:rsidRDefault="00381998" w:rsidP="00510544">
      <w:pPr>
        <w:spacing w:before="0" w:line="480" w:lineRule="auto"/>
        <w:rPr>
          <w:b/>
          <w:i/>
          <w:sz w:val="22"/>
          <w:szCs w:val="22"/>
        </w:rPr>
      </w:pPr>
      <w:r>
        <w:rPr>
          <w:b/>
          <w:i/>
          <w:sz w:val="22"/>
          <w:szCs w:val="22"/>
        </w:rPr>
        <w:t xml:space="preserve">2.2 </w:t>
      </w:r>
      <w:r w:rsidR="00F2673F" w:rsidRPr="009E7B6A">
        <w:rPr>
          <w:b/>
          <w:i/>
          <w:sz w:val="22"/>
          <w:szCs w:val="22"/>
        </w:rPr>
        <w:t>Main outcome and measures</w:t>
      </w:r>
    </w:p>
    <w:p w14:paraId="7A6F5AF6" w14:textId="456E7472" w:rsidR="00F2673F" w:rsidRDefault="00F2673F" w:rsidP="00510544">
      <w:pPr>
        <w:spacing w:before="0" w:line="480" w:lineRule="auto"/>
        <w:rPr>
          <w:sz w:val="22"/>
          <w:szCs w:val="22"/>
        </w:rPr>
      </w:pPr>
      <w:r w:rsidRPr="009E7B6A">
        <w:rPr>
          <w:sz w:val="22"/>
          <w:szCs w:val="22"/>
        </w:rPr>
        <w:t>The survey comprised validated PROMs covering generic and PCa specific domains alongside psychological and social outcomes. Participants were asked to provide information about their cancer diagnosis and treatment in addition to a number of sociodemographic questions</w:t>
      </w:r>
      <w:r w:rsidR="00382500">
        <w:rPr>
          <w:sz w:val="22"/>
          <w:szCs w:val="22"/>
        </w:rPr>
        <w:t xml:space="preserve">. For full survey content </w:t>
      </w:r>
      <w:r w:rsidRPr="009E7B6A">
        <w:rPr>
          <w:sz w:val="22"/>
          <w:szCs w:val="22"/>
        </w:rPr>
        <w:t xml:space="preserve">see </w:t>
      </w:r>
      <w:r w:rsidR="00BF19B6">
        <w:rPr>
          <w:sz w:val="22"/>
          <w:szCs w:val="22"/>
        </w:rPr>
        <w:t>supplementary</w:t>
      </w:r>
      <w:r w:rsidRPr="009E7B6A">
        <w:rPr>
          <w:sz w:val="22"/>
          <w:szCs w:val="22"/>
        </w:rPr>
        <w:t xml:space="preserve"> file 01. </w:t>
      </w:r>
    </w:p>
    <w:p w14:paraId="7EE22508" w14:textId="77777777" w:rsidR="00B41CE3" w:rsidRPr="009E7B6A" w:rsidRDefault="00B41CE3" w:rsidP="00510544">
      <w:pPr>
        <w:spacing w:before="0" w:line="480" w:lineRule="auto"/>
        <w:rPr>
          <w:sz w:val="22"/>
          <w:szCs w:val="22"/>
        </w:rPr>
      </w:pPr>
    </w:p>
    <w:p w14:paraId="1D018588" w14:textId="72DCD5B7" w:rsidR="00F2673F" w:rsidRPr="00E07DE6" w:rsidRDefault="00381998" w:rsidP="00510544">
      <w:pPr>
        <w:spacing w:before="0" w:line="480" w:lineRule="auto"/>
        <w:rPr>
          <w:sz w:val="22"/>
          <w:szCs w:val="22"/>
          <w:u w:val="single"/>
        </w:rPr>
      </w:pPr>
      <w:r>
        <w:rPr>
          <w:sz w:val="22"/>
          <w:szCs w:val="22"/>
          <w:u w:val="single"/>
        </w:rPr>
        <w:t xml:space="preserve">2.2.1 </w:t>
      </w:r>
      <w:r w:rsidR="00F2673F" w:rsidRPr="00E07DE6">
        <w:rPr>
          <w:sz w:val="22"/>
          <w:szCs w:val="22"/>
          <w:u w:val="single"/>
        </w:rPr>
        <w:t>The Social Difficulties Inventory (SDI-21)</w:t>
      </w:r>
    </w:p>
    <w:p w14:paraId="5E6C771D" w14:textId="2732EB2E" w:rsidR="00F2673F" w:rsidRDefault="00F2673F" w:rsidP="008E1813">
      <w:pPr>
        <w:pStyle w:val="PlainText"/>
        <w:spacing w:line="480" w:lineRule="auto"/>
        <w:rPr>
          <w:rFonts w:ascii="Arial" w:hAnsi="Arial"/>
          <w:sz w:val="22"/>
          <w:szCs w:val="22"/>
        </w:rPr>
      </w:pPr>
      <w:r w:rsidRPr="008E1813">
        <w:rPr>
          <w:rFonts w:ascii="Arial" w:hAnsi="Arial"/>
          <w:sz w:val="22"/>
          <w:szCs w:val="22"/>
        </w:rPr>
        <w:lastRenderedPageBreak/>
        <w:t xml:space="preserve">The main outcome of social distress was measured using the </w:t>
      </w:r>
      <w:r w:rsidR="006F3003">
        <w:rPr>
          <w:rFonts w:ascii="Arial" w:hAnsi="Arial"/>
          <w:sz w:val="22"/>
          <w:szCs w:val="22"/>
        </w:rPr>
        <w:t>SDI-21</w:t>
      </w:r>
      <w:r w:rsidRPr="008E1813">
        <w:rPr>
          <w:rFonts w:ascii="Arial" w:hAnsi="Arial"/>
          <w:sz w:val="22"/>
          <w:szCs w:val="22"/>
        </w:rPr>
        <w:t>, developed specifically for cancer patient assessment</w:t>
      </w:r>
      <w:r w:rsidRPr="008E1813">
        <w:rPr>
          <w:rFonts w:ascii="Arial" w:hAnsi="Arial"/>
          <w:noProof/>
          <w:sz w:val="22"/>
          <w:szCs w:val="22"/>
          <w:vertAlign w:val="superscript"/>
        </w:rPr>
        <w:t>1</w:t>
      </w:r>
      <w:r w:rsidR="00D8054A">
        <w:rPr>
          <w:rFonts w:ascii="Arial" w:hAnsi="Arial"/>
          <w:noProof/>
          <w:sz w:val="22"/>
          <w:szCs w:val="22"/>
          <w:vertAlign w:val="superscript"/>
        </w:rPr>
        <w:t>1</w:t>
      </w:r>
      <w:r w:rsidRPr="008E1813">
        <w:rPr>
          <w:rFonts w:ascii="Arial" w:hAnsi="Arial"/>
          <w:sz w:val="22"/>
          <w:szCs w:val="22"/>
        </w:rPr>
        <w:t>. The SDI-21 has been positively reviewed</w:t>
      </w:r>
      <w:r w:rsidRPr="008E1813">
        <w:rPr>
          <w:rFonts w:ascii="Arial" w:hAnsi="Arial"/>
          <w:noProof/>
          <w:sz w:val="22"/>
          <w:szCs w:val="22"/>
          <w:vertAlign w:val="superscript"/>
        </w:rPr>
        <w:t>17</w:t>
      </w:r>
      <w:r w:rsidRPr="008E1813">
        <w:rPr>
          <w:rFonts w:ascii="Arial" w:hAnsi="Arial"/>
          <w:sz w:val="22"/>
          <w:szCs w:val="22"/>
        </w:rPr>
        <w:t xml:space="preserve"> and used in a number of previous national surveys</w:t>
      </w:r>
      <w:r w:rsidRPr="008E1813">
        <w:rPr>
          <w:rFonts w:ascii="Arial" w:hAnsi="Arial"/>
          <w:noProof/>
          <w:sz w:val="22"/>
          <w:szCs w:val="22"/>
          <w:vertAlign w:val="superscript"/>
        </w:rPr>
        <w:t>1</w:t>
      </w:r>
      <w:r w:rsidR="00533549">
        <w:rPr>
          <w:rFonts w:ascii="Arial" w:hAnsi="Arial"/>
          <w:noProof/>
          <w:sz w:val="22"/>
          <w:szCs w:val="22"/>
          <w:vertAlign w:val="superscript"/>
        </w:rPr>
        <w:t>0</w:t>
      </w:r>
      <w:r w:rsidRPr="008E1813">
        <w:rPr>
          <w:rFonts w:ascii="Arial" w:hAnsi="Arial"/>
          <w:noProof/>
          <w:sz w:val="22"/>
          <w:szCs w:val="22"/>
          <w:vertAlign w:val="superscript"/>
        </w:rPr>
        <w:t>,1</w:t>
      </w:r>
      <w:r w:rsidR="00533549">
        <w:rPr>
          <w:rFonts w:ascii="Arial" w:hAnsi="Arial"/>
          <w:noProof/>
          <w:sz w:val="22"/>
          <w:szCs w:val="22"/>
          <w:vertAlign w:val="superscript"/>
        </w:rPr>
        <w:t>2</w:t>
      </w:r>
      <w:r w:rsidRPr="008E1813">
        <w:rPr>
          <w:rFonts w:ascii="Arial" w:hAnsi="Arial"/>
          <w:sz w:val="22"/>
          <w:szCs w:val="22"/>
        </w:rPr>
        <w:t>. The 21 item</w:t>
      </w:r>
      <w:r w:rsidR="006F3003">
        <w:rPr>
          <w:rFonts w:ascii="Arial" w:hAnsi="Arial"/>
          <w:sz w:val="22"/>
          <w:szCs w:val="22"/>
        </w:rPr>
        <w:t xml:space="preserve">s have four response options (0 – no difficulty through to 3 – </w:t>
      </w:r>
      <w:r w:rsidRPr="008E1813">
        <w:rPr>
          <w:rFonts w:ascii="Arial" w:hAnsi="Arial"/>
          <w:sz w:val="22"/>
          <w:szCs w:val="22"/>
        </w:rPr>
        <w:t>very much difficulty).</w:t>
      </w:r>
      <w:r w:rsidRPr="008E1813">
        <w:rPr>
          <w:rFonts w:ascii="Arial" w:eastAsia="Arial Unicode MS" w:hAnsi="Arial"/>
          <w:sz w:val="22"/>
          <w:szCs w:val="22"/>
        </w:rPr>
        <w:t xml:space="preserve"> Sixteen items form a scale named </w:t>
      </w:r>
      <w:r w:rsidRPr="008E1813">
        <w:rPr>
          <w:rFonts w:ascii="Arial" w:eastAsia="Arial Unicode MS" w:hAnsi="Arial"/>
          <w:i/>
          <w:sz w:val="22"/>
          <w:szCs w:val="22"/>
        </w:rPr>
        <w:t>Social Distress</w:t>
      </w:r>
      <w:r w:rsidRPr="008E1813">
        <w:rPr>
          <w:rFonts w:ascii="Arial" w:eastAsia="Arial Unicode MS" w:hAnsi="Arial"/>
          <w:sz w:val="22"/>
          <w:szCs w:val="22"/>
        </w:rPr>
        <w:t xml:space="preserve"> (SD-16) with a range of scores of 0-44 with a cut-point indicating </w:t>
      </w:r>
      <w:r w:rsidR="008E1813" w:rsidRPr="008E1813">
        <w:rPr>
          <w:rFonts w:ascii="Arial" w:eastAsia="Arial Unicode MS" w:hAnsi="Arial"/>
          <w:sz w:val="22"/>
          <w:szCs w:val="22"/>
        </w:rPr>
        <w:t xml:space="preserve">“meaningful </w:t>
      </w:r>
      <w:r w:rsidR="008E1813" w:rsidRPr="008E1813">
        <w:rPr>
          <w:rFonts w:ascii="Arial" w:eastAsia="Arial Unicode MS" w:hAnsi="Arial"/>
          <w:i/>
          <w:sz w:val="22"/>
          <w:szCs w:val="22"/>
        </w:rPr>
        <w:t>Social Distress</w:t>
      </w:r>
      <w:r w:rsidR="008E1813" w:rsidRPr="008E1813">
        <w:rPr>
          <w:rFonts w:ascii="Arial" w:eastAsia="Arial Unicode MS" w:hAnsi="Arial"/>
          <w:sz w:val="22"/>
          <w:szCs w:val="22"/>
        </w:rPr>
        <w:t xml:space="preserve"> of ≥10</w:t>
      </w:r>
      <w:r w:rsidR="008E1813" w:rsidRPr="00FB7B82">
        <w:rPr>
          <w:rFonts w:ascii="Arial" w:hAnsi="Arial"/>
          <w:b/>
          <w:i/>
          <w:noProof/>
          <w:color w:val="FF0000"/>
          <w:sz w:val="22"/>
          <w:szCs w:val="22"/>
        </w:rPr>
        <w:t xml:space="preserve"> </w:t>
      </w:r>
      <w:r w:rsidR="008E1813" w:rsidRPr="00A9635B">
        <w:rPr>
          <w:rFonts w:ascii="Arial" w:hAnsi="Arial"/>
          <w:noProof/>
          <w:color w:val="auto"/>
          <w:sz w:val="22"/>
          <w:szCs w:val="22"/>
        </w:rPr>
        <w:t xml:space="preserve">(derived </w:t>
      </w:r>
      <w:r w:rsidR="006F3003" w:rsidRPr="00A9635B">
        <w:rPr>
          <w:rFonts w:ascii="Arial" w:hAnsi="Arial"/>
          <w:noProof/>
          <w:color w:val="auto"/>
          <w:sz w:val="22"/>
          <w:szCs w:val="22"/>
        </w:rPr>
        <w:t xml:space="preserve">following social worker </w:t>
      </w:r>
      <w:r w:rsidR="005D7881" w:rsidRPr="00A9635B">
        <w:rPr>
          <w:rFonts w:ascii="Arial" w:hAnsi="Arial"/>
          <w:noProof/>
          <w:color w:val="auto"/>
          <w:sz w:val="22"/>
          <w:szCs w:val="22"/>
        </w:rPr>
        <w:t>assessment</w:t>
      </w:r>
      <w:r w:rsidR="006F3003" w:rsidRPr="00A9635B">
        <w:rPr>
          <w:rFonts w:ascii="Arial" w:hAnsi="Arial"/>
          <w:noProof/>
          <w:color w:val="auto"/>
          <w:sz w:val="22"/>
          <w:szCs w:val="22"/>
        </w:rPr>
        <w:t>)</w:t>
      </w:r>
      <w:r w:rsidR="008E1813" w:rsidRPr="00A9635B">
        <w:rPr>
          <w:rFonts w:ascii="Arial" w:hAnsi="Arial"/>
          <w:noProof/>
          <w:color w:val="auto"/>
          <w:sz w:val="22"/>
          <w:szCs w:val="22"/>
          <w:vertAlign w:val="superscript"/>
        </w:rPr>
        <w:t>18</w:t>
      </w:r>
      <w:r w:rsidR="008E1813" w:rsidRPr="00A9635B">
        <w:rPr>
          <w:rFonts w:ascii="Arial" w:hAnsi="Arial"/>
          <w:color w:val="auto"/>
          <w:sz w:val="22"/>
          <w:szCs w:val="22"/>
        </w:rPr>
        <w:t xml:space="preserve">.” </w:t>
      </w:r>
      <w:r w:rsidRPr="008E1813">
        <w:rPr>
          <w:rFonts w:ascii="Arial" w:hAnsi="Arial"/>
          <w:sz w:val="22"/>
          <w:szCs w:val="22"/>
        </w:rPr>
        <w:t>Men were categori</w:t>
      </w:r>
      <w:r w:rsidR="00304885" w:rsidRPr="008E1813">
        <w:rPr>
          <w:rFonts w:ascii="Arial" w:hAnsi="Arial"/>
          <w:sz w:val="22"/>
          <w:szCs w:val="22"/>
        </w:rPr>
        <w:t>s</w:t>
      </w:r>
      <w:r w:rsidRPr="008E1813">
        <w:rPr>
          <w:rFonts w:ascii="Arial" w:hAnsi="Arial"/>
          <w:sz w:val="22"/>
          <w:szCs w:val="22"/>
        </w:rPr>
        <w:t>ed into one of two groups (</w:t>
      </w:r>
      <w:r w:rsidRPr="008E1813">
        <w:rPr>
          <w:rFonts w:ascii="Arial" w:eastAsia="Arial Unicode MS" w:hAnsi="Arial"/>
          <w:i/>
          <w:sz w:val="22"/>
          <w:szCs w:val="22"/>
        </w:rPr>
        <w:t xml:space="preserve">socially distressed/not socially distressed) </w:t>
      </w:r>
      <w:r w:rsidRPr="008E1813">
        <w:rPr>
          <w:rFonts w:ascii="Arial" w:eastAsia="Arial Unicode MS" w:hAnsi="Arial"/>
          <w:sz w:val="22"/>
          <w:szCs w:val="22"/>
        </w:rPr>
        <w:t xml:space="preserve">based on this cut-point. </w:t>
      </w:r>
      <w:r w:rsidRPr="008E1813">
        <w:rPr>
          <w:rFonts w:ascii="Arial" w:hAnsi="Arial"/>
          <w:sz w:val="22"/>
          <w:szCs w:val="22"/>
        </w:rPr>
        <w:t xml:space="preserve">Within the SD-16 there are three subscales: </w:t>
      </w:r>
      <w:r w:rsidRPr="008E1813">
        <w:rPr>
          <w:rFonts w:ascii="Arial" w:hAnsi="Arial"/>
          <w:i/>
          <w:sz w:val="22"/>
          <w:szCs w:val="22"/>
        </w:rPr>
        <w:t>Everyday Living</w:t>
      </w:r>
      <w:r w:rsidRPr="008E1813">
        <w:rPr>
          <w:rFonts w:ascii="Arial" w:hAnsi="Arial"/>
          <w:sz w:val="22"/>
          <w:szCs w:val="22"/>
        </w:rPr>
        <w:t xml:space="preserve"> (6 items), </w:t>
      </w:r>
      <w:r w:rsidRPr="008E1813">
        <w:rPr>
          <w:rFonts w:ascii="Arial" w:hAnsi="Arial"/>
          <w:i/>
          <w:sz w:val="22"/>
          <w:szCs w:val="22"/>
        </w:rPr>
        <w:t>Money Matters</w:t>
      </w:r>
      <w:r w:rsidRPr="008E1813">
        <w:rPr>
          <w:rFonts w:ascii="Arial" w:hAnsi="Arial"/>
          <w:sz w:val="22"/>
          <w:szCs w:val="22"/>
        </w:rPr>
        <w:t xml:space="preserve"> (5 items) and </w:t>
      </w:r>
      <w:r w:rsidRPr="008E1813">
        <w:rPr>
          <w:rFonts w:ascii="Arial" w:hAnsi="Arial"/>
          <w:i/>
          <w:sz w:val="22"/>
          <w:szCs w:val="22"/>
        </w:rPr>
        <w:t>Self and Others</w:t>
      </w:r>
      <w:r w:rsidRPr="008E1813">
        <w:rPr>
          <w:rFonts w:ascii="Arial" w:hAnsi="Arial"/>
          <w:sz w:val="22"/>
          <w:szCs w:val="22"/>
        </w:rPr>
        <w:t xml:space="preserve"> </w:t>
      </w:r>
      <w:r w:rsidR="00A13987">
        <w:rPr>
          <w:rFonts w:ascii="Arial" w:hAnsi="Arial"/>
          <w:sz w:val="22"/>
          <w:szCs w:val="22"/>
        </w:rPr>
        <w:t>(5 items)</w:t>
      </w:r>
      <w:r w:rsidR="000D1F05" w:rsidRPr="00B958BF">
        <w:rPr>
          <w:rFonts w:ascii="Arial" w:hAnsi="Arial"/>
          <w:noProof/>
          <w:sz w:val="22"/>
          <w:szCs w:val="22"/>
          <w:vertAlign w:val="superscript"/>
        </w:rPr>
        <w:t>19</w:t>
      </w:r>
      <w:r w:rsidR="00A13987">
        <w:rPr>
          <w:rFonts w:ascii="Arial" w:hAnsi="Arial"/>
          <w:sz w:val="22"/>
          <w:szCs w:val="22"/>
        </w:rPr>
        <w:t xml:space="preserve">. </w:t>
      </w:r>
      <w:r w:rsidRPr="00B958BF">
        <w:rPr>
          <w:rFonts w:ascii="Arial" w:hAnsi="Arial"/>
          <w:sz w:val="22"/>
          <w:szCs w:val="22"/>
        </w:rPr>
        <w:t>There are five single items</w:t>
      </w:r>
      <w:r w:rsidR="00A13987">
        <w:rPr>
          <w:rFonts w:ascii="Arial" w:hAnsi="Arial"/>
          <w:sz w:val="22"/>
          <w:szCs w:val="22"/>
        </w:rPr>
        <w:t>,</w:t>
      </w:r>
      <w:r w:rsidRPr="00B958BF">
        <w:rPr>
          <w:rFonts w:ascii="Arial" w:hAnsi="Arial"/>
          <w:sz w:val="22"/>
          <w:szCs w:val="22"/>
        </w:rPr>
        <w:t xml:space="preserve"> of which two were included in the LAPCD survey (Plans to have a family and Holidays). Three single items (Sexual matters, Where you live, Other) were omitted with permission of the originators (PW, PS) to avoid item duplication within other included scales and to reduce participant burden. The items are numbered 31-48 in </w:t>
      </w:r>
      <w:r w:rsidR="00BF19B6" w:rsidRPr="00B958BF">
        <w:rPr>
          <w:rFonts w:ascii="Arial" w:hAnsi="Arial"/>
          <w:sz w:val="22"/>
          <w:szCs w:val="22"/>
        </w:rPr>
        <w:t>supplementary</w:t>
      </w:r>
      <w:r w:rsidRPr="00B958BF">
        <w:rPr>
          <w:rFonts w:ascii="Arial" w:hAnsi="Arial"/>
          <w:sz w:val="22"/>
          <w:szCs w:val="22"/>
        </w:rPr>
        <w:t xml:space="preserve"> file 01.</w:t>
      </w:r>
    </w:p>
    <w:p w14:paraId="44B397BF" w14:textId="77777777" w:rsidR="00B41CE3" w:rsidRPr="00B958BF" w:rsidRDefault="00B41CE3" w:rsidP="008E1813">
      <w:pPr>
        <w:pStyle w:val="PlainText"/>
        <w:spacing w:line="480" w:lineRule="auto"/>
        <w:rPr>
          <w:rFonts w:ascii="Arial" w:hAnsi="Arial"/>
          <w:sz w:val="22"/>
          <w:szCs w:val="22"/>
        </w:rPr>
      </w:pPr>
    </w:p>
    <w:p w14:paraId="02228308" w14:textId="6F7567F1" w:rsidR="00F2673F" w:rsidRPr="00177972" w:rsidRDefault="00381998" w:rsidP="00177972">
      <w:pPr>
        <w:spacing w:before="0" w:line="480" w:lineRule="auto"/>
        <w:rPr>
          <w:sz w:val="22"/>
          <w:szCs w:val="22"/>
          <w:u w:val="single"/>
        </w:rPr>
      </w:pPr>
      <w:r w:rsidRPr="00177972">
        <w:rPr>
          <w:sz w:val="22"/>
          <w:szCs w:val="22"/>
          <w:u w:val="single"/>
        </w:rPr>
        <w:t xml:space="preserve">2.2.2 </w:t>
      </w:r>
      <w:r w:rsidR="00F2673F" w:rsidRPr="00177972">
        <w:rPr>
          <w:sz w:val="22"/>
          <w:szCs w:val="22"/>
          <w:u w:val="single"/>
        </w:rPr>
        <w:t xml:space="preserve">Clinical and sociodemographic variables. </w:t>
      </w:r>
    </w:p>
    <w:p w14:paraId="0109882D" w14:textId="38D14D55" w:rsidR="00F2673F" w:rsidRPr="00B41CE3" w:rsidRDefault="00F2673F" w:rsidP="00B41CE3">
      <w:pPr>
        <w:pStyle w:val="PlainText"/>
        <w:spacing w:line="480" w:lineRule="auto"/>
        <w:rPr>
          <w:rFonts w:ascii="Arial" w:hAnsi="Arial"/>
          <w:sz w:val="22"/>
          <w:szCs w:val="22"/>
        </w:rPr>
      </w:pPr>
      <w:r w:rsidRPr="00177972">
        <w:rPr>
          <w:rFonts w:ascii="Arial" w:hAnsi="Arial"/>
          <w:sz w:val="22"/>
          <w:szCs w:val="22"/>
        </w:rPr>
        <w:t xml:space="preserve">Cancer stage grouping (I-IV) at time of diagnosis was provided from national population-based cancer registries.  A measure of area-based socio-economic deprivation was derived from postcodes of residence using </w:t>
      </w:r>
      <w:r w:rsidR="00856B40" w:rsidRPr="00177972">
        <w:rPr>
          <w:rFonts w:ascii="Arial" w:hAnsi="Arial"/>
          <w:sz w:val="22"/>
          <w:szCs w:val="22"/>
        </w:rPr>
        <w:t xml:space="preserve">Index of Multiple Deprivation </w:t>
      </w:r>
      <w:r w:rsidRPr="00177972">
        <w:rPr>
          <w:rFonts w:ascii="Arial" w:hAnsi="Arial"/>
          <w:sz w:val="22"/>
          <w:szCs w:val="22"/>
        </w:rPr>
        <w:t>(IMD)</w:t>
      </w:r>
      <w:r w:rsidRPr="00177972">
        <w:rPr>
          <w:rFonts w:ascii="Arial" w:hAnsi="Arial"/>
          <w:noProof/>
          <w:sz w:val="22"/>
          <w:szCs w:val="22"/>
          <w:vertAlign w:val="superscript"/>
        </w:rPr>
        <w:t>2</w:t>
      </w:r>
      <w:r w:rsidR="000D1F05" w:rsidRPr="00177972">
        <w:rPr>
          <w:rFonts w:ascii="Arial" w:hAnsi="Arial"/>
          <w:noProof/>
          <w:sz w:val="22"/>
          <w:szCs w:val="22"/>
          <w:vertAlign w:val="superscript"/>
        </w:rPr>
        <w:t>0</w:t>
      </w:r>
      <w:r w:rsidRPr="00177972">
        <w:rPr>
          <w:rFonts w:ascii="Arial" w:hAnsi="Arial"/>
          <w:noProof/>
          <w:sz w:val="22"/>
          <w:szCs w:val="22"/>
          <w:vertAlign w:val="superscript"/>
        </w:rPr>
        <w:t>-2</w:t>
      </w:r>
      <w:r w:rsidR="000D1F05" w:rsidRPr="00177972">
        <w:rPr>
          <w:rFonts w:ascii="Arial" w:hAnsi="Arial"/>
          <w:noProof/>
          <w:sz w:val="22"/>
          <w:szCs w:val="22"/>
          <w:vertAlign w:val="superscript"/>
        </w:rPr>
        <w:t>3</w:t>
      </w:r>
      <w:r w:rsidRPr="00177972">
        <w:rPr>
          <w:rFonts w:ascii="Arial" w:hAnsi="Arial"/>
          <w:sz w:val="22"/>
          <w:szCs w:val="22"/>
        </w:rPr>
        <w:t>. Participant self-reported Long Term Conditions (LTCs</w:t>
      </w:r>
      <w:r w:rsidRPr="00A9635B">
        <w:rPr>
          <w:rFonts w:ascii="Arial" w:hAnsi="Arial"/>
          <w:color w:val="auto"/>
          <w:sz w:val="22"/>
          <w:szCs w:val="22"/>
        </w:rPr>
        <w:t xml:space="preserve">) from a list </w:t>
      </w:r>
      <w:r w:rsidR="00252BFB" w:rsidRPr="00A9635B">
        <w:rPr>
          <w:rFonts w:ascii="Arial" w:hAnsi="Arial"/>
          <w:color w:val="auto"/>
          <w:sz w:val="22"/>
          <w:szCs w:val="22"/>
        </w:rPr>
        <w:t xml:space="preserve">of 14 </w:t>
      </w:r>
      <w:r w:rsidRPr="00A9635B">
        <w:rPr>
          <w:rFonts w:ascii="Arial" w:hAnsi="Arial"/>
          <w:color w:val="auto"/>
          <w:sz w:val="22"/>
          <w:szCs w:val="22"/>
        </w:rPr>
        <w:t>(e.g. diabetes, heart disease)</w:t>
      </w:r>
      <w:r w:rsidR="001E1E02" w:rsidRPr="00A9635B">
        <w:rPr>
          <w:rFonts w:ascii="Arial" w:hAnsi="Arial"/>
          <w:color w:val="auto"/>
          <w:sz w:val="22"/>
          <w:szCs w:val="22"/>
        </w:rPr>
        <w:t xml:space="preserve"> </w:t>
      </w:r>
      <w:r w:rsidR="001E1E02" w:rsidRPr="00A9635B">
        <w:rPr>
          <w:rFonts w:ascii="Arial" w:eastAsia="Times New Roman" w:hAnsi="Arial"/>
          <w:color w:val="auto"/>
          <w:sz w:val="22"/>
          <w:szCs w:val="22"/>
          <w:lang w:val="en-US"/>
        </w:rPr>
        <w:t>(</w:t>
      </w:r>
      <w:r w:rsidR="001E1E02" w:rsidRPr="00A9635B">
        <w:rPr>
          <w:rFonts w:ascii="Arial" w:hAnsi="Arial"/>
          <w:color w:val="auto"/>
          <w:sz w:val="22"/>
          <w:szCs w:val="22"/>
        </w:rPr>
        <w:t>supplementary file 01</w:t>
      </w:r>
      <w:r w:rsidR="008C01C4" w:rsidRPr="00A9635B">
        <w:rPr>
          <w:rFonts w:ascii="Arial" w:hAnsi="Arial"/>
          <w:color w:val="auto"/>
          <w:sz w:val="22"/>
          <w:szCs w:val="22"/>
        </w:rPr>
        <w:t>,</w:t>
      </w:r>
      <w:r w:rsidR="001E1E02" w:rsidRPr="00A9635B">
        <w:rPr>
          <w:rFonts w:ascii="Arial" w:eastAsia="Times New Roman" w:hAnsi="Arial"/>
          <w:color w:val="auto"/>
          <w:sz w:val="22"/>
          <w:szCs w:val="22"/>
          <w:lang w:val="en-US"/>
        </w:rPr>
        <w:t xml:space="preserve"> question 84) were </w:t>
      </w:r>
      <w:r w:rsidR="00A13987" w:rsidRPr="00A9635B">
        <w:rPr>
          <w:rFonts w:ascii="Arial" w:eastAsia="Times New Roman" w:hAnsi="Arial"/>
          <w:color w:val="auto"/>
          <w:sz w:val="22"/>
          <w:szCs w:val="22"/>
          <w:lang w:val="en-US"/>
        </w:rPr>
        <w:t xml:space="preserve"> counted and </w:t>
      </w:r>
      <w:r w:rsidR="001E1E02" w:rsidRPr="00A9635B">
        <w:rPr>
          <w:rFonts w:ascii="Arial" w:eastAsia="Times New Roman" w:hAnsi="Arial"/>
          <w:color w:val="auto"/>
          <w:sz w:val="22"/>
          <w:szCs w:val="22"/>
          <w:lang w:val="en-US"/>
        </w:rPr>
        <w:t xml:space="preserve">categorised as </w:t>
      </w:r>
      <w:r w:rsidR="00FB7B82" w:rsidRPr="00A9635B">
        <w:rPr>
          <w:rFonts w:ascii="Arial" w:eastAsia="Times New Roman" w:hAnsi="Arial"/>
          <w:color w:val="auto"/>
          <w:sz w:val="22"/>
          <w:szCs w:val="22"/>
          <w:lang w:val="en-US"/>
        </w:rPr>
        <w:t xml:space="preserve">0 1, 2,or  ≥3 comorbidities, </w:t>
      </w:r>
      <w:r w:rsidRPr="00177972">
        <w:rPr>
          <w:rFonts w:ascii="Arial" w:hAnsi="Arial"/>
          <w:sz w:val="22"/>
          <w:szCs w:val="22"/>
        </w:rPr>
        <w:t xml:space="preserve">height and </w:t>
      </w:r>
      <w:r w:rsidRPr="00177972">
        <w:rPr>
          <w:rFonts w:ascii="Arial" w:hAnsi="Arial"/>
          <w:sz w:val="22"/>
          <w:szCs w:val="22"/>
        </w:rPr>
        <w:lastRenderedPageBreak/>
        <w:t xml:space="preserve">weight (to generate Body Mass Index (BMI)), ethnicity, marital status, employment status, sexuality, carer status and whether or not in the past they had consulted a health-care professional for problems with emotions or nerves or use of alcohol or drugs (referred to from here on as mental health-related problems). Age at the time of the survey was self-reported, and where missing supplemented by cancer registration records. </w:t>
      </w:r>
      <w:r w:rsidR="00177972" w:rsidRPr="00A9635B">
        <w:rPr>
          <w:rFonts w:ascii="Arial" w:hAnsi="Arial"/>
          <w:color w:val="auto"/>
          <w:sz w:val="22"/>
          <w:szCs w:val="22"/>
        </w:rPr>
        <w:t>Four age groups were generated (</w:t>
      </w:r>
      <w:r w:rsidR="00533549" w:rsidRPr="00A9635B">
        <w:rPr>
          <w:rFonts w:ascii="Arial" w:hAnsi="Arial"/>
          <w:color w:val="auto"/>
          <w:sz w:val="22"/>
          <w:szCs w:val="22"/>
        </w:rPr>
        <w:t xml:space="preserve">years: </w:t>
      </w:r>
      <w:r w:rsidR="00177972" w:rsidRPr="00A9635B">
        <w:rPr>
          <w:rFonts w:ascii="Arial" w:hAnsi="Arial"/>
          <w:color w:val="auto"/>
          <w:sz w:val="22"/>
          <w:szCs w:val="22"/>
        </w:rPr>
        <w:t>&lt; 60, 60-69, 70 – 79, 80+).</w:t>
      </w:r>
      <w:r w:rsidR="00177972" w:rsidRPr="00A9635B">
        <w:rPr>
          <w:rFonts w:ascii="Arial" w:hAnsi="Arial"/>
          <w:b/>
          <w:i/>
          <w:color w:val="auto"/>
          <w:sz w:val="22"/>
          <w:szCs w:val="22"/>
        </w:rPr>
        <w:t xml:space="preserve">  </w:t>
      </w:r>
      <w:r w:rsidRPr="00B41CE3">
        <w:rPr>
          <w:rFonts w:ascii="Arial" w:hAnsi="Arial"/>
          <w:sz w:val="22"/>
          <w:szCs w:val="22"/>
        </w:rPr>
        <w:t>PCa treatments (e.g. surgery, radiotherapy, androgen deprivation therapy (ADT), systemic (chemotherapy</w:t>
      </w:r>
      <w:r w:rsidR="008D74EB" w:rsidRPr="00B41CE3">
        <w:rPr>
          <w:rFonts w:ascii="Arial" w:hAnsi="Arial"/>
          <w:sz w:val="22"/>
          <w:szCs w:val="22"/>
        </w:rPr>
        <w:t xml:space="preserve"> </w:t>
      </w:r>
      <w:r w:rsidRPr="00B41CE3">
        <w:rPr>
          <w:rFonts w:ascii="Arial" w:hAnsi="Arial"/>
          <w:sz w:val="22"/>
          <w:szCs w:val="22"/>
        </w:rPr>
        <w:t>/</w:t>
      </w:r>
      <w:r w:rsidR="008D74EB" w:rsidRPr="00B41CE3">
        <w:rPr>
          <w:rFonts w:ascii="Arial" w:hAnsi="Arial"/>
          <w:sz w:val="22"/>
          <w:szCs w:val="22"/>
        </w:rPr>
        <w:t xml:space="preserve"> </w:t>
      </w:r>
      <w:r w:rsidRPr="00B41CE3">
        <w:rPr>
          <w:rFonts w:ascii="Arial" w:hAnsi="Arial"/>
          <w:sz w:val="22"/>
          <w:szCs w:val="22"/>
        </w:rPr>
        <w:t>Abiraterone</w:t>
      </w:r>
      <w:r w:rsidR="008D74EB" w:rsidRPr="00B41CE3">
        <w:rPr>
          <w:rFonts w:ascii="Arial" w:hAnsi="Arial"/>
          <w:sz w:val="22"/>
          <w:szCs w:val="22"/>
        </w:rPr>
        <w:t xml:space="preserve"> </w:t>
      </w:r>
      <w:r w:rsidRPr="00B41CE3">
        <w:rPr>
          <w:rFonts w:ascii="Arial" w:hAnsi="Arial"/>
          <w:sz w:val="22"/>
          <w:szCs w:val="22"/>
        </w:rPr>
        <w:t>/</w:t>
      </w:r>
      <w:r w:rsidR="008D74EB" w:rsidRPr="00B41CE3">
        <w:rPr>
          <w:rFonts w:ascii="Arial" w:hAnsi="Arial"/>
          <w:sz w:val="22"/>
          <w:szCs w:val="22"/>
        </w:rPr>
        <w:t xml:space="preserve"> </w:t>
      </w:r>
      <w:r w:rsidRPr="00B41CE3">
        <w:rPr>
          <w:rFonts w:ascii="Arial" w:hAnsi="Arial"/>
          <w:sz w:val="22"/>
          <w:szCs w:val="22"/>
        </w:rPr>
        <w:t>Enzalutamide) and monitoring (active surveillance (AS), watchful waiting)) were participant self-reported. Based on these self-reports, several groups of men were excluded from the analyses where their responses indicated they were unsure about the specific treatment type(s) received (</w:t>
      </w:r>
      <w:r w:rsidR="00BF19B6" w:rsidRPr="00B41CE3">
        <w:rPr>
          <w:rFonts w:ascii="Arial" w:hAnsi="Arial"/>
          <w:sz w:val="22"/>
          <w:szCs w:val="22"/>
        </w:rPr>
        <w:t>supplementary</w:t>
      </w:r>
      <w:r w:rsidRPr="00B41CE3">
        <w:rPr>
          <w:rFonts w:ascii="Arial" w:hAnsi="Arial"/>
          <w:sz w:val="22"/>
          <w:szCs w:val="22"/>
        </w:rPr>
        <w:t xml:space="preserve"> file-02).  </w:t>
      </w:r>
    </w:p>
    <w:p w14:paraId="65B9D7A7" w14:textId="77777777" w:rsidR="00F2673F" w:rsidRPr="009E7B6A" w:rsidRDefault="00F2673F" w:rsidP="00510544">
      <w:pPr>
        <w:spacing w:before="0" w:line="480" w:lineRule="auto"/>
        <w:rPr>
          <w:b/>
          <w:i/>
          <w:sz w:val="22"/>
          <w:szCs w:val="22"/>
        </w:rPr>
      </w:pPr>
    </w:p>
    <w:p w14:paraId="25930013" w14:textId="57772E6E" w:rsidR="00F2673F" w:rsidRPr="009E7B6A" w:rsidRDefault="00381998" w:rsidP="00510544">
      <w:pPr>
        <w:spacing w:before="0" w:line="480" w:lineRule="auto"/>
        <w:rPr>
          <w:sz w:val="22"/>
          <w:szCs w:val="22"/>
        </w:rPr>
      </w:pPr>
      <w:r>
        <w:rPr>
          <w:b/>
          <w:i/>
          <w:sz w:val="22"/>
          <w:szCs w:val="22"/>
        </w:rPr>
        <w:t>2.3 Statistical a</w:t>
      </w:r>
      <w:r w:rsidR="00F2673F" w:rsidRPr="009E7B6A">
        <w:rPr>
          <w:b/>
          <w:i/>
          <w:sz w:val="22"/>
          <w:szCs w:val="22"/>
        </w:rPr>
        <w:t>nalys</w:t>
      </w:r>
      <w:r>
        <w:rPr>
          <w:b/>
          <w:i/>
          <w:sz w:val="22"/>
          <w:szCs w:val="22"/>
        </w:rPr>
        <w:t>e</w:t>
      </w:r>
      <w:r w:rsidR="00F2673F" w:rsidRPr="009E7B6A">
        <w:rPr>
          <w:b/>
          <w:i/>
          <w:sz w:val="22"/>
          <w:szCs w:val="22"/>
        </w:rPr>
        <w:t>s</w:t>
      </w:r>
    </w:p>
    <w:p w14:paraId="13769A8B" w14:textId="77777777" w:rsidR="00F2673F" w:rsidRDefault="00F2673F" w:rsidP="00510544">
      <w:pPr>
        <w:spacing w:before="0" w:line="480" w:lineRule="auto"/>
        <w:rPr>
          <w:rFonts w:eastAsia="Arial Unicode MS"/>
          <w:sz w:val="22"/>
          <w:szCs w:val="22"/>
        </w:rPr>
      </w:pPr>
      <w:r w:rsidRPr="009E7B6A">
        <w:rPr>
          <w:sz w:val="22"/>
          <w:szCs w:val="22"/>
        </w:rPr>
        <w:t xml:space="preserve">Analyses were performed using Stata version 15.0 (StataCorp, TX, USA). Missing SDI-21 data were imputed with the mean responses within each SDI-21 subscale if </w:t>
      </w:r>
      <w:r w:rsidRPr="009E7B6A">
        <w:rPr>
          <w:rFonts w:eastAsia="Arial Unicode MS"/>
          <w:sz w:val="22"/>
          <w:szCs w:val="22"/>
        </w:rPr>
        <w:t>≥50% of items on the subscales were complete.</w:t>
      </w:r>
    </w:p>
    <w:p w14:paraId="7CBE30D7" w14:textId="77777777" w:rsidR="00B41CE3" w:rsidRDefault="00B41CE3" w:rsidP="00510544">
      <w:pPr>
        <w:spacing w:before="0" w:line="480" w:lineRule="auto"/>
        <w:rPr>
          <w:rFonts w:eastAsia="Arial Unicode MS"/>
          <w:sz w:val="22"/>
          <w:szCs w:val="22"/>
        </w:rPr>
      </w:pPr>
    </w:p>
    <w:p w14:paraId="48137E78" w14:textId="59E1E44E" w:rsidR="00F2673F" w:rsidRPr="009E7B6A" w:rsidRDefault="00F2673F" w:rsidP="00510544">
      <w:pPr>
        <w:spacing w:before="0" w:line="480" w:lineRule="auto"/>
        <w:rPr>
          <w:sz w:val="22"/>
          <w:szCs w:val="22"/>
        </w:rPr>
      </w:pPr>
      <w:r w:rsidRPr="009E7B6A">
        <w:rPr>
          <w:sz w:val="22"/>
          <w:szCs w:val="22"/>
        </w:rPr>
        <w:t>Descriptive statistics were used to compare the characteristics of responders and non-responders to the SDI-16, SD-16 subscales and the two single items. Chi-square</w:t>
      </w:r>
      <w:r w:rsidRPr="009E7B6A">
        <w:rPr>
          <w:sz w:val="22"/>
          <w:szCs w:val="22"/>
          <w:vertAlign w:val="superscript"/>
        </w:rPr>
        <w:t xml:space="preserve"> </w:t>
      </w:r>
      <w:r w:rsidRPr="009E7B6A">
        <w:rPr>
          <w:sz w:val="22"/>
          <w:szCs w:val="22"/>
        </w:rPr>
        <w:t xml:space="preserve">analyses compared categorical variables. Univariable analyses assessed associations between the sociodemographic and treatment variables described above and social distress. </w:t>
      </w:r>
      <w:r w:rsidR="00B41CE3">
        <w:rPr>
          <w:sz w:val="22"/>
          <w:szCs w:val="22"/>
        </w:rPr>
        <w:t xml:space="preserve"> M</w:t>
      </w:r>
      <w:r w:rsidRPr="009E7B6A">
        <w:rPr>
          <w:rFonts w:eastAsia="Arial Unicode MS"/>
          <w:sz w:val="22"/>
          <w:szCs w:val="22"/>
        </w:rPr>
        <w:t xml:space="preserve">ultivariable logistic regression analyses were performed </w:t>
      </w:r>
      <w:r>
        <w:rPr>
          <w:rFonts w:eastAsia="Arial Unicode MS"/>
          <w:sz w:val="22"/>
          <w:szCs w:val="22"/>
        </w:rPr>
        <w:t xml:space="preserve">to assess associations </w:t>
      </w:r>
      <w:r w:rsidR="00552897" w:rsidRPr="00A9635B">
        <w:rPr>
          <w:rFonts w:eastAsia="Arial Unicode MS"/>
          <w:noProof/>
          <w:color w:val="auto"/>
          <w:sz w:val="22"/>
          <w:szCs w:val="22"/>
        </w:rPr>
        <w:t xml:space="preserve">with the independent sociodemographic and </w:t>
      </w:r>
      <w:r w:rsidR="00552897" w:rsidRPr="00A9635B">
        <w:rPr>
          <w:rFonts w:eastAsia="Arial Unicode MS"/>
          <w:noProof/>
          <w:color w:val="auto"/>
          <w:sz w:val="22"/>
          <w:szCs w:val="22"/>
        </w:rPr>
        <w:lastRenderedPageBreak/>
        <w:t>treatment variables</w:t>
      </w:r>
      <w:r w:rsidR="00552897" w:rsidRPr="00A9635B">
        <w:rPr>
          <w:rFonts w:eastAsia="Arial Unicode MS"/>
          <w:color w:val="auto"/>
          <w:sz w:val="22"/>
          <w:szCs w:val="22"/>
        </w:rPr>
        <w:t xml:space="preserve"> </w:t>
      </w:r>
      <w:r w:rsidR="00552897">
        <w:rPr>
          <w:rFonts w:eastAsia="Arial Unicode MS"/>
          <w:sz w:val="22"/>
          <w:szCs w:val="22"/>
        </w:rPr>
        <w:t>and</w:t>
      </w:r>
      <w:r>
        <w:rPr>
          <w:rFonts w:eastAsia="Arial Unicode MS"/>
          <w:sz w:val="22"/>
          <w:szCs w:val="22"/>
        </w:rPr>
        <w:t xml:space="preserve"> distress according to SD-16</w:t>
      </w:r>
      <w:r w:rsidRPr="009E7B6A">
        <w:rPr>
          <w:rFonts w:eastAsia="Arial Unicode MS"/>
          <w:sz w:val="22"/>
          <w:szCs w:val="22"/>
        </w:rPr>
        <w:t xml:space="preserve"> (binary outcome &lt;10 vs. ≥10) </w:t>
      </w:r>
      <w:r>
        <w:rPr>
          <w:rFonts w:eastAsia="Arial Unicode MS"/>
          <w:sz w:val="22"/>
          <w:szCs w:val="22"/>
        </w:rPr>
        <w:t xml:space="preserve">and each of the </w:t>
      </w:r>
      <w:r w:rsidRPr="009E7B6A">
        <w:rPr>
          <w:rFonts w:eastAsia="Arial Unicode MS"/>
          <w:sz w:val="22"/>
          <w:szCs w:val="22"/>
        </w:rPr>
        <w:t>subscale</w:t>
      </w:r>
      <w:r>
        <w:rPr>
          <w:rFonts w:eastAsia="Arial Unicode MS"/>
          <w:sz w:val="22"/>
          <w:szCs w:val="22"/>
        </w:rPr>
        <w:t>s</w:t>
      </w:r>
      <w:r w:rsidRPr="009E7B6A">
        <w:rPr>
          <w:rFonts w:eastAsia="Arial Unicode MS"/>
          <w:sz w:val="22"/>
          <w:szCs w:val="22"/>
        </w:rPr>
        <w:t xml:space="preserve"> (cut-points for each derived from earlier work: </w:t>
      </w:r>
      <w:r w:rsidRPr="009E7B6A">
        <w:rPr>
          <w:rFonts w:eastAsia="Arial Unicode MS"/>
          <w:i/>
          <w:sz w:val="22"/>
          <w:szCs w:val="22"/>
        </w:rPr>
        <w:t>Everyday Living</w:t>
      </w:r>
      <w:r w:rsidRPr="009E7B6A">
        <w:rPr>
          <w:rFonts w:eastAsia="Arial Unicode MS"/>
          <w:sz w:val="22"/>
          <w:szCs w:val="22"/>
        </w:rPr>
        <w:t xml:space="preserve"> ≥ 5, </w:t>
      </w:r>
      <w:r w:rsidRPr="009E7B6A">
        <w:rPr>
          <w:rFonts w:eastAsia="Arial Unicode MS"/>
          <w:i/>
          <w:sz w:val="22"/>
          <w:szCs w:val="22"/>
        </w:rPr>
        <w:t>Money Matters</w:t>
      </w:r>
      <w:r w:rsidRPr="009E7B6A">
        <w:rPr>
          <w:rFonts w:eastAsia="Arial Unicode MS"/>
          <w:sz w:val="22"/>
          <w:szCs w:val="22"/>
        </w:rPr>
        <w:t xml:space="preserve"> ≥ 2, </w:t>
      </w:r>
      <w:r w:rsidRPr="009E7B6A">
        <w:rPr>
          <w:rFonts w:eastAsia="Arial Unicode MS"/>
          <w:i/>
          <w:sz w:val="22"/>
          <w:szCs w:val="22"/>
        </w:rPr>
        <w:t>Self and Others</w:t>
      </w:r>
      <w:r w:rsidRPr="009E7B6A">
        <w:rPr>
          <w:rFonts w:eastAsia="Arial Unicode MS"/>
          <w:sz w:val="22"/>
          <w:szCs w:val="22"/>
        </w:rPr>
        <w:t xml:space="preserve"> ≥ 3)</w:t>
      </w:r>
      <w:r w:rsidR="00533549">
        <w:rPr>
          <w:rFonts w:eastAsia="Arial Unicode MS"/>
          <w:noProof/>
          <w:sz w:val="22"/>
          <w:szCs w:val="22"/>
          <w:vertAlign w:val="superscript"/>
        </w:rPr>
        <w:t>10</w:t>
      </w:r>
      <w:r w:rsidRPr="00A13987">
        <w:rPr>
          <w:b/>
          <w:i/>
          <w:color w:val="FF0000"/>
          <w:sz w:val="22"/>
          <w:szCs w:val="22"/>
        </w:rPr>
        <w:t>.</w:t>
      </w:r>
      <w:r w:rsidRPr="00615403">
        <w:rPr>
          <w:color w:val="FF0000"/>
          <w:sz w:val="22"/>
          <w:szCs w:val="22"/>
        </w:rPr>
        <w:t xml:space="preserve"> </w:t>
      </w:r>
    </w:p>
    <w:p w14:paraId="2EE78F5F" w14:textId="77777777" w:rsidR="00F2673F" w:rsidRPr="009E7B6A" w:rsidRDefault="00F2673F" w:rsidP="00510544">
      <w:pPr>
        <w:spacing w:before="0" w:line="480" w:lineRule="auto"/>
        <w:rPr>
          <w:b/>
          <w:sz w:val="22"/>
          <w:szCs w:val="22"/>
        </w:rPr>
      </w:pPr>
    </w:p>
    <w:p w14:paraId="0473F7D2" w14:textId="77777777" w:rsidR="00F2673F" w:rsidRPr="009E7B6A"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b/>
          <w:sz w:val="22"/>
          <w:szCs w:val="22"/>
        </w:rPr>
      </w:pPr>
      <w:r w:rsidRPr="009E7B6A">
        <w:rPr>
          <w:b/>
          <w:sz w:val="22"/>
          <w:szCs w:val="22"/>
        </w:rPr>
        <w:br w:type="page"/>
      </w:r>
    </w:p>
    <w:p w14:paraId="6FF6F1A0" w14:textId="4C540C58" w:rsidR="00F2673F" w:rsidRPr="00AE1735" w:rsidRDefault="0000336E" w:rsidP="00AE1735">
      <w:pPr>
        <w:pStyle w:val="ListParagraph"/>
        <w:numPr>
          <w:ilvl w:val="0"/>
          <w:numId w:val="20"/>
        </w:numPr>
        <w:spacing w:before="0" w:line="480" w:lineRule="auto"/>
        <w:ind w:left="284" w:hanging="284"/>
        <w:rPr>
          <w:b/>
          <w:sz w:val="22"/>
          <w:szCs w:val="22"/>
        </w:rPr>
      </w:pPr>
      <w:r w:rsidRPr="00AE1735">
        <w:rPr>
          <w:b/>
          <w:sz w:val="22"/>
          <w:szCs w:val="22"/>
        </w:rPr>
        <w:lastRenderedPageBreak/>
        <w:t>Results</w:t>
      </w:r>
    </w:p>
    <w:p w14:paraId="6FA08C1F" w14:textId="35D86A77" w:rsidR="00F2673F" w:rsidRPr="009E7B6A" w:rsidRDefault="00AE1735" w:rsidP="00510544">
      <w:pPr>
        <w:spacing w:before="0" w:line="480" w:lineRule="auto"/>
        <w:rPr>
          <w:b/>
          <w:i/>
          <w:sz w:val="22"/>
          <w:szCs w:val="22"/>
        </w:rPr>
      </w:pPr>
      <w:r>
        <w:rPr>
          <w:b/>
          <w:i/>
          <w:sz w:val="22"/>
          <w:szCs w:val="22"/>
        </w:rPr>
        <w:t xml:space="preserve">3.1 </w:t>
      </w:r>
      <w:r w:rsidR="00F2673F" w:rsidRPr="009E7B6A">
        <w:rPr>
          <w:b/>
          <w:i/>
          <w:sz w:val="22"/>
          <w:szCs w:val="22"/>
        </w:rPr>
        <w:t>Response rates</w:t>
      </w:r>
    </w:p>
    <w:p w14:paraId="7D2C6AFB" w14:textId="5D40CB65" w:rsidR="00F2673F" w:rsidRPr="009E7B6A" w:rsidRDefault="00E07DE6" w:rsidP="00510544">
      <w:pPr>
        <w:spacing w:before="0" w:line="480" w:lineRule="auto"/>
        <w:rPr>
          <w:sz w:val="22"/>
          <w:szCs w:val="22"/>
        </w:rPr>
      </w:pPr>
      <w:r w:rsidRPr="009E7B6A">
        <w:rPr>
          <w:sz w:val="22"/>
          <w:szCs w:val="22"/>
        </w:rPr>
        <w:t xml:space="preserve">All </w:t>
      </w:r>
      <w:r>
        <w:rPr>
          <w:sz w:val="22"/>
          <w:szCs w:val="22"/>
        </w:rPr>
        <w:t>health boards</w:t>
      </w:r>
      <w:r w:rsidRPr="009E7B6A">
        <w:rPr>
          <w:sz w:val="22"/>
          <w:szCs w:val="22"/>
        </w:rPr>
        <w:t xml:space="preserve"> in Scotland, Wales, NI and 111/</w:t>
      </w:r>
      <w:r>
        <w:rPr>
          <w:sz w:val="22"/>
          <w:szCs w:val="22"/>
        </w:rPr>
        <w:t>1</w:t>
      </w:r>
      <w:r w:rsidRPr="009E7B6A">
        <w:rPr>
          <w:sz w:val="22"/>
          <w:szCs w:val="22"/>
        </w:rPr>
        <w:t xml:space="preserve">36 </w:t>
      </w:r>
      <w:r>
        <w:rPr>
          <w:sz w:val="22"/>
          <w:szCs w:val="22"/>
        </w:rPr>
        <w:t xml:space="preserve">NHS Trusts in </w:t>
      </w:r>
      <w:r w:rsidR="00F2673F" w:rsidRPr="009E7B6A">
        <w:rPr>
          <w:sz w:val="22"/>
          <w:szCs w:val="22"/>
        </w:rPr>
        <w:t>England participated (</w:t>
      </w:r>
      <w:r w:rsidR="00BF19B6">
        <w:rPr>
          <w:sz w:val="22"/>
          <w:szCs w:val="22"/>
        </w:rPr>
        <w:t>supplementary</w:t>
      </w:r>
      <w:r w:rsidR="00F2673F" w:rsidRPr="009E7B6A">
        <w:rPr>
          <w:sz w:val="22"/>
          <w:szCs w:val="22"/>
        </w:rPr>
        <w:t xml:space="preserve"> file-0</w:t>
      </w:r>
      <w:r w:rsidR="002735BB">
        <w:rPr>
          <w:sz w:val="22"/>
          <w:szCs w:val="22"/>
        </w:rPr>
        <w:t>3</w:t>
      </w:r>
      <w:r w:rsidR="00F2673F" w:rsidRPr="009E7B6A">
        <w:rPr>
          <w:sz w:val="22"/>
          <w:szCs w:val="22"/>
        </w:rPr>
        <w:t>)</w:t>
      </w:r>
      <w:r w:rsidR="00F2673F">
        <w:rPr>
          <w:sz w:val="22"/>
          <w:szCs w:val="22"/>
        </w:rPr>
        <w:t xml:space="preserve"> resulting in inclusion of </w:t>
      </w:r>
      <w:r w:rsidR="0057175E" w:rsidRPr="00A9635B">
        <w:rPr>
          <w:color w:val="auto"/>
          <w:sz w:val="22"/>
          <w:szCs w:val="22"/>
        </w:rPr>
        <w:t>58</w:t>
      </w:r>
      <w:r w:rsidR="00A13987" w:rsidRPr="00A9635B">
        <w:rPr>
          <w:color w:val="auto"/>
          <w:sz w:val="22"/>
          <w:szCs w:val="22"/>
        </w:rPr>
        <w:t>,</w:t>
      </w:r>
      <w:r w:rsidR="0057175E" w:rsidRPr="00A9635B">
        <w:rPr>
          <w:color w:val="auto"/>
          <w:sz w:val="22"/>
          <w:szCs w:val="22"/>
        </w:rPr>
        <w:t xml:space="preserve">930 men, which is </w:t>
      </w:r>
      <w:r w:rsidR="00F2673F">
        <w:rPr>
          <w:sz w:val="22"/>
          <w:szCs w:val="22"/>
        </w:rPr>
        <w:t>approximately 82% of all men diagnosed in the UK with PCa during the study period</w:t>
      </w:r>
      <w:r w:rsidR="00F2673F" w:rsidRPr="009E7B6A">
        <w:rPr>
          <w:sz w:val="22"/>
          <w:szCs w:val="22"/>
        </w:rPr>
        <w:t xml:space="preserve">. </w:t>
      </w:r>
      <w:r w:rsidR="008D74EB">
        <w:rPr>
          <w:sz w:val="22"/>
          <w:szCs w:val="22"/>
        </w:rPr>
        <w:t>The response rate was 60.8% (35</w:t>
      </w:r>
      <w:r w:rsidR="00A13987">
        <w:rPr>
          <w:sz w:val="22"/>
          <w:szCs w:val="22"/>
        </w:rPr>
        <w:t>,</w:t>
      </w:r>
      <w:r w:rsidR="008D74EB">
        <w:rPr>
          <w:sz w:val="22"/>
          <w:szCs w:val="22"/>
        </w:rPr>
        <w:t>823/58</w:t>
      </w:r>
      <w:r w:rsidR="00A13987">
        <w:rPr>
          <w:sz w:val="22"/>
          <w:szCs w:val="22"/>
        </w:rPr>
        <w:t>,</w:t>
      </w:r>
      <w:r w:rsidR="00F2673F" w:rsidRPr="009E7B6A">
        <w:rPr>
          <w:sz w:val="22"/>
          <w:szCs w:val="22"/>
        </w:rPr>
        <w:t>930). After excluding the men who did not report or were unsure about their received tr</w:t>
      </w:r>
      <w:r w:rsidR="008D74EB">
        <w:rPr>
          <w:sz w:val="22"/>
          <w:szCs w:val="22"/>
        </w:rPr>
        <w:t>eatments, (n=5</w:t>
      </w:r>
      <w:r w:rsidR="00A13987">
        <w:rPr>
          <w:sz w:val="22"/>
          <w:szCs w:val="22"/>
        </w:rPr>
        <w:t>,</w:t>
      </w:r>
      <w:r w:rsidR="00F2673F" w:rsidRPr="009E7B6A">
        <w:rPr>
          <w:sz w:val="22"/>
          <w:szCs w:val="22"/>
        </w:rPr>
        <w:t>709; 15.9%), 30,114 survey responses were available fo</w:t>
      </w:r>
      <w:r w:rsidR="008D74EB">
        <w:rPr>
          <w:sz w:val="22"/>
          <w:szCs w:val="22"/>
        </w:rPr>
        <w:t>r analysis. Of those, 97% (n=29</w:t>
      </w:r>
      <w:r w:rsidR="00A13987">
        <w:rPr>
          <w:sz w:val="22"/>
          <w:szCs w:val="22"/>
        </w:rPr>
        <w:t>,</w:t>
      </w:r>
      <w:r w:rsidR="00F2673F" w:rsidRPr="009E7B6A">
        <w:rPr>
          <w:sz w:val="22"/>
          <w:szCs w:val="22"/>
        </w:rPr>
        <w:t>351) contained the full SD-16 and completion rates for single items were: plans to have a family (87.8%); plans to travel or take a holiday (97.7%). Of the men not providing treatment information, 14.3% (n=772) were above the SD-16 cut-point</w:t>
      </w:r>
      <w:r w:rsidR="00F2673F">
        <w:rPr>
          <w:sz w:val="22"/>
          <w:szCs w:val="22"/>
        </w:rPr>
        <w:t xml:space="preserve"> indicating significant social distress</w:t>
      </w:r>
      <w:r w:rsidR="00F2673F" w:rsidRPr="009E7B6A">
        <w:rPr>
          <w:sz w:val="22"/>
          <w:szCs w:val="22"/>
        </w:rPr>
        <w:t xml:space="preserve"> (</w:t>
      </w:r>
      <w:r w:rsidR="00BF19B6">
        <w:rPr>
          <w:sz w:val="22"/>
          <w:szCs w:val="22"/>
        </w:rPr>
        <w:t>supplementary</w:t>
      </w:r>
      <w:r w:rsidR="00F2673F" w:rsidRPr="009E7B6A">
        <w:rPr>
          <w:sz w:val="22"/>
          <w:szCs w:val="22"/>
        </w:rPr>
        <w:t xml:space="preserve"> file-0</w:t>
      </w:r>
      <w:r w:rsidR="002735BB">
        <w:rPr>
          <w:sz w:val="22"/>
          <w:szCs w:val="22"/>
        </w:rPr>
        <w:t>2</w:t>
      </w:r>
      <w:r w:rsidR="00F2673F" w:rsidRPr="009E7B6A">
        <w:rPr>
          <w:sz w:val="22"/>
          <w:szCs w:val="22"/>
        </w:rPr>
        <w:t>).</w:t>
      </w:r>
    </w:p>
    <w:p w14:paraId="2C112AC7" w14:textId="77777777" w:rsidR="00F2673F" w:rsidRPr="009E7B6A" w:rsidRDefault="00F2673F" w:rsidP="00510544">
      <w:pPr>
        <w:spacing w:before="0" w:line="480" w:lineRule="auto"/>
        <w:rPr>
          <w:b/>
          <w:i/>
          <w:sz w:val="22"/>
          <w:szCs w:val="22"/>
        </w:rPr>
      </w:pPr>
    </w:p>
    <w:p w14:paraId="29A2D70E" w14:textId="0D115A53" w:rsidR="00F2673F" w:rsidRPr="009E7B6A" w:rsidRDefault="00AE1735" w:rsidP="00510544">
      <w:pPr>
        <w:spacing w:before="0" w:line="480" w:lineRule="auto"/>
        <w:rPr>
          <w:sz w:val="22"/>
          <w:szCs w:val="22"/>
        </w:rPr>
      </w:pPr>
      <w:r>
        <w:rPr>
          <w:b/>
          <w:i/>
          <w:sz w:val="22"/>
          <w:szCs w:val="22"/>
        </w:rPr>
        <w:t xml:space="preserve">3.2 </w:t>
      </w:r>
      <w:r w:rsidR="00F2673F" w:rsidRPr="009E7B6A">
        <w:rPr>
          <w:b/>
          <w:i/>
          <w:sz w:val="22"/>
          <w:szCs w:val="22"/>
        </w:rPr>
        <w:t>Characteristics of SD-16 respondents</w:t>
      </w:r>
      <w:r w:rsidR="00F2673F" w:rsidRPr="009E7B6A">
        <w:rPr>
          <w:sz w:val="22"/>
          <w:szCs w:val="22"/>
        </w:rPr>
        <w:t xml:space="preserve"> </w:t>
      </w:r>
    </w:p>
    <w:p w14:paraId="672107DB" w14:textId="34B9738B" w:rsidR="00F2673F" w:rsidRPr="009E7B6A" w:rsidRDefault="00F2673F" w:rsidP="00510544">
      <w:pPr>
        <w:spacing w:before="0" w:line="480" w:lineRule="auto"/>
        <w:rPr>
          <w:sz w:val="22"/>
          <w:szCs w:val="22"/>
        </w:rPr>
      </w:pPr>
      <w:r w:rsidRPr="009E7B6A">
        <w:rPr>
          <w:sz w:val="22"/>
          <w:szCs w:val="22"/>
        </w:rPr>
        <w:t>SD-16 respondent</w:t>
      </w:r>
      <w:r w:rsidR="00C12DB6">
        <w:rPr>
          <w:sz w:val="22"/>
          <w:szCs w:val="22"/>
        </w:rPr>
        <w:t>’</w:t>
      </w:r>
      <w:r w:rsidRPr="009E7B6A">
        <w:rPr>
          <w:sz w:val="22"/>
          <w:szCs w:val="22"/>
        </w:rPr>
        <w:t xml:space="preserve"> characteristics are presented in Table 1.  The mean age of the men was 71.2 years (SD = 7.88) with most </w:t>
      </w:r>
      <w:r w:rsidRPr="009E7B6A">
        <w:rPr>
          <w:rFonts w:eastAsia="Arial Unicode MS"/>
          <w:sz w:val="22"/>
          <w:szCs w:val="22"/>
        </w:rPr>
        <w:t xml:space="preserve">≥60 years old (92.6%) </w:t>
      </w:r>
      <w:r w:rsidRPr="00EE0808">
        <w:rPr>
          <w:rFonts w:eastAsia="Arial Unicode MS"/>
          <w:sz w:val="22"/>
          <w:szCs w:val="22"/>
        </w:rPr>
        <w:t xml:space="preserve">and white (94.4%). </w:t>
      </w:r>
      <w:r w:rsidR="00797813" w:rsidRPr="00A9635B">
        <w:rPr>
          <w:rFonts w:eastAsia="Arial Unicode MS"/>
          <w:color w:val="auto"/>
          <w:sz w:val="22"/>
          <w:szCs w:val="22"/>
        </w:rPr>
        <w:t xml:space="preserve">The proportion of men under 60 years old who were unemployed was </w:t>
      </w:r>
      <w:r w:rsidR="00797813" w:rsidRPr="00A9635B">
        <w:rPr>
          <w:color w:val="auto"/>
          <w:sz w:val="22"/>
          <w:szCs w:val="22"/>
        </w:rPr>
        <w:t xml:space="preserve">10.6% compared with the older men (1.3%).  </w:t>
      </w:r>
      <w:r w:rsidRPr="00EE0808">
        <w:rPr>
          <w:rFonts w:eastAsia="Arial Unicode MS"/>
          <w:sz w:val="22"/>
          <w:szCs w:val="22"/>
        </w:rPr>
        <w:t>Those living in affluent areas were over-represented</w:t>
      </w:r>
      <w:r w:rsidRPr="009E7B6A">
        <w:rPr>
          <w:rFonts w:eastAsia="Arial Unicode MS"/>
          <w:sz w:val="22"/>
          <w:szCs w:val="22"/>
        </w:rPr>
        <w:t xml:space="preserve"> compared with non-responders.   Non-responders to the SD-16 were more likely to be non-white (</w:t>
      </w:r>
      <w:r w:rsidRPr="009E7B6A">
        <w:rPr>
          <w:i/>
          <w:sz w:val="22"/>
          <w:szCs w:val="22"/>
        </w:rPr>
        <w:t>p</w:t>
      </w:r>
      <w:r w:rsidRPr="009E7B6A">
        <w:rPr>
          <w:sz w:val="22"/>
          <w:szCs w:val="22"/>
        </w:rPr>
        <w:t>&lt;.001) and living in areas of greater deprivation (</w:t>
      </w:r>
      <w:r w:rsidRPr="009E7B6A">
        <w:rPr>
          <w:i/>
          <w:sz w:val="22"/>
          <w:szCs w:val="22"/>
        </w:rPr>
        <w:t>p</w:t>
      </w:r>
      <w:r w:rsidRPr="009E7B6A">
        <w:rPr>
          <w:sz w:val="22"/>
          <w:szCs w:val="22"/>
        </w:rPr>
        <w:t>&lt;.001). The percentage of missing data was less than 3% for participant characteristics, barring BMI (calculated from participant self-reported weight and height) at 7.2% and for stage of PCa at the time of diagnosis (from cancer registration records; 13.8%).</w:t>
      </w:r>
    </w:p>
    <w:p w14:paraId="7937393E" w14:textId="77777777" w:rsidR="00F2673F" w:rsidRPr="009E7B6A" w:rsidRDefault="00F2673F" w:rsidP="00510544">
      <w:pPr>
        <w:spacing w:before="0" w:line="480" w:lineRule="auto"/>
        <w:rPr>
          <w:b/>
          <w:i/>
          <w:sz w:val="22"/>
          <w:szCs w:val="22"/>
        </w:rPr>
      </w:pPr>
    </w:p>
    <w:p w14:paraId="569BF3D0" w14:textId="28CD8430" w:rsidR="00F2673F" w:rsidRPr="009E7B6A" w:rsidRDefault="00AE1735" w:rsidP="00510544">
      <w:pPr>
        <w:spacing w:before="0" w:line="480" w:lineRule="auto"/>
        <w:rPr>
          <w:b/>
          <w:i/>
          <w:sz w:val="22"/>
          <w:szCs w:val="22"/>
        </w:rPr>
      </w:pPr>
      <w:r>
        <w:rPr>
          <w:b/>
          <w:i/>
          <w:sz w:val="22"/>
          <w:szCs w:val="22"/>
        </w:rPr>
        <w:t xml:space="preserve">3.3 </w:t>
      </w:r>
      <w:r w:rsidR="00F2673F" w:rsidRPr="009E7B6A">
        <w:rPr>
          <w:b/>
          <w:i/>
          <w:sz w:val="22"/>
          <w:szCs w:val="22"/>
        </w:rPr>
        <w:t xml:space="preserve">SD-16 </w:t>
      </w:r>
    </w:p>
    <w:p w14:paraId="37E548CE" w14:textId="1B6A09E0" w:rsidR="00F2673F" w:rsidRPr="009E7B6A" w:rsidRDefault="00F2673F" w:rsidP="00510544">
      <w:pPr>
        <w:spacing w:before="0" w:line="480" w:lineRule="auto"/>
        <w:rPr>
          <w:rFonts w:eastAsia="Arial Unicode MS"/>
          <w:sz w:val="22"/>
          <w:szCs w:val="22"/>
        </w:rPr>
      </w:pPr>
      <w:r w:rsidRPr="009E7B6A">
        <w:rPr>
          <w:rFonts w:eastAsia="Arial Unicode MS"/>
          <w:sz w:val="22"/>
          <w:szCs w:val="22"/>
        </w:rPr>
        <w:t>The median SD-16 score was 1, range 0–44 and Interquartile range (IQR</w:t>
      </w:r>
      <w:r w:rsidR="008D74EB">
        <w:rPr>
          <w:rFonts w:eastAsia="Arial Unicode MS"/>
          <w:sz w:val="22"/>
          <w:szCs w:val="22"/>
        </w:rPr>
        <w:t>) 0–4. Just under 10% of men (2</w:t>
      </w:r>
      <w:r w:rsidR="00A13987">
        <w:rPr>
          <w:rFonts w:eastAsia="Arial Unicode MS"/>
          <w:sz w:val="22"/>
          <w:szCs w:val="22"/>
        </w:rPr>
        <w:t>,</w:t>
      </w:r>
      <w:r w:rsidR="008D74EB">
        <w:rPr>
          <w:rFonts w:eastAsia="Arial Unicode MS"/>
          <w:sz w:val="22"/>
          <w:szCs w:val="22"/>
        </w:rPr>
        <w:t>766/29</w:t>
      </w:r>
      <w:r w:rsidR="00A13987">
        <w:rPr>
          <w:rFonts w:eastAsia="Arial Unicode MS"/>
          <w:sz w:val="22"/>
          <w:szCs w:val="22"/>
        </w:rPr>
        <w:t>,</w:t>
      </w:r>
      <w:r w:rsidRPr="009E7B6A">
        <w:rPr>
          <w:rFonts w:eastAsia="Arial Unicode MS"/>
          <w:sz w:val="22"/>
          <w:szCs w:val="22"/>
        </w:rPr>
        <w:t xml:space="preserve">351) indicated social distress (SD-16 score ≥10). The proportion of men indicating social distress and univariable associations are shown in Table 2.  Table 3 presents results of the multivariable logistic regression. Being unemployed at the time of survey was most strongly associated with social distress, followed by having ≥3 </w:t>
      </w:r>
      <w:r>
        <w:rPr>
          <w:rFonts w:eastAsia="Arial Unicode MS"/>
          <w:sz w:val="22"/>
          <w:szCs w:val="22"/>
        </w:rPr>
        <w:t>comorbid</w:t>
      </w:r>
      <w:r w:rsidRPr="009E7B6A">
        <w:rPr>
          <w:rFonts w:eastAsia="Arial Unicode MS"/>
          <w:sz w:val="22"/>
          <w:szCs w:val="22"/>
        </w:rPr>
        <w:t xml:space="preserve"> LTCs. Other clear associations with social distress included </w:t>
      </w:r>
      <w:r>
        <w:rPr>
          <w:rFonts w:eastAsia="Arial Unicode MS"/>
          <w:sz w:val="22"/>
          <w:szCs w:val="22"/>
        </w:rPr>
        <w:t>External Beam Radiotherapy (EBRT) in addition to another treatment,</w:t>
      </w:r>
      <w:r w:rsidRPr="009E7B6A">
        <w:rPr>
          <w:rFonts w:eastAsia="Arial Unicode MS"/>
          <w:sz w:val="22"/>
          <w:szCs w:val="22"/>
        </w:rPr>
        <w:t xml:space="preserve"> ADT, </w:t>
      </w:r>
      <w:r w:rsidR="009D032F" w:rsidRPr="00A9635B">
        <w:rPr>
          <w:rFonts w:eastAsia="Arial Unicode MS"/>
          <w:color w:val="auto"/>
          <w:sz w:val="22"/>
          <w:szCs w:val="22"/>
        </w:rPr>
        <w:t xml:space="preserve">being under 60 years old, </w:t>
      </w:r>
      <w:r w:rsidRPr="00A9635B">
        <w:rPr>
          <w:rFonts w:eastAsia="Arial Unicode MS"/>
          <w:color w:val="auto"/>
          <w:sz w:val="22"/>
          <w:szCs w:val="22"/>
        </w:rPr>
        <w:t xml:space="preserve">having </w:t>
      </w:r>
      <w:r w:rsidRPr="009E7B6A">
        <w:rPr>
          <w:rFonts w:eastAsia="Arial Unicode MS"/>
          <w:sz w:val="22"/>
          <w:szCs w:val="22"/>
        </w:rPr>
        <w:t xml:space="preserve">ever consulted a healthcare professional for mental health-related problems and living in areas of greater </w:t>
      </w:r>
      <w:r>
        <w:rPr>
          <w:rFonts w:eastAsia="Arial Unicode MS"/>
          <w:sz w:val="22"/>
          <w:szCs w:val="22"/>
        </w:rPr>
        <w:t xml:space="preserve">socio-economic </w:t>
      </w:r>
      <w:r w:rsidRPr="009E7B6A">
        <w:rPr>
          <w:rFonts w:eastAsia="Arial Unicode MS"/>
          <w:sz w:val="22"/>
          <w:szCs w:val="22"/>
        </w:rPr>
        <w:t>deprivation. To a lesser extent, separated/divorced, having stage IV disease, having caring responsibilities, and a BMI &gt;30 were also associated with social distress.</w:t>
      </w:r>
    </w:p>
    <w:p w14:paraId="7226E34B" w14:textId="77777777" w:rsidR="00F2673F" w:rsidRPr="009E7B6A" w:rsidRDefault="00F2673F" w:rsidP="00510544">
      <w:pPr>
        <w:spacing w:before="0" w:line="480" w:lineRule="auto"/>
        <w:rPr>
          <w:b/>
          <w:i/>
          <w:sz w:val="22"/>
          <w:szCs w:val="22"/>
        </w:rPr>
      </w:pPr>
    </w:p>
    <w:p w14:paraId="58EAB9FE" w14:textId="125CABC1" w:rsidR="00F2673F" w:rsidRPr="009E7B6A" w:rsidRDefault="00AE1735" w:rsidP="00510544">
      <w:pPr>
        <w:spacing w:before="0" w:line="480" w:lineRule="auto"/>
        <w:rPr>
          <w:b/>
          <w:i/>
          <w:sz w:val="22"/>
          <w:szCs w:val="22"/>
        </w:rPr>
      </w:pPr>
      <w:r>
        <w:rPr>
          <w:b/>
          <w:i/>
          <w:sz w:val="22"/>
          <w:szCs w:val="22"/>
        </w:rPr>
        <w:t xml:space="preserve">3.4 </w:t>
      </w:r>
      <w:r w:rsidR="00F2673F" w:rsidRPr="009E7B6A">
        <w:rPr>
          <w:b/>
          <w:i/>
          <w:sz w:val="22"/>
          <w:szCs w:val="22"/>
        </w:rPr>
        <w:t xml:space="preserve">SD-16 Subscales </w:t>
      </w:r>
    </w:p>
    <w:p w14:paraId="3FEE27F4" w14:textId="35577296" w:rsidR="00F2673F" w:rsidRPr="009E7B6A" w:rsidRDefault="00F2673F" w:rsidP="00510544">
      <w:pPr>
        <w:spacing w:before="0" w:line="480" w:lineRule="auto"/>
        <w:rPr>
          <w:sz w:val="22"/>
          <w:szCs w:val="22"/>
        </w:rPr>
      </w:pPr>
      <w:r w:rsidRPr="009E7B6A">
        <w:rPr>
          <w:rFonts w:eastAsia="Arial Unicode MS"/>
          <w:sz w:val="22"/>
          <w:szCs w:val="22"/>
        </w:rPr>
        <w:t xml:space="preserve">Multivariable logistic regression indicated unemployment was most strongly associated with distress on all three subscales (Table 4). Having ≥3 </w:t>
      </w:r>
      <w:r>
        <w:rPr>
          <w:rFonts w:eastAsia="Arial Unicode MS"/>
          <w:sz w:val="22"/>
          <w:szCs w:val="22"/>
        </w:rPr>
        <w:t>comorbid</w:t>
      </w:r>
      <w:r w:rsidRPr="009E7B6A">
        <w:rPr>
          <w:rFonts w:eastAsia="Arial Unicode MS"/>
          <w:sz w:val="22"/>
          <w:szCs w:val="22"/>
        </w:rPr>
        <w:t xml:space="preserve"> LTCs was </w:t>
      </w:r>
      <w:r>
        <w:rPr>
          <w:rFonts w:eastAsia="Arial Unicode MS"/>
          <w:sz w:val="22"/>
          <w:szCs w:val="22"/>
        </w:rPr>
        <w:t xml:space="preserve">related to significant distress </w:t>
      </w:r>
      <w:r w:rsidRPr="009E7B6A">
        <w:rPr>
          <w:rFonts w:eastAsia="Arial Unicode MS"/>
          <w:sz w:val="22"/>
          <w:szCs w:val="22"/>
        </w:rPr>
        <w:t xml:space="preserve">across all subscales but especially </w:t>
      </w:r>
      <w:r w:rsidRPr="004F7D2F">
        <w:rPr>
          <w:rFonts w:eastAsia="Arial Unicode MS"/>
          <w:i/>
          <w:iCs/>
          <w:sz w:val="22"/>
          <w:szCs w:val="22"/>
        </w:rPr>
        <w:t>E</w:t>
      </w:r>
      <w:r w:rsidRPr="009E7B6A">
        <w:rPr>
          <w:i/>
          <w:sz w:val="22"/>
          <w:szCs w:val="22"/>
        </w:rPr>
        <w:t>veryday Living.</w:t>
      </w:r>
      <w:r w:rsidRPr="009E7B6A">
        <w:rPr>
          <w:sz w:val="22"/>
          <w:szCs w:val="22"/>
        </w:rPr>
        <w:t xml:space="preserve"> Type of treatment impacted on all subscales</w:t>
      </w:r>
      <w:r>
        <w:rPr>
          <w:sz w:val="22"/>
          <w:szCs w:val="22"/>
        </w:rPr>
        <w:t>,</w:t>
      </w:r>
      <w:r w:rsidRPr="009E7B6A">
        <w:rPr>
          <w:sz w:val="22"/>
          <w:szCs w:val="22"/>
        </w:rPr>
        <w:t xml:space="preserve"> with systemic therapy and ADT alone having a greater influence on </w:t>
      </w:r>
      <w:r w:rsidRPr="009E7B6A">
        <w:rPr>
          <w:i/>
          <w:sz w:val="22"/>
          <w:szCs w:val="22"/>
        </w:rPr>
        <w:t>Everyday Living</w:t>
      </w:r>
      <w:r w:rsidRPr="009E7B6A">
        <w:rPr>
          <w:sz w:val="22"/>
          <w:szCs w:val="22"/>
        </w:rPr>
        <w:t xml:space="preserve"> and </w:t>
      </w:r>
      <w:r w:rsidRPr="009E7B6A">
        <w:rPr>
          <w:i/>
          <w:sz w:val="22"/>
          <w:szCs w:val="22"/>
        </w:rPr>
        <w:t>Self and Others</w:t>
      </w:r>
      <w:r w:rsidRPr="009E7B6A">
        <w:rPr>
          <w:sz w:val="22"/>
          <w:szCs w:val="22"/>
        </w:rPr>
        <w:t xml:space="preserve"> than </w:t>
      </w:r>
      <w:r w:rsidRPr="009E7B6A">
        <w:rPr>
          <w:i/>
          <w:sz w:val="22"/>
          <w:szCs w:val="22"/>
        </w:rPr>
        <w:t>Money Matters</w:t>
      </w:r>
      <w:r w:rsidRPr="009E7B6A">
        <w:rPr>
          <w:sz w:val="22"/>
          <w:szCs w:val="22"/>
        </w:rPr>
        <w:t xml:space="preserve">. Other factors independently associated with distress on all three subscales included having seen a healthcare professional for mental health-related problems, living in an area of greater </w:t>
      </w:r>
      <w:r>
        <w:rPr>
          <w:rFonts w:eastAsia="Arial Unicode MS"/>
          <w:sz w:val="22"/>
          <w:szCs w:val="22"/>
        </w:rPr>
        <w:t xml:space="preserve">socio-economic </w:t>
      </w:r>
      <w:r w:rsidRPr="009E7B6A">
        <w:rPr>
          <w:sz w:val="22"/>
          <w:szCs w:val="22"/>
        </w:rPr>
        <w:t xml:space="preserve">deprivation, </w:t>
      </w:r>
      <w:r w:rsidRPr="009E7B6A">
        <w:rPr>
          <w:sz w:val="22"/>
          <w:szCs w:val="22"/>
        </w:rPr>
        <w:lastRenderedPageBreak/>
        <w:t xml:space="preserve">having caring responsibilities, being diagnosed with stage IV PCa and having a BMI &gt;30. Older age (80+) was a significant risk factor for distress on the </w:t>
      </w:r>
      <w:r w:rsidRPr="009E7B6A">
        <w:rPr>
          <w:i/>
          <w:sz w:val="22"/>
          <w:szCs w:val="22"/>
        </w:rPr>
        <w:t>Everyday Living</w:t>
      </w:r>
      <w:r w:rsidRPr="009E7B6A">
        <w:rPr>
          <w:sz w:val="22"/>
          <w:szCs w:val="22"/>
        </w:rPr>
        <w:t xml:space="preserve"> subscale but had a protective effect on the other two subscales. Being of non-white ethnicity was associated with distress on the </w:t>
      </w:r>
      <w:r w:rsidRPr="009E7B6A">
        <w:rPr>
          <w:i/>
          <w:sz w:val="22"/>
          <w:szCs w:val="22"/>
        </w:rPr>
        <w:t>Money Matters</w:t>
      </w:r>
      <w:r w:rsidRPr="009E7B6A">
        <w:rPr>
          <w:sz w:val="22"/>
          <w:szCs w:val="22"/>
        </w:rPr>
        <w:t xml:space="preserve"> subscale only. See Table 4 for full results.</w:t>
      </w:r>
    </w:p>
    <w:p w14:paraId="2E7F9DF3" w14:textId="77777777" w:rsidR="00F2673F" w:rsidRPr="009E7B6A" w:rsidRDefault="00F2673F" w:rsidP="00510544">
      <w:pPr>
        <w:spacing w:before="0" w:line="480" w:lineRule="auto"/>
        <w:rPr>
          <w:b/>
          <w:i/>
          <w:sz w:val="22"/>
          <w:szCs w:val="22"/>
        </w:rPr>
      </w:pPr>
    </w:p>
    <w:p w14:paraId="70DB32BD" w14:textId="1EF81C9D" w:rsidR="00F2673F" w:rsidRPr="009E7B6A" w:rsidRDefault="00AE1735" w:rsidP="00510544">
      <w:pPr>
        <w:spacing w:before="0" w:line="480" w:lineRule="auto"/>
        <w:rPr>
          <w:b/>
          <w:i/>
          <w:sz w:val="22"/>
          <w:szCs w:val="22"/>
        </w:rPr>
      </w:pPr>
      <w:r>
        <w:rPr>
          <w:b/>
          <w:i/>
          <w:sz w:val="22"/>
          <w:szCs w:val="22"/>
        </w:rPr>
        <w:t xml:space="preserve">3.5 </w:t>
      </w:r>
      <w:r w:rsidR="00F2673F" w:rsidRPr="009E7B6A">
        <w:rPr>
          <w:b/>
          <w:i/>
          <w:sz w:val="22"/>
          <w:szCs w:val="22"/>
        </w:rPr>
        <w:t>Single items</w:t>
      </w:r>
    </w:p>
    <w:p w14:paraId="24367718" w14:textId="77777777" w:rsidR="00F2673F" w:rsidRPr="009E7B6A" w:rsidRDefault="00F2673F" w:rsidP="00510544">
      <w:pPr>
        <w:spacing w:before="0" w:line="480" w:lineRule="auto"/>
        <w:rPr>
          <w:sz w:val="22"/>
          <w:szCs w:val="22"/>
        </w:rPr>
      </w:pPr>
      <w:r w:rsidRPr="009E7B6A">
        <w:rPr>
          <w:sz w:val="22"/>
          <w:szCs w:val="22"/>
        </w:rPr>
        <w:t>The percentages of men reporting ‘quite a bit of difficulty’ or ‘very much difficulty’ were 4.2% for “Plans to have a family” and 12.3% for “Holidays”.  </w:t>
      </w:r>
    </w:p>
    <w:p w14:paraId="5883A610" w14:textId="77777777" w:rsidR="00F2673F" w:rsidRPr="009E7B6A" w:rsidRDefault="00F2673F" w:rsidP="00510544">
      <w:pPr>
        <w:spacing w:before="0" w:line="480" w:lineRule="auto"/>
        <w:rPr>
          <w:sz w:val="22"/>
          <w:szCs w:val="22"/>
        </w:rPr>
      </w:pPr>
    </w:p>
    <w:p w14:paraId="4D86A58E" w14:textId="77777777" w:rsidR="00F2673F" w:rsidRPr="009E7B6A"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b/>
          <w:sz w:val="22"/>
          <w:szCs w:val="22"/>
        </w:rPr>
      </w:pPr>
      <w:r w:rsidRPr="009E7B6A">
        <w:rPr>
          <w:b/>
          <w:sz w:val="22"/>
          <w:szCs w:val="22"/>
        </w:rPr>
        <w:br w:type="page"/>
      </w:r>
    </w:p>
    <w:p w14:paraId="418A0816" w14:textId="6EE9B827" w:rsidR="00F2673F" w:rsidRPr="00AE1735" w:rsidRDefault="0000336E" w:rsidP="00AE1735">
      <w:pPr>
        <w:pStyle w:val="ListParagraph"/>
        <w:numPr>
          <w:ilvl w:val="0"/>
          <w:numId w:val="20"/>
        </w:numPr>
        <w:spacing w:before="0" w:line="480" w:lineRule="auto"/>
        <w:ind w:left="284" w:hanging="284"/>
        <w:rPr>
          <w:b/>
          <w:sz w:val="22"/>
          <w:szCs w:val="22"/>
        </w:rPr>
      </w:pPr>
      <w:r w:rsidRPr="00AE1735">
        <w:rPr>
          <w:b/>
          <w:sz w:val="22"/>
          <w:szCs w:val="22"/>
        </w:rPr>
        <w:lastRenderedPageBreak/>
        <w:t>Discussion</w:t>
      </w:r>
    </w:p>
    <w:p w14:paraId="5899F1F4" w14:textId="0A2D3B46" w:rsidR="00604201" w:rsidRDefault="00F2673F" w:rsidP="00510544">
      <w:pPr>
        <w:spacing w:before="0" w:line="480" w:lineRule="auto"/>
        <w:rPr>
          <w:sz w:val="22"/>
          <w:szCs w:val="22"/>
        </w:rPr>
      </w:pPr>
      <w:r w:rsidRPr="009E7B6A">
        <w:rPr>
          <w:sz w:val="22"/>
          <w:szCs w:val="22"/>
        </w:rPr>
        <w:t>This is the largest study</w:t>
      </w:r>
      <w:r>
        <w:rPr>
          <w:sz w:val="22"/>
          <w:szCs w:val="22"/>
        </w:rPr>
        <w:t xml:space="preserve"> we know of </w:t>
      </w:r>
      <w:r w:rsidRPr="009E7B6A">
        <w:rPr>
          <w:sz w:val="22"/>
          <w:szCs w:val="22"/>
        </w:rPr>
        <w:t>to date</w:t>
      </w:r>
      <w:r>
        <w:rPr>
          <w:sz w:val="22"/>
          <w:szCs w:val="22"/>
        </w:rPr>
        <w:t>,</w:t>
      </w:r>
      <w:r w:rsidRPr="009E7B6A">
        <w:rPr>
          <w:sz w:val="22"/>
          <w:szCs w:val="22"/>
        </w:rPr>
        <w:t xml:space="preserve"> examin</w:t>
      </w:r>
      <w:r w:rsidR="008C01C4">
        <w:rPr>
          <w:sz w:val="22"/>
          <w:szCs w:val="22"/>
        </w:rPr>
        <w:t>ing</w:t>
      </w:r>
      <w:r w:rsidRPr="009E7B6A">
        <w:rPr>
          <w:sz w:val="22"/>
          <w:szCs w:val="22"/>
        </w:rPr>
        <w:t xml:space="preserve"> the social impact of PCa on those living with and beyond the disease. Reassuringly, and of importance, is </w:t>
      </w:r>
      <w:r>
        <w:rPr>
          <w:sz w:val="22"/>
          <w:szCs w:val="22"/>
        </w:rPr>
        <w:t xml:space="preserve">the finding that </w:t>
      </w:r>
      <w:r w:rsidRPr="009E7B6A">
        <w:rPr>
          <w:sz w:val="22"/>
          <w:szCs w:val="22"/>
        </w:rPr>
        <w:t xml:space="preserve">most men </w:t>
      </w:r>
      <w:r>
        <w:rPr>
          <w:sz w:val="22"/>
          <w:szCs w:val="22"/>
        </w:rPr>
        <w:t>we</w:t>
      </w:r>
      <w:r w:rsidRPr="009E7B6A">
        <w:rPr>
          <w:sz w:val="22"/>
          <w:szCs w:val="22"/>
        </w:rPr>
        <w:t>re socially resilient following a diagnosis of PCa.  The key associations with social distress were non-cancer related, such as unemployment and mult</w:t>
      </w:r>
      <w:r>
        <w:rPr>
          <w:sz w:val="22"/>
          <w:szCs w:val="22"/>
        </w:rPr>
        <w:t>i</w:t>
      </w:r>
      <w:r w:rsidRPr="009E7B6A">
        <w:rPr>
          <w:sz w:val="22"/>
          <w:szCs w:val="22"/>
        </w:rPr>
        <w:t>-morbidity</w:t>
      </w:r>
      <w:r w:rsidR="00604201">
        <w:rPr>
          <w:sz w:val="22"/>
          <w:szCs w:val="22"/>
        </w:rPr>
        <w:t xml:space="preserve">. </w:t>
      </w:r>
    </w:p>
    <w:p w14:paraId="61D71938" w14:textId="77777777" w:rsidR="00277A07" w:rsidRDefault="00277A07" w:rsidP="00604201">
      <w:pPr>
        <w:spacing w:before="0" w:line="480" w:lineRule="auto"/>
        <w:rPr>
          <w:rFonts w:eastAsia="Arial Unicode MS"/>
          <w:color w:val="auto"/>
          <w:sz w:val="22"/>
          <w:szCs w:val="22"/>
        </w:rPr>
      </w:pPr>
    </w:p>
    <w:p w14:paraId="3254C538" w14:textId="69BE0C25" w:rsidR="00277A07" w:rsidRDefault="00604201" w:rsidP="00277A07">
      <w:pPr>
        <w:spacing w:before="0" w:line="480" w:lineRule="auto"/>
        <w:rPr>
          <w:rFonts w:eastAsia="Arial Unicode MS"/>
          <w:color w:val="FF0000"/>
          <w:sz w:val="22"/>
          <w:szCs w:val="22"/>
        </w:rPr>
      </w:pPr>
      <w:r w:rsidRPr="00FB7B82">
        <w:rPr>
          <w:rFonts w:eastAsia="Arial Unicode MS"/>
          <w:color w:val="auto"/>
          <w:sz w:val="22"/>
          <w:szCs w:val="22"/>
        </w:rPr>
        <w:t>As found in the colorectal cancer English national survey, being in either the youngest (&lt;60 years) or oldest (≥80 years) age groups was associated with higher levels of distress</w:t>
      </w:r>
      <w:r w:rsidRPr="00604201">
        <w:rPr>
          <w:rFonts w:eastAsia="Arial Unicode MS"/>
          <w:color w:val="auto"/>
          <w:sz w:val="22"/>
          <w:szCs w:val="22"/>
          <w:vertAlign w:val="superscript"/>
        </w:rPr>
        <w:t>10</w:t>
      </w:r>
      <w:r>
        <w:rPr>
          <w:rFonts w:eastAsia="Arial Unicode MS"/>
          <w:color w:val="auto"/>
          <w:sz w:val="22"/>
          <w:szCs w:val="22"/>
        </w:rPr>
        <w:t>.</w:t>
      </w:r>
      <w:r w:rsidRPr="00FB7B82">
        <w:rPr>
          <w:rFonts w:eastAsia="Arial Unicode MS"/>
          <w:color w:val="auto"/>
          <w:sz w:val="22"/>
          <w:szCs w:val="22"/>
        </w:rPr>
        <w:t xml:space="preserve"> This may well be a reflection of ‘life stage’, with younger men more likely to have financial commitments (e.g. paying a mortgage</w:t>
      </w:r>
      <w:r w:rsidRPr="00A9635B">
        <w:rPr>
          <w:rFonts w:eastAsia="Arial Unicode MS"/>
          <w:color w:val="auto"/>
          <w:sz w:val="22"/>
          <w:szCs w:val="22"/>
        </w:rPr>
        <w:t>, needing to provide an income) and</w:t>
      </w:r>
      <w:r w:rsidR="00382500" w:rsidRPr="00A9635B">
        <w:rPr>
          <w:rFonts w:eastAsia="Arial Unicode MS"/>
          <w:color w:val="auto"/>
          <w:sz w:val="22"/>
          <w:szCs w:val="22"/>
        </w:rPr>
        <w:t xml:space="preserve"> </w:t>
      </w:r>
      <w:r w:rsidRPr="00A9635B">
        <w:rPr>
          <w:rFonts w:eastAsia="Arial Unicode MS"/>
          <w:color w:val="auto"/>
          <w:sz w:val="22"/>
          <w:szCs w:val="22"/>
        </w:rPr>
        <w:t>having responsibilities for children</w:t>
      </w:r>
      <w:r w:rsidR="008C01C4" w:rsidRPr="00A9635B">
        <w:rPr>
          <w:rFonts w:eastAsia="Arial Unicode MS"/>
          <w:color w:val="auto"/>
          <w:sz w:val="22"/>
          <w:szCs w:val="22"/>
          <w:vertAlign w:val="superscript"/>
        </w:rPr>
        <w:t>24</w:t>
      </w:r>
      <w:r w:rsidR="00793C8C" w:rsidRPr="00A9635B">
        <w:rPr>
          <w:rFonts w:eastAsia="Arial Unicode MS"/>
          <w:color w:val="auto"/>
          <w:sz w:val="22"/>
          <w:szCs w:val="22"/>
        </w:rPr>
        <w:t xml:space="preserve">. </w:t>
      </w:r>
      <w:r w:rsidR="00277A07" w:rsidRPr="00A9635B">
        <w:rPr>
          <w:rFonts w:eastAsia="Arial Unicode MS"/>
          <w:color w:val="auto"/>
          <w:sz w:val="22"/>
          <w:szCs w:val="22"/>
        </w:rPr>
        <w:t xml:space="preserve">In this study, </w:t>
      </w:r>
      <w:r w:rsidR="001F555F" w:rsidRPr="00A9635B">
        <w:rPr>
          <w:rFonts w:eastAsia="Arial Unicode MS"/>
          <w:color w:val="auto"/>
          <w:sz w:val="22"/>
          <w:szCs w:val="22"/>
        </w:rPr>
        <w:t>y</w:t>
      </w:r>
      <w:r w:rsidRPr="00A9635B">
        <w:rPr>
          <w:rFonts w:eastAsia="Arial Unicode MS"/>
          <w:color w:val="auto"/>
          <w:sz w:val="22"/>
          <w:szCs w:val="22"/>
        </w:rPr>
        <w:t>ounger men re</w:t>
      </w:r>
      <w:r w:rsidR="001F555F" w:rsidRPr="00A9635B">
        <w:rPr>
          <w:rFonts w:eastAsia="Arial Unicode MS"/>
          <w:color w:val="auto"/>
          <w:sz w:val="22"/>
          <w:szCs w:val="22"/>
        </w:rPr>
        <w:t>corded</w:t>
      </w:r>
      <w:r w:rsidRPr="00A9635B">
        <w:rPr>
          <w:rFonts w:eastAsia="Arial Unicode MS"/>
          <w:color w:val="auto"/>
          <w:sz w:val="22"/>
          <w:szCs w:val="22"/>
        </w:rPr>
        <w:t xml:space="preserve"> </w:t>
      </w:r>
      <w:r w:rsidR="00277A07" w:rsidRPr="00A9635B">
        <w:rPr>
          <w:rFonts w:eastAsia="Arial Unicode MS"/>
          <w:color w:val="auto"/>
          <w:sz w:val="22"/>
          <w:szCs w:val="22"/>
        </w:rPr>
        <w:t>higher levels of</w:t>
      </w:r>
      <w:r w:rsidRPr="00A9635B">
        <w:rPr>
          <w:rFonts w:eastAsia="Arial Unicode MS"/>
          <w:color w:val="auto"/>
          <w:sz w:val="22"/>
          <w:szCs w:val="22"/>
        </w:rPr>
        <w:t xml:space="preserve"> distress in the Money Matters subscale. </w:t>
      </w:r>
      <w:r w:rsidR="001F555F" w:rsidRPr="00A9635B">
        <w:rPr>
          <w:rFonts w:eastAsia="Arial Unicode MS"/>
          <w:color w:val="auto"/>
          <w:sz w:val="22"/>
          <w:szCs w:val="22"/>
        </w:rPr>
        <w:t xml:space="preserve">They were also much more likely to report being unemployed </w:t>
      </w:r>
      <w:r w:rsidR="00382500" w:rsidRPr="00A9635B">
        <w:rPr>
          <w:rFonts w:eastAsia="Arial Unicode MS"/>
          <w:color w:val="auto"/>
          <w:sz w:val="22"/>
          <w:szCs w:val="22"/>
        </w:rPr>
        <w:t>than men over 60 years</w:t>
      </w:r>
      <w:r w:rsidR="00797813" w:rsidRPr="00A9635B">
        <w:rPr>
          <w:rFonts w:eastAsia="Arial Unicode MS"/>
          <w:color w:val="auto"/>
          <w:sz w:val="22"/>
          <w:szCs w:val="22"/>
        </w:rPr>
        <w:t xml:space="preserve">. </w:t>
      </w:r>
      <w:r w:rsidR="00797813" w:rsidRPr="00A9635B">
        <w:rPr>
          <w:color w:val="auto"/>
          <w:sz w:val="22"/>
          <w:szCs w:val="22"/>
        </w:rPr>
        <w:t>M</w:t>
      </w:r>
      <w:r w:rsidR="00382500" w:rsidRPr="00A9635B">
        <w:rPr>
          <w:color w:val="auto"/>
          <w:sz w:val="22"/>
          <w:szCs w:val="22"/>
        </w:rPr>
        <w:t xml:space="preserve">any </w:t>
      </w:r>
      <w:r w:rsidR="00797813" w:rsidRPr="00A9635B">
        <w:rPr>
          <w:color w:val="auto"/>
          <w:sz w:val="22"/>
          <w:szCs w:val="22"/>
        </w:rPr>
        <w:t xml:space="preserve">of the younger men had </w:t>
      </w:r>
      <w:r w:rsidR="00382500" w:rsidRPr="00A9635B">
        <w:rPr>
          <w:color w:val="auto"/>
          <w:sz w:val="22"/>
          <w:szCs w:val="22"/>
        </w:rPr>
        <w:t>changed employment status since diagnosis</w:t>
      </w:r>
      <w:r w:rsidR="00985F88" w:rsidRPr="00A9635B">
        <w:rPr>
          <w:color w:val="auto"/>
          <w:sz w:val="22"/>
          <w:szCs w:val="22"/>
          <w:vertAlign w:val="superscript"/>
        </w:rPr>
        <w:t>25</w:t>
      </w:r>
      <w:r w:rsidR="00277A07" w:rsidRPr="00A9635B">
        <w:rPr>
          <w:rFonts w:eastAsia="Arial Unicode MS"/>
          <w:color w:val="auto"/>
          <w:sz w:val="22"/>
          <w:szCs w:val="22"/>
        </w:rPr>
        <w:t xml:space="preserve">. </w:t>
      </w:r>
      <w:r w:rsidRPr="009E7B6A">
        <w:rPr>
          <w:sz w:val="22"/>
          <w:szCs w:val="22"/>
        </w:rPr>
        <w:t xml:space="preserve">Unemployed men had almost twelve times higher odds of experiencing social distress than their employed or retired counterparts.   </w:t>
      </w:r>
      <w:r>
        <w:rPr>
          <w:sz w:val="22"/>
          <w:szCs w:val="22"/>
        </w:rPr>
        <w:t>The median age of men in Europe and in the United States of America (USA) at the time of their PCa diagnosis is decreasing</w:t>
      </w:r>
      <w:r w:rsidRPr="00B437EC">
        <w:rPr>
          <w:noProof/>
          <w:sz w:val="22"/>
          <w:szCs w:val="22"/>
          <w:vertAlign w:val="superscript"/>
        </w:rPr>
        <w:t>1</w:t>
      </w:r>
      <w:r>
        <w:rPr>
          <w:sz w:val="22"/>
          <w:szCs w:val="22"/>
        </w:rPr>
        <w:t xml:space="preserve">. This means more men of employment age will </w:t>
      </w:r>
      <w:r w:rsidR="00DA6F9F">
        <w:rPr>
          <w:sz w:val="22"/>
          <w:szCs w:val="22"/>
        </w:rPr>
        <w:t>rec</w:t>
      </w:r>
      <w:r w:rsidR="009C3A5E">
        <w:rPr>
          <w:sz w:val="22"/>
          <w:szCs w:val="22"/>
        </w:rPr>
        <w:t>e</w:t>
      </w:r>
      <w:r w:rsidR="00DA6F9F">
        <w:rPr>
          <w:sz w:val="22"/>
          <w:szCs w:val="22"/>
        </w:rPr>
        <w:t>ive</w:t>
      </w:r>
      <w:r>
        <w:rPr>
          <w:sz w:val="22"/>
          <w:szCs w:val="22"/>
        </w:rPr>
        <w:t xml:space="preserve"> </w:t>
      </w:r>
      <w:r w:rsidR="009C3A5E">
        <w:rPr>
          <w:sz w:val="22"/>
          <w:szCs w:val="22"/>
        </w:rPr>
        <w:t>a</w:t>
      </w:r>
      <w:r>
        <w:rPr>
          <w:sz w:val="22"/>
          <w:szCs w:val="22"/>
        </w:rPr>
        <w:t xml:space="preserve"> PCa </w:t>
      </w:r>
      <w:r w:rsidR="009C3A5E">
        <w:rPr>
          <w:sz w:val="22"/>
          <w:szCs w:val="22"/>
        </w:rPr>
        <w:t xml:space="preserve">diagnosis </w:t>
      </w:r>
      <w:r>
        <w:rPr>
          <w:sz w:val="22"/>
          <w:szCs w:val="22"/>
        </w:rPr>
        <w:t>than previously.  This expanding group of younger men</w:t>
      </w:r>
      <w:r w:rsidR="00277A07">
        <w:rPr>
          <w:sz w:val="22"/>
          <w:szCs w:val="22"/>
        </w:rPr>
        <w:t xml:space="preserve">, </w:t>
      </w:r>
      <w:r w:rsidR="00277A07" w:rsidRPr="00A9635B">
        <w:rPr>
          <w:color w:val="auto"/>
          <w:sz w:val="22"/>
          <w:szCs w:val="22"/>
        </w:rPr>
        <w:t>and the smaller number of unemployed older men</w:t>
      </w:r>
      <w:r w:rsidR="00277A07" w:rsidRPr="00A9635B">
        <w:rPr>
          <w:b/>
          <w:i/>
          <w:color w:val="auto"/>
          <w:sz w:val="22"/>
          <w:szCs w:val="22"/>
        </w:rPr>
        <w:t xml:space="preserve"> </w:t>
      </w:r>
      <w:r w:rsidRPr="009E7B6A">
        <w:rPr>
          <w:sz w:val="22"/>
          <w:szCs w:val="22"/>
        </w:rPr>
        <w:t>may benefit from information, signposting and advice regarding employment and financial matters from key trained staff</w:t>
      </w:r>
      <w:r w:rsidR="00B437EC">
        <w:rPr>
          <w:noProof/>
          <w:sz w:val="22"/>
          <w:szCs w:val="22"/>
          <w:vertAlign w:val="superscript"/>
        </w:rPr>
        <w:t>26</w:t>
      </w:r>
      <w:r w:rsidRPr="009E7B6A">
        <w:rPr>
          <w:sz w:val="22"/>
          <w:szCs w:val="22"/>
        </w:rPr>
        <w:t xml:space="preserve">. This would need </w:t>
      </w:r>
      <w:r w:rsidR="009C3A5E">
        <w:rPr>
          <w:sz w:val="22"/>
          <w:szCs w:val="22"/>
        </w:rPr>
        <w:t>careful introduction</w:t>
      </w:r>
      <w:r w:rsidRPr="009E7B6A">
        <w:rPr>
          <w:sz w:val="22"/>
          <w:szCs w:val="22"/>
        </w:rPr>
        <w:t xml:space="preserve">, as research suggests men may be resistant to intervention for fear of losing control or due to striving for </w:t>
      </w:r>
      <w:r w:rsidRPr="009E7B6A">
        <w:rPr>
          <w:sz w:val="22"/>
          <w:szCs w:val="22"/>
        </w:rPr>
        <w:lastRenderedPageBreak/>
        <w:t>‘normality’</w:t>
      </w:r>
      <w:r w:rsidR="00B437EC">
        <w:rPr>
          <w:noProof/>
          <w:sz w:val="22"/>
          <w:szCs w:val="22"/>
          <w:vertAlign w:val="superscript"/>
        </w:rPr>
        <w:t>27</w:t>
      </w:r>
      <w:r w:rsidRPr="009E7B6A">
        <w:rPr>
          <w:sz w:val="22"/>
          <w:szCs w:val="22"/>
        </w:rPr>
        <w:t>.   </w:t>
      </w:r>
      <w:r w:rsidRPr="00FB7B82">
        <w:rPr>
          <w:rFonts w:eastAsia="Arial Unicode MS"/>
          <w:color w:val="auto"/>
          <w:sz w:val="22"/>
          <w:szCs w:val="22"/>
        </w:rPr>
        <w:t xml:space="preserve"> </w:t>
      </w:r>
      <w:r w:rsidR="00793C8C">
        <w:rPr>
          <w:rFonts w:eastAsia="Arial Unicode MS"/>
          <w:color w:val="auto"/>
          <w:sz w:val="22"/>
          <w:szCs w:val="22"/>
        </w:rPr>
        <w:t xml:space="preserve">For older men, their </w:t>
      </w:r>
      <w:r w:rsidR="00793C8C" w:rsidRPr="00FB7B82">
        <w:rPr>
          <w:rFonts w:eastAsia="Arial Unicode MS"/>
          <w:color w:val="auto"/>
          <w:sz w:val="22"/>
          <w:szCs w:val="22"/>
        </w:rPr>
        <w:t>‘life stage’</w:t>
      </w:r>
      <w:r w:rsidR="00793C8C">
        <w:rPr>
          <w:rFonts w:eastAsia="Arial Unicode MS"/>
          <w:color w:val="auto"/>
          <w:sz w:val="22"/>
          <w:szCs w:val="22"/>
        </w:rPr>
        <w:t xml:space="preserve"> maybe reflects </w:t>
      </w:r>
      <w:r w:rsidR="00793C8C" w:rsidRPr="00FB7B82">
        <w:rPr>
          <w:rFonts w:eastAsia="Arial Unicode MS"/>
          <w:color w:val="auto"/>
          <w:sz w:val="22"/>
          <w:szCs w:val="22"/>
        </w:rPr>
        <w:t>struggling with age-related fatigue and general physical decline</w:t>
      </w:r>
      <w:r w:rsidR="009C3A5E">
        <w:rPr>
          <w:rFonts w:eastAsia="Arial Unicode MS"/>
          <w:color w:val="auto"/>
          <w:sz w:val="22"/>
          <w:szCs w:val="22"/>
        </w:rPr>
        <w:t>,</w:t>
      </w:r>
      <w:r w:rsidR="00793C8C" w:rsidRPr="00FB7B82">
        <w:rPr>
          <w:rFonts w:eastAsia="Arial Unicode MS"/>
          <w:color w:val="auto"/>
          <w:sz w:val="22"/>
          <w:szCs w:val="22"/>
        </w:rPr>
        <w:t xml:space="preserve"> </w:t>
      </w:r>
      <w:r w:rsidR="00793C8C" w:rsidRPr="00A9635B">
        <w:rPr>
          <w:rFonts w:eastAsia="Arial Unicode MS"/>
          <w:color w:val="auto"/>
          <w:sz w:val="22"/>
          <w:szCs w:val="22"/>
        </w:rPr>
        <w:t>impacting recovery from treatment</w:t>
      </w:r>
      <w:r w:rsidR="008C01C4" w:rsidRPr="00A9635B">
        <w:rPr>
          <w:rFonts w:eastAsia="Arial Unicode MS"/>
          <w:color w:val="auto"/>
          <w:sz w:val="22"/>
          <w:szCs w:val="22"/>
          <w:vertAlign w:val="superscript"/>
        </w:rPr>
        <w:t>24</w:t>
      </w:r>
      <w:r w:rsidR="00793C8C" w:rsidRPr="00A9635B">
        <w:rPr>
          <w:rFonts w:eastAsia="Arial Unicode MS"/>
          <w:color w:val="auto"/>
          <w:sz w:val="22"/>
          <w:szCs w:val="22"/>
        </w:rPr>
        <w:t xml:space="preserve">. Multi-morbidity is strongly associated with older age, with </w:t>
      </w:r>
      <w:r w:rsidR="00793C8C" w:rsidRPr="00A9635B">
        <w:rPr>
          <w:color w:val="auto"/>
          <w:sz w:val="22"/>
          <w:szCs w:val="22"/>
        </w:rPr>
        <w:t xml:space="preserve">the proportion of people in England with one or more diagnosed disease(s) increasing </w:t>
      </w:r>
      <w:r w:rsidR="009C3A5E" w:rsidRPr="00A9635B">
        <w:rPr>
          <w:color w:val="auto"/>
          <w:sz w:val="22"/>
          <w:szCs w:val="22"/>
        </w:rPr>
        <w:t>with age</w:t>
      </w:r>
      <w:r w:rsidR="00793C8C" w:rsidRPr="00A9635B">
        <w:rPr>
          <w:color w:val="auto"/>
          <w:sz w:val="22"/>
          <w:szCs w:val="22"/>
        </w:rPr>
        <w:t xml:space="preserve"> until plateau</w:t>
      </w:r>
      <w:r w:rsidR="009C3A5E" w:rsidRPr="00A9635B">
        <w:rPr>
          <w:color w:val="auto"/>
          <w:sz w:val="22"/>
          <w:szCs w:val="22"/>
        </w:rPr>
        <w:t>ing</w:t>
      </w:r>
      <w:r w:rsidR="00793C8C" w:rsidRPr="00A9635B">
        <w:rPr>
          <w:color w:val="auto"/>
          <w:sz w:val="22"/>
          <w:szCs w:val="22"/>
        </w:rPr>
        <w:t xml:space="preserve"> at over 90% in the 85</w:t>
      </w:r>
      <w:r w:rsidR="009C3A5E" w:rsidRPr="00A9635B">
        <w:rPr>
          <w:color w:val="auto"/>
          <w:sz w:val="22"/>
          <w:szCs w:val="22"/>
        </w:rPr>
        <w:t>-plus age groups</w:t>
      </w:r>
      <w:r w:rsidR="002D0AC4" w:rsidRPr="00A9635B">
        <w:rPr>
          <w:color w:val="auto"/>
          <w:sz w:val="22"/>
          <w:szCs w:val="22"/>
          <w:vertAlign w:val="superscript"/>
        </w:rPr>
        <w:t>28</w:t>
      </w:r>
      <w:r w:rsidR="002D0AC4" w:rsidRPr="00A9635B">
        <w:rPr>
          <w:color w:val="auto"/>
          <w:sz w:val="22"/>
          <w:szCs w:val="22"/>
        </w:rPr>
        <w:t>.</w:t>
      </w:r>
      <w:r w:rsidR="00793C8C" w:rsidRPr="00A9635B">
        <w:rPr>
          <w:rFonts w:eastAsia="Arial Unicode MS"/>
          <w:b/>
          <w:i/>
          <w:color w:val="auto"/>
          <w:sz w:val="22"/>
          <w:szCs w:val="22"/>
        </w:rPr>
        <w:t xml:space="preserve"> </w:t>
      </w:r>
      <w:r w:rsidR="00F2673F" w:rsidRPr="009E7B6A">
        <w:rPr>
          <w:rFonts w:eastAsia="Arial Unicode MS"/>
          <w:sz w:val="22"/>
          <w:szCs w:val="22"/>
        </w:rPr>
        <w:t xml:space="preserve">Having ≥3 </w:t>
      </w:r>
      <w:r w:rsidR="00F2673F">
        <w:rPr>
          <w:rFonts w:eastAsia="Arial Unicode MS"/>
          <w:sz w:val="22"/>
          <w:szCs w:val="22"/>
        </w:rPr>
        <w:t xml:space="preserve">comorbid </w:t>
      </w:r>
      <w:r w:rsidR="00F2673F" w:rsidRPr="009E7B6A">
        <w:rPr>
          <w:rFonts w:eastAsia="Arial Unicode MS"/>
          <w:sz w:val="22"/>
          <w:szCs w:val="22"/>
        </w:rPr>
        <w:t>LTCs increased the odds of social distress, almost five-fold. This echoes findings that multi-morbidity tends to be negatively associated with health related quality of life in men with PCa</w:t>
      </w:r>
      <w:r w:rsidR="00CF724E">
        <w:rPr>
          <w:rFonts w:eastAsia="Arial Unicode MS"/>
          <w:noProof/>
          <w:sz w:val="22"/>
          <w:szCs w:val="22"/>
          <w:vertAlign w:val="superscript"/>
        </w:rPr>
        <w:t>29</w:t>
      </w:r>
      <w:r w:rsidR="00F2673F" w:rsidRPr="009E7B6A">
        <w:rPr>
          <w:sz w:val="22"/>
          <w:szCs w:val="22"/>
        </w:rPr>
        <w:t>. Similarly, a Danish study demonstrated the expressed need for rehabilitation was significantly increased in cancer patients with multi-morbidity and this was particularly marked in men with PCa</w:t>
      </w:r>
      <w:r w:rsidR="00CF724E">
        <w:rPr>
          <w:noProof/>
          <w:sz w:val="22"/>
          <w:szCs w:val="22"/>
          <w:vertAlign w:val="superscript"/>
        </w:rPr>
        <w:t>30</w:t>
      </w:r>
      <w:r w:rsidR="00CF724E">
        <w:rPr>
          <w:noProof/>
          <w:sz w:val="22"/>
          <w:szCs w:val="22"/>
        </w:rPr>
        <w:t>.</w:t>
      </w:r>
      <w:r w:rsidR="00277A07" w:rsidRPr="00FB7B82">
        <w:rPr>
          <w:rFonts w:eastAsia="Arial Unicode MS"/>
          <w:color w:val="auto"/>
          <w:sz w:val="22"/>
          <w:szCs w:val="22"/>
        </w:rPr>
        <w:t xml:space="preserve"> </w:t>
      </w:r>
    </w:p>
    <w:p w14:paraId="32EE5C05" w14:textId="059BC931" w:rsidR="00277A07" w:rsidRDefault="00277A07" w:rsidP="00510544">
      <w:pPr>
        <w:spacing w:before="0" w:line="480" w:lineRule="auto"/>
        <w:rPr>
          <w:rFonts w:eastAsia="Arial Unicode MS"/>
          <w:color w:val="FF0000"/>
          <w:sz w:val="22"/>
          <w:szCs w:val="22"/>
        </w:rPr>
      </w:pPr>
    </w:p>
    <w:p w14:paraId="1BACFED4" w14:textId="1B54FEE6" w:rsidR="00F2673F" w:rsidRDefault="00F2673F" w:rsidP="00510544">
      <w:pPr>
        <w:spacing w:before="0" w:line="480" w:lineRule="auto"/>
        <w:rPr>
          <w:sz w:val="22"/>
          <w:szCs w:val="22"/>
        </w:rPr>
      </w:pPr>
      <w:r w:rsidRPr="009E7B6A">
        <w:rPr>
          <w:sz w:val="22"/>
          <w:szCs w:val="22"/>
        </w:rPr>
        <w:t>There were a number of other health related factors independently associated with social distress but to a lesser extent</w:t>
      </w:r>
      <w:r>
        <w:rPr>
          <w:sz w:val="22"/>
          <w:szCs w:val="22"/>
        </w:rPr>
        <w:t>:</w:t>
      </w:r>
      <w:r w:rsidRPr="009E7B6A">
        <w:rPr>
          <w:sz w:val="22"/>
          <w:szCs w:val="22"/>
        </w:rPr>
        <w:t xml:space="preserve"> Men who had consulted a health/social care professional for mental health related problems and those with a BMI &gt;30 </w:t>
      </w:r>
      <w:r>
        <w:rPr>
          <w:sz w:val="22"/>
          <w:szCs w:val="22"/>
        </w:rPr>
        <w:t>had greater odds of being</w:t>
      </w:r>
      <w:r w:rsidRPr="009E7B6A">
        <w:rPr>
          <w:sz w:val="22"/>
          <w:szCs w:val="22"/>
        </w:rPr>
        <w:t xml:space="preserve"> socially distressed.  </w:t>
      </w:r>
      <w:r w:rsidRPr="009E7B6A">
        <w:rPr>
          <w:rFonts w:eastAsia="Arial Unicode MS"/>
          <w:sz w:val="22"/>
          <w:szCs w:val="22"/>
        </w:rPr>
        <w:t xml:space="preserve"> PCa related clinical and treatment factors of most importance concerning social distress were being diagnosed with Stage IV disease and</w:t>
      </w:r>
      <w:r>
        <w:rPr>
          <w:rFonts w:eastAsia="Arial Unicode MS"/>
          <w:sz w:val="22"/>
          <w:szCs w:val="22"/>
        </w:rPr>
        <w:t>/or</w:t>
      </w:r>
      <w:r w:rsidRPr="009E7B6A">
        <w:rPr>
          <w:rFonts w:eastAsia="Arial Unicode MS"/>
          <w:sz w:val="22"/>
          <w:szCs w:val="22"/>
        </w:rPr>
        <w:t xml:space="preserve"> receiving systemic treatment or ADT.   </w:t>
      </w:r>
      <w:r>
        <w:rPr>
          <w:sz w:val="22"/>
          <w:szCs w:val="22"/>
          <w:lang w:val="en-US"/>
        </w:rPr>
        <w:t>There may well be a case for, in addition to PCa related factors, multi-morbidity and other health related problems to be included in modelling for risk-stratified care planning. Referral for specialist</w:t>
      </w:r>
      <w:r w:rsidRPr="00256FDF">
        <w:rPr>
          <w:sz w:val="22"/>
          <w:szCs w:val="22"/>
          <w:lang w:val="en-US"/>
        </w:rPr>
        <w:t xml:space="preserve"> </w:t>
      </w:r>
      <w:r>
        <w:rPr>
          <w:sz w:val="22"/>
          <w:szCs w:val="22"/>
          <w:lang w:val="en-US"/>
        </w:rPr>
        <w:t xml:space="preserve">rehabilitation (e.g. occupational therapy, physiotherapy, social work) may need to be a consideration for those with complex health problems. </w:t>
      </w:r>
    </w:p>
    <w:p w14:paraId="56B8DB0A" w14:textId="77777777" w:rsidR="00F2673F" w:rsidRPr="009E7B6A" w:rsidRDefault="00F2673F" w:rsidP="00510544">
      <w:pPr>
        <w:spacing w:before="0" w:line="480" w:lineRule="auto"/>
        <w:rPr>
          <w:sz w:val="22"/>
          <w:szCs w:val="22"/>
        </w:rPr>
      </w:pPr>
    </w:p>
    <w:p w14:paraId="0CB7E82D" w14:textId="644374D5" w:rsidR="00F2673F"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color w:val="auto"/>
          <w:sz w:val="22"/>
          <w:szCs w:val="22"/>
        </w:rPr>
      </w:pPr>
      <w:r>
        <w:rPr>
          <w:sz w:val="22"/>
          <w:szCs w:val="22"/>
        </w:rPr>
        <w:t>The odds of men w</w:t>
      </w:r>
      <w:r w:rsidRPr="009E7B6A">
        <w:rPr>
          <w:sz w:val="22"/>
          <w:szCs w:val="22"/>
        </w:rPr>
        <w:t xml:space="preserve">ho lived in the areas of greatest </w:t>
      </w:r>
      <w:r>
        <w:rPr>
          <w:rFonts w:eastAsia="Arial Unicode MS"/>
          <w:sz w:val="22"/>
          <w:szCs w:val="22"/>
        </w:rPr>
        <w:t xml:space="preserve">socio-economic </w:t>
      </w:r>
      <w:r w:rsidRPr="009E7B6A">
        <w:rPr>
          <w:sz w:val="22"/>
          <w:szCs w:val="22"/>
        </w:rPr>
        <w:t>deprivation report</w:t>
      </w:r>
      <w:r>
        <w:rPr>
          <w:sz w:val="22"/>
          <w:szCs w:val="22"/>
        </w:rPr>
        <w:t>ing</w:t>
      </w:r>
      <w:r w:rsidRPr="009E7B6A">
        <w:rPr>
          <w:sz w:val="22"/>
          <w:szCs w:val="22"/>
        </w:rPr>
        <w:t xml:space="preserve"> significant social distress</w:t>
      </w:r>
      <w:r>
        <w:rPr>
          <w:sz w:val="22"/>
          <w:szCs w:val="22"/>
        </w:rPr>
        <w:t xml:space="preserve"> were almost twice compared with their</w:t>
      </w:r>
      <w:r w:rsidRPr="009E7B6A">
        <w:rPr>
          <w:sz w:val="22"/>
          <w:szCs w:val="22"/>
        </w:rPr>
        <w:t xml:space="preserve"> most </w:t>
      </w:r>
      <w:r w:rsidRPr="009E7B6A">
        <w:rPr>
          <w:sz w:val="22"/>
          <w:szCs w:val="22"/>
        </w:rPr>
        <w:lastRenderedPageBreak/>
        <w:t xml:space="preserve">affluent counterparts. The proportion of distressed men increased across the </w:t>
      </w:r>
      <w:r>
        <w:rPr>
          <w:rFonts w:eastAsia="Arial Unicode MS"/>
          <w:sz w:val="22"/>
          <w:szCs w:val="22"/>
        </w:rPr>
        <w:t xml:space="preserve">socio-economic </w:t>
      </w:r>
      <w:r w:rsidRPr="009E7B6A">
        <w:rPr>
          <w:sz w:val="22"/>
          <w:szCs w:val="22"/>
        </w:rPr>
        <w:t>deprivation trajectory. The link between deprivation and poorer QoL has been observed elsewhere with role, social and emotional functioning, measured using the EORTC-QLQ-C30 at 12 months post radical prostatectomy, found to be influenced by income at the time of diagnosis</w:t>
      </w:r>
      <w:r w:rsidR="00CF724E">
        <w:rPr>
          <w:noProof/>
          <w:sz w:val="22"/>
          <w:szCs w:val="22"/>
          <w:vertAlign w:val="superscript"/>
        </w:rPr>
        <w:t>31</w:t>
      </w:r>
      <w:r w:rsidRPr="009E7B6A">
        <w:rPr>
          <w:sz w:val="22"/>
          <w:szCs w:val="22"/>
        </w:rPr>
        <w:t>.</w:t>
      </w:r>
      <w:r w:rsidRPr="009E7B6A">
        <w:rPr>
          <w:rFonts w:eastAsia="Arial Unicode MS"/>
          <w:sz w:val="22"/>
          <w:szCs w:val="22"/>
        </w:rPr>
        <w:t xml:space="preserve"> Other indicators of greater social distress included being separated or divorced</w:t>
      </w:r>
      <w:r>
        <w:rPr>
          <w:rFonts w:eastAsia="Arial Unicode MS"/>
          <w:sz w:val="22"/>
          <w:szCs w:val="22"/>
        </w:rPr>
        <w:t xml:space="preserve"> </w:t>
      </w:r>
      <w:r w:rsidRPr="009E7B6A">
        <w:rPr>
          <w:rFonts w:eastAsia="Arial Unicode MS"/>
          <w:sz w:val="22"/>
          <w:szCs w:val="22"/>
        </w:rPr>
        <w:t>and having caring responsibilities.  Having caring responsibili</w:t>
      </w:r>
      <w:r w:rsidR="00EE0808">
        <w:rPr>
          <w:rFonts w:eastAsia="Arial Unicode MS"/>
          <w:sz w:val="22"/>
          <w:szCs w:val="22"/>
        </w:rPr>
        <w:t>ti</w:t>
      </w:r>
      <w:r w:rsidR="00CF724E">
        <w:rPr>
          <w:rFonts w:eastAsia="Arial Unicode MS"/>
          <w:sz w:val="22"/>
          <w:szCs w:val="22"/>
        </w:rPr>
        <w:t>es</w:t>
      </w:r>
      <w:r w:rsidRPr="009E7B6A">
        <w:rPr>
          <w:rFonts w:eastAsia="Arial Unicode MS"/>
          <w:sz w:val="22"/>
          <w:szCs w:val="22"/>
        </w:rPr>
        <w:t xml:space="preserve"> impacted all three Social Distress subscales. As the population ages, ‘mutual caring’ is likely to become commonplace. Men with PCa caring for someone else may have to make difficult choices regarding treatment, based in part on their caring responsibilities. Checking ‘carer status’ across the patient pathway may help ensure discussion and support are provided in a timely manner. </w:t>
      </w:r>
      <w:r>
        <w:rPr>
          <w:rFonts w:eastAsia="Arial Unicode MS"/>
          <w:sz w:val="22"/>
          <w:szCs w:val="22"/>
        </w:rPr>
        <w:t xml:space="preserve">Being of non-white ethnicity was not associated with overall social distress, with </w:t>
      </w:r>
      <w:r w:rsidRPr="002264FC">
        <w:rPr>
          <w:rFonts w:eastAsia="Arial Unicode MS"/>
          <w:i/>
          <w:sz w:val="22"/>
          <w:szCs w:val="22"/>
        </w:rPr>
        <w:t>Ever</w:t>
      </w:r>
      <w:r>
        <w:rPr>
          <w:rFonts w:eastAsia="Arial Unicode MS"/>
          <w:i/>
          <w:sz w:val="22"/>
          <w:szCs w:val="22"/>
        </w:rPr>
        <w:t>y</w:t>
      </w:r>
      <w:r w:rsidRPr="002264FC">
        <w:rPr>
          <w:rFonts w:eastAsia="Arial Unicode MS"/>
          <w:i/>
          <w:sz w:val="22"/>
          <w:szCs w:val="22"/>
        </w:rPr>
        <w:t>day Living</w:t>
      </w:r>
      <w:r>
        <w:rPr>
          <w:rFonts w:eastAsia="Arial Unicode MS"/>
          <w:sz w:val="22"/>
          <w:szCs w:val="22"/>
        </w:rPr>
        <w:t xml:space="preserve"> or </w:t>
      </w:r>
      <w:r w:rsidRPr="002264FC">
        <w:rPr>
          <w:rFonts w:eastAsia="Arial Unicode MS"/>
          <w:i/>
          <w:sz w:val="22"/>
          <w:szCs w:val="22"/>
        </w:rPr>
        <w:t xml:space="preserve">Self and </w:t>
      </w:r>
      <w:r>
        <w:rPr>
          <w:rFonts w:eastAsia="Arial Unicode MS"/>
          <w:i/>
          <w:sz w:val="22"/>
          <w:szCs w:val="22"/>
        </w:rPr>
        <w:t>O</w:t>
      </w:r>
      <w:r w:rsidRPr="002264FC">
        <w:rPr>
          <w:rFonts w:eastAsia="Arial Unicode MS"/>
          <w:i/>
          <w:sz w:val="22"/>
          <w:szCs w:val="22"/>
        </w:rPr>
        <w:t>thers</w:t>
      </w:r>
      <w:r>
        <w:rPr>
          <w:rFonts w:eastAsia="Arial Unicode MS"/>
          <w:i/>
          <w:sz w:val="22"/>
          <w:szCs w:val="22"/>
        </w:rPr>
        <w:t xml:space="preserve"> subscales</w:t>
      </w:r>
      <w:r>
        <w:rPr>
          <w:rFonts w:eastAsia="Arial Unicode MS"/>
          <w:sz w:val="22"/>
          <w:szCs w:val="22"/>
        </w:rPr>
        <w:t xml:space="preserve">, but was of significance in the </w:t>
      </w:r>
      <w:r w:rsidRPr="002264FC">
        <w:rPr>
          <w:rFonts w:eastAsia="Arial Unicode MS"/>
          <w:i/>
          <w:sz w:val="22"/>
          <w:szCs w:val="22"/>
        </w:rPr>
        <w:t>Money Matters</w:t>
      </w:r>
      <w:r>
        <w:rPr>
          <w:rFonts w:eastAsia="Arial Unicode MS"/>
          <w:sz w:val="22"/>
          <w:szCs w:val="22"/>
        </w:rPr>
        <w:t xml:space="preserve"> </w:t>
      </w:r>
      <w:r w:rsidRPr="007F67D8">
        <w:rPr>
          <w:rFonts w:eastAsia="Arial Unicode MS"/>
          <w:sz w:val="22"/>
          <w:szCs w:val="22"/>
        </w:rPr>
        <w:t>subscale. In the UK</w:t>
      </w:r>
      <w:r w:rsidR="00E2259D">
        <w:rPr>
          <w:rFonts w:eastAsia="Arial Unicode MS"/>
          <w:sz w:val="22"/>
          <w:szCs w:val="22"/>
        </w:rPr>
        <w:t>,</w:t>
      </w:r>
      <w:r>
        <w:rPr>
          <w:rFonts w:eastAsia="Arial Unicode MS"/>
          <w:sz w:val="22"/>
          <w:szCs w:val="22"/>
        </w:rPr>
        <w:t xml:space="preserve"> medical costs are paid for by </w:t>
      </w:r>
      <w:r w:rsidRPr="007F67D8">
        <w:rPr>
          <w:rFonts w:eastAsia="Arial Unicode MS"/>
          <w:sz w:val="22"/>
          <w:szCs w:val="22"/>
        </w:rPr>
        <w:t>the NHS</w:t>
      </w:r>
      <w:r>
        <w:rPr>
          <w:rFonts w:eastAsia="Arial Unicode MS"/>
          <w:sz w:val="22"/>
          <w:szCs w:val="22"/>
        </w:rPr>
        <w:t>.</w:t>
      </w:r>
      <w:r w:rsidRPr="007F67D8">
        <w:rPr>
          <w:rFonts w:eastAsia="Arial Unicode MS"/>
          <w:sz w:val="22"/>
          <w:szCs w:val="22"/>
        </w:rPr>
        <w:t xml:space="preserve"> </w:t>
      </w:r>
      <w:r>
        <w:rPr>
          <w:rFonts w:eastAsia="Arial Unicode MS"/>
          <w:sz w:val="22"/>
          <w:szCs w:val="22"/>
        </w:rPr>
        <w:t xml:space="preserve">Where health costs are not part of a national health system the disparity between white and non-white ethnic groups may be wider. </w:t>
      </w:r>
      <w:r w:rsidRPr="007F67D8">
        <w:rPr>
          <w:rFonts w:eastAsia="Arial Unicode MS"/>
          <w:sz w:val="22"/>
          <w:szCs w:val="22"/>
        </w:rPr>
        <w:t xml:space="preserve">A qualitative metasynthesis of </w:t>
      </w:r>
      <w:r w:rsidRPr="007F67D8">
        <w:rPr>
          <w:sz w:val="22"/>
          <w:szCs w:val="22"/>
        </w:rPr>
        <w:t xml:space="preserve">ethnicity and the experience of PCa </w:t>
      </w:r>
      <w:r w:rsidRPr="007F67D8">
        <w:rPr>
          <w:rFonts w:eastAsia="Arial Unicode MS"/>
          <w:sz w:val="22"/>
          <w:szCs w:val="22"/>
        </w:rPr>
        <w:t xml:space="preserve">highlighted the </w:t>
      </w:r>
      <w:r>
        <w:rPr>
          <w:rFonts w:eastAsia="Arial Unicode MS"/>
          <w:sz w:val="22"/>
          <w:szCs w:val="22"/>
        </w:rPr>
        <w:t xml:space="preserve">marked </w:t>
      </w:r>
      <w:r w:rsidRPr="007F67D8">
        <w:rPr>
          <w:rFonts w:eastAsia="Arial Unicode MS"/>
          <w:sz w:val="22"/>
          <w:szCs w:val="22"/>
        </w:rPr>
        <w:t>f</w:t>
      </w:r>
      <w:r w:rsidRPr="007F67D8">
        <w:rPr>
          <w:rFonts w:eastAsia="Times New Roman"/>
          <w:color w:val="auto"/>
          <w:sz w:val="22"/>
          <w:szCs w:val="22"/>
        </w:rPr>
        <w:t xml:space="preserve">inancial burden arising from the cost of treatment </w:t>
      </w:r>
      <w:r w:rsidRPr="002264FC">
        <w:rPr>
          <w:rFonts w:eastAsia="Times New Roman"/>
          <w:color w:val="auto"/>
          <w:sz w:val="22"/>
          <w:szCs w:val="22"/>
        </w:rPr>
        <w:t xml:space="preserve">and </w:t>
      </w:r>
      <w:r w:rsidRPr="007F67D8">
        <w:rPr>
          <w:rFonts w:eastAsia="Times New Roman"/>
          <w:color w:val="auto"/>
          <w:sz w:val="22"/>
          <w:szCs w:val="22"/>
        </w:rPr>
        <w:t>services experienced by minority ethnic groups in the USA</w:t>
      </w:r>
      <w:r w:rsidR="00CF724E">
        <w:rPr>
          <w:rFonts w:eastAsia="Times New Roman"/>
          <w:noProof/>
          <w:color w:val="auto"/>
          <w:sz w:val="22"/>
          <w:szCs w:val="22"/>
          <w:vertAlign w:val="superscript"/>
        </w:rPr>
        <w:t>32</w:t>
      </w:r>
      <w:r>
        <w:rPr>
          <w:rFonts w:eastAsia="Times New Roman"/>
          <w:color w:val="auto"/>
          <w:sz w:val="22"/>
          <w:szCs w:val="22"/>
        </w:rPr>
        <w:t>.</w:t>
      </w:r>
    </w:p>
    <w:p w14:paraId="39D2A2DC" w14:textId="77777777" w:rsidR="00DE5096" w:rsidRDefault="00DE5096"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color w:val="auto"/>
          <w:sz w:val="20"/>
          <w:szCs w:val="20"/>
        </w:rPr>
      </w:pPr>
    </w:p>
    <w:p w14:paraId="0652BC26" w14:textId="1C5A2D8D" w:rsidR="00F2673F" w:rsidRPr="00024E58"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b/>
          <w:i/>
          <w:color w:val="FF0000"/>
          <w:sz w:val="22"/>
          <w:szCs w:val="22"/>
        </w:rPr>
      </w:pPr>
      <w:r w:rsidRPr="00773F45">
        <w:rPr>
          <w:sz w:val="22"/>
          <w:szCs w:val="22"/>
        </w:rPr>
        <w:t>Although this survey included a</w:t>
      </w:r>
      <w:r w:rsidRPr="009E7B6A">
        <w:rPr>
          <w:sz w:val="22"/>
          <w:szCs w:val="22"/>
        </w:rPr>
        <w:t xml:space="preserve"> very large sample, there are a number of limitations. The data reported are cross-sectional and therefore, although associations between variables may be strong, causation cannot be inferred. The data provide </w:t>
      </w:r>
      <w:r w:rsidRPr="009E7B6A">
        <w:rPr>
          <w:sz w:val="22"/>
          <w:szCs w:val="22"/>
        </w:rPr>
        <w:lastRenderedPageBreak/>
        <w:t xml:space="preserve">a ‘snap-shot’ of the experience of men </w:t>
      </w:r>
      <w:r>
        <w:rPr>
          <w:sz w:val="22"/>
          <w:szCs w:val="22"/>
        </w:rPr>
        <w:t>between</w:t>
      </w:r>
      <w:r w:rsidRPr="009E7B6A">
        <w:rPr>
          <w:sz w:val="22"/>
          <w:szCs w:val="22"/>
        </w:rPr>
        <w:t xml:space="preserve"> </w:t>
      </w:r>
      <w:r>
        <w:rPr>
          <w:sz w:val="22"/>
          <w:szCs w:val="22"/>
        </w:rPr>
        <w:t>18-42 months</w:t>
      </w:r>
      <w:r w:rsidRPr="009E7B6A">
        <w:rPr>
          <w:sz w:val="22"/>
          <w:szCs w:val="22"/>
        </w:rPr>
        <w:t xml:space="preserve"> post PCa diagnosis</w:t>
      </w:r>
      <w:r>
        <w:rPr>
          <w:sz w:val="22"/>
          <w:szCs w:val="22"/>
        </w:rPr>
        <w:t xml:space="preserve">. </w:t>
      </w:r>
      <w:r w:rsidR="00E861B4" w:rsidRPr="00A9635B">
        <w:rPr>
          <w:color w:val="auto"/>
          <w:sz w:val="22"/>
          <w:szCs w:val="22"/>
        </w:rPr>
        <w:t xml:space="preserve">Stage of disease at the time of the survey was not </w:t>
      </w:r>
      <w:r w:rsidR="00B41CE3" w:rsidRPr="00A9635B">
        <w:rPr>
          <w:color w:val="auto"/>
          <w:sz w:val="22"/>
          <w:szCs w:val="22"/>
        </w:rPr>
        <w:t>known, therefore no measure of disease progression was available</w:t>
      </w:r>
      <w:r w:rsidR="009C3A5E" w:rsidRPr="00A9635B">
        <w:rPr>
          <w:color w:val="auto"/>
          <w:sz w:val="22"/>
          <w:szCs w:val="22"/>
        </w:rPr>
        <w:t>.</w:t>
      </w:r>
      <w:r w:rsidR="009C3A5E" w:rsidRPr="00A9635B">
        <w:rPr>
          <w:b/>
          <w:i/>
          <w:color w:val="auto"/>
          <w:sz w:val="22"/>
          <w:szCs w:val="22"/>
        </w:rPr>
        <w:t xml:space="preserve"> </w:t>
      </w:r>
      <w:r w:rsidR="00E861B4" w:rsidRPr="00A9635B">
        <w:rPr>
          <w:b/>
          <w:i/>
          <w:color w:val="auto"/>
          <w:sz w:val="22"/>
          <w:szCs w:val="22"/>
        </w:rPr>
        <w:t xml:space="preserve"> </w:t>
      </w:r>
      <w:r w:rsidR="009C3A5E" w:rsidRPr="009C3A5E">
        <w:rPr>
          <w:color w:val="auto"/>
          <w:sz w:val="22"/>
          <w:szCs w:val="22"/>
        </w:rPr>
        <w:t xml:space="preserve">The  </w:t>
      </w:r>
      <w:r w:rsidR="009C3A5E">
        <w:rPr>
          <w:sz w:val="22"/>
          <w:szCs w:val="22"/>
        </w:rPr>
        <w:t xml:space="preserve">ProtecT study demonstrated that by 12 months, men with </w:t>
      </w:r>
      <w:r w:rsidR="009C3A5E" w:rsidRPr="008B4E1B">
        <w:rPr>
          <w:sz w:val="22"/>
          <w:szCs w:val="22"/>
        </w:rPr>
        <w:t>clinically locali</w:t>
      </w:r>
      <w:r w:rsidR="009C3A5E">
        <w:rPr>
          <w:sz w:val="22"/>
          <w:szCs w:val="22"/>
        </w:rPr>
        <w:t>s</w:t>
      </w:r>
      <w:r w:rsidR="009C3A5E" w:rsidRPr="008B4E1B">
        <w:rPr>
          <w:sz w:val="22"/>
          <w:szCs w:val="22"/>
        </w:rPr>
        <w:t>ed disease</w:t>
      </w:r>
      <w:r w:rsidR="009C3A5E">
        <w:rPr>
          <w:sz w:val="22"/>
          <w:szCs w:val="22"/>
        </w:rPr>
        <w:t xml:space="preserve"> at diagnosis had relatively stable physical and mental health scores which remained steady over the following five years</w:t>
      </w:r>
      <w:r w:rsidR="009C3A5E" w:rsidRPr="00CF724E">
        <w:rPr>
          <w:noProof/>
          <w:sz w:val="22"/>
          <w:szCs w:val="22"/>
          <w:vertAlign w:val="superscript"/>
        </w:rPr>
        <w:t>2</w:t>
      </w:r>
      <w:r w:rsidR="009C3A5E">
        <w:rPr>
          <w:sz w:val="22"/>
          <w:szCs w:val="22"/>
        </w:rPr>
        <w:t>. In the LAPCD study almost two thirds of men were diagnosed with stage I or II disease, and therefore it seems possible that, as with physical and mental health, social distress may be relatively stable over this time period</w:t>
      </w:r>
      <w:r w:rsidR="009C3A5E" w:rsidRPr="00A9635B">
        <w:rPr>
          <w:color w:val="auto"/>
          <w:sz w:val="22"/>
          <w:szCs w:val="22"/>
        </w:rPr>
        <w:t xml:space="preserve">. </w:t>
      </w:r>
      <w:r w:rsidR="00024E58" w:rsidRPr="00A9635B">
        <w:rPr>
          <w:color w:val="auto"/>
          <w:sz w:val="22"/>
          <w:szCs w:val="22"/>
        </w:rPr>
        <w:t>M</w:t>
      </w:r>
      <w:r w:rsidR="009C3A5E" w:rsidRPr="00A9635B">
        <w:rPr>
          <w:color w:val="auto"/>
          <w:sz w:val="22"/>
          <w:szCs w:val="22"/>
        </w:rPr>
        <w:t>en with advancing disease may experience greater levels of social distress</w:t>
      </w:r>
      <w:r w:rsidR="00024E58" w:rsidRPr="00A9635B">
        <w:rPr>
          <w:color w:val="auto"/>
          <w:sz w:val="22"/>
          <w:szCs w:val="22"/>
        </w:rPr>
        <w:t xml:space="preserve"> </w:t>
      </w:r>
      <w:r w:rsidR="006532CE" w:rsidRPr="00A9635B">
        <w:rPr>
          <w:color w:val="auto"/>
          <w:sz w:val="22"/>
          <w:szCs w:val="22"/>
        </w:rPr>
        <w:t>but this cannot be ascertain</w:t>
      </w:r>
      <w:r w:rsidR="00B41CE3" w:rsidRPr="00A9635B">
        <w:rPr>
          <w:color w:val="auto"/>
          <w:sz w:val="22"/>
          <w:szCs w:val="22"/>
        </w:rPr>
        <w:t>ed</w:t>
      </w:r>
      <w:r w:rsidR="00024E58" w:rsidRPr="00A9635B">
        <w:rPr>
          <w:color w:val="auto"/>
          <w:sz w:val="22"/>
          <w:szCs w:val="22"/>
        </w:rPr>
        <w:t xml:space="preserve"> from </w:t>
      </w:r>
      <w:r w:rsidR="00B41CE3" w:rsidRPr="00A9635B">
        <w:rPr>
          <w:color w:val="auto"/>
          <w:sz w:val="22"/>
          <w:szCs w:val="22"/>
        </w:rPr>
        <w:t xml:space="preserve">the </w:t>
      </w:r>
      <w:r w:rsidR="006532CE" w:rsidRPr="00A9635B">
        <w:rPr>
          <w:color w:val="auto"/>
          <w:sz w:val="22"/>
          <w:szCs w:val="22"/>
        </w:rPr>
        <w:t xml:space="preserve">available </w:t>
      </w:r>
      <w:r w:rsidR="00024E58" w:rsidRPr="00A9635B">
        <w:rPr>
          <w:color w:val="auto"/>
          <w:sz w:val="22"/>
          <w:szCs w:val="22"/>
        </w:rPr>
        <w:t>data</w:t>
      </w:r>
      <w:r w:rsidR="009C3A5E" w:rsidRPr="00A9635B">
        <w:rPr>
          <w:color w:val="auto"/>
          <w:sz w:val="22"/>
          <w:szCs w:val="22"/>
        </w:rPr>
        <w:t xml:space="preserve">. Likewise, ongoing treatments may influence social distress but </w:t>
      </w:r>
      <w:r w:rsidR="00024E58" w:rsidRPr="00A9635B">
        <w:rPr>
          <w:color w:val="auto"/>
          <w:sz w:val="22"/>
          <w:szCs w:val="22"/>
        </w:rPr>
        <w:t xml:space="preserve">data were </w:t>
      </w:r>
      <w:r w:rsidR="006532CE" w:rsidRPr="00A9635B">
        <w:rPr>
          <w:color w:val="auto"/>
          <w:sz w:val="22"/>
          <w:szCs w:val="22"/>
        </w:rPr>
        <w:t>un</w:t>
      </w:r>
      <w:r w:rsidR="00024E58" w:rsidRPr="00A9635B">
        <w:rPr>
          <w:color w:val="auto"/>
          <w:sz w:val="22"/>
          <w:szCs w:val="22"/>
        </w:rPr>
        <w:t>available to test this</w:t>
      </w:r>
      <w:r w:rsidR="009C3A5E" w:rsidRPr="00A9635B">
        <w:rPr>
          <w:color w:val="auto"/>
          <w:sz w:val="22"/>
          <w:szCs w:val="22"/>
        </w:rPr>
        <w:t>.</w:t>
      </w:r>
      <w:r w:rsidR="00024E58" w:rsidRPr="00A9635B">
        <w:rPr>
          <w:color w:val="auto"/>
          <w:sz w:val="22"/>
          <w:szCs w:val="22"/>
        </w:rPr>
        <w:t xml:space="preserve"> </w:t>
      </w:r>
      <w:r w:rsidR="006532CE" w:rsidRPr="00A9635B">
        <w:rPr>
          <w:color w:val="auto"/>
          <w:sz w:val="22"/>
          <w:szCs w:val="22"/>
        </w:rPr>
        <w:t>Self</w:t>
      </w:r>
      <w:r w:rsidR="00C23E3F" w:rsidRPr="00A9635B">
        <w:rPr>
          <w:color w:val="auto"/>
          <w:sz w:val="22"/>
          <w:szCs w:val="22"/>
        </w:rPr>
        <w:t xml:space="preserve">-report was </w:t>
      </w:r>
      <w:r w:rsidR="006532CE" w:rsidRPr="00A9635B">
        <w:rPr>
          <w:color w:val="auto"/>
          <w:sz w:val="22"/>
          <w:szCs w:val="22"/>
        </w:rPr>
        <w:t xml:space="preserve">the only way to collect all treatment information. Although less reliable than medical record review, </w:t>
      </w:r>
      <w:r w:rsidR="00D36596" w:rsidRPr="00A9635B">
        <w:rPr>
          <w:color w:val="auto"/>
          <w:sz w:val="22"/>
          <w:szCs w:val="22"/>
        </w:rPr>
        <w:t xml:space="preserve">agreement between self-report and record review has been found </w:t>
      </w:r>
      <w:r w:rsidR="00B41CE3" w:rsidRPr="00A9635B">
        <w:rPr>
          <w:color w:val="auto"/>
          <w:sz w:val="22"/>
          <w:szCs w:val="22"/>
        </w:rPr>
        <w:t xml:space="preserve">to be </w:t>
      </w:r>
      <w:r w:rsidR="00D36596" w:rsidRPr="00A9635B">
        <w:rPr>
          <w:color w:val="auto"/>
          <w:sz w:val="22"/>
          <w:szCs w:val="22"/>
        </w:rPr>
        <w:t>excellent for surgery and radiotherapy, with decreasing agreement for hormone therapies</w:t>
      </w:r>
      <w:r w:rsidR="002E225B" w:rsidRPr="00A9635B">
        <w:rPr>
          <w:color w:val="auto"/>
          <w:sz w:val="22"/>
          <w:szCs w:val="22"/>
          <w:vertAlign w:val="superscript"/>
        </w:rPr>
        <w:t>33</w:t>
      </w:r>
      <w:r w:rsidR="00D36596" w:rsidRPr="00A9635B">
        <w:rPr>
          <w:color w:val="auto"/>
          <w:sz w:val="22"/>
          <w:szCs w:val="22"/>
        </w:rPr>
        <w:t>.</w:t>
      </w:r>
      <w:r w:rsidR="009C3A5E" w:rsidRPr="00A9635B">
        <w:rPr>
          <w:color w:val="auto"/>
          <w:sz w:val="22"/>
          <w:szCs w:val="22"/>
        </w:rPr>
        <w:t xml:space="preserve">  </w:t>
      </w:r>
      <w:r w:rsidR="00C23E3F" w:rsidRPr="00A9635B">
        <w:rPr>
          <w:color w:val="auto"/>
          <w:sz w:val="22"/>
          <w:szCs w:val="22"/>
        </w:rPr>
        <w:t>Many different treatment combinations were reported; some combinations too small to report separately. Based on clinical feedback, ten single and combination treatment groups with the largest numbers of men and highest clinical relevance were included in analyses</w:t>
      </w:r>
      <w:r w:rsidR="009C3A5E" w:rsidRPr="00A9635B">
        <w:rPr>
          <w:color w:val="auto"/>
          <w:sz w:val="22"/>
          <w:szCs w:val="22"/>
        </w:rPr>
        <w:t>.</w:t>
      </w:r>
      <w:r w:rsidR="00C23E3F" w:rsidRPr="00A9635B">
        <w:rPr>
          <w:b/>
          <w:i/>
          <w:color w:val="auto"/>
          <w:sz w:val="22"/>
          <w:szCs w:val="22"/>
        </w:rPr>
        <w:t xml:space="preserve"> </w:t>
      </w:r>
      <w:r>
        <w:rPr>
          <w:sz w:val="22"/>
          <w:szCs w:val="22"/>
        </w:rPr>
        <w:t xml:space="preserve">As </w:t>
      </w:r>
      <w:r w:rsidR="00DA2887">
        <w:rPr>
          <w:sz w:val="22"/>
          <w:szCs w:val="22"/>
        </w:rPr>
        <w:t>d</w:t>
      </w:r>
      <w:r w:rsidR="00DA2887" w:rsidRPr="009E7B6A">
        <w:rPr>
          <w:sz w:val="22"/>
          <w:szCs w:val="22"/>
        </w:rPr>
        <w:t xml:space="preserve">ata </w:t>
      </w:r>
      <w:r w:rsidRPr="009E7B6A">
        <w:rPr>
          <w:sz w:val="22"/>
          <w:szCs w:val="22"/>
        </w:rPr>
        <w:t>were missing both from cancer registration systems (e.g. stage at diagnosis) and from participant self-report (e.g. height and weight for BMI calculation)</w:t>
      </w:r>
      <w:r w:rsidR="00196578">
        <w:rPr>
          <w:sz w:val="22"/>
          <w:szCs w:val="22"/>
        </w:rPr>
        <w:t xml:space="preserve">, </w:t>
      </w:r>
      <w:r w:rsidR="00EF1C7E" w:rsidRPr="009E7B6A">
        <w:rPr>
          <w:sz w:val="22"/>
          <w:szCs w:val="22"/>
        </w:rPr>
        <w:t>generali</w:t>
      </w:r>
      <w:r w:rsidR="0064642C">
        <w:rPr>
          <w:sz w:val="22"/>
          <w:szCs w:val="22"/>
        </w:rPr>
        <w:t>s</w:t>
      </w:r>
      <w:r w:rsidR="00EF1C7E" w:rsidRPr="009E7B6A">
        <w:rPr>
          <w:sz w:val="22"/>
          <w:szCs w:val="22"/>
        </w:rPr>
        <w:t xml:space="preserve">ation </w:t>
      </w:r>
      <w:r w:rsidRPr="009E7B6A">
        <w:rPr>
          <w:sz w:val="22"/>
          <w:szCs w:val="22"/>
        </w:rPr>
        <w:t xml:space="preserve">of the results should be undertaken with some caution. However, as the overall response rate was reasonably high (&gt;60%) and the sample size large, these findings remain the most comprehensive and highest quality available to date.  </w:t>
      </w:r>
      <w:r>
        <w:rPr>
          <w:sz w:val="22"/>
          <w:szCs w:val="22"/>
        </w:rPr>
        <w:t xml:space="preserve">As the response rates of non-white men and of men living in areas of </w:t>
      </w:r>
      <w:r>
        <w:rPr>
          <w:sz w:val="22"/>
          <w:szCs w:val="22"/>
        </w:rPr>
        <w:lastRenderedPageBreak/>
        <w:t xml:space="preserve">greater </w:t>
      </w:r>
      <w:r>
        <w:rPr>
          <w:rFonts w:eastAsia="Arial Unicode MS"/>
          <w:sz w:val="22"/>
          <w:szCs w:val="22"/>
        </w:rPr>
        <w:t xml:space="preserve">socio-economic </w:t>
      </w:r>
      <w:r>
        <w:rPr>
          <w:sz w:val="22"/>
          <w:szCs w:val="22"/>
        </w:rPr>
        <w:t xml:space="preserve">deprivation were lower than that of white men and of men living in less deprived areas, respectively, </w:t>
      </w:r>
      <w:r w:rsidRPr="009E7B6A">
        <w:rPr>
          <w:sz w:val="22"/>
          <w:szCs w:val="22"/>
        </w:rPr>
        <w:t xml:space="preserve">the level of social distress reported </w:t>
      </w:r>
      <w:r>
        <w:rPr>
          <w:sz w:val="22"/>
          <w:szCs w:val="22"/>
        </w:rPr>
        <w:t>may be</w:t>
      </w:r>
      <w:r w:rsidRPr="009E7B6A">
        <w:rPr>
          <w:sz w:val="22"/>
          <w:szCs w:val="22"/>
        </w:rPr>
        <w:t xml:space="preserve"> an underestimate. Co-morbidities were self-reported, which may be thought unreliable. However, a recent study demonstrated comorbidities reported by men with PCa were similar to those extracted from medical records</w:t>
      </w:r>
      <w:r w:rsidR="002E225B">
        <w:rPr>
          <w:noProof/>
          <w:sz w:val="22"/>
          <w:szCs w:val="22"/>
          <w:vertAlign w:val="superscript"/>
        </w:rPr>
        <w:t>33</w:t>
      </w:r>
      <w:r w:rsidRPr="009E7B6A">
        <w:rPr>
          <w:sz w:val="22"/>
          <w:szCs w:val="22"/>
        </w:rPr>
        <w:t xml:space="preserve">.  </w:t>
      </w:r>
      <w:r w:rsidRPr="009E7B6A">
        <w:rPr>
          <w:rFonts w:eastAsia="Arial Unicode MS"/>
          <w:sz w:val="22"/>
          <w:szCs w:val="22"/>
        </w:rPr>
        <w:t xml:space="preserve">Lastly, men who did not self-report or were unsure about their treatment were not included in the analyses; however, the pattern in the results was similar when all respondents were included in the analyses (results not shown). Ideally, we would have liked to obtain general population data from across the UK but this was </w:t>
      </w:r>
      <w:r>
        <w:rPr>
          <w:rFonts w:eastAsia="Arial Unicode MS"/>
          <w:sz w:val="22"/>
          <w:szCs w:val="22"/>
        </w:rPr>
        <w:t>beyond</w:t>
      </w:r>
      <w:r w:rsidRPr="009E7B6A">
        <w:rPr>
          <w:rFonts w:eastAsia="Arial Unicode MS"/>
          <w:sz w:val="22"/>
          <w:szCs w:val="22"/>
        </w:rPr>
        <w:t xml:space="preserve"> the scope of this research. </w:t>
      </w:r>
    </w:p>
    <w:p w14:paraId="2F08C151" w14:textId="0A688EFD" w:rsidR="00F2673F" w:rsidRDefault="00F2673F" w:rsidP="00510544">
      <w:pPr>
        <w:spacing w:before="0" w:line="480" w:lineRule="auto"/>
        <w:rPr>
          <w:sz w:val="22"/>
          <w:szCs w:val="22"/>
        </w:rPr>
      </w:pPr>
    </w:p>
    <w:p w14:paraId="6842496A" w14:textId="38906444" w:rsidR="006918C9" w:rsidRPr="006918C9" w:rsidRDefault="006918C9" w:rsidP="00510544">
      <w:pPr>
        <w:spacing w:before="0" w:line="480" w:lineRule="auto"/>
        <w:rPr>
          <w:b/>
          <w:sz w:val="22"/>
          <w:szCs w:val="22"/>
        </w:rPr>
      </w:pPr>
      <w:r w:rsidRPr="006918C9">
        <w:rPr>
          <w:b/>
          <w:sz w:val="22"/>
          <w:szCs w:val="22"/>
        </w:rPr>
        <w:t>Conclusions</w:t>
      </w:r>
    </w:p>
    <w:p w14:paraId="7DED0D26" w14:textId="6AA4348A" w:rsidR="00F2673F" w:rsidRDefault="00F2673F" w:rsidP="00510544">
      <w:pPr>
        <w:spacing w:before="0" w:line="480" w:lineRule="auto"/>
        <w:rPr>
          <w:sz w:val="22"/>
          <w:szCs w:val="22"/>
        </w:rPr>
      </w:pPr>
      <w:r w:rsidRPr="009E7B6A">
        <w:rPr>
          <w:sz w:val="22"/>
          <w:szCs w:val="22"/>
        </w:rPr>
        <w:t xml:space="preserve">This study has highlighted </w:t>
      </w:r>
      <w:r>
        <w:rPr>
          <w:sz w:val="22"/>
          <w:szCs w:val="22"/>
        </w:rPr>
        <w:t xml:space="preserve">that </w:t>
      </w:r>
      <w:r w:rsidRPr="009E7B6A">
        <w:rPr>
          <w:sz w:val="22"/>
          <w:szCs w:val="22"/>
        </w:rPr>
        <w:t>the majority of men living 18-42 months following a diagnosis of PCa report little social distress.  We have been able to identify common factors associated with social distress which mirror closely our earlier findings from a PROMs survey of people following a diagnosis of colorectal cancer in England</w:t>
      </w:r>
      <w:r w:rsidR="002E225B">
        <w:rPr>
          <w:noProof/>
          <w:sz w:val="22"/>
          <w:szCs w:val="22"/>
          <w:vertAlign w:val="superscript"/>
        </w:rPr>
        <w:t>10</w:t>
      </w:r>
      <w:r w:rsidRPr="009E7B6A">
        <w:rPr>
          <w:sz w:val="22"/>
          <w:szCs w:val="22"/>
        </w:rPr>
        <w:t>. The identification of these factors has direct and valuable clinical application.  Awareness of the most vulnerable groups of men is essential to ensure appropriate provision of support.  The social distress risk factors identified in this study can easily be ‘flagged’ in the clinical setting without any major resource expenditure.  Reference to a simple checklist (Box 1) to remind clinicians of men at greatest risk of social distress may inform judicious and risk-stratified utilisation of frequently stretched psychosocial support and rehabilitation resources.  For policy-makers</w:t>
      </w:r>
      <w:r>
        <w:rPr>
          <w:sz w:val="22"/>
          <w:szCs w:val="22"/>
        </w:rPr>
        <w:t>, commissioners</w:t>
      </w:r>
      <w:r w:rsidRPr="009E7B6A">
        <w:rPr>
          <w:sz w:val="22"/>
          <w:szCs w:val="22"/>
        </w:rPr>
        <w:t xml:space="preserve"> and </w:t>
      </w:r>
      <w:r>
        <w:rPr>
          <w:sz w:val="22"/>
          <w:szCs w:val="22"/>
        </w:rPr>
        <w:t>providers</w:t>
      </w:r>
      <w:r w:rsidRPr="009E7B6A">
        <w:rPr>
          <w:sz w:val="22"/>
          <w:szCs w:val="22"/>
        </w:rPr>
        <w:t xml:space="preserve"> of health and social </w:t>
      </w:r>
      <w:r w:rsidRPr="009E7B6A">
        <w:rPr>
          <w:sz w:val="22"/>
          <w:szCs w:val="22"/>
        </w:rPr>
        <w:lastRenderedPageBreak/>
        <w:t>care, an understanding of these risk factors will support delivery of appropriate targeted interventions to maxim</w:t>
      </w:r>
      <w:r>
        <w:rPr>
          <w:sz w:val="22"/>
          <w:szCs w:val="22"/>
        </w:rPr>
        <w:t>i</w:t>
      </w:r>
      <w:r w:rsidR="00304885">
        <w:rPr>
          <w:sz w:val="22"/>
          <w:szCs w:val="22"/>
        </w:rPr>
        <w:t>s</w:t>
      </w:r>
      <w:r>
        <w:rPr>
          <w:sz w:val="22"/>
          <w:szCs w:val="22"/>
        </w:rPr>
        <w:t>e</w:t>
      </w:r>
      <w:r w:rsidRPr="009E7B6A">
        <w:rPr>
          <w:sz w:val="22"/>
          <w:szCs w:val="22"/>
        </w:rPr>
        <w:t xml:space="preserve"> quality of survival</w:t>
      </w:r>
      <w:r w:rsidR="00B807A0">
        <w:rPr>
          <w:sz w:val="22"/>
          <w:szCs w:val="22"/>
        </w:rPr>
        <w:t xml:space="preserve">. </w:t>
      </w:r>
      <w:r w:rsidRPr="009E7B6A">
        <w:rPr>
          <w:sz w:val="22"/>
          <w:szCs w:val="22"/>
        </w:rPr>
        <w:t xml:space="preserve"> </w:t>
      </w:r>
    </w:p>
    <w:p w14:paraId="0A1E6B03" w14:textId="77777777" w:rsidR="00F2673F" w:rsidRDefault="00F2673F" w:rsidP="00510544">
      <w:pPr>
        <w:pBdr>
          <w:top w:val="none" w:sz="0" w:space="0" w:color="auto"/>
          <w:left w:val="none" w:sz="0" w:space="0" w:color="auto"/>
          <w:bottom w:val="none" w:sz="0" w:space="0" w:color="auto"/>
          <w:right w:val="none" w:sz="0" w:space="0" w:color="auto"/>
          <w:between w:val="none" w:sz="0" w:space="0" w:color="auto"/>
        </w:pBdr>
        <w:spacing w:before="0" w:line="480" w:lineRule="auto"/>
        <w:rPr>
          <w:sz w:val="22"/>
          <w:szCs w:val="22"/>
        </w:rPr>
      </w:pPr>
      <w:r>
        <w:rPr>
          <w:sz w:val="22"/>
          <w:szCs w:val="22"/>
        </w:rPr>
        <w:br w:type="page"/>
      </w:r>
    </w:p>
    <w:p w14:paraId="3023DFD7" w14:textId="250A1295" w:rsidR="00AE1735" w:rsidRDefault="00AE1735" w:rsidP="00AE1735">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b/>
          <w:color w:val="auto"/>
          <w:sz w:val="22"/>
          <w:szCs w:val="22"/>
        </w:rPr>
      </w:pPr>
      <w:r w:rsidRPr="00AE1735">
        <w:rPr>
          <w:rFonts w:eastAsia="Times New Roman"/>
          <w:b/>
          <w:color w:val="auto"/>
          <w:sz w:val="22"/>
          <w:szCs w:val="22"/>
        </w:rPr>
        <w:lastRenderedPageBreak/>
        <w:t>Funding</w:t>
      </w:r>
    </w:p>
    <w:p w14:paraId="21FBD6B0" w14:textId="3E9963E6" w:rsidR="00AE1735" w:rsidRPr="00D85486" w:rsidRDefault="001C4245" w:rsidP="00AE1735">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b/>
          <w:color w:val="auto"/>
          <w:sz w:val="22"/>
          <w:szCs w:val="22"/>
        </w:rPr>
      </w:pPr>
      <w:r>
        <w:rPr>
          <w:sz w:val="22"/>
          <w:szCs w:val="22"/>
        </w:rPr>
        <w:t xml:space="preserve">Research funding: </w:t>
      </w:r>
      <w:r w:rsidR="00AE1735" w:rsidRPr="00D85486">
        <w:rPr>
          <w:color w:val="auto"/>
          <w:sz w:val="22"/>
          <w:szCs w:val="22"/>
          <w:lang w:val="en-US"/>
        </w:rPr>
        <w:t>Movember</w:t>
      </w:r>
      <w:r w:rsidR="00AE1735" w:rsidRPr="00D85486">
        <w:rPr>
          <w:color w:val="auto"/>
          <w:sz w:val="22"/>
          <w:szCs w:val="22"/>
        </w:rPr>
        <w:t xml:space="preserve"> Foundation, in partnership with </w:t>
      </w:r>
      <w:r w:rsidR="00AE1735" w:rsidRPr="00D85486">
        <w:rPr>
          <w:sz w:val="22"/>
          <w:szCs w:val="22"/>
        </w:rPr>
        <w:t>Prostate Cancer UK (part of the Prostate Cancer Outcomes programme, grant number BO26/MO).</w:t>
      </w:r>
    </w:p>
    <w:p w14:paraId="140E7C57" w14:textId="72BA6E06" w:rsidR="00AE1735" w:rsidRPr="00AE1735" w:rsidRDefault="00AE1735" w:rsidP="00AE1735">
      <w:pPr>
        <w:pStyle w:val="Default"/>
        <w:spacing w:line="480" w:lineRule="auto"/>
        <w:rPr>
          <w:rFonts w:ascii="Arial" w:hAnsi="Arial" w:cs="Arial"/>
        </w:rPr>
      </w:pPr>
      <w:r>
        <w:rPr>
          <w:rFonts w:ascii="Arial" w:hAnsi="Arial" w:cs="Arial"/>
        </w:rPr>
        <w:t xml:space="preserve">The </w:t>
      </w:r>
      <w:r w:rsidRPr="00B41600">
        <w:rPr>
          <w:rFonts w:ascii="Arial" w:hAnsi="Arial" w:cs="Arial"/>
        </w:rPr>
        <w:t xml:space="preserve">funding body </w:t>
      </w:r>
      <w:r>
        <w:rPr>
          <w:rFonts w:ascii="Arial" w:hAnsi="Arial" w:cs="Arial"/>
        </w:rPr>
        <w:t xml:space="preserve">played no role </w:t>
      </w:r>
      <w:r w:rsidRPr="00B41600">
        <w:rPr>
          <w:rFonts w:ascii="Arial" w:hAnsi="Arial" w:cs="Arial"/>
        </w:rPr>
        <w:t xml:space="preserve">in </w:t>
      </w:r>
      <w:r w:rsidR="001663B2">
        <w:rPr>
          <w:rFonts w:ascii="Arial" w:hAnsi="Arial" w:cs="Arial"/>
        </w:rPr>
        <w:t>study</w:t>
      </w:r>
      <w:r w:rsidRPr="00B41600">
        <w:rPr>
          <w:rFonts w:ascii="Arial" w:hAnsi="Arial" w:cs="Arial"/>
        </w:rPr>
        <w:t xml:space="preserve"> design, </w:t>
      </w:r>
      <w:r w:rsidR="001663B2" w:rsidRPr="00B41600">
        <w:rPr>
          <w:rFonts w:ascii="Arial" w:hAnsi="Arial" w:cs="Arial"/>
        </w:rPr>
        <w:t xml:space="preserve">data </w:t>
      </w:r>
      <w:r w:rsidRPr="00B41600">
        <w:rPr>
          <w:rFonts w:ascii="Arial" w:hAnsi="Arial" w:cs="Arial"/>
        </w:rPr>
        <w:t>collection and analysis</w:t>
      </w:r>
      <w:r w:rsidR="001663B2">
        <w:rPr>
          <w:rFonts w:ascii="Arial" w:hAnsi="Arial" w:cs="Arial"/>
        </w:rPr>
        <w:t>,</w:t>
      </w:r>
      <w:r w:rsidRPr="00B41600">
        <w:rPr>
          <w:rFonts w:ascii="Arial" w:hAnsi="Arial" w:cs="Arial"/>
        </w:rPr>
        <w:t xml:space="preserve"> decision to publish</w:t>
      </w:r>
      <w:r>
        <w:rPr>
          <w:rFonts w:ascii="Arial" w:hAnsi="Arial" w:cs="Arial"/>
        </w:rPr>
        <w:t xml:space="preserve">. </w:t>
      </w:r>
      <w:r w:rsidR="001C4245">
        <w:rPr>
          <w:rFonts w:ascii="Arial" w:hAnsi="Arial" w:cs="Arial"/>
        </w:rPr>
        <w:t>Study sponsor:</w:t>
      </w:r>
      <w:r>
        <w:rPr>
          <w:rFonts w:ascii="Arial" w:hAnsi="Arial" w:cs="Arial"/>
        </w:rPr>
        <w:t xml:space="preserve"> the University of Leeds.</w:t>
      </w:r>
    </w:p>
    <w:p w14:paraId="71ADA5A1" w14:textId="17300673" w:rsidR="00F42B85" w:rsidRDefault="00F42B85" w:rsidP="00AE1735">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b/>
          <w:color w:val="auto"/>
          <w:sz w:val="22"/>
          <w:szCs w:val="22"/>
        </w:rPr>
      </w:pPr>
    </w:p>
    <w:p w14:paraId="2C257074" w14:textId="2FE7FBA5" w:rsidR="00AE1735" w:rsidRDefault="00AE1735" w:rsidP="00AE1735">
      <w:pPr>
        <w:pBdr>
          <w:top w:val="none" w:sz="0" w:space="0" w:color="auto"/>
          <w:left w:val="none" w:sz="0" w:space="0" w:color="auto"/>
          <w:bottom w:val="none" w:sz="0" w:space="0" w:color="auto"/>
          <w:right w:val="none" w:sz="0" w:space="0" w:color="auto"/>
          <w:between w:val="none" w:sz="0" w:space="0" w:color="auto"/>
        </w:pBdr>
        <w:spacing w:before="0" w:line="480" w:lineRule="auto"/>
        <w:rPr>
          <w:rFonts w:eastAsia="Times New Roman"/>
          <w:b/>
          <w:color w:val="auto"/>
          <w:sz w:val="22"/>
          <w:szCs w:val="22"/>
        </w:rPr>
      </w:pPr>
      <w:r w:rsidRPr="00AE1735">
        <w:rPr>
          <w:rFonts w:eastAsia="Times New Roman"/>
          <w:b/>
          <w:color w:val="auto"/>
          <w:sz w:val="22"/>
          <w:szCs w:val="22"/>
        </w:rPr>
        <w:t>Acknowledgments</w:t>
      </w:r>
    </w:p>
    <w:p w14:paraId="459768AC" w14:textId="7358724F" w:rsidR="00AE1735" w:rsidRPr="00AE1735" w:rsidRDefault="00AE1735" w:rsidP="00F42B85">
      <w:pPr>
        <w:spacing w:before="0" w:line="480" w:lineRule="auto"/>
        <w:rPr>
          <w:rFonts w:eastAsia="Times New Roman"/>
          <w:b/>
          <w:color w:val="auto"/>
          <w:sz w:val="22"/>
          <w:szCs w:val="22"/>
        </w:rPr>
      </w:pPr>
      <w:r w:rsidRPr="0008752E">
        <w:rPr>
          <w:color w:val="auto"/>
          <w:sz w:val="22"/>
          <w:szCs w:val="22"/>
        </w:rPr>
        <w:t xml:space="preserve">We are grateful to </w:t>
      </w:r>
      <w:r w:rsidR="001663B2">
        <w:rPr>
          <w:color w:val="auto"/>
          <w:sz w:val="22"/>
          <w:szCs w:val="22"/>
        </w:rPr>
        <w:t>the participants</w:t>
      </w:r>
      <w:r w:rsidRPr="0008752E">
        <w:rPr>
          <w:color w:val="auto"/>
          <w:sz w:val="22"/>
          <w:szCs w:val="22"/>
        </w:rPr>
        <w:t xml:space="preserve">. </w:t>
      </w:r>
      <w:r w:rsidR="001C4245">
        <w:rPr>
          <w:sz w:val="22"/>
          <w:szCs w:val="22"/>
        </w:rPr>
        <w:t>We acknowledge:</w:t>
      </w:r>
      <w:r w:rsidR="001C4245" w:rsidRPr="0008752E">
        <w:rPr>
          <w:color w:val="auto"/>
          <w:sz w:val="22"/>
          <w:szCs w:val="22"/>
        </w:rPr>
        <w:t xml:space="preserve"> </w:t>
      </w:r>
      <w:r w:rsidR="001C4245">
        <w:rPr>
          <w:color w:val="auto"/>
          <w:sz w:val="22"/>
          <w:szCs w:val="22"/>
        </w:rPr>
        <w:t>Paul Kind</w:t>
      </w:r>
      <w:r w:rsidRPr="0008752E">
        <w:rPr>
          <w:color w:val="auto"/>
          <w:sz w:val="22"/>
          <w:szCs w:val="22"/>
        </w:rPr>
        <w:t>, Conan Donnelly, Heather Kinnear</w:t>
      </w:r>
      <w:r w:rsidR="001C4245">
        <w:rPr>
          <w:color w:val="auto"/>
          <w:sz w:val="22"/>
          <w:szCs w:val="22"/>
        </w:rPr>
        <w:t xml:space="preserve">, </w:t>
      </w:r>
      <w:r w:rsidRPr="0008752E">
        <w:rPr>
          <w:color w:val="auto"/>
          <w:sz w:val="22"/>
          <w:szCs w:val="22"/>
        </w:rPr>
        <w:t>Oonagh McSorley</w:t>
      </w:r>
      <w:r w:rsidR="001C4245">
        <w:rPr>
          <w:color w:val="auto"/>
          <w:sz w:val="22"/>
          <w:szCs w:val="22"/>
        </w:rPr>
        <w:t>,</w:t>
      </w:r>
      <w:r w:rsidRPr="0008752E">
        <w:rPr>
          <w:color w:val="auto"/>
          <w:sz w:val="22"/>
          <w:szCs w:val="22"/>
        </w:rPr>
        <w:t xml:space="preserve"> David Donnelly, Linda Roberts, Adrian Slater, Emma McNair, Janet Warlow</w:t>
      </w:r>
      <w:r w:rsidR="001C4245">
        <w:rPr>
          <w:color w:val="auto"/>
          <w:sz w:val="22"/>
          <w:szCs w:val="22"/>
        </w:rPr>
        <w:t xml:space="preserve">, </w:t>
      </w:r>
      <w:r w:rsidRPr="0008752E">
        <w:rPr>
          <w:color w:val="auto"/>
          <w:sz w:val="22"/>
          <w:szCs w:val="22"/>
        </w:rPr>
        <w:t>Dawn Allan, User Advisory and Clinical &amp; Scientific Advisory Groups, Picker Institute Europe</w:t>
      </w:r>
      <w:r w:rsidR="001663B2">
        <w:rPr>
          <w:color w:val="auto"/>
          <w:sz w:val="22"/>
          <w:szCs w:val="22"/>
        </w:rPr>
        <w:t xml:space="preserve"> for their contribution to</w:t>
      </w:r>
      <w:r w:rsidR="001663B2" w:rsidRPr="001663B2">
        <w:rPr>
          <w:sz w:val="22"/>
          <w:szCs w:val="22"/>
        </w:rPr>
        <w:t xml:space="preserve"> </w:t>
      </w:r>
      <w:r w:rsidR="001663B2">
        <w:rPr>
          <w:sz w:val="22"/>
          <w:szCs w:val="22"/>
        </w:rPr>
        <w:t>study development and running</w:t>
      </w:r>
      <w:r w:rsidRPr="0008752E">
        <w:rPr>
          <w:color w:val="auto"/>
          <w:sz w:val="22"/>
          <w:szCs w:val="22"/>
        </w:rPr>
        <w:t xml:space="preserve">. This study is based in part on information collected and quality assured by the cancer registries in each nation. </w:t>
      </w:r>
    </w:p>
    <w:p w14:paraId="618082C8" w14:textId="77777777" w:rsidR="00AE1735" w:rsidRDefault="00AE1735" w:rsidP="00510544">
      <w:pPr>
        <w:spacing w:before="0" w:line="480" w:lineRule="auto"/>
        <w:rPr>
          <w:b/>
          <w:sz w:val="22"/>
          <w:szCs w:val="22"/>
        </w:rPr>
      </w:pPr>
    </w:p>
    <w:p w14:paraId="0DB00007" w14:textId="77777777" w:rsidR="00AE1735" w:rsidRDefault="00AE1735" w:rsidP="00510544">
      <w:pPr>
        <w:spacing w:before="0" w:line="480" w:lineRule="auto"/>
        <w:rPr>
          <w:b/>
          <w:sz w:val="22"/>
          <w:szCs w:val="22"/>
        </w:rPr>
      </w:pPr>
    </w:p>
    <w:p w14:paraId="6C6472E4" w14:textId="77777777" w:rsidR="00AE1735" w:rsidRDefault="00AE1735" w:rsidP="00510544">
      <w:pPr>
        <w:spacing w:before="0" w:line="480" w:lineRule="auto"/>
        <w:rPr>
          <w:b/>
          <w:sz w:val="22"/>
          <w:szCs w:val="22"/>
        </w:rPr>
      </w:pPr>
    </w:p>
    <w:p w14:paraId="755D2877" w14:textId="77777777" w:rsidR="00AE1735" w:rsidRDefault="00AE1735" w:rsidP="00510544">
      <w:pPr>
        <w:spacing w:before="0" w:line="480" w:lineRule="auto"/>
        <w:rPr>
          <w:b/>
          <w:sz w:val="22"/>
          <w:szCs w:val="22"/>
        </w:rPr>
      </w:pPr>
    </w:p>
    <w:p w14:paraId="3273792B" w14:textId="77777777" w:rsidR="00AE1735" w:rsidRDefault="00AE1735" w:rsidP="00510544">
      <w:pPr>
        <w:spacing w:before="0" w:line="480" w:lineRule="auto"/>
        <w:rPr>
          <w:b/>
          <w:sz w:val="22"/>
          <w:szCs w:val="22"/>
        </w:rPr>
      </w:pPr>
    </w:p>
    <w:p w14:paraId="08F0B247" w14:textId="77777777" w:rsidR="00D85486" w:rsidRDefault="00D85486">
      <w:pPr>
        <w:pBdr>
          <w:top w:val="none" w:sz="0" w:space="0" w:color="auto"/>
          <w:left w:val="none" w:sz="0" w:space="0" w:color="auto"/>
          <w:bottom w:val="none" w:sz="0" w:space="0" w:color="auto"/>
          <w:right w:val="none" w:sz="0" w:space="0" w:color="auto"/>
          <w:between w:val="none" w:sz="0" w:space="0" w:color="auto"/>
        </w:pBdr>
        <w:spacing w:before="0" w:after="200"/>
        <w:rPr>
          <w:b/>
          <w:sz w:val="22"/>
          <w:szCs w:val="22"/>
        </w:rPr>
      </w:pPr>
      <w:r>
        <w:rPr>
          <w:b/>
          <w:sz w:val="22"/>
          <w:szCs w:val="22"/>
        </w:rPr>
        <w:br w:type="page"/>
      </w:r>
    </w:p>
    <w:p w14:paraId="3273F591" w14:textId="4B975DA7" w:rsidR="00F2673F" w:rsidRDefault="0000336E" w:rsidP="00510544">
      <w:pPr>
        <w:spacing w:before="0" w:line="480" w:lineRule="auto"/>
        <w:rPr>
          <w:b/>
          <w:sz w:val="22"/>
          <w:szCs w:val="22"/>
        </w:rPr>
      </w:pPr>
      <w:r>
        <w:rPr>
          <w:b/>
          <w:sz w:val="22"/>
          <w:szCs w:val="22"/>
        </w:rPr>
        <w:lastRenderedPageBreak/>
        <w:t>References</w:t>
      </w:r>
    </w:p>
    <w:p w14:paraId="25A0815C"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1.</w:t>
      </w:r>
      <w:r w:rsidRPr="008964E4">
        <w:rPr>
          <w:sz w:val="22"/>
          <w:szCs w:val="22"/>
        </w:rPr>
        <w:tab/>
        <w:t xml:space="preserve">Neppl-Huber C, Zappa M, Coebergh JW, et al. Changes in incidence, survival and mortality of prostate cancer in Europe and the United States in the PSA era: additional diagnoses and avoided deaths. </w:t>
      </w:r>
      <w:r w:rsidRPr="008964E4">
        <w:rPr>
          <w:i/>
          <w:sz w:val="22"/>
          <w:szCs w:val="22"/>
        </w:rPr>
        <w:t xml:space="preserve">Ann Oncol. </w:t>
      </w:r>
      <w:r w:rsidRPr="008964E4">
        <w:rPr>
          <w:sz w:val="22"/>
          <w:szCs w:val="22"/>
        </w:rPr>
        <w:t>2012;23(5):1325-1334.</w:t>
      </w:r>
    </w:p>
    <w:p w14:paraId="198F7D6B"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2.</w:t>
      </w:r>
      <w:r w:rsidRPr="008964E4">
        <w:rPr>
          <w:sz w:val="22"/>
          <w:szCs w:val="22"/>
        </w:rPr>
        <w:tab/>
        <w:t xml:space="preserve">Donovan JL, Hamdy FC, Lane JA, et al. Patient-Reported Outcomes after Monitoring, Surgery, or Radiotherapy for Prostate Cancer. </w:t>
      </w:r>
      <w:r w:rsidR="002F4981" w:rsidRPr="002F4981">
        <w:rPr>
          <w:i/>
          <w:sz w:val="22"/>
          <w:szCs w:val="22"/>
        </w:rPr>
        <w:t>N Engl J Med</w:t>
      </w:r>
      <w:r w:rsidRPr="008964E4">
        <w:rPr>
          <w:i/>
          <w:sz w:val="22"/>
          <w:szCs w:val="22"/>
        </w:rPr>
        <w:t xml:space="preserve">. </w:t>
      </w:r>
      <w:r w:rsidRPr="008964E4">
        <w:rPr>
          <w:sz w:val="22"/>
          <w:szCs w:val="22"/>
        </w:rPr>
        <w:t>2016;375(15):1425-1437.</w:t>
      </w:r>
    </w:p>
    <w:p w14:paraId="30CB20ED"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3.</w:t>
      </w:r>
      <w:r w:rsidRPr="008964E4">
        <w:rPr>
          <w:sz w:val="22"/>
          <w:szCs w:val="22"/>
        </w:rPr>
        <w:tab/>
        <w:t xml:space="preserve">Drummond FJ, Kinnear H, O'Leary E, Donnelly, Gavin A, Sharp L. Long-term health-related quality of life of prostate cancer survivors varies by primary treatment. Results from the PiCTure (Prostate Cancer Treatment, your experience) study. </w:t>
      </w:r>
      <w:r w:rsidR="002F4981" w:rsidRPr="002F4981">
        <w:rPr>
          <w:i/>
          <w:sz w:val="22"/>
          <w:szCs w:val="22"/>
        </w:rPr>
        <w:t>J Cancer Surviv</w:t>
      </w:r>
      <w:r w:rsidRPr="002F4981">
        <w:rPr>
          <w:i/>
          <w:sz w:val="22"/>
          <w:szCs w:val="22"/>
        </w:rPr>
        <w:t>.</w:t>
      </w:r>
      <w:r w:rsidRPr="008964E4">
        <w:rPr>
          <w:i/>
          <w:sz w:val="22"/>
          <w:szCs w:val="22"/>
        </w:rPr>
        <w:t xml:space="preserve"> </w:t>
      </w:r>
      <w:r w:rsidRPr="008964E4">
        <w:rPr>
          <w:sz w:val="22"/>
          <w:szCs w:val="22"/>
        </w:rPr>
        <w:t>2015;9(2):361-372.</w:t>
      </w:r>
    </w:p>
    <w:p w14:paraId="7BBB00A1"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4.</w:t>
      </w:r>
      <w:r w:rsidRPr="008964E4">
        <w:rPr>
          <w:sz w:val="22"/>
          <w:szCs w:val="22"/>
        </w:rPr>
        <w:tab/>
        <w:t xml:space="preserve">Watts S, Leydon G, Birch B, et al. Depression and anxiety in prostate cancer: a systematic review and meta-analysis of prevalence rates. </w:t>
      </w:r>
      <w:r w:rsidRPr="008964E4">
        <w:rPr>
          <w:i/>
          <w:sz w:val="22"/>
          <w:szCs w:val="22"/>
        </w:rPr>
        <w:t>B</w:t>
      </w:r>
      <w:r w:rsidR="002F4981">
        <w:rPr>
          <w:i/>
          <w:sz w:val="22"/>
          <w:szCs w:val="22"/>
        </w:rPr>
        <w:t>MJ</w:t>
      </w:r>
      <w:r w:rsidRPr="008964E4">
        <w:rPr>
          <w:i/>
          <w:sz w:val="22"/>
          <w:szCs w:val="22"/>
        </w:rPr>
        <w:t xml:space="preserve"> Open. </w:t>
      </w:r>
      <w:r w:rsidRPr="008964E4">
        <w:rPr>
          <w:sz w:val="22"/>
          <w:szCs w:val="22"/>
        </w:rPr>
        <w:t>2014;4(3).</w:t>
      </w:r>
    </w:p>
    <w:p w14:paraId="50142D34" w14:textId="77777777" w:rsidR="00F2673F" w:rsidRPr="002F4981" w:rsidRDefault="00F2673F" w:rsidP="00510544">
      <w:pPr>
        <w:pStyle w:val="EndNoteBibliography"/>
        <w:spacing w:before="0" w:line="480" w:lineRule="auto"/>
        <w:ind w:left="720" w:hanging="720"/>
        <w:rPr>
          <w:sz w:val="22"/>
          <w:szCs w:val="22"/>
        </w:rPr>
      </w:pPr>
      <w:r w:rsidRPr="008964E4">
        <w:rPr>
          <w:sz w:val="22"/>
          <w:szCs w:val="22"/>
        </w:rPr>
        <w:t>5.</w:t>
      </w:r>
      <w:r w:rsidRPr="008964E4">
        <w:rPr>
          <w:sz w:val="22"/>
          <w:szCs w:val="22"/>
        </w:rPr>
        <w:tab/>
        <w:t xml:space="preserve">Paterson C, Robertson A, Smith A, Nabi G. Identifying the unmet supportive care needs of men living with and beyond prostate cancer: A systematic review. </w:t>
      </w:r>
      <w:r w:rsidR="002F4981" w:rsidRPr="002F4981">
        <w:rPr>
          <w:i/>
          <w:sz w:val="22"/>
          <w:szCs w:val="22"/>
        </w:rPr>
        <w:t>Eur J Oncol Nurs</w:t>
      </w:r>
      <w:r w:rsidRPr="002F4981">
        <w:rPr>
          <w:i/>
          <w:sz w:val="22"/>
          <w:szCs w:val="22"/>
        </w:rPr>
        <w:t xml:space="preserve">. </w:t>
      </w:r>
      <w:r w:rsidRPr="002F4981">
        <w:rPr>
          <w:sz w:val="22"/>
          <w:szCs w:val="22"/>
        </w:rPr>
        <w:t>2015;19(4):405-418.</w:t>
      </w:r>
    </w:p>
    <w:p w14:paraId="0994F281" w14:textId="77777777" w:rsidR="00D644AD" w:rsidRDefault="00F2673F" w:rsidP="00D644AD">
      <w:pPr>
        <w:pStyle w:val="EndNoteBibliography"/>
        <w:spacing w:before="0" w:line="480" w:lineRule="auto"/>
        <w:ind w:left="720" w:hanging="720"/>
        <w:rPr>
          <w:sz w:val="22"/>
          <w:szCs w:val="22"/>
        </w:rPr>
      </w:pPr>
      <w:r w:rsidRPr="008964E4">
        <w:rPr>
          <w:sz w:val="22"/>
          <w:szCs w:val="22"/>
        </w:rPr>
        <w:t>6.</w:t>
      </w:r>
      <w:r w:rsidRPr="008964E4">
        <w:rPr>
          <w:sz w:val="22"/>
          <w:szCs w:val="22"/>
        </w:rPr>
        <w:tab/>
      </w:r>
      <w:r w:rsidR="00D644AD" w:rsidRPr="008964E4">
        <w:rPr>
          <w:sz w:val="22"/>
          <w:szCs w:val="22"/>
        </w:rPr>
        <w:t xml:space="preserve">Silver JK, Baima J, Mayer RS. Impairment-driven cancer rehabilitation: An essential component of quality care and survivorship. </w:t>
      </w:r>
      <w:r w:rsidR="00D644AD" w:rsidRPr="00487633">
        <w:rPr>
          <w:i/>
          <w:sz w:val="22"/>
          <w:szCs w:val="22"/>
        </w:rPr>
        <w:t>CA Cancer J Clin.</w:t>
      </w:r>
      <w:r w:rsidR="00D644AD" w:rsidRPr="008964E4">
        <w:rPr>
          <w:i/>
          <w:sz w:val="22"/>
          <w:szCs w:val="22"/>
        </w:rPr>
        <w:t xml:space="preserve"> </w:t>
      </w:r>
      <w:r w:rsidR="00D644AD" w:rsidRPr="008964E4">
        <w:rPr>
          <w:sz w:val="22"/>
          <w:szCs w:val="22"/>
        </w:rPr>
        <w:t>2013;63(5):295-317.</w:t>
      </w:r>
    </w:p>
    <w:p w14:paraId="31170287" w14:textId="5DA04772" w:rsidR="00F2673F" w:rsidRPr="0096418A" w:rsidRDefault="00D644AD" w:rsidP="00D644AD">
      <w:pPr>
        <w:pStyle w:val="EndNoteBibliography"/>
        <w:spacing w:before="0" w:line="480" w:lineRule="auto"/>
        <w:ind w:left="709" w:hanging="709"/>
        <w:rPr>
          <w:sz w:val="22"/>
          <w:szCs w:val="22"/>
        </w:rPr>
      </w:pPr>
      <w:r>
        <w:rPr>
          <w:sz w:val="22"/>
          <w:szCs w:val="22"/>
        </w:rPr>
        <w:t xml:space="preserve">7.         </w:t>
      </w:r>
      <w:r w:rsidR="00F2673F" w:rsidRPr="008964E4">
        <w:rPr>
          <w:sz w:val="22"/>
          <w:szCs w:val="22"/>
        </w:rPr>
        <w:t xml:space="preserve">Cancer Taskforce. </w:t>
      </w:r>
      <w:r w:rsidR="00F2673F" w:rsidRPr="0096418A">
        <w:rPr>
          <w:sz w:val="22"/>
          <w:szCs w:val="22"/>
        </w:rPr>
        <w:t>Acheiving world class cancer outcomes A stretegy for England 2015-2020.</w:t>
      </w:r>
      <w:r w:rsidR="0096418A">
        <w:rPr>
          <w:sz w:val="22"/>
          <w:szCs w:val="22"/>
        </w:rPr>
        <w:t xml:space="preserve"> </w:t>
      </w:r>
      <w:hyperlink r:id="rId8" w:history="1">
        <w:r w:rsidR="0096418A" w:rsidRPr="0096418A">
          <w:rPr>
            <w:rFonts w:eastAsiaTheme="minorHAnsi"/>
            <w:color w:val="0000FF"/>
            <w:sz w:val="22"/>
            <w:szCs w:val="22"/>
            <w:u w:val="single"/>
            <w:lang w:eastAsia="en-US"/>
          </w:rPr>
          <w:t>http://www.cancerresearchuk.org/about-us/cancer-</w:t>
        </w:r>
        <w:r w:rsidR="0096418A" w:rsidRPr="0096418A">
          <w:rPr>
            <w:rFonts w:eastAsiaTheme="minorHAnsi"/>
            <w:color w:val="0000FF"/>
            <w:sz w:val="22"/>
            <w:szCs w:val="22"/>
            <w:u w:val="single"/>
            <w:lang w:eastAsia="en-US"/>
          </w:rPr>
          <w:lastRenderedPageBreak/>
          <w:t>strategy-in-england?_ga=2.47248677.30975059.1501839816-2042149991.1411561972</w:t>
        </w:r>
      </w:hyperlink>
      <w:r w:rsidR="0096418A" w:rsidRPr="0096418A">
        <w:rPr>
          <w:rFonts w:eastAsiaTheme="minorHAnsi"/>
          <w:color w:val="auto"/>
          <w:sz w:val="22"/>
          <w:szCs w:val="22"/>
          <w:lang w:eastAsia="en-US"/>
        </w:rPr>
        <w:t xml:space="preserve">. Accessed </w:t>
      </w:r>
      <w:r w:rsidR="0096418A">
        <w:rPr>
          <w:rFonts w:eastAsiaTheme="minorHAnsi"/>
          <w:color w:val="auto"/>
          <w:sz w:val="22"/>
          <w:szCs w:val="22"/>
          <w:lang w:eastAsia="en-US"/>
        </w:rPr>
        <w:t>4</w:t>
      </w:r>
      <w:r w:rsidR="0096418A" w:rsidRPr="0096418A">
        <w:rPr>
          <w:rFonts w:eastAsiaTheme="minorHAnsi"/>
          <w:color w:val="auto"/>
          <w:sz w:val="22"/>
          <w:szCs w:val="22"/>
          <w:vertAlign w:val="superscript"/>
          <w:lang w:eastAsia="en-US"/>
        </w:rPr>
        <w:t>th</w:t>
      </w:r>
      <w:r w:rsidR="0096418A">
        <w:rPr>
          <w:rFonts w:eastAsiaTheme="minorHAnsi"/>
          <w:color w:val="auto"/>
          <w:sz w:val="22"/>
          <w:szCs w:val="22"/>
          <w:lang w:eastAsia="en-US"/>
        </w:rPr>
        <w:t xml:space="preserve"> August </w:t>
      </w:r>
      <w:r w:rsidR="0096418A" w:rsidRPr="0096418A">
        <w:rPr>
          <w:rFonts w:eastAsiaTheme="minorHAnsi"/>
          <w:color w:val="auto"/>
          <w:sz w:val="22"/>
          <w:szCs w:val="22"/>
          <w:lang w:eastAsia="en-US"/>
        </w:rPr>
        <w:t>2017</w:t>
      </w:r>
      <w:r w:rsidR="0096418A">
        <w:rPr>
          <w:rFonts w:eastAsiaTheme="minorHAnsi"/>
          <w:color w:val="auto"/>
          <w:sz w:val="22"/>
          <w:szCs w:val="22"/>
          <w:lang w:eastAsia="en-US"/>
        </w:rPr>
        <w:t xml:space="preserve">. </w:t>
      </w:r>
    </w:p>
    <w:p w14:paraId="5AC8B854" w14:textId="717CF7B3" w:rsidR="00F2673F" w:rsidRPr="008964E4" w:rsidRDefault="00D644AD" w:rsidP="00510544">
      <w:pPr>
        <w:pStyle w:val="EndNoteBibliography"/>
        <w:spacing w:before="0" w:line="480" w:lineRule="auto"/>
        <w:ind w:left="720" w:hanging="720"/>
        <w:rPr>
          <w:sz w:val="22"/>
          <w:szCs w:val="22"/>
        </w:rPr>
      </w:pPr>
      <w:r>
        <w:rPr>
          <w:sz w:val="22"/>
          <w:szCs w:val="22"/>
        </w:rPr>
        <w:t>8</w:t>
      </w:r>
      <w:r w:rsidR="00F2673F" w:rsidRPr="008964E4">
        <w:rPr>
          <w:sz w:val="22"/>
          <w:szCs w:val="22"/>
        </w:rPr>
        <w:t>.</w:t>
      </w:r>
      <w:r w:rsidR="00F2673F" w:rsidRPr="008964E4">
        <w:rPr>
          <w:sz w:val="22"/>
          <w:szCs w:val="22"/>
        </w:rPr>
        <w:tab/>
        <w:t>Department of Health. Macmillan Cancer Support.  NHS Improvement. National Cancer Survivorship Initiative Vision. London: Crown; 2010.</w:t>
      </w:r>
      <w:r w:rsidR="00A049DE">
        <w:rPr>
          <w:sz w:val="22"/>
          <w:szCs w:val="22"/>
        </w:rPr>
        <w:t xml:space="preserve"> </w:t>
      </w:r>
      <w:hyperlink r:id="rId9" w:history="1">
        <w:r w:rsidR="00A049DE" w:rsidRPr="00EA2D7D">
          <w:rPr>
            <w:rStyle w:val="Hyperlink"/>
            <w:sz w:val="22"/>
            <w:szCs w:val="22"/>
          </w:rPr>
          <w:t>http://webarchive.nationalarchives.gov.uk/20100809113601/http://www.improvement.nhs.uk/cancer/LinkClick.aspx?fileticket=4apVUSvGcow%3d&amp;tabid=214</w:t>
        </w:r>
      </w:hyperlink>
      <w:r w:rsidR="00A049DE">
        <w:rPr>
          <w:sz w:val="22"/>
          <w:szCs w:val="22"/>
        </w:rPr>
        <w:t xml:space="preserve"> . Accessed 24</w:t>
      </w:r>
      <w:r w:rsidR="00A049DE" w:rsidRPr="00A049DE">
        <w:rPr>
          <w:sz w:val="22"/>
          <w:szCs w:val="22"/>
          <w:vertAlign w:val="superscript"/>
        </w:rPr>
        <w:t>th</w:t>
      </w:r>
      <w:r w:rsidR="00A049DE">
        <w:rPr>
          <w:sz w:val="22"/>
          <w:szCs w:val="22"/>
        </w:rPr>
        <w:t xml:space="preserve"> October 2018.</w:t>
      </w:r>
    </w:p>
    <w:p w14:paraId="61544CB3" w14:textId="0A00111D" w:rsidR="00F2673F" w:rsidRPr="008964E4" w:rsidRDefault="00D644AD" w:rsidP="00510544">
      <w:pPr>
        <w:pStyle w:val="EndNoteBibliography"/>
        <w:spacing w:before="0" w:line="480" w:lineRule="auto"/>
        <w:ind w:left="720" w:hanging="720"/>
        <w:rPr>
          <w:sz w:val="22"/>
          <w:szCs w:val="22"/>
        </w:rPr>
      </w:pPr>
      <w:r>
        <w:rPr>
          <w:sz w:val="22"/>
          <w:szCs w:val="22"/>
        </w:rPr>
        <w:t>9</w:t>
      </w:r>
      <w:r w:rsidR="00F2673F" w:rsidRPr="008964E4">
        <w:rPr>
          <w:sz w:val="22"/>
          <w:szCs w:val="22"/>
        </w:rPr>
        <w:t>.</w:t>
      </w:r>
      <w:r w:rsidR="00F2673F" w:rsidRPr="008964E4">
        <w:rPr>
          <w:sz w:val="22"/>
          <w:szCs w:val="22"/>
        </w:rPr>
        <w:tab/>
        <w:t xml:space="preserve">Downing A, Morris EJA, Richards M, et al. Health-Related Quality of Life After Colorectal Cancer in England: A Patient-Reported Outcomes Study of Individuals 12 to 36 Months After Diagnosis. </w:t>
      </w:r>
      <w:r w:rsidR="00A049DE" w:rsidRPr="00A049DE">
        <w:rPr>
          <w:i/>
          <w:sz w:val="22"/>
          <w:szCs w:val="22"/>
        </w:rPr>
        <w:t>J Clin Oncol</w:t>
      </w:r>
      <w:r w:rsidR="00F2673F" w:rsidRPr="00A049DE">
        <w:rPr>
          <w:i/>
          <w:sz w:val="22"/>
          <w:szCs w:val="22"/>
        </w:rPr>
        <w:t>.</w:t>
      </w:r>
      <w:r w:rsidR="00F2673F" w:rsidRPr="008964E4">
        <w:rPr>
          <w:i/>
          <w:sz w:val="22"/>
          <w:szCs w:val="22"/>
        </w:rPr>
        <w:t xml:space="preserve"> </w:t>
      </w:r>
      <w:r w:rsidR="00F2673F" w:rsidRPr="008964E4">
        <w:rPr>
          <w:sz w:val="22"/>
          <w:szCs w:val="22"/>
        </w:rPr>
        <w:t>2015;33(6):616-624.</w:t>
      </w:r>
    </w:p>
    <w:p w14:paraId="7A0F553A" w14:textId="1E046084" w:rsidR="00F2673F" w:rsidRPr="008964E4" w:rsidRDefault="00D644AD" w:rsidP="00510544">
      <w:pPr>
        <w:pStyle w:val="EndNoteBibliography"/>
        <w:spacing w:before="0" w:line="480" w:lineRule="auto"/>
        <w:ind w:left="720" w:hanging="720"/>
        <w:rPr>
          <w:sz w:val="22"/>
          <w:szCs w:val="22"/>
        </w:rPr>
      </w:pPr>
      <w:r>
        <w:rPr>
          <w:sz w:val="22"/>
          <w:szCs w:val="22"/>
        </w:rPr>
        <w:t>10</w:t>
      </w:r>
      <w:r w:rsidR="00F2673F" w:rsidRPr="008964E4">
        <w:rPr>
          <w:sz w:val="22"/>
          <w:szCs w:val="22"/>
        </w:rPr>
        <w:t>.</w:t>
      </w:r>
      <w:r w:rsidR="00F2673F" w:rsidRPr="008964E4">
        <w:rPr>
          <w:sz w:val="22"/>
          <w:szCs w:val="22"/>
        </w:rPr>
        <w:tab/>
        <w:t xml:space="preserve">Wright P, Downing A, Morris EJA, et al. Identifying Social Distress: A Cross-Sectional Survey of Social Outcomes 12 to 36 Months After Colorectal Cancer Diagnosis. </w:t>
      </w:r>
      <w:r w:rsidR="000E1944" w:rsidRPr="00A049DE">
        <w:rPr>
          <w:i/>
          <w:sz w:val="22"/>
          <w:szCs w:val="22"/>
        </w:rPr>
        <w:t>J Clin Oncol</w:t>
      </w:r>
      <w:r w:rsidR="00F2673F" w:rsidRPr="008964E4">
        <w:rPr>
          <w:i/>
          <w:sz w:val="22"/>
          <w:szCs w:val="22"/>
        </w:rPr>
        <w:t xml:space="preserve">. </w:t>
      </w:r>
      <w:r w:rsidR="00F2673F" w:rsidRPr="008964E4">
        <w:rPr>
          <w:sz w:val="22"/>
          <w:szCs w:val="22"/>
        </w:rPr>
        <w:t>2015;33(30):3423-3430.</w:t>
      </w:r>
    </w:p>
    <w:p w14:paraId="394588FB" w14:textId="3B37E01E" w:rsidR="00F2673F" w:rsidRPr="008964E4" w:rsidRDefault="00F2673F" w:rsidP="00510544">
      <w:pPr>
        <w:pStyle w:val="EndNoteBibliography"/>
        <w:spacing w:before="0" w:line="480" w:lineRule="auto"/>
        <w:ind w:left="720" w:hanging="720"/>
        <w:rPr>
          <w:sz w:val="22"/>
          <w:szCs w:val="22"/>
        </w:rPr>
      </w:pPr>
      <w:r w:rsidRPr="008964E4">
        <w:rPr>
          <w:sz w:val="22"/>
          <w:szCs w:val="22"/>
        </w:rPr>
        <w:t>1</w:t>
      </w:r>
      <w:r w:rsidR="00627DB3">
        <w:rPr>
          <w:sz w:val="22"/>
          <w:szCs w:val="22"/>
        </w:rPr>
        <w:t>1</w:t>
      </w:r>
      <w:r w:rsidRPr="008964E4">
        <w:rPr>
          <w:sz w:val="22"/>
          <w:szCs w:val="22"/>
        </w:rPr>
        <w:t>.</w:t>
      </w:r>
      <w:r w:rsidRPr="008964E4">
        <w:rPr>
          <w:sz w:val="22"/>
          <w:szCs w:val="22"/>
        </w:rPr>
        <w:tab/>
        <w:t xml:space="preserve">Wright EP, Kiely M, Johnston C, Smith AB, Cull A, Selby PJ. Development and evaluation of an instrument to assess social difficulties in routine oncology practice. </w:t>
      </w:r>
      <w:r w:rsidR="000E1944" w:rsidRPr="000E1944">
        <w:rPr>
          <w:i/>
          <w:sz w:val="22"/>
          <w:szCs w:val="22"/>
        </w:rPr>
        <w:t>Qual Life Res</w:t>
      </w:r>
      <w:r w:rsidRPr="008964E4">
        <w:rPr>
          <w:i/>
          <w:sz w:val="22"/>
          <w:szCs w:val="22"/>
        </w:rPr>
        <w:t xml:space="preserve">. </w:t>
      </w:r>
      <w:r w:rsidRPr="008964E4">
        <w:rPr>
          <w:sz w:val="22"/>
          <w:szCs w:val="22"/>
        </w:rPr>
        <w:t>2005;14(2):373-386.</w:t>
      </w:r>
    </w:p>
    <w:p w14:paraId="4093A943" w14:textId="303EF444" w:rsidR="00F2673F" w:rsidRPr="008964E4" w:rsidRDefault="00F2673F" w:rsidP="00627DB3">
      <w:pPr>
        <w:pStyle w:val="EndNoteBibliography"/>
        <w:spacing w:before="0" w:line="480" w:lineRule="auto"/>
        <w:ind w:left="720" w:hanging="720"/>
        <w:rPr>
          <w:sz w:val="22"/>
          <w:szCs w:val="22"/>
        </w:rPr>
      </w:pPr>
      <w:r w:rsidRPr="008964E4">
        <w:rPr>
          <w:sz w:val="22"/>
          <w:szCs w:val="22"/>
        </w:rPr>
        <w:t>1</w:t>
      </w:r>
      <w:r w:rsidR="00627DB3">
        <w:rPr>
          <w:sz w:val="22"/>
          <w:szCs w:val="22"/>
        </w:rPr>
        <w:t>2</w:t>
      </w:r>
      <w:r w:rsidRPr="008964E4">
        <w:rPr>
          <w:sz w:val="22"/>
          <w:szCs w:val="22"/>
        </w:rPr>
        <w:t>.</w:t>
      </w:r>
      <w:r w:rsidRPr="008964E4">
        <w:rPr>
          <w:sz w:val="22"/>
          <w:szCs w:val="22"/>
        </w:rPr>
        <w:tab/>
        <w:t xml:space="preserve">Glaser AW, Fraser LK, Corner J, et al. Patient-reported outcomes of cancer survivors in England 1-5 years after diagnosis: a cross-sectional survey. </w:t>
      </w:r>
      <w:r w:rsidRPr="008964E4">
        <w:rPr>
          <w:i/>
          <w:sz w:val="22"/>
          <w:szCs w:val="22"/>
        </w:rPr>
        <w:t xml:space="preserve">BMJ open. </w:t>
      </w:r>
      <w:r w:rsidRPr="008964E4">
        <w:rPr>
          <w:sz w:val="22"/>
          <w:szCs w:val="22"/>
        </w:rPr>
        <w:t>2013;3(4).</w:t>
      </w:r>
    </w:p>
    <w:p w14:paraId="7BD157B6"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13.</w:t>
      </w:r>
      <w:r w:rsidRPr="008964E4">
        <w:rPr>
          <w:sz w:val="22"/>
          <w:szCs w:val="22"/>
        </w:rPr>
        <w:tab/>
        <w:t>Stout NL, Silver JK, Raj VS, et al. Toward a National Initiative in Cancer Rehabilitation: Recommendations From a Subject Matter Expert Group</w:t>
      </w:r>
      <w:r w:rsidRPr="00487633">
        <w:rPr>
          <w:i/>
          <w:sz w:val="22"/>
          <w:szCs w:val="22"/>
        </w:rPr>
        <w:t xml:space="preserve">. </w:t>
      </w:r>
      <w:r w:rsidR="00487633" w:rsidRPr="00487633">
        <w:rPr>
          <w:i/>
          <w:sz w:val="22"/>
          <w:szCs w:val="22"/>
        </w:rPr>
        <w:t>Arch Phys Med Rehabil</w:t>
      </w:r>
      <w:r w:rsidRPr="00487633">
        <w:rPr>
          <w:i/>
          <w:sz w:val="22"/>
          <w:szCs w:val="22"/>
        </w:rPr>
        <w:t xml:space="preserve">. </w:t>
      </w:r>
      <w:r w:rsidRPr="008964E4">
        <w:rPr>
          <w:sz w:val="22"/>
          <w:szCs w:val="22"/>
        </w:rPr>
        <w:t>2016;97(11):2006-2015.</w:t>
      </w:r>
    </w:p>
    <w:p w14:paraId="291EE24C"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lastRenderedPageBreak/>
        <w:t>14.</w:t>
      </w:r>
      <w:r w:rsidRPr="008964E4">
        <w:rPr>
          <w:sz w:val="22"/>
          <w:szCs w:val="22"/>
        </w:rPr>
        <w:tab/>
        <w:t xml:space="preserve">Li M, Macedo A, Crawford S, et al. Easier Said Than Done: Keys to Successful Implementation of the Distress Assessment and Response Tool (DART) Program. </w:t>
      </w:r>
      <w:r w:rsidR="006F684E" w:rsidRPr="006F684E">
        <w:rPr>
          <w:i/>
          <w:sz w:val="22"/>
          <w:szCs w:val="22"/>
        </w:rPr>
        <w:t>J Oncol Pract</w:t>
      </w:r>
      <w:r w:rsidRPr="006F684E">
        <w:rPr>
          <w:i/>
          <w:sz w:val="22"/>
          <w:szCs w:val="22"/>
        </w:rPr>
        <w:t xml:space="preserve">. </w:t>
      </w:r>
      <w:r w:rsidRPr="008964E4">
        <w:rPr>
          <w:sz w:val="22"/>
          <w:szCs w:val="22"/>
        </w:rPr>
        <w:t>2016;12(5):453-+.</w:t>
      </w:r>
    </w:p>
    <w:p w14:paraId="20DC36C8"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15.</w:t>
      </w:r>
      <w:r w:rsidRPr="008964E4">
        <w:rPr>
          <w:sz w:val="22"/>
          <w:szCs w:val="22"/>
        </w:rPr>
        <w:tab/>
        <w:t xml:space="preserve">Leung YW, Li M, Devins G, et al. Routine screening for suicidal intention in patients with cancer. </w:t>
      </w:r>
      <w:r w:rsidR="00A27411" w:rsidRPr="00A27411">
        <w:rPr>
          <w:i/>
          <w:sz w:val="22"/>
          <w:szCs w:val="22"/>
        </w:rPr>
        <w:t>Psychooncology</w:t>
      </w:r>
      <w:r w:rsidRPr="008964E4">
        <w:rPr>
          <w:i/>
          <w:sz w:val="22"/>
          <w:szCs w:val="22"/>
        </w:rPr>
        <w:t xml:space="preserve">. </w:t>
      </w:r>
      <w:r w:rsidRPr="008964E4">
        <w:rPr>
          <w:sz w:val="22"/>
          <w:szCs w:val="22"/>
        </w:rPr>
        <w:t>2013;22(11):2537-2545.</w:t>
      </w:r>
    </w:p>
    <w:p w14:paraId="3B2E60D6"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16.</w:t>
      </w:r>
      <w:r w:rsidRPr="008964E4">
        <w:rPr>
          <w:sz w:val="22"/>
          <w:szCs w:val="22"/>
        </w:rPr>
        <w:tab/>
        <w:t xml:space="preserve">Downing A, Wright P, Wagland R, et al. Life after prostate cancer diagnosis: protocol for a UK-wide patient-reported outcomes study. </w:t>
      </w:r>
      <w:r w:rsidRPr="008964E4">
        <w:rPr>
          <w:i/>
          <w:sz w:val="22"/>
          <w:szCs w:val="22"/>
        </w:rPr>
        <w:t xml:space="preserve">BMJ Open. </w:t>
      </w:r>
      <w:r w:rsidRPr="008964E4">
        <w:rPr>
          <w:sz w:val="22"/>
          <w:szCs w:val="22"/>
        </w:rPr>
        <w:t>2016;6(12).</w:t>
      </w:r>
    </w:p>
    <w:p w14:paraId="7D45C4D6"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17.</w:t>
      </w:r>
      <w:r w:rsidRPr="008964E4">
        <w:rPr>
          <w:sz w:val="22"/>
          <w:szCs w:val="22"/>
        </w:rPr>
        <w:tab/>
        <w:t xml:space="preserve">Catt S, Starkings R, Shilling V, Fallowfield L. Patient-reported outcome measures of the impact of cancer on patients' everyday lives: a systematic review. </w:t>
      </w:r>
      <w:r w:rsidR="0005732B" w:rsidRPr="0005732B">
        <w:rPr>
          <w:i/>
          <w:sz w:val="22"/>
          <w:szCs w:val="22"/>
        </w:rPr>
        <w:t>J Cancer Surviv</w:t>
      </w:r>
      <w:r w:rsidRPr="008964E4">
        <w:rPr>
          <w:i/>
          <w:sz w:val="22"/>
          <w:szCs w:val="22"/>
        </w:rPr>
        <w:t xml:space="preserve">. </w:t>
      </w:r>
      <w:r w:rsidRPr="008964E4">
        <w:rPr>
          <w:sz w:val="22"/>
          <w:szCs w:val="22"/>
        </w:rPr>
        <w:t>2017;11(2):211-232.</w:t>
      </w:r>
    </w:p>
    <w:p w14:paraId="789D3070" w14:textId="77777777" w:rsidR="008964E4" w:rsidRPr="008964E4" w:rsidRDefault="00F2673F" w:rsidP="00510544">
      <w:pPr>
        <w:pStyle w:val="EndNoteBibliography"/>
        <w:spacing w:before="0" w:line="480" w:lineRule="auto"/>
        <w:ind w:left="720" w:hanging="720"/>
        <w:rPr>
          <w:sz w:val="22"/>
          <w:szCs w:val="22"/>
        </w:rPr>
      </w:pPr>
      <w:r w:rsidRPr="008964E4">
        <w:rPr>
          <w:sz w:val="22"/>
          <w:szCs w:val="22"/>
        </w:rPr>
        <w:t>18.</w:t>
      </w:r>
      <w:r w:rsidRPr="008964E4">
        <w:rPr>
          <w:sz w:val="22"/>
          <w:szCs w:val="22"/>
        </w:rPr>
        <w:tab/>
      </w:r>
      <w:r w:rsidRPr="00097E87">
        <w:rPr>
          <w:sz w:val="22"/>
          <w:szCs w:val="22"/>
        </w:rPr>
        <w:t xml:space="preserve">Wright P, Smith A, Roberts K, Selby P, Velikova G. Screening for social difficulties in cancer patients: clinical utility of the Social Difficulties Inventory. </w:t>
      </w:r>
      <w:r w:rsidR="0005732B" w:rsidRPr="0005732B">
        <w:rPr>
          <w:i/>
          <w:sz w:val="22"/>
          <w:szCs w:val="22"/>
        </w:rPr>
        <w:t>Br J Cancer</w:t>
      </w:r>
      <w:r w:rsidRPr="00097E87">
        <w:rPr>
          <w:i/>
          <w:sz w:val="22"/>
          <w:szCs w:val="22"/>
        </w:rPr>
        <w:t xml:space="preserve">. </w:t>
      </w:r>
      <w:r w:rsidRPr="00097E87">
        <w:rPr>
          <w:sz w:val="22"/>
          <w:szCs w:val="22"/>
        </w:rPr>
        <w:t>2007;97:1063-1070.</w:t>
      </w:r>
    </w:p>
    <w:p w14:paraId="41582BB4" w14:textId="77777777" w:rsidR="00F2673F" w:rsidRPr="008964E4" w:rsidRDefault="008964E4" w:rsidP="00510544">
      <w:pPr>
        <w:pStyle w:val="EndNoteBibliography"/>
        <w:spacing w:before="0" w:line="480" w:lineRule="auto"/>
        <w:ind w:left="720" w:hanging="720"/>
        <w:rPr>
          <w:sz w:val="22"/>
          <w:szCs w:val="22"/>
        </w:rPr>
      </w:pPr>
      <w:r w:rsidRPr="008964E4">
        <w:rPr>
          <w:sz w:val="22"/>
          <w:szCs w:val="22"/>
        </w:rPr>
        <w:t>19</w:t>
      </w:r>
      <w:r w:rsidR="00F2673F" w:rsidRPr="008964E4">
        <w:rPr>
          <w:sz w:val="22"/>
          <w:szCs w:val="22"/>
        </w:rPr>
        <w:t>.</w:t>
      </w:r>
      <w:r w:rsidR="00F2673F" w:rsidRPr="008964E4">
        <w:rPr>
          <w:sz w:val="22"/>
          <w:szCs w:val="22"/>
        </w:rPr>
        <w:tab/>
        <w:t xml:space="preserve">Wright P, Marshall L, Smith A, Velikova G, Selby P. Measurement and interpretation of social distress using the social difficulties inventory (SDI). </w:t>
      </w:r>
      <w:r w:rsidR="0005732B" w:rsidRPr="0005732B">
        <w:rPr>
          <w:i/>
          <w:sz w:val="22"/>
          <w:szCs w:val="22"/>
        </w:rPr>
        <w:t>Eur J Cancer</w:t>
      </w:r>
      <w:r w:rsidR="0005732B">
        <w:rPr>
          <w:i/>
          <w:sz w:val="22"/>
          <w:szCs w:val="22"/>
        </w:rPr>
        <w:t xml:space="preserve">. </w:t>
      </w:r>
      <w:r w:rsidR="00E961C8" w:rsidRPr="008964E4">
        <w:rPr>
          <w:sz w:val="22"/>
          <w:szCs w:val="22"/>
        </w:rPr>
        <w:t>2008;44:1529-1535</w:t>
      </w:r>
    </w:p>
    <w:p w14:paraId="6E916B55" w14:textId="1532181A" w:rsidR="00F2673F" w:rsidRPr="008964E4" w:rsidRDefault="00F2673F" w:rsidP="00510544">
      <w:pPr>
        <w:pStyle w:val="EndNoteBibliography"/>
        <w:spacing w:before="0" w:line="480" w:lineRule="auto"/>
        <w:ind w:left="720" w:hanging="720"/>
        <w:rPr>
          <w:sz w:val="22"/>
          <w:szCs w:val="22"/>
        </w:rPr>
      </w:pPr>
      <w:r w:rsidRPr="008964E4">
        <w:rPr>
          <w:sz w:val="22"/>
          <w:szCs w:val="22"/>
        </w:rPr>
        <w:t>2</w:t>
      </w:r>
      <w:r w:rsidR="008964E4" w:rsidRPr="008964E4">
        <w:rPr>
          <w:sz w:val="22"/>
          <w:szCs w:val="22"/>
        </w:rPr>
        <w:t>0</w:t>
      </w:r>
      <w:r w:rsidRPr="008964E4">
        <w:rPr>
          <w:sz w:val="22"/>
          <w:szCs w:val="22"/>
        </w:rPr>
        <w:t>.</w:t>
      </w:r>
      <w:r w:rsidRPr="008964E4">
        <w:rPr>
          <w:sz w:val="22"/>
          <w:szCs w:val="22"/>
        </w:rPr>
        <w:tab/>
      </w:r>
      <w:r w:rsidR="0005732B" w:rsidRPr="0005732B">
        <w:rPr>
          <w:rFonts w:eastAsiaTheme="minorHAnsi"/>
          <w:color w:val="auto"/>
          <w:sz w:val="22"/>
          <w:szCs w:val="22"/>
          <w:lang w:eastAsia="en-US"/>
        </w:rPr>
        <w:t>Northe</w:t>
      </w:r>
      <w:r w:rsidR="00AD5F4C">
        <w:rPr>
          <w:rFonts w:eastAsiaTheme="minorHAnsi"/>
          <w:color w:val="auto"/>
          <w:sz w:val="22"/>
          <w:szCs w:val="22"/>
          <w:lang w:eastAsia="en-US"/>
        </w:rPr>
        <w:t>r</w:t>
      </w:r>
      <w:r w:rsidR="0005732B" w:rsidRPr="0005732B">
        <w:rPr>
          <w:rFonts w:eastAsiaTheme="minorHAnsi"/>
          <w:color w:val="auto"/>
          <w:sz w:val="22"/>
          <w:szCs w:val="22"/>
          <w:lang w:eastAsia="en-US"/>
        </w:rPr>
        <w:t>n Ireland Statistics and Research Agency.</w:t>
      </w:r>
      <w:r w:rsidR="0005732B">
        <w:rPr>
          <w:rFonts w:ascii="Segoe UI" w:eastAsiaTheme="minorHAnsi" w:hAnsi="Segoe UI" w:cs="Segoe UI"/>
          <w:color w:val="auto"/>
          <w:sz w:val="18"/>
          <w:szCs w:val="18"/>
          <w:lang w:eastAsia="en-US"/>
        </w:rPr>
        <w:t xml:space="preserve"> </w:t>
      </w:r>
      <w:r w:rsidR="0005732B" w:rsidRPr="008964E4">
        <w:rPr>
          <w:sz w:val="22"/>
          <w:szCs w:val="22"/>
        </w:rPr>
        <w:t xml:space="preserve"> </w:t>
      </w:r>
      <w:r w:rsidRPr="008964E4">
        <w:rPr>
          <w:sz w:val="22"/>
          <w:szCs w:val="22"/>
        </w:rPr>
        <w:t>N</w:t>
      </w:r>
      <w:r w:rsidR="0005732B">
        <w:rPr>
          <w:sz w:val="22"/>
          <w:szCs w:val="22"/>
        </w:rPr>
        <w:t>orthern Ireland</w:t>
      </w:r>
      <w:r w:rsidRPr="008964E4">
        <w:rPr>
          <w:sz w:val="22"/>
          <w:szCs w:val="22"/>
        </w:rPr>
        <w:t xml:space="preserve"> Multiple Deprivation Measure. 2010. </w:t>
      </w:r>
      <w:hyperlink r:id="rId10" w:history="1">
        <w:r w:rsidR="0005732B" w:rsidRPr="00EA2D7D">
          <w:rPr>
            <w:rStyle w:val="Hyperlink"/>
            <w:sz w:val="22"/>
            <w:szCs w:val="22"/>
          </w:rPr>
          <w:t>https://www.nisra.gov.uk/statistics/deprivation/northern-ireland-multiple-deprivation-measure-2010-nimdm2010</w:t>
        </w:r>
      </w:hyperlink>
      <w:r w:rsidRPr="008964E4">
        <w:rPr>
          <w:sz w:val="22"/>
          <w:szCs w:val="22"/>
        </w:rPr>
        <w:t>. Accessed 21</w:t>
      </w:r>
      <w:r w:rsidR="0005732B">
        <w:rPr>
          <w:sz w:val="22"/>
          <w:szCs w:val="22"/>
        </w:rPr>
        <w:t xml:space="preserve">st November </w:t>
      </w:r>
      <w:r w:rsidRPr="008964E4">
        <w:rPr>
          <w:sz w:val="22"/>
          <w:szCs w:val="22"/>
        </w:rPr>
        <w:t>2017.</w:t>
      </w:r>
    </w:p>
    <w:p w14:paraId="5BCF9F01" w14:textId="77777777" w:rsidR="00F2673F" w:rsidRPr="008964E4" w:rsidRDefault="00F2673F" w:rsidP="00510544">
      <w:pPr>
        <w:pStyle w:val="EndNoteBibliography"/>
        <w:spacing w:before="0" w:line="480" w:lineRule="auto"/>
        <w:ind w:left="720" w:hanging="720"/>
        <w:rPr>
          <w:sz w:val="22"/>
          <w:szCs w:val="22"/>
        </w:rPr>
      </w:pPr>
      <w:r w:rsidRPr="008964E4">
        <w:rPr>
          <w:sz w:val="22"/>
          <w:szCs w:val="22"/>
        </w:rPr>
        <w:t>2</w:t>
      </w:r>
      <w:r w:rsidR="008964E4" w:rsidRPr="008964E4">
        <w:rPr>
          <w:sz w:val="22"/>
          <w:szCs w:val="22"/>
        </w:rPr>
        <w:t>1</w:t>
      </w:r>
      <w:r w:rsidRPr="008964E4">
        <w:rPr>
          <w:sz w:val="22"/>
          <w:szCs w:val="22"/>
        </w:rPr>
        <w:t>.</w:t>
      </w:r>
      <w:r w:rsidRPr="008964E4">
        <w:rPr>
          <w:sz w:val="22"/>
          <w:szCs w:val="22"/>
        </w:rPr>
        <w:tab/>
      </w:r>
      <w:r w:rsidR="0005732B" w:rsidRPr="0005732B">
        <w:rPr>
          <w:rFonts w:eastAsiaTheme="minorHAnsi"/>
          <w:color w:val="auto"/>
          <w:sz w:val="22"/>
          <w:szCs w:val="22"/>
          <w:lang w:eastAsia="en-US"/>
        </w:rPr>
        <w:t>Department for Communities and Local Government.</w:t>
      </w:r>
      <w:r w:rsidR="0005732B" w:rsidRPr="008964E4">
        <w:rPr>
          <w:sz w:val="22"/>
          <w:szCs w:val="22"/>
        </w:rPr>
        <w:t xml:space="preserve"> </w:t>
      </w:r>
      <w:r w:rsidRPr="008964E4">
        <w:rPr>
          <w:sz w:val="22"/>
          <w:szCs w:val="22"/>
        </w:rPr>
        <w:t xml:space="preserve">English Indices of Multiple Deprivation 2010. . 2011. </w:t>
      </w:r>
      <w:hyperlink r:id="rId11" w:history="1">
        <w:r w:rsidR="0005732B" w:rsidRPr="00EA2D7D">
          <w:rPr>
            <w:rStyle w:val="Hyperlink"/>
            <w:sz w:val="22"/>
            <w:szCs w:val="22"/>
          </w:rPr>
          <w:t>https://www.gov.uk/government/statistics/english-indices-of-deprivation-2010</w:t>
        </w:r>
      </w:hyperlink>
      <w:r w:rsidR="0005732B">
        <w:rPr>
          <w:sz w:val="22"/>
          <w:szCs w:val="22"/>
        </w:rPr>
        <w:t xml:space="preserve"> .</w:t>
      </w:r>
      <w:r w:rsidRPr="008964E4">
        <w:rPr>
          <w:sz w:val="22"/>
          <w:szCs w:val="22"/>
        </w:rPr>
        <w:t xml:space="preserve"> Accessed 21</w:t>
      </w:r>
      <w:r w:rsidR="0005732B">
        <w:rPr>
          <w:sz w:val="22"/>
          <w:szCs w:val="22"/>
        </w:rPr>
        <w:t>st November 2017</w:t>
      </w:r>
      <w:r w:rsidRPr="008964E4">
        <w:rPr>
          <w:sz w:val="22"/>
          <w:szCs w:val="22"/>
        </w:rPr>
        <w:t>.</w:t>
      </w:r>
    </w:p>
    <w:p w14:paraId="4713BE68" w14:textId="53660BE9" w:rsidR="00F2673F" w:rsidRPr="008964E4" w:rsidRDefault="00F2673F" w:rsidP="00510544">
      <w:pPr>
        <w:pStyle w:val="EndNoteBibliography"/>
        <w:spacing w:before="0" w:line="480" w:lineRule="auto"/>
        <w:ind w:left="720" w:hanging="720"/>
        <w:rPr>
          <w:sz w:val="22"/>
          <w:szCs w:val="22"/>
        </w:rPr>
      </w:pPr>
      <w:r w:rsidRPr="008964E4">
        <w:rPr>
          <w:sz w:val="22"/>
          <w:szCs w:val="22"/>
        </w:rPr>
        <w:t>2</w:t>
      </w:r>
      <w:r w:rsidR="008964E4" w:rsidRPr="008964E4">
        <w:rPr>
          <w:sz w:val="22"/>
          <w:szCs w:val="22"/>
        </w:rPr>
        <w:t>2</w:t>
      </w:r>
      <w:r w:rsidRPr="008964E4">
        <w:rPr>
          <w:sz w:val="22"/>
          <w:szCs w:val="22"/>
        </w:rPr>
        <w:t>.</w:t>
      </w:r>
      <w:r w:rsidRPr="008964E4">
        <w:rPr>
          <w:sz w:val="22"/>
          <w:szCs w:val="22"/>
        </w:rPr>
        <w:tab/>
      </w:r>
      <w:r w:rsidR="00186A60" w:rsidRPr="00186A60">
        <w:rPr>
          <w:rFonts w:eastAsiaTheme="minorHAnsi"/>
          <w:color w:val="auto"/>
          <w:sz w:val="22"/>
          <w:szCs w:val="22"/>
          <w:lang w:eastAsia="en-US"/>
        </w:rPr>
        <w:t>Welsh Government.</w:t>
      </w:r>
      <w:r w:rsidR="00186A60" w:rsidRPr="008964E4">
        <w:rPr>
          <w:sz w:val="22"/>
          <w:szCs w:val="22"/>
        </w:rPr>
        <w:t xml:space="preserve"> </w:t>
      </w:r>
      <w:r w:rsidRPr="008964E4">
        <w:rPr>
          <w:sz w:val="22"/>
          <w:szCs w:val="22"/>
        </w:rPr>
        <w:t xml:space="preserve">Welsh Index of Multiple Deprivation. 2017. </w:t>
      </w:r>
      <w:hyperlink r:id="rId12" w:history="1">
        <w:r w:rsidR="00186A60" w:rsidRPr="00EA2D7D">
          <w:rPr>
            <w:rStyle w:val="Hyperlink"/>
            <w:sz w:val="22"/>
            <w:szCs w:val="22"/>
          </w:rPr>
          <w:t>http://wimd.wales.gov.uk/?lang=en</w:t>
        </w:r>
      </w:hyperlink>
      <w:r w:rsidR="00186A60">
        <w:rPr>
          <w:sz w:val="22"/>
          <w:szCs w:val="22"/>
        </w:rPr>
        <w:t xml:space="preserve"> </w:t>
      </w:r>
      <w:r w:rsidRPr="008964E4">
        <w:rPr>
          <w:sz w:val="22"/>
          <w:szCs w:val="22"/>
        </w:rPr>
        <w:t>. Accessed 21</w:t>
      </w:r>
      <w:r w:rsidR="00186A60" w:rsidRPr="00186A60">
        <w:rPr>
          <w:sz w:val="22"/>
          <w:szCs w:val="22"/>
          <w:vertAlign w:val="superscript"/>
        </w:rPr>
        <w:t>st</w:t>
      </w:r>
      <w:r w:rsidR="00186A60">
        <w:rPr>
          <w:sz w:val="22"/>
          <w:szCs w:val="22"/>
        </w:rPr>
        <w:t xml:space="preserve"> November 2017</w:t>
      </w:r>
      <w:r w:rsidRPr="008964E4">
        <w:rPr>
          <w:sz w:val="22"/>
          <w:szCs w:val="22"/>
        </w:rPr>
        <w:t>.</w:t>
      </w:r>
    </w:p>
    <w:p w14:paraId="5B7C7BD7" w14:textId="3F5982CD" w:rsidR="00186A60" w:rsidRPr="00A9635B" w:rsidRDefault="00F2673F" w:rsidP="00510544">
      <w:pPr>
        <w:pStyle w:val="EndNoteBibliography"/>
        <w:spacing w:before="0" w:line="480" w:lineRule="auto"/>
        <w:ind w:left="720" w:hanging="720"/>
        <w:rPr>
          <w:color w:val="auto"/>
          <w:sz w:val="22"/>
          <w:szCs w:val="22"/>
        </w:rPr>
      </w:pPr>
      <w:r w:rsidRPr="008964E4">
        <w:rPr>
          <w:sz w:val="22"/>
          <w:szCs w:val="22"/>
        </w:rPr>
        <w:t>2</w:t>
      </w:r>
      <w:r w:rsidR="008964E4" w:rsidRPr="008964E4">
        <w:rPr>
          <w:sz w:val="22"/>
          <w:szCs w:val="22"/>
        </w:rPr>
        <w:t>3</w:t>
      </w:r>
      <w:r w:rsidRPr="008964E4">
        <w:rPr>
          <w:sz w:val="22"/>
          <w:szCs w:val="22"/>
        </w:rPr>
        <w:t>.</w:t>
      </w:r>
      <w:r w:rsidRPr="008964E4">
        <w:rPr>
          <w:sz w:val="22"/>
          <w:szCs w:val="22"/>
        </w:rPr>
        <w:tab/>
      </w:r>
      <w:r w:rsidR="00186A60" w:rsidRPr="00186A60">
        <w:rPr>
          <w:rFonts w:eastAsiaTheme="minorHAnsi"/>
          <w:color w:val="auto"/>
          <w:sz w:val="22"/>
          <w:szCs w:val="22"/>
          <w:lang w:eastAsia="en-US"/>
        </w:rPr>
        <w:t>Information Services Division, NHS National Services Scotland.</w:t>
      </w:r>
      <w:r w:rsidR="00186A60">
        <w:rPr>
          <w:rFonts w:ascii="Segoe UI" w:eastAsiaTheme="minorHAnsi" w:hAnsi="Segoe UI" w:cs="Segoe UI"/>
          <w:color w:val="auto"/>
          <w:sz w:val="18"/>
          <w:szCs w:val="18"/>
          <w:lang w:eastAsia="en-US"/>
        </w:rPr>
        <w:t xml:space="preserve"> </w:t>
      </w:r>
      <w:r w:rsidRPr="008964E4">
        <w:rPr>
          <w:sz w:val="22"/>
          <w:szCs w:val="22"/>
        </w:rPr>
        <w:t xml:space="preserve">The Scottish Index of Multiple Deprivation. </w:t>
      </w:r>
      <w:hyperlink r:id="rId13" w:history="1">
        <w:r w:rsidR="00186A60" w:rsidRPr="00EA2D7D">
          <w:rPr>
            <w:rStyle w:val="Hyperlink"/>
            <w:sz w:val="22"/>
            <w:szCs w:val="22"/>
          </w:rPr>
          <w:t>http://www.isdscotland.org/Products-and-Services/GPD-Support/Deprivation/SIMD/</w:t>
        </w:r>
      </w:hyperlink>
      <w:r w:rsidR="00186A60">
        <w:rPr>
          <w:sz w:val="22"/>
          <w:szCs w:val="22"/>
        </w:rPr>
        <w:t xml:space="preserve"> </w:t>
      </w:r>
      <w:r w:rsidRPr="008964E4">
        <w:rPr>
          <w:sz w:val="22"/>
          <w:szCs w:val="22"/>
        </w:rPr>
        <w:t xml:space="preserve">. </w:t>
      </w:r>
      <w:r w:rsidR="00186A60" w:rsidRPr="008964E4">
        <w:rPr>
          <w:sz w:val="22"/>
          <w:szCs w:val="22"/>
        </w:rPr>
        <w:t>Accessed 21</w:t>
      </w:r>
      <w:r w:rsidR="00186A60" w:rsidRPr="00186A60">
        <w:rPr>
          <w:sz w:val="22"/>
          <w:szCs w:val="22"/>
          <w:vertAlign w:val="superscript"/>
        </w:rPr>
        <w:t>st</w:t>
      </w:r>
      <w:r w:rsidR="00186A60">
        <w:rPr>
          <w:sz w:val="22"/>
          <w:szCs w:val="22"/>
        </w:rPr>
        <w:t xml:space="preserve"> November 2017</w:t>
      </w:r>
      <w:r w:rsidR="00186A60" w:rsidRPr="008964E4">
        <w:rPr>
          <w:sz w:val="22"/>
          <w:szCs w:val="22"/>
        </w:rPr>
        <w:t>.</w:t>
      </w:r>
    </w:p>
    <w:p w14:paraId="67FBD41A" w14:textId="6E4679FC" w:rsidR="008C01C4" w:rsidRPr="00A9635B" w:rsidRDefault="008C01C4" w:rsidP="008C01C4">
      <w:pPr>
        <w:pStyle w:val="EndNoteBibliography"/>
        <w:spacing w:before="0" w:line="480" w:lineRule="auto"/>
        <w:ind w:left="720" w:hanging="720"/>
        <w:rPr>
          <w:color w:val="auto"/>
          <w:sz w:val="22"/>
          <w:szCs w:val="22"/>
        </w:rPr>
      </w:pPr>
      <w:r w:rsidRPr="00A9635B">
        <w:rPr>
          <w:color w:val="auto"/>
          <w:sz w:val="22"/>
          <w:szCs w:val="22"/>
        </w:rPr>
        <w:t>24.      Chambers SK, Lowe A, Hyde MK, Zajdlewicz L, Gardiner RA, Sandoe D, et al.  Defining Young in the Context of Prostate Cancer. Am J Mens Health. 2015;9(2):103-14.</w:t>
      </w:r>
    </w:p>
    <w:p w14:paraId="20C29A41" w14:textId="403E15EA" w:rsidR="00985F88" w:rsidRPr="00A9635B" w:rsidRDefault="00985F88" w:rsidP="008C01C4">
      <w:pPr>
        <w:pStyle w:val="EndNoteBibliography"/>
        <w:spacing w:before="0" w:line="480" w:lineRule="auto"/>
        <w:ind w:left="720" w:hanging="720"/>
        <w:rPr>
          <w:color w:val="auto"/>
          <w:sz w:val="22"/>
          <w:szCs w:val="22"/>
        </w:rPr>
      </w:pPr>
      <w:r w:rsidRPr="00A9635B">
        <w:rPr>
          <w:color w:val="auto"/>
          <w:sz w:val="22"/>
          <w:szCs w:val="22"/>
        </w:rPr>
        <w:t>25.      Bennett D, Kearney T, Donnelly DW, Downing A, Wright P, Wilding S, et al. Factors influencing job loss and early retirement in working men with prostate cancer findings from the population-based Life After Prostate Cancer Diagnosis (LAPCD) study. Journal of Cancer Survivorship. 2018;12(5):669-78.</w:t>
      </w:r>
    </w:p>
    <w:p w14:paraId="51A7BBB3" w14:textId="08D5675D" w:rsidR="00F2673F" w:rsidRPr="008964E4" w:rsidRDefault="00F2673F" w:rsidP="00510544">
      <w:pPr>
        <w:pStyle w:val="EndNoteBibliography"/>
        <w:spacing w:before="0" w:line="480" w:lineRule="auto"/>
        <w:ind w:left="720" w:hanging="720"/>
        <w:rPr>
          <w:sz w:val="22"/>
          <w:szCs w:val="22"/>
        </w:rPr>
      </w:pPr>
      <w:r w:rsidRPr="008964E4">
        <w:rPr>
          <w:sz w:val="22"/>
          <w:szCs w:val="22"/>
        </w:rPr>
        <w:t>2</w:t>
      </w:r>
      <w:r w:rsidR="00B437EC">
        <w:rPr>
          <w:sz w:val="22"/>
          <w:szCs w:val="22"/>
        </w:rPr>
        <w:t>6</w:t>
      </w:r>
      <w:r w:rsidRPr="008964E4">
        <w:rPr>
          <w:sz w:val="22"/>
          <w:szCs w:val="22"/>
        </w:rPr>
        <w:t>.</w:t>
      </w:r>
      <w:r w:rsidRPr="008964E4">
        <w:rPr>
          <w:sz w:val="22"/>
          <w:szCs w:val="22"/>
        </w:rPr>
        <w:tab/>
        <w:t xml:space="preserve">MacLennan SJ, Murdoch SE, Cox T. Changing current practice in urological cancer care: Providing better information, advice and related support on work engagement. </w:t>
      </w:r>
      <w:r w:rsidR="00186A60" w:rsidRPr="00186A60">
        <w:rPr>
          <w:i/>
          <w:sz w:val="22"/>
          <w:szCs w:val="22"/>
        </w:rPr>
        <w:t>Eur J Cancer Care</w:t>
      </w:r>
      <w:r w:rsidRPr="00186A60">
        <w:rPr>
          <w:i/>
          <w:sz w:val="22"/>
          <w:szCs w:val="22"/>
        </w:rPr>
        <w:t>.</w:t>
      </w:r>
      <w:r w:rsidRPr="008964E4">
        <w:rPr>
          <w:i/>
          <w:sz w:val="22"/>
          <w:szCs w:val="22"/>
        </w:rPr>
        <w:t xml:space="preserve"> </w:t>
      </w:r>
      <w:r w:rsidRPr="008964E4">
        <w:rPr>
          <w:sz w:val="22"/>
          <w:szCs w:val="22"/>
        </w:rPr>
        <w:t>2017;26(5):10.</w:t>
      </w:r>
    </w:p>
    <w:p w14:paraId="2AD89EA4" w14:textId="1AD542B0" w:rsidR="00F2673F" w:rsidRDefault="00F2673F" w:rsidP="00510544">
      <w:pPr>
        <w:pStyle w:val="EndNoteBibliography"/>
        <w:spacing w:before="0" w:line="480" w:lineRule="auto"/>
        <w:ind w:left="720" w:hanging="720"/>
        <w:rPr>
          <w:sz w:val="22"/>
          <w:szCs w:val="22"/>
        </w:rPr>
      </w:pPr>
      <w:r w:rsidRPr="008964E4">
        <w:rPr>
          <w:sz w:val="22"/>
          <w:szCs w:val="22"/>
        </w:rPr>
        <w:t>2</w:t>
      </w:r>
      <w:r w:rsidR="00B437EC">
        <w:rPr>
          <w:sz w:val="22"/>
          <w:szCs w:val="22"/>
        </w:rPr>
        <w:t>7</w:t>
      </w:r>
      <w:r w:rsidRPr="008964E4">
        <w:rPr>
          <w:sz w:val="22"/>
          <w:szCs w:val="22"/>
        </w:rPr>
        <w:t>.</w:t>
      </w:r>
      <w:r w:rsidRPr="008964E4">
        <w:rPr>
          <w:sz w:val="22"/>
          <w:szCs w:val="22"/>
        </w:rPr>
        <w:tab/>
        <w:t xml:space="preserve">Handberg C, Lomborg K, Nielsen CV, Oliffe JL, Midtgaard J. Understanding male cancer patients' barriers to participating in cancer rehabilitation. </w:t>
      </w:r>
      <w:r w:rsidR="00186A60" w:rsidRPr="00186A60">
        <w:rPr>
          <w:i/>
          <w:sz w:val="22"/>
          <w:szCs w:val="22"/>
        </w:rPr>
        <w:t>Eur J Cancer Care.</w:t>
      </w:r>
      <w:r w:rsidR="00186A60" w:rsidRPr="008964E4">
        <w:rPr>
          <w:i/>
          <w:sz w:val="22"/>
          <w:szCs w:val="22"/>
        </w:rPr>
        <w:t xml:space="preserve"> </w:t>
      </w:r>
      <w:r w:rsidRPr="008964E4">
        <w:rPr>
          <w:i/>
          <w:sz w:val="22"/>
          <w:szCs w:val="22"/>
        </w:rPr>
        <w:t xml:space="preserve"> </w:t>
      </w:r>
      <w:r w:rsidRPr="008964E4">
        <w:rPr>
          <w:sz w:val="22"/>
          <w:szCs w:val="22"/>
        </w:rPr>
        <w:t>2015;24(6):801-811.</w:t>
      </w:r>
    </w:p>
    <w:p w14:paraId="026C277E" w14:textId="3025D836" w:rsidR="00B437EC" w:rsidRPr="00A9635B" w:rsidRDefault="00B437EC" w:rsidP="002D0AC4">
      <w:pPr>
        <w:pStyle w:val="EndNoteBibliography"/>
        <w:spacing w:before="0" w:line="480" w:lineRule="auto"/>
        <w:ind w:left="709" w:hanging="709"/>
        <w:rPr>
          <w:color w:val="auto"/>
        </w:rPr>
      </w:pPr>
      <w:r>
        <w:rPr>
          <w:sz w:val="22"/>
          <w:szCs w:val="22"/>
        </w:rPr>
        <w:t xml:space="preserve">28.      </w:t>
      </w:r>
      <w:r w:rsidRPr="00A9635B">
        <w:rPr>
          <w:color w:val="auto"/>
          <w:sz w:val="22"/>
          <w:szCs w:val="22"/>
        </w:rPr>
        <w:t xml:space="preserve">Melzer D, Delgado JC, Winder R, Masoli J, Richards S, Ble A. The AgeUK  almanac ofdisease profiles in later life. University of Exeter Medical </w:t>
      </w:r>
      <w:r w:rsidRPr="00A9635B">
        <w:rPr>
          <w:color w:val="auto"/>
          <w:sz w:val="22"/>
          <w:szCs w:val="22"/>
        </w:rPr>
        <w:lastRenderedPageBreak/>
        <w:t>School Ageing Research Group; 2015.</w:t>
      </w:r>
      <w:r w:rsidRPr="00A9635B">
        <w:rPr>
          <w:b/>
          <w:i/>
          <w:color w:val="auto"/>
          <w:sz w:val="22"/>
          <w:szCs w:val="22"/>
        </w:rPr>
        <w:t xml:space="preserve"> </w:t>
      </w:r>
      <w:hyperlink r:id="rId14" w:history="1">
        <w:r w:rsidRPr="00B437EC">
          <w:rPr>
            <w:rFonts w:eastAsiaTheme="minorHAnsi"/>
            <w:color w:val="0000FF"/>
            <w:sz w:val="22"/>
            <w:szCs w:val="22"/>
            <w:u w:val="single"/>
            <w:lang w:eastAsia="en-US"/>
          </w:rPr>
          <w:t>https://www.ageuk.org.uk/Documents/EN-GB/For-professionals/Research/Age_UK_almanac_FINAL_9Oct15.pdf?dtrk=true</w:t>
        </w:r>
      </w:hyperlink>
      <w:r>
        <w:rPr>
          <w:b/>
          <w:i/>
          <w:color w:val="FF0000"/>
          <w:sz w:val="22"/>
          <w:szCs w:val="22"/>
        </w:rPr>
        <w:t xml:space="preserve"> </w:t>
      </w:r>
      <w:r w:rsidRPr="00A9635B">
        <w:rPr>
          <w:color w:val="auto"/>
          <w:sz w:val="22"/>
          <w:szCs w:val="22"/>
        </w:rPr>
        <w:t xml:space="preserve">Accessed </w:t>
      </w:r>
      <w:r w:rsidRPr="00A9635B">
        <w:rPr>
          <w:rFonts w:eastAsiaTheme="minorHAnsi"/>
          <w:color w:val="auto"/>
          <w:sz w:val="22"/>
          <w:szCs w:val="22"/>
          <w:lang w:eastAsia="en-US"/>
        </w:rPr>
        <w:t>09/04/2019.</w:t>
      </w:r>
    </w:p>
    <w:p w14:paraId="534AC089" w14:textId="5DE03EC3" w:rsidR="00F2673F" w:rsidRPr="008964E4" w:rsidRDefault="00F2673F" w:rsidP="00CF724E">
      <w:pPr>
        <w:pStyle w:val="EndNoteBibliography"/>
        <w:numPr>
          <w:ilvl w:val="0"/>
          <w:numId w:val="22"/>
        </w:numPr>
        <w:spacing w:before="0" w:line="480" w:lineRule="auto"/>
        <w:ind w:hanging="720"/>
        <w:rPr>
          <w:sz w:val="22"/>
          <w:szCs w:val="22"/>
        </w:rPr>
      </w:pPr>
      <w:r w:rsidRPr="008964E4">
        <w:rPr>
          <w:sz w:val="22"/>
          <w:szCs w:val="22"/>
        </w:rPr>
        <w:t xml:space="preserve">Reeve BB, Chen RC, Moore DT, et al. Impact of comorbidity on health-related quality of life after prostate cancer treatment: combined analysis of two prospective cohort studies. </w:t>
      </w:r>
      <w:r w:rsidR="00186A60" w:rsidRPr="00186A60">
        <w:rPr>
          <w:i/>
          <w:sz w:val="22"/>
          <w:szCs w:val="22"/>
        </w:rPr>
        <w:t>BJU Int</w:t>
      </w:r>
      <w:r w:rsidRPr="008964E4">
        <w:rPr>
          <w:i/>
          <w:sz w:val="22"/>
          <w:szCs w:val="22"/>
        </w:rPr>
        <w:t xml:space="preserve">. </w:t>
      </w:r>
      <w:r w:rsidRPr="008964E4">
        <w:rPr>
          <w:sz w:val="22"/>
          <w:szCs w:val="22"/>
        </w:rPr>
        <w:t>2014;114(6B):E74-E81.</w:t>
      </w:r>
    </w:p>
    <w:p w14:paraId="75C92221" w14:textId="752BFDA0" w:rsidR="00F2673F" w:rsidRPr="008964E4" w:rsidRDefault="00CF724E" w:rsidP="00510544">
      <w:pPr>
        <w:pStyle w:val="EndNoteBibliography"/>
        <w:spacing w:before="0" w:line="480" w:lineRule="auto"/>
        <w:ind w:left="720" w:hanging="720"/>
        <w:rPr>
          <w:sz w:val="22"/>
          <w:szCs w:val="22"/>
        </w:rPr>
      </w:pPr>
      <w:r>
        <w:rPr>
          <w:sz w:val="22"/>
          <w:szCs w:val="22"/>
        </w:rPr>
        <w:t>30</w:t>
      </w:r>
      <w:r w:rsidR="00F2673F" w:rsidRPr="008964E4">
        <w:rPr>
          <w:sz w:val="22"/>
          <w:szCs w:val="22"/>
        </w:rPr>
        <w:t>.</w:t>
      </w:r>
      <w:r w:rsidR="00F2673F" w:rsidRPr="008964E4">
        <w:rPr>
          <w:sz w:val="22"/>
          <w:szCs w:val="22"/>
        </w:rPr>
        <w:tab/>
        <w:t xml:space="preserve">Holm LV, Hansen DG, Kragstrup J, et al. Influence of comorbidity on cancer patients' rehabilitation needs, participation in rehabilitation activities and unmet needs: a population-based cohort study. </w:t>
      </w:r>
      <w:r w:rsidR="00F2673F" w:rsidRPr="008964E4">
        <w:rPr>
          <w:i/>
          <w:sz w:val="22"/>
          <w:szCs w:val="22"/>
        </w:rPr>
        <w:t xml:space="preserve">Support Care Cancer. </w:t>
      </w:r>
      <w:r w:rsidR="00F2673F" w:rsidRPr="008964E4">
        <w:rPr>
          <w:sz w:val="22"/>
          <w:szCs w:val="22"/>
        </w:rPr>
        <w:t>2014;22(8):2095-2105.</w:t>
      </w:r>
    </w:p>
    <w:p w14:paraId="402F4E70" w14:textId="266E5921" w:rsidR="00F2673F" w:rsidRPr="008964E4" w:rsidRDefault="00CF724E" w:rsidP="00510544">
      <w:pPr>
        <w:pStyle w:val="EndNoteBibliography"/>
        <w:spacing w:before="0" w:line="480" w:lineRule="auto"/>
        <w:ind w:left="720" w:hanging="720"/>
        <w:rPr>
          <w:sz w:val="22"/>
          <w:szCs w:val="22"/>
        </w:rPr>
      </w:pPr>
      <w:r>
        <w:rPr>
          <w:sz w:val="22"/>
          <w:szCs w:val="22"/>
        </w:rPr>
        <w:t>31</w:t>
      </w:r>
      <w:r w:rsidR="00F2673F" w:rsidRPr="008964E4">
        <w:rPr>
          <w:sz w:val="22"/>
          <w:szCs w:val="22"/>
        </w:rPr>
        <w:t>.</w:t>
      </w:r>
      <w:r w:rsidR="00F2673F" w:rsidRPr="008964E4">
        <w:rPr>
          <w:sz w:val="22"/>
          <w:szCs w:val="22"/>
        </w:rPr>
        <w:tab/>
        <w:t xml:space="preserve">Klein J, Luedecke D, Hofreuter-Gaetgens K, Fisch M, Graefen M, von dem Knesebeck O. Income and health-related quality of life among prostate cancer patients over a one-year period after radical prostatectomy: a linear mixed model analysis. </w:t>
      </w:r>
      <w:r w:rsidR="00186A60" w:rsidRPr="000E1944">
        <w:rPr>
          <w:i/>
          <w:sz w:val="22"/>
          <w:szCs w:val="22"/>
        </w:rPr>
        <w:t>Qual Life Res</w:t>
      </w:r>
      <w:r w:rsidR="00F2673F" w:rsidRPr="008964E4">
        <w:rPr>
          <w:i/>
          <w:sz w:val="22"/>
          <w:szCs w:val="22"/>
        </w:rPr>
        <w:t xml:space="preserve">. </w:t>
      </w:r>
      <w:r w:rsidR="00F2673F" w:rsidRPr="008964E4">
        <w:rPr>
          <w:sz w:val="22"/>
          <w:szCs w:val="22"/>
        </w:rPr>
        <w:t>2017;26(9):2363-2373.</w:t>
      </w:r>
    </w:p>
    <w:p w14:paraId="71E101AA" w14:textId="0BA33CEB" w:rsidR="00F2673F" w:rsidRPr="00A9635B" w:rsidRDefault="00CF724E" w:rsidP="00510544">
      <w:pPr>
        <w:pStyle w:val="EndNoteBibliography"/>
        <w:spacing w:before="0" w:line="480" w:lineRule="auto"/>
        <w:ind w:left="720" w:hanging="720"/>
        <w:rPr>
          <w:color w:val="auto"/>
          <w:sz w:val="22"/>
          <w:szCs w:val="22"/>
        </w:rPr>
      </w:pPr>
      <w:r>
        <w:rPr>
          <w:sz w:val="22"/>
          <w:szCs w:val="22"/>
        </w:rPr>
        <w:t>32</w:t>
      </w:r>
      <w:r w:rsidR="00F2673F" w:rsidRPr="008964E4">
        <w:rPr>
          <w:sz w:val="22"/>
          <w:szCs w:val="22"/>
        </w:rPr>
        <w:t>.</w:t>
      </w:r>
      <w:r w:rsidR="00F2673F" w:rsidRPr="008964E4">
        <w:rPr>
          <w:sz w:val="22"/>
          <w:szCs w:val="22"/>
        </w:rPr>
        <w:tab/>
        <w:t xml:space="preserve">Rivas C, Matheson L, Nayoan J, et al. Ethnicity and the prostate cancer experience: a qualitative metasynthesis. </w:t>
      </w:r>
      <w:r w:rsidR="00186A60" w:rsidRPr="00A27411">
        <w:rPr>
          <w:i/>
          <w:sz w:val="22"/>
          <w:szCs w:val="22"/>
        </w:rPr>
        <w:t>Psychooncology</w:t>
      </w:r>
      <w:r w:rsidR="00F2673F" w:rsidRPr="008964E4">
        <w:rPr>
          <w:i/>
          <w:sz w:val="22"/>
          <w:szCs w:val="22"/>
        </w:rPr>
        <w:t xml:space="preserve">. </w:t>
      </w:r>
      <w:r w:rsidR="00F2673F" w:rsidRPr="008964E4">
        <w:rPr>
          <w:sz w:val="22"/>
          <w:szCs w:val="22"/>
        </w:rPr>
        <w:t>2016;25(10):1147-1156.</w:t>
      </w:r>
    </w:p>
    <w:p w14:paraId="14733128" w14:textId="714ED2F7" w:rsidR="00CF724E" w:rsidRPr="00A9635B" w:rsidRDefault="00CF724E" w:rsidP="00510544">
      <w:pPr>
        <w:pStyle w:val="EndNoteBibliography"/>
        <w:spacing w:before="0" w:line="480" w:lineRule="auto"/>
        <w:ind w:left="720" w:hanging="720"/>
        <w:rPr>
          <w:color w:val="auto"/>
          <w:sz w:val="22"/>
          <w:szCs w:val="22"/>
        </w:rPr>
      </w:pPr>
      <w:r w:rsidRPr="00A9635B">
        <w:rPr>
          <w:color w:val="auto"/>
          <w:sz w:val="22"/>
          <w:szCs w:val="22"/>
        </w:rPr>
        <w:t>33.      Clegg LX, Potosky AL, Harlan LC, Hankey BF, Hoffman RM, Stanford JL, et al. Comparison of self-reported initial treatment with medical records: Results from the prostate cancer outcomes study. American Journal of Epidemiology. 2001;154(6):582-7.</w:t>
      </w:r>
    </w:p>
    <w:p w14:paraId="6009D4EF" w14:textId="77777777" w:rsidR="006D26F0" w:rsidRDefault="00F2673F" w:rsidP="00E7281F">
      <w:pPr>
        <w:pStyle w:val="EndNoteBibliography"/>
        <w:spacing w:before="0" w:line="480" w:lineRule="auto"/>
        <w:ind w:left="720" w:hanging="720"/>
        <w:rPr>
          <w:b/>
          <w:sz w:val="22"/>
          <w:szCs w:val="22"/>
        </w:rPr>
      </w:pPr>
      <w:r w:rsidRPr="008964E4">
        <w:rPr>
          <w:sz w:val="22"/>
          <w:szCs w:val="22"/>
        </w:rPr>
        <w:lastRenderedPageBreak/>
        <w:t>3</w:t>
      </w:r>
      <w:r w:rsidR="008964E4" w:rsidRPr="008964E4">
        <w:rPr>
          <w:sz w:val="22"/>
          <w:szCs w:val="22"/>
        </w:rPr>
        <w:t>0</w:t>
      </w:r>
      <w:r w:rsidRPr="008964E4">
        <w:rPr>
          <w:sz w:val="22"/>
          <w:szCs w:val="22"/>
        </w:rPr>
        <w:t>.</w:t>
      </w:r>
      <w:r w:rsidRPr="008964E4">
        <w:rPr>
          <w:sz w:val="22"/>
          <w:szCs w:val="22"/>
        </w:rPr>
        <w:tab/>
        <w:t xml:space="preserve">Ye F, Moon DH, Carpenter WR, et al. Comparison of Patient Report and Medical Records of Comorbidities Results From a Population-Based Cohort of Patients With Prostate Cancer. </w:t>
      </w:r>
      <w:r w:rsidR="00186A60" w:rsidRPr="00186A60">
        <w:rPr>
          <w:i/>
          <w:sz w:val="22"/>
          <w:szCs w:val="22"/>
        </w:rPr>
        <w:t>JAMA Oncol</w:t>
      </w:r>
      <w:r w:rsidRPr="00186A60">
        <w:rPr>
          <w:i/>
          <w:sz w:val="22"/>
          <w:szCs w:val="22"/>
        </w:rPr>
        <w:t>.</w:t>
      </w:r>
      <w:r w:rsidRPr="008964E4">
        <w:rPr>
          <w:i/>
          <w:sz w:val="22"/>
          <w:szCs w:val="22"/>
        </w:rPr>
        <w:t xml:space="preserve"> </w:t>
      </w:r>
      <w:r w:rsidRPr="008964E4">
        <w:rPr>
          <w:sz w:val="22"/>
          <w:szCs w:val="22"/>
        </w:rPr>
        <w:t>2017;3(8):1035-1042.</w:t>
      </w:r>
      <w:r w:rsidR="00212CEA" w:rsidRPr="00502A4C">
        <w:rPr>
          <w:b/>
          <w:sz w:val="22"/>
          <w:szCs w:val="22"/>
        </w:rPr>
        <w:t xml:space="preserve"> </w:t>
      </w:r>
    </w:p>
    <w:p w14:paraId="7C40A718" w14:textId="77777777" w:rsidR="00C36010" w:rsidRDefault="006D26F0">
      <w:pPr>
        <w:pBdr>
          <w:top w:val="none" w:sz="0" w:space="0" w:color="auto"/>
          <w:left w:val="none" w:sz="0" w:space="0" w:color="auto"/>
          <w:bottom w:val="none" w:sz="0" w:space="0" w:color="auto"/>
          <w:right w:val="none" w:sz="0" w:space="0" w:color="auto"/>
          <w:between w:val="none" w:sz="0" w:space="0" w:color="auto"/>
        </w:pBdr>
        <w:spacing w:before="0" w:after="200"/>
        <w:rPr>
          <w:b/>
          <w:noProof/>
          <w:sz w:val="22"/>
          <w:szCs w:val="22"/>
        </w:rPr>
      </w:pPr>
      <w:r>
        <w:rPr>
          <w:b/>
          <w:sz w:val="22"/>
          <w:szCs w:val="22"/>
        </w:rPr>
        <w:br w:type="page"/>
      </w:r>
    </w:p>
    <w:tbl>
      <w:tblPr>
        <w:tblW w:w="8080" w:type="dxa"/>
        <w:tblLook w:val="04A0" w:firstRow="1" w:lastRow="0" w:firstColumn="1" w:lastColumn="0" w:noHBand="0" w:noVBand="1"/>
      </w:tblPr>
      <w:tblGrid>
        <w:gridCol w:w="3119"/>
        <w:gridCol w:w="2126"/>
        <w:gridCol w:w="992"/>
        <w:gridCol w:w="851"/>
        <w:gridCol w:w="992"/>
      </w:tblGrid>
      <w:tr w:rsidR="00C36010" w:rsidRPr="00D24B93" w14:paraId="0F8531FB" w14:textId="77777777" w:rsidTr="00D24B93">
        <w:trPr>
          <w:trHeight w:val="300"/>
        </w:trPr>
        <w:tc>
          <w:tcPr>
            <w:tcW w:w="6237" w:type="dxa"/>
            <w:gridSpan w:val="3"/>
            <w:tcBorders>
              <w:top w:val="nil"/>
              <w:left w:val="nil"/>
              <w:bottom w:val="nil"/>
              <w:right w:val="nil"/>
            </w:tcBorders>
            <w:shd w:val="clear" w:color="auto" w:fill="auto"/>
            <w:noWrap/>
            <w:vAlign w:val="center"/>
            <w:hideMark/>
          </w:tcPr>
          <w:p w14:paraId="5757438C" w14:textId="77777777" w:rsidR="00C36010" w:rsidRPr="00D24B93" w:rsidRDefault="00C36010" w:rsidP="00966E61">
            <w:pPr>
              <w:spacing w:before="0" w:line="240" w:lineRule="auto"/>
              <w:rPr>
                <w:rFonts w:eastAsia="Times New Roman"/>
                <w:b/>
                <w:bCs/>
                <w:sz w:val="20"/>
                <w:szCs w:val="20"/>
              </w:rPr>
            </w:pPr>
            <w:r w:rsidRPr="00D24B93">
              <w:rPr>
                <w:rFonts w:eastAsia="Times New Roman"/>
                <w:b/>
                <w:bCs/>
                <w:sz w:val="20"/>
                <w:szCs w:val="20"/>
              </w:rPr>
              <w:lastRenderedPageBreak/>
              <w:t>Table 1 Characteristics of the men who completed the SD-16</w:t>
            </w:r>
          </w:p>
        </w:tc>
        <w:tc>
          <w:tcPr>
            <w:tcW w:w="851" w:type="dxa"/>
            <w:tcBorders>
              <w:top w:val="nil"/>
              <w:left w:val="nil"/>
              <w:bottom w:val="nil"/>
              <w:right w:val="nil"/>
            </w:tcBorders>
            <w:shd w:val="clear" w:color="auto" w:fill="auto"/>
            <w:noWrap/>
            <w:vAlign w:val="bottom"/>
            <w:hideMark/>
          </w:tcPr>
          <w:p w14:paraId="49C72734" w14:textId="77777777" w:rsidR="00C36010" w:rsidRPr="00D24B93" w:rsidRDefault="00C36010" w:rsidP="00966E61">
            <w:pPr>
              <w:spacing w:before="0" w:line="240" w:lineRule="auto"/>
              <w:rPr>
                <w:rFonts w:eastAsia="Times New Roman"/>
                <w:b/>
                <w:bCs/>
                <w:sz w:val="20"/>
                <w:szCs w:val="20"/>
              </w:rPr>
            </w:pPr>
          </w:p>
        </w:tc>
        <w:tc>
          <w:tcPr>
            <w:tcW w:w="992" w:type="dxa"/>
            <w:tcBorders>
              <w:top w:val="nil"/>
              <w:left w:val="nil"/>
              <w:bottom w:val="nil"/>
              <w:right w:val="nil"/>
            </w:tcBorders>
            <w:shd w:val="clear" w:color="auto" w:fill="auto"/>
            <w:noWrap/>
            <w:vAlign w:val="bottom"/>
            <w:hideMark/>
          </w:tcPr>
          <w:p w14:paraId="7837CB75" w14:textId="77777777" w:rsidR="00C36010" w:rsidRPr="00D24B93" w:rsidRDefault="00C36010" w:rsidP="00966E61">
            <w:pPr>
              <w:spacing w:before="0" w:line="240" w:lineRule="auto"/>
              <w:rPr>
                <w:rFonts w:eastAsia="Times New Roman"/>
                <w:sz w:val="20"/>
                <w:szCs w:val="20"/>
              </w:rPr>
            </w:pPr>
          </w:p>
        </w:tc>
      </w:tr>
      <w:tr w:rsidR="00C36010" w:rsidRPr="00D24B93" w14:paraId="5207AF09" w14:textId="77777777" w:rsidTr="00D24B93">
        <w:trPr>
          <w:trHeight w:val="315"/>
        </w:trPr>
        <w:tc>
          <w:tcPr>
            <w:tcW w:w="3119" w:type="dxa"/>
            <w:tcBorders>
              <w:top w:val="nil"/>
              <w:left w:val="nil"/>
              <w:right w:val="nil"/>
            </w:tcBorders>
            <w:shd w:val="clear" w:color="auto" w:fill="auto"/>
            <w:noWrap/>
            <w:vAlign w:val="center"/>
            <w:hideMark/>
          </w:tcPr>
          <w:p w14:paraId="03DB2202" w14:textId="77777777" w:rsidR="00C36010" w:rsidRPr="00D24B93" w:rsidRDefault="00C36010" w:rsidP="00966E61">
            <w:pPr>
              <w:spacing w:before="0" w:line="240" w:lineRule="auto"/>
              <w:rPr>
                <w:rFonts w:eastAsia="Times New Roman"/>
                <w:sz w:val="20"/>
                <w:szCs w:val="20"/>
              </w:rPr>
            </w:pPr>
          </w:p>
        </w:tc>
        <w:tc>
          <w:tcPr>
            <w:tcW w:w="2126" w:type="dxa"/>
            <w:tcBorders>
              <w:top w:val="nil"/>
              <w:left w:val="nil"/>
              <w:right w:val="nil"/>
            </w:tcBorders>
            <w:shd w:val="clear" w:color="auto" w:fill="auto"/>
            <w:noWrap/>
            <w:vAlign w:val="bottom"/>
            <w:hideMark/>
          </w:tcPr>
          <w:p w14:paraId="08B46692" w14:textId="77777777" w:rsidR="00C36010" w:rsidRPr="00D24B93" w:rsidRDefault="00C36010" w:rsidP="00966E61">
            <w:pPr>
              <w:spacing w:before="0" w:line="240" w:lineRule="auto"/>
              <w:rPr>
                <w:rFonts w:eastAsia="Times New Roman"/>
                <w:sz w:val="20"/>
                <w:szCs w:val="20"/>
              </w:rPr>
            </w:pPr>
          </w:p>
        </w:tc>
        <w:tc>
          <w:tcPr>
            <w:tcW w:w="992" w:type="dxa"/>
            <w:tcBorders>
              <w:top w:val="nil"/>
              <w:left w:val="nil"/>
              <w:right w:val="nil"/>
            </w:tcBorders>
            <w:shd w:val="clear" w:color="auto" w:fill="auto"/>
            <w:noWrap/>
            <w:vAlign w:val="bottom"/>
            <w:hideMark/>
          </w:tcPr>
          <w:p w14:paraId="0BCF993A" w14:textId="77777777" w:rsidR="00C36010" w:rsidRPr="00D24B93" w:rsidRDefault="00C36010" w:rsidP="00966E61">
            <w:pPr>
              <w:spacing w:before="0" w:line="240" w:lineRule="auto"/>
              <w:rPr>
                <w:rFonts w:eastAsia="Times New Roman"/>
                <w:sz w:val="20"/>
                <w:szCs w:val="20"/>
              </w:rPr>
            </w:pPr>
          </w:p>
        </w:tc>
        <w:tc>
          <w:tcPr>
            <w:tcW w:w="851" w:type="dxa"/>
            <w:tcBorders>
              <w:top w:val="nil"/>
              <w:left w:val="nil"/>
              <w:right w:val="nil"/>
            </w:tcBorders>
            <w:shd w:val="clear" w:color="auto" w:fill="auto"/>
            <w:noWrap/>
            <w:vAlign w:val="bottom"/>
            <w:hideMark/>
          </w:tcPr>
          <w:p w14:paraId="363603AA" w14:textId="77777777" w:rsidR="00C36010" w:rsidRPr="00D24B93" w:rsidRDefault="00C36010" w:rsidP="00966E61">
            <w:pPr>
              <w:spacing w:before="0" w:line="240" w:lineRule="auto"/>
              <w:rPr>
                <w:rFonts w:eastAsia="Times New Roman"/>
                <w:sz w:val="20"/>
                <w:szCs w:val="20"/>
              </w:rPr>
            </w:pPr>
          </w:p>
        </w:tc>
        <w:tc>
          <w:tcPr>
            <w:tcW w:w="992" w:type="dxa"/>
            <w:tcBorders>
              <w:top w:val="nil"/>
              <w:left w:val="nil"/>
              <w:right w:val="nil"/>
            </w:tcBorders>
            <w:shd w:val="clear" w:color="auto" w:fill="auto"/>
            <w:noWrap/>
            <w:vAlign w:val="bottom"/>
            <w:hideMark/>
          </w:tcPr>
          <w:p w14:paraId="51375012" w14:textId="77777777" w:rsidR="00C36010" w:rsidRPr="00D24B93" w:rsidRDefault="00C36010" w:rsidP="00966E61">
            <w:pPr>
              <w:spacing w:before="0" w:line="240" w:lineRule="auto"/>
              <w:rPr>
                <w:rFonts w:eastAsia="Times New Roman"/>
                <w:sz w:val="20"/>
                <w:szCs w:val="20"/>
              </w:rPr>
            </w:pPr>
          </w:p>
        </w:tc>
      </w:tr>
      <w:tr w:rsidR="00C36010" w:rsidRPr="00D24B93" w14:paraId="07AC13FD" w14:textId="77777777" w:rsidTr="00D24B93">
        <w:trPr>
          <w:trHeight w:val="661"/>
        </w:trPr>
        <w:tc>
          <w:tcPr>
            <w:tcW w:w="5245" w:type="dxa"/>
            <w:gridSpan w:val="2"/>
            <w:tcBorders>
              <w:bottom w:val="single" w:sz="4" w:space="0" w:color="auto"/>
            </w:tcBorders>
            <w:shd w:val="clear" w:color="auto" w:fill="auto"/>
            <w:vAlign w:val="center"/>
            <w:hideMark/>
          </w:tcPr>
          <w:p w14:paraId="0BD2C6B6" w14:textId="77777777" w:rsidR="00C36010" w:rsidRPr="00D24B93" w:rsidRDefault="00C36010" w:rsidP="00966E61">
            <w:pPr>
              <w:spacing w:before="0" w:line="240" w:lineRule="auto"/>
              <w:jc w:val="center"/>
              <w:rPr>
                <w:rFonts w:eastAsia="Times New Roman"/>
                <w:b/>
                <w:bCs/>
                <w:sz w:val="20"/>
                <w:szCs w:val="20"/>
              </w:rPr>
            </w:pPr>
            <w:r w:rsidRPr="00D24B93">
              <w:rPr>
                <w:rFonts w:eastAsia="Times New Roman"/>
                <w:b/>
                <w:bCs/>
                <w:sz w:val="20"/>
                <w:szCs w:val="20"/>
              </w:rPr>
              <w:t>Variables</w:t>
            </w:r>
          </w:p>
        </w:tc>
        <w:tc>
          <w:tcPr>
            <w:tcW w:w="2835" w:type="dxa"/>
            <w:gridSpan w:val="3"/>
            <w:tcBorders>
              <w:bottom w:val="single" w:sz="4" w:space="0" w:color="auto"/>
            </w:tcBorders>
            <w:shd w:val="clear" w:color="auto" w:fill="auto"/>
            <w:vAlign w:val="center"/>
            <w:hideMark/>
          </w:tcPr>
          <w:p w14:paraId="301DF0CF" w14:textId="44064C2D" w:rsidR="00C36010" w:rsidRPr="00D24B93" w:rsidRDefault="00C36010" w:rsidP="00966E61">
            <w:pPr>
              <w:spacing w:before="0" w:line="240" w:lineRule="auto"/>
              <w:jc w:val="center"/>
              <w:rPr>
                <w:rFonts w:eastAsia="Times New Roman"/>
                <w:b/>
                <w:bCs/>
                <w:sz w:val="20"/>
                <w:szCs w:val="20"/>
              </w:rPr>
            </w:pPr>
            <w:r w:rsidRPr="00D24B93">
              <w:rPr>
                <w:rFonts w:eastAsia="Times New Roman"/>
                <w:b/>
                <w:bCs/>
                <w:sz w:val="20"/>
                <w:szCs w:val="20"/>
              </w:rPr>
              <w:t>UK-wide men with prostate cancer      (N= 29,351)</w:t>
            </w:r>
          </w:p>
        </w:tc>
      </w:tr>
      <w:tr w:rsidR="00C36010" w:rsidRPr="00D24B93" w14:paraId="2E20E2FB" w14:textId="77777777" w:rsidTr="00D24B93">
        <w:trPr>
          <w:trHeight w:val="315"/>
        </w:trPr>
        <w:tc>
          <w:tcPr>
            <w:tcW w:w="5245" w:type="dxa"/>
            <w:gridSpan w:val="2"/>
            <w:tcBorders>
              <w:top w:val="single" w:sz="4" w:space="0" w:color="auto"/>
              <w:bottom w:val="single" w:sz="4" w:space="0" w:color="auto"/>
            </w:tcBorders>
            <w:shd w:val="clear" w:color="auto" w:fill="auto"/>
            <w:vAlign w:val="center"/>
            <w:hideMark/>
          </w:tcPr>
          <w:p w14:paraId="6F877BC4"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Characteristics</w:t>
            </w:r>
          </w:p>
        </w:tc>
        <w:tc>
          <w:tcPr>
            <w:tcW w:w="992" w:type="dxa"/>
            <w:tcBorders>
              <w:top w:val="single" w:sz="4" w:space="0" w:color="auto"/>
              <w:bottom w:val="single" w:sz="4" w:space="0" w:color="auto"/>
            </w:tcBorders>
            <w:shd w:val="clear" w:color="auto" w:fill="auto"/>
            <w:vAlign w:val="center"/>
            <w:hideMark/>
          </w:tcPr>
          <w:p w14:paraId="3BA40A8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 xml:space="preserve">N </w:t>
            </w:r>
          </w:p>
        </w:tc>
        <w:tc>
          <w:tcPr>
            <w:tcW w:w="851" w:type="dxa"/>
            <w:tcBorders>
              <w:top w:val="single" w:sz="4" w:space="0" w:color="auto"/>
              <w:bottom w:val="single" w:sz="4" w:space="0" w:color="auto"/>
            </w:tcBorders>
            <w:shd w:val="clear" w:color="auto" w:fill="auto"/>
            <w:vAlign w:val="center"/>
            <w:hideMark/>
          </w:tcPr>
          <w:p w14:paraId="1F34044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w:t>
            </w:r>
          </w:p>
        </w:tc>
        <w:tc>
          <w:tcPr>
            <w:tcW w:w="992" w:type="dxa"/>
            <w:tcBorders>
              <w:top w:val="single" w:sz="4" w:space="0" w:color="auto"/>
              <w:left w:val="nil"/>
              <w:bottom w:val="single" w:sz="4" w:space="0" w:color="auto"/>
            </w:tcBorders>
            <w:shd w:val="clear" w:color="auto" w:fill="auto"/>
            <w:vAlign w:val="center"/>
            <w:hideMark/>
          </w:tcPr>
          <w:p w14:paraId="2994021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Missing</w:t>
            </w:r>
          </w:p>
        </w:tc>
      </w:tr>
      <w:tr w:rsidR="00C36010" w:rsidRPr="00D24B93" w14:paraId="19F95A7B" w14:textId="77777777" w:rsidTr="00D24B93">
        <w:trPr>
          <w:trHeight w:val="300"/>
        </w:trPr>
        <w:tc>
          <w:tcPr>
            <w:tcW w:w="3119" w:type="dxa"/>
            <w:vMerge w:val="restart"/>
            <w:tcBorders>
              <w:top w:val="single" w:sz="4" w:space="0" w:color="auto"/>
            </w:tcBorders>
            <w:shd w:val="clear" w:color="auto" w:fill="auto"/>
            <w:vAlign w:val="center"/>
            <w:hideMark/>
          </w:tcPr>
          <w:p w14:paraId="3EB07A9F"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Age</w:t>
            </w:r>
          </w:p>
        </w:tc>
        <w:tc>
          <w:tcPr>
            <w:tcW w:w="2126" w:type="dxa"/>
            <w:tcBorders>
              <w:top w:val="single" w:sz="4" w:space="0" w:color="auto"/>
            </w:tcBorders>
            <w:shd w:val="clear" w:color="auto" w:fill="auto"/>
            <w:vAlign w:val="center"/>
            <w:hideMark/>
          </w:tcPr>
          <w:p w14:paraId="135CEB8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&lt;60 years</w:t>
            </w:r>
          </w:p>
        </w:tc>
        <w:tc>
          <w:tcPr>
            <w:tcW w:w="992" w:type="dxa"/>
            <w:tcBorders>
              <w:top w:val="single" w:sz="4" w:space="0" w:color="auto"/>
            </w:tcBorders>
            <w:shd w:val="clear" w:color="auto" w:fill="auto"/>
            <w:vAlign w:val="center"/>
            <w:hideMark/>
          </w:tcPr>
          <w:p w14:paraId="6EC42B4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2,163</w:t>
            </w:r>
          </w:p>
        </w:tc>
        <w:tc>
          <w:tcPr>
            <w:tcW w:w="851" w:type="dxa"/>
            <w:tcBorders>
              <w:top w:val="single" w:sz="4" w:space="0" w:color="auto"/>
            </w:tcBorders>
            <w:shd w:val="clear" w:color="auto" w:fill="auto"/>
            <w:vAlign w:val="center"/>
            <w:hideMark/>
          </w:tcPr>
          <w:p w14:paraId="76BD141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7.4</w:t>
            </w:r>
          </w:p>
        </w:tc>
        <w:tc>
          <w:tcPr>
            <w:tcW w:w="992" w:type="dxa"/>
            <w:vMerge w:val="restart"/>
            <w:tcBorders>
              <w:top w:val="single" w:sz="4" w:space="0" w:color="auto"/>
              <w:left w:val="nil"/>
            </w:tcBorders>
            <w:shd w:val="clear" w:color="auto" w:fill="auto"/>
            <w:vAlign w:val="center"/>
            <w:hideMark/>
          </w:tcPr>
          <w:p w14:paraId="4EB89357"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2</w:t>
            </w:r>
          </w:p>
        </w:tc>
      </w:tr>
      <w:tr w:rsidR="00C36010" w:rsidRPr="00D24B93" w14:paraId="2A3A8E6F" w14:textId="77777777" w:rsidTr="00D24B93">
        <w:trPr>
          <w:trHeight w:val="300"/>
        </w:trPr>
        <w:tc>
          <w:tcPr>
            <w:tcW w:w="3119" w:type="dxa"/>
            <w:vMerge/>
            <w:tcBorders>
              <w:top w:val="nil"/>
            </w:tcBorders>
            <w:vAlign w:val="center"/>
            <w:hideMark/>
          </w:tcPr>
          <w:p w14:paraId="0E10ED6A"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3A70AEFC"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60-69 years</w:t>
            </w:r>
          </w:p>
        </w:tc>
        <w:tc>
          <w:tcPr>
            <w:tcW w:w="992" w:type="dxa"/>
            <w:tcBorders>
              <w:top w:val="nil"/>
            </w:tcBorders>
            <w:shd w:val="clear" w:color="auto" w:fill="auto"/>
            <w:vAlign w:val="center"/>
            <w:hideMark/>
          </w:tcPr>
          <w:p w14:paraId="0FF5CB3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10,191</w:t>
            </w:r>
          </w:p>
        </w:tc>
        <w:tc>
          <w:tcPr>
            <w:tcW w:w="851" w:type="dxa"/>
            <w:tcBorders>
              <w:top w:val="nil"/>
            </w:tcBorders>
            <w:shd w:val="clear" w:color="auto" w:fill="auto"/>
            <w:vAlign w:val="center"/>
            <w:hideMark/>
          </w:tcPr>
          <w:p w14:paraId="6381FCB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34.7</w:t>
            </w:r>
          </w:p>
        </w:tc>
        <w:tc>
          <w:tcPr>
            <w:tcW w:w="992" w:type="dxa"/>
            <w:vMerge/>
            <w:tcBorders>
              <w:top w:val="nil"/>
              <w:left w:val="nil"/>
            </w:tcBorders>
            <w:vAlign w:val="center"/>
            <w:hideMark/>
          </w:tcPr>
          <w:p w14:paraId="0CC98687" w14:textId="77777777" w:rsidR="00C36010" w:rsidRPr="00D24B93" w:rsidRDefault="00C36010" w:rsidP="00966E61">
            <w:pPr>
              <w:spacing w:before="0" w:line="240" w:lineRule="auto"/>
              <w:rPr>
                <w:rFonts w:eastAsia="Times New Roman"/>
                <w:sz w:val="20"/>
                <w:szCs w:val="20"/>
              </w:rPr>
            </w:pPr>
          </w:p>
        </w:tc>
      </w:tr>
      <w:tr w:rsidR="00C36010" w:rsidRPr="00D24B93" w14:paraId="54944432" w14:textId="77777777" w:rsidTr="00D24B93">
        <w:trPr>
          <w:trHeight w:val="300"/>
        </w:trPr>
        <w:tc>
          <w:tcPr>
            <w:tcW w:w="3119" w:type="dxa"/>
            <w:vMerge/>
            <w:tcBorders>
              <w:top w:val="nil"/>
            </w:tcBorders>
            <w:vAlign w:val="center"/>
            <w:hideMark/>
          </w:tcPr>
          <w:p w14:paraId="2377044E"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27ECDED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70-79 years</w:t>
            </w:r>
          </w:p>
        </w:tc>
        <w:tc>
          <w:tcPr>
            <w:tcW w:w="992" w:type="dxa"/>
            <w:tcBorders>
              <w:top w:val="nil"/>
            </w:tcBorders>
            <w:shd w:val="clear" w:color="auto" w:fill="auto"/>
            <w:vAlign w:val="center"/>
            <w:hideMark/>
          </w:tcPr>
          <w:p w14:paraId="452E4C1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12,644</w:t>
            </w:r>
          </w:p>
        </w:tc>
        <w:tc>
          <w:tcPr>
            <w:tcW w:w="851" w:type="dxa"/>
            <w:tcBorders>
              <w:top w:val="nil"/>
            </w:tcBorders>
            <w:shd w:val="clear" w:color="auto" w:fill="auto"/>
            <w:vAlign w:val="center"/>
            <w:hideMark/>
          </w:tcPr>
          <w:p w14:paraId="1C2970E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43.1</w:t>
            </w:r>
          </w:p>
        </w:tc>
        <w:tc>
          <w:tcPr>
            <w:tcW w:w="992" w:type="dxa"/>
            <w:vMerge/>
            <w:tcBorders>
              <w:top w:val="nil"/>
              <w:left w:val="nil"/>
            </w:tcBorders>
            <w:vAlign w:val="center"/>
            <w:hideMark/>
          </w:tcPr>
          <w:p w14:paraId="7CDD65B8" w14:textId="77777777" w:rsidR="00C36010" w:rsidRPr="00D24B93" w:rsidRDefault="00C36010" w:rsidP="00966E61">
            <w:pPr>
              <w:spacing w:before="0" w:line="240" w:lineRule="auto"/>
              <w:rPr>
                <w:rFonts w:eastAsia="Times New Roman"/>
                <w:sz w:val="20"/>
                <w:szCs w:val="20"/>
              </w:rPr>
            </w:pPr>
          </w:p>
        </w:tc>
      </w:tr>
      <w:tr w:rsidR="00C36010" w:rsidRPr="00D24B93" w14:paraId="0E68F061" w14:textId="77777777" w:rsidTr="00D01A6C">
        <w:trPr>
          <w:trHeight w:val="300"/>
        </w:trPr>
        <w:tc>
          <w:tcPr>
            <w:tcW w:w="3119" w:type="dxa"/>
            <w:vMerge/>
            <w:tcBorders>
              <w:top w:val="nil"/>
              <w:bottom w:val="single" w:sz="4" w:space="0" w:color="auto"/>
            </w:tcBorders>
            <w:vAlign w:val="center"/>
            <w:hideMark/>
          </w:tcPr>
          <w:p w14:paraId="570911D9"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11FE89F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80+ years</w:t>
            </w:r>
          </w:p>
        </w:tc>
        <w:tc>
          <w:tcPr>
            <w:tcW w:w="992" w:type="dxa"/>
            <w:tcBorders>
              <w:top w:val="nil"/>
              <w:bottom w:val="single" w:sz="4" w:space="0" w:color="auto"/>
            </w:tcBorders>
            <w:shd w:val="clear" w:color="auto" w:fill="auto"/>
            <w:vAlign w:val="center"/>
            <w:hideMark/>
          </w:tcPr>
          <w:p w14:paraId="6CFEFA2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4,351</w:t>
            </w:r>
          </w:p>
        </w:tc>
        <w:tc>
          <w:tcPr>
            <w:tcW w:w="851" w:type="dxa"/>
            <w:tcBorders>
              <w:top w:val="nil"/>
              <w:bottom w:val="single" w:sz="4" w:space="0" w:color="auto"/>
            </w:tcBorders>
            <w:shd w:val="clear" w:color="auto" w:fill="auto"/>
            <w:vAlign w:val="center"/>
            <w:hideMark/>
          </w:tcPr>
          <w:p w14:paraId="0CCEAF7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14.8</w:t>
            </w:r>
          </w:p>
        </w:tc>
        <w:tc>
          <w:tcPr>
            <w:tcW w:w="992" w:type="dxa"/>
            <w:vMerge/>
            <w:tcBorders>
              <w:top w:val="nil"/>
              <w:left w:val="nil"/>
              <w:bottom w:val="single" w:sz="4" w:space="0" w:color="auto"/>
            </w:tcBorders>
            <w:vAlign w:val="center"/>
            <w:hideMark/>
          </w:tcPr>
          <w:p w14:paraId="702D2171" w14:textId="77777777" w:rsidR="00C36010" w:rsidRPr="00D24B93" w:rsidRDefault="00C36010" w:rsidP="00966E61">
            <w:pPr>
              <w:spacing w:before="0" w:line="240" w:lineRule="auto"/>
              <w:rPr>
                <w:rFonts w:eastAsia="Times New Roman"/>
                <w:sz w:val="20"/>
                <w:szCs w:val="20"/>
              </w:rPr>
            </w:pPr>
          </w:p>
        </w:tc>
      </w:tr>
      <w:tr w:rsidR="00C36010" w:rsidRPr="00D24B93" w14:paraId="66AC190C" w14:textId="77777777" w:rsidTr="00D01A6C">
        <w:trPr>
          <w:trHeight w:val="300"/>
        </w:trPr>
        <w:tc>
          <w:tcPr>
            <w:tcW w:w="3119" w:type="dxa"/>
            <w:vMerge w:val="restart"/>
            <w:tcBorders>
              <w:top w:val="single" w:sz="4" w:space="0" w:color="auto"/>
            </w:tcBorders>
            <w:shd w:val="clear" w:color="auto" w:fill="auto"/>
            <w:vAlign w:val="center"/>
            <w:hideMark/>
          </w:tcPr>
          <w:p w14:paraId="6ADA6452"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Deprivation                                (Quintile of socio-economic deprivation)</w:t>
            </w:r>
          </w:p>
        </w:tc>
        <w:tc>
          <w:tcPr>
            <w:tcW w:w="2126" w:type="dxa"/>
            <w:tcBorders>
              <w:top w:val="single" w:sz="4" w:space="0" w:color="auto"/>
            </w:tcBorders>
            <w:shd w:val="clear" w:color="auto" w:fill="auto"/>
            <w:vAlign w:val="center"/>
            <w:hideMark/>
          </w:tcPr>
          <w:p w14:paraId="574788A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Most affluent   1</w:t>
            </w:r>
          </w:p>
        </w:tc>
        <w:tc>
          <w:tcPr>
            <w:tcW w:w="992" w:type="dxa"/>
            <w:tcBorders>
              <w:top w:val="single" w:sz="4" w:space="0" w:color="auto"/>
            </w:tcBorders>
            <w:shd w:val="clear" w:color="auto" w:fill="auto"/>
            <w:vAlign w:val="center"/>
            <w:hideMark/>
          </w:tcPr>
          <w:p w14:paraId="6E51AFF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7,960</w:t>
            </w:r>
          </w:p>
        </w:tc>
        <w:tc>
          <w:tcPr>
            <w:tcW w:w="851" w:type="dxa"/>
            <w:tcBorders>
              <w:top w:val="single" w:sz="4" w:space="0" w:color="auto"/>
            </w:tcBorders>
            <w:shd w:val="clear" w:color="auto" w:fill="auto"/>
            <w:vAlign w:val="center"/>
            <w:hideMark/>
          </w:tcPr>
          <w:p w14:paraId="4ED7FC3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27.8</w:t>
            </w:r>
          </w:p>
        </w:tc>
        <w:tc>
          <w:tcPr>
            <w:tcW w:w="992" w:type="dxa"/>
            <w:vMerge w:val="restart"/>
            <w:tcBorders>
              <w:top w:val="single" w:sz="4" w:space="0" w:color="auto"/>
              <w:left w:val="nil"/>
            </w:tcBorders>
            <w:shd w:val="clear" w:color="auto" w:fill="auto"/>
            <w:vAlign w:val="center"/>
            <w:hideMark/>
          </w:tcPr>
          <w:p w14:paraId="4EF34BB4"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668</w:t>
            </w:r>
          </w:p>
        </w:tc>
      </w:tr>
      <w:tr w:rsidR="00C36010" w:rsidRPr="00D24B93" w14:paraId="2CBE781B" w14:textId="77777777" w:rsidTr="00D24B93">
        <w:trPr>
          <w:trHeight w:val="300"/>
        </w:trPr>
        <w:tc>
          <w:tcPr>
            <w:tcW w:w="3119" w:type="dxa"/>
            <w:vMerge/>
            <w:tcBorders>
              <w:top w:val="nil"/>
            </w:tcBorders>
            <w:vAlign w:val="center"/>
            <w:hideMark/>
          </w:tcPr>
          <w:p w14:paraId="7349C755"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7071103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w:t>
            </w:r>
          </w:p>
        </w:tc>
        <w:tc>
          <w:tcPr>
            <w:tcW w:w="992" w:type="dxa"/>
            <w:tcBorders>
              <w:top w:val="nil"/>
            </w:tcBorders>
            <w:shd w:val="clear" w:color="auto" w:fill="auto"/>
            <w:vAlign w:val="center"/>
            <w:hideMark/>
          </w:tcPr>
          <w:p w14:paraId="3C89313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7,788</w:t>
            </w:r>
          </w:p>
        </w:tc>
        <w:tc>
          <w:tcPr>
            <w:tcW w:w="851" w:type="dxa"/>
            <w:tcBorders>
              <w:top w:val="nil"/>
            </w:tcBorders>
            <w:shd w:val="clear" w:color="auto" w:fill="auto"/>
            <w:vAlign w:val="center"/>
            <w:hideMark/>
          </w:tcPr>
          <w:p w14:paraId="76317C8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27.1</w:t>
            </w:r>
          </w:p>
        </w:tc>
        <w:tc>
          <w:tcPr>
            <w:tcW w:w="992" w:type="dxa"/>
            <w:vMerge/>
            <w:tcBorders>
              <w:top w:val="nil"/>
              <w:left w:val="nil"/>
            </w:tcBorders>
            <w:vAlign w:val="center"/>
            <w:hideMark/>
          </w:tcPr>
          <w:p w14:paraId="6382D1FB" w14:textId="77777777" w:rsidR="00C36010" w:rsidRPr="00D24B93" w:rsidRDefault="00C36010" w:rsidP="00966E61">
            <w:pPr>
              <w:spacing w:before="0" w:line="240" w:lineRule="auto"/>
              <w:rPr>
                <w:rFonts w:eastAsia="Times New Roman"/>
                <w:sz w:val="20"/>
                <w:szCs w:val="20"/>
              </w:rPr>
            </w:pPr>
          </w:p>
        </w:tc>
      </w:tr>
      <w:tr w:rsidR="00C36010" w:rsidRPr="00D24B93" w14:paraId="5486D63A" w14:textId="77777777" w:rsidTr="00D24B93">
        <w:trPr>
          <w:trHeight w:val="300"/>
        </w:trPr>
        <w:tc>
          <w:tcPr>
            <w:tcW w:w="3119" w:type="dxa"/>
            <w:vMerge/>
            <w:tcBorders>
              <w:top w:val="nil"/>
            </w:tcBorders>
            <w:vAlign w:val="center"/>
            <w:hideMark/>
          </w:tcPr>
          <w:p w14:paraId="22126932"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375A5E4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w:t>
            </w:r>
          </w:p>
        </w:tc>
        <w:tc>
          <w:tcPr>
            <w:tcW w:w="992" w:type="dxa"/>
            <w:tcBorders>
              <w:top w:val="nil"/>
            </w:tcBorders>
            <w:shd w:val="clear" w:color="auto" w:fill="auto"/>
            <w:vAlign w:val="center"/>
            <w:hideMark/>
          </w:tcPr>
          <w:p w14:paraId="20DFD61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6,021</w:t>
            </w:r>
          </w:p>
        </w:tc>
        <w:tc>
          <w:tcPr>
            <w:tcW w:w="851" w:type="dxa"/>
            <w:tcBorders>
              <w:top w:val="nil"/>
            </w:tcBorders>
            <w:shd w:val="clear" w:color="auto" w:fill="auto"/>
            <w:vAlign w:val="center"/>
            <w:hideMark/>
          </w:tcPr>
          <w:p w14:paraId="4623D87D"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w:t>
            </w:r>
          </w:p>
        </w:tc>
        <w:tc>
          <w:tcPr>
            <w:tcW w:w="992" w:type="dxa"/>
            <w:vMerge/>
            <w:tcBorders>
              <w:top w:val="nil"/>
              <w:left w:val="nil"/>
            </w:tcBorders>
            <w:vAlign w:val="center"/>
            <w:hideMark/>
          </w:tcPr>
          <w:p w14:paraId="6835017C" w14:textId="77777777" w:rsidR="00C36010" w:rsidRPr="00D24B93" w:rsidRDefault="00C36010" w:rsidP="00966E61">
            <w:pPr>
              <w:spacing w:before="0" w:line="240" w:lineRule="auto"/>
              <w:rPr>
                <w:rFonts w:eastAsia="Times New Roman"/>
                <w:sz w:val="20"/>
                <w:szCs w:val="20"/>
              </w:rPr>
            </w:pPr>
          </w:p>
        </w:tc>
      </w:tr>
      <w:tr w:rsidR="00C36010" w:rsidRPr="00D24B93" w14:paraId="1CC3F6BB" w14:textId="77777777" w:rsidTr="00D24B93">
        <w:trPr>
          <w:trHeight w:val="300"/>
        </w:trPr>
        <w:tc>
          <w:tcPr>
            <w:tcW w:w="3119" w:type="dxa"/>
            <w:vMerge/>
            <w:tcBorders>
              <w:top w:val="nil"/>
            </w:tcBorders>
            <w:vAlign w:val="center"/>
            <w:hideMark/>
          </w:tcPr>
          <w:p w14:paraId="53D5434A"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37834E0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w:t>
            </w:r>
          </w:p>
        </w:tc>
        <w:tc>
          <w:tcPr>
            <w:tcW w:w="992" w:type="dxa"/>
            <w:tcBorders>
              <w:top w:val="nil"/>
            </w:tcBorders>
            <w:shd w:val="clear" w:color="auto" w:fill="auto"/>
            <w:vAlign w:val="center"/>
            <w:hideMark/>
          </w:tcPr>
          <w:p w14:paraId="4354CB0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4,192</w:t>
            </w:r>
          </w:p>
        </w:tc>
        <w:tc>
          <w:tcPr>
            <w:tcW w:w="851" w:type="dxa"/>
            <w:tcBorders>
              <w:top w:val="nil"/>
            </w:tcBorders>
            <w:shd w:val="clear" w:color="auto" w:fill="auto"/>
            <w:vAlign w:val="center"/>
            <w:hideMark/>
          </w:tcPr>
          <w:p w14:paraId="26FD30F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14.6</w:t>
            </w:r>
          </w:p>
        </w:tc>
        <w:tc>
          <w:tcPr>
            <w:tcW w:w="992" w:type="dxa"/>
            <w:vMerge/>
            <w:tcBorders>
              <w:top w:val="nil"/>
              <w:left w:val="nil"/>
            </w:tcBorders>
            <w:vAlign w:val="center"/>
            <w:hideMark/>
          </w:tcPr>
          <w:p w14:paraId="5A4B7B3F" w14:textId="77777777" w:rsidR="00C36010" w:rsidRPr="00D24B93" w:rsidRDefault="00C36010" w:rsidP="00966E61">
            <w:pPr>
              <w:spacing w:before="0" w:line="240" w:lineRule="auto"/>
              <w:rPr>
                <w:rFonts w:eastAsia="Times New Roman"/>
                <w:sz w:val="20"/>
                <w:szCs w:val="20"/>
              </w:rPr>
            </w:pPr>
          </w:p>
        </w:tc>
      </w:tr>
      <w:tr w:rsidR="00C36010" w:rsidRPr="00D24B93" w14:paraId="70418561" w14:textId="77777777" w:rsidTr="00D01A6C">
        <w:trPr>
          <w:trHeight w:val="300"/>
        </w:trPr>
        <w:tc>
          <w:tcPr>
            <w:tcW w:w="3119" w:type="dxa"/>
            <w:vMerge/>
            <w:tcBorders>
              <w:top w:val="nil"/>
              <w:bottom w:val="single" w:sz="4" w:space="0" w:color="auto"/>
            </w:tcBorders>
            <w:vAlign w:val="center"/>
            <w:hideMark/>
          </w:tcPr>
          <w:p w14:paraId="24DD2B6B"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53D7664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Least affluent   5</w:t>
            </w:r>
          </w:p>
        </w:tc>
        <w:tc>
          <w:tcPr>
            <w:tcW w:w="992" w:type="dxa"/>
            <w:tcBorders>
              <w:top w:val="nil"/>
              <w:bottom w:val="single" w:sz="4" w:space="0" w:color="auto"/>
            </w:tcBorders>
            <w:shd w:val="clear" w:color="auto" w:fill="auto"/>
            <w:vAlign w:val="center"/>
            <w:hideMark/>
          </w:tcPr>
          <w:p w14:paraId="097BE42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2,722</w:t>
            </w:r>
          </w:p>
        </w:tc>
        <w:tc>
          <w:tcPr>
            <w:tcW w:w="851" w:type="dxa"/>
            <w:tcBorders>
              <w:top w:val="nil"/>
              <w:bottom w:val="single" w:sz="4" w:space="0" w:color="auto"/>
            </w:tcBorders>
            <w:shd w:val="clear" w:color="auto" w:fill="auto"/>
            <w:vAlign w:val="center"/>
            <w:hideMark/>
          </w:tcPr>
          <w:p w14:paraId="70EB5EC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9.5</w:t>
            </w:r>
          </w:p>
        </w:tc>
        <w:tc>
          <w:tcPr>
            <w:tcW w:w="992" w:type="dxa"/>
            <w:vMerge/>
            <w:tcBorders>
              <w:top w:val="nil"/>
              <w:left w:val="nil"/>
              <w:bottom w:val="single" w:sz="4" w:space="0" w:color="auto"/>
            </w:tcBorders>
            <w:vAlign w:val="center"/>
            <w:hideMark/>
          </w:tcPr>
          <w:p w14:paraId="10A049F2" w14:textId="77777777" w:rsidR="00C36010" w:rsidRPr="00D24B93" w:rsidRDefault="00C36010" w:rsidP="00966E61">
            <w:pPr>
              <w:spacing w:before="0" w:line="240" w:lineRule="auto"/>
              <w:rPr>
                <w:rFonts w:eastAsia="Times New Roman"/>
                <w:sz w:val="20"/>
                <w:szCs w:val="20"/>
              </w:rPr>
            </w:pPr>
          </w:p>
        </w:tc>
      </w:tr>
      <w:tr w:rsidR="00C36010" w:rsidRPr="00D24B93" w14:paraId="663C0F27" w14:textId="77777777" w:rsidTr="00D01A6C">
        <w:trPr>
          <w:trHeight w:val="300"/>
        </w:trPr>
        <w:tc>
          <w:tcPr>
            <w:tcW w:w="3119" w:type="dxa"/>
            <w:vMerge w:val="restart"/>
            <w:tcBorders>
              <w:top w:val="single" w:sz="4" w:space="0" w:color="auto"/>
            </w:tcBorders>
            <w:shd w:val="clear" w:color="auto" w:fill="auto"/>
            <w:vAlign w:val="center"/>
            <w:hideMark/>
          </w:tcPr>
          <w:p w14:paraId="1CA6CA7C"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Ethnicity</w:t>
            </w:r>
          </w:p>
        </w:tc>
        <w:tc>
          <w:tcPr>
            <w:tcW w:w="2126" w:type="dxa"/>
            <w:tcBorders>
              <w:top w:val="single" w:sz="4" w:space="0" w:color="auto"/>
            </w:tcBorders>
            <w:shd w:val="clear" w:color="auto" w:fill="auto"/>
            <w:vAlign w:val="center"/>
            <w:hideMark/>
          </w:tcPr>
          <w:p w14:paraId="45B2AE6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White</w:t>
            </w:r>
          </w:p>
        </w:tc>
        <w:tc>
          <w:tcPr>
            <w:tcW w:w="992" w:type="dxa"/>
            <w:tcBorders>
              <w:top w:val="single" w:sz="4" w:space="0" w:color="auto"/>
            </w:tcBorders>
            <w:shd w:val="clear" w:color="auto" w:fill="auto"/>
            <w:vAlign w:val="center"/>
            <w:hideMark/>
          </w:tcPr>
          <w:p w14:paraId="72DA21A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27,813</w:t>
            </w:r>
          </w:p>
        </w:tc>
        <w:tc>
          <w:tcPr>
            <w:tcW w:w="851" w:type="dxa"/>
            <w:tcBorders>
              <w:top w:val="single" w:sz="4" w:space="0" w:color="auto"/>
            </w:tcBorders>
            <w:shd w:val="clear" w:color="auto" w:fill="auto"/>
            <w:vAlign w:val="center"/>
            <w:hideMark/>
          </w:tcPr>
          <w:p w14:paraId="3548E06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97.3</w:t>
            </w:r>
          </w:p>
        </w:tc>
        <w:tc>
          <w:tcPr>
            <w:tcW w:w="992" w:type="dxa"/>
            <w:vMerge w:val="restart"/>
            <w:tcBorders>
              <w:top w:val="single" w:sz="4" w:space="0" w:color="auto"/>
              <w:left w:val="nil"/>
            </w:tcBorders>
            <w:shd w:val="clear" w:color="auto" w:fill="auto"/>
            <w:vAlign w:val="center"/>
            <w:hideMark/>
          </w:tcPr>
          <w:p w14:paraId="47D58AD6"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752</w:t>
            </w:r>
          </w:p>
        </w:tc>
      </w:tr>
      <w:tr w:rsidR="00C36010" w:rsidRPr="00D24B93" w14:paraId="55D62F0A" w14:textId="77777777" w:rsidTr="00D01A6C">
        <w:trPr>
          <w:trHeight w:val="300"/>
        </w:trPr>
        <w:tc>
          <w:tcPr>
            <w:tcW w:w="3119" w:type="dxa"/>
            <w:vMerge/>
            <w:tcBorders>
              <w:top w:val="nil"/>
              <w:bottom w:val="single" w:sz="4" w:space="0" w:color="auto"/>
            </w:tcBorders>
            <w:vAlign w:val="center"/>
            <w:hideMark/>
          </w:tcPr>
          <w:p w14:paraId="291E3C16"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07F3E79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Non-White</w:t>
            </w:r>
          </w:p>
        </w:tc>
        <w:tc>
          <w:tcPr>
            <w:tcW w:w="992" w:type="dxa"/>
            <w:tcBorders>
              <w:top w:val="nil"/>
              <w:bottom w:val="single" w:sz="4" w:space="0" w:color="auto"/>
            </w:tcBorders>
            <w:shd w:val="clear" w:color="auto" w:fill="auto"/>
            <w:vAlign w:val="center"/>
            <w:hideMark/>
          </w:tcPr>
          <w:p w14:paraId="33077BC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786</w:t>
            </w:r>
          </w:p>
        </w:tc>
        <w:tc>
          <w:tcPr>
            <w:tcW w:w="851" w:type="dxa"/>
            <w:tcBorders>
              <w:top w:val="nil"/>
              <w:bottom w:val="single" w:sz="4" w:space="0" w:color="auto"/>
            </w:tcBorders>
            <w:shd w:val="clear" w:color="auto" w:fill="auto"/>
            <w:vAlign w:val="center"/>
            <w:hideMark/>
          </w:tcPr>
          <w:p w14:paraId="4124031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2.7</w:t>
            </w:r>
          </w:p>
        </w:tc>
        <w:tc>
          <w:tcPr>
            <w:tcW w:w="992" w:type="dxa"/>
            <w:vMerge/>
            <w:tcBorders>
              <w:top w:val="nil"/>
              <w:left w:val="nil"/>
              <w:bottom w:val="single" w:sz="4" w:space="0" w:color="auto"/>
            </w:tcBorders>
            <w:vAlign w:val="center"/>
            <w:hideMark/>
          </w:tcPr>
          <w:p w14:paraId="1D9770FC" w14:textId="77777777" w:rsidR="00C36010" w:rsidRPr="00D24B93" w:rsidRDefault="00C36010" w:rsidP="00966E61">
            <w:pPr>
              <w:spacing w:before="0" w:line="240" w:lineRule="auto"/>
              <w:rPr>
                <w:rFonts w:eastAsia="Times New Roman"/>
                <w:sz w:val="20"/>
                <w:szCs w:val="20"/>
              </w:rPr>
            </w:pPr>
          </w:p>
        </w:tc>
      </w:tr>
      <w:tr w:rsidR="00C36010" w:rsidRPr="00D24B93" w14:paraId="0D3C085D" w14:textId="77777777" w:rsidTr="00D01A6C">
        <w:trPr>
          <w:trHeight w:val="300"/>
        </w:trPr>
        <w:tc>
          <w:tcPr>
            <w:tcW w:w="3119" w:type="dxa"/>
            <w:vMerge w:val="restart"/>
            <w:tcBorders>
              <w:top w:val="single" w:sz="4" w:space="0" w:color="auto"/>
            </w:tcBorders>
            <w:shd w:val="clear" w:color="auto" w:fill="auto"/>
            <w:vAlign w:val="center"/>
            <w:hideMark/>
          </w:tcPr>
          <w:p w14:paraId="14D77504" w14:textId="7FAC56D0" w:rsidR="00C36010" w:rsidRPr="00D24B93" w:rsidRDefault="00C36010" w:rsidP="006F7FE6">
            <w:pPr>
              <w:spacing w:before="0" w:line="240" w:lineRule="auto"/>
              <w:jc w:val="right"/>
              <w:rPr>
                <w:rFonts w:eastAsia="Times New Roman"/>
                <w:b/>
                <w:bCs/>
                <w:sz w:val="20"/>
                <w:szCs w:val="20"/>
              </w:rPr>
            </w:pPr>
            <w:r w:rsidRPr="00D24B93">
              <w:rPr>
                <w:rFonts w:eastAsia="Times New Roman"/>
                <w:b/>
                <w:bCs/>
                <w:sz w:val="20"/>
                <w:szCs w:val="20"/>
              </w:rPr>
              <w:t>Long term conditions</w:t>
            </w:r>
            <w:r w:rsidR="006F7FE6">
              <w:rPr>
                <w:rFonts w:eastAsia="Times New Roman"/>
                <w:b/>
                <w:bCs/>
                <w:sz w:val="20"/>
                <w:szCs w:val="20"/>
              </w:rPr>
              <w:t xml:space="preserve"> </w:t>
            </w:r>
          </w:p>
        </w:tc>
        <w:tc>
          <w:tcPr>
            <w:tcW w:w="2126" w:type="dxa"/>
            <w:tcBorders>
              <w:top w:val="single" w:sz="4" w:space="0" w:color="auto"/>
            </w:tcBorders>
            <w:shd w:val="clear" w:color="auto" w:fill="auto"/>
            <w:vAlign w:val="center"/>
            <w:hideMark/>
          </w:tcPr>
          <w:p w14:paraId="28B0E0E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0</w:t>
            </w:r>
          </w:p>
        </w:tc>
        <w:tc>
          <w:tcPr>
            <w:tcW w:w="992" w:type="dxa"/>
            <w:tcBorders>
              <w:top w:val="single" w:sz="4" w:space="0" w:color="auto"/>
            </w:tcBorders>
            <w:shd w:val="clear" w:color="auto" w:fill="auto"/>
            <w:vAlign w:val="center"/>
            <w:hideMark/>
          </w:tcPr>
          <w:p w14:paraId="24B0346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8,577</w:t>
            </w:r>
          </w:p>
        </w:tc>
        <w:tc>
          <w:tcPr>
            <w:tcW w:w="851" w:type="dxa"/>
            <w:tcBorders>
              <w:top w:val="single" w:sz="4" w:space="0" w:color="auto"/>
            </w:tcBorders>
            <w:shd w:val="clear" w:color="auto" w:fill="auto"/>
            <w:vAlign w:val="center"/>
            <w:hideMark/>
          </w:tcPr>
          <w:p w14:paraId="16D7991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29.2</w:t>
            </w:r>
          </w:p>
        </w:tc>
        <w:tc>
          <w:tcPr>
            <w:tcW w:w="992" w:type="dxa"/>
            <w:vMerge w:val="restart"/>
            <w:tcBorders>
              <w:top w:val="single" w:sz="4" w:space="0" w:color="auto"/>
              <w:left w:val="nil"/>
            </w:tcBorders>
            <w:shd w:val="clear" w:color="auto" w:fill="auto"/>
            <w:vAlign w:val="center"/>
            <w:hideMark/>
          </w:tcPr>
          <w:p w14:paraId="6818748C"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0</w:t>
            </w:r>
          </w:p>
        </w:tc>
      </w:tr>
      <w:tr w:rsidR="00C36010" w:rsidRPr="00D24B93" w14:paraId="05AFA203" w14:textId="77777777" w:rsidTr="00D24B93">
        <w:trPr>
          <w:trHeight w:val="300"/>
        </w:trPr>
        <w:tc>
          <w:tcPr>
            <w:tcW w:w="3119" w:type="dxa"/>
            <w:vMerge/>
            <w:tcBorders>
              <w:top w:val="nil"/>
            </w:tcBorders>
            <w:vAlign w:val="center"/>
            <w:hideMark/>
          </w:tcPr>
          <w:p w14:paraId="531981AB"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14906B9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w:t>
            </w:r>
          </w:p>
        </w:tc>
        <w:tc>
          <w:tcPr>
            <w:tcW w:w="992" w:type="dxa"/>
            <w:tcBorders>
              <w:top w:val="nil"/>
            </w:tcBorders>
            <w:shd w:val="clear" w:color="auto" w:fill="auto"/>
            <w:vAlign w:val="center"/>
            <w:hideMark/>
          </w:tcPr>
          <w:p w14:paraId="037B697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10,353</w:t>
            </w:r>
          </w:p>
        </w:tc>
        <w:tc>
          <w:tcPr>
            <w:tcW w:w="851" w:type="dxa"/>
            <w:tcBorders>
              <w:top w:val="nil"/>
            </w:tcBorders>
            <w:shd w:val="clear" w:color="auto" w:fill="auto"/>
            <w:vAlign w:val="center"/>
            <w:hideMark/>
          </w:tcPr>
          <w:p w14:paraId="308A31F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35.3</w:t>
            </w:r>
          </w:p>
        </w:tc>
        <w:tc>
          <w:tcPr>
            <w:tcW w:w="992" w:type="dxa"/>
            <w:vMerge/>
            <w:tcBorders>
              <w:top w:val="nil"/>
              <w:left w:val="nil"/>
            </w:tcBorders>
            <w:vAlign w:val="center"/>
            <w:hideMark/>
          </w:tcPr>
          <w:p w14:paraId="40AB462A" w14:textId="77777777" w:rsidR="00C36010" w:rsidRPr="00D24B93" w:rsidRDefault="00C36010" w:rsidP="00966E61">
            <w:pPr>
              <w:spacing w:before="0" w:line="240" w:lineRule="auto"/>
              <w:rPr>
                <w:rFonts w:eastAsia="Times New Roman"/>
                <w:sz w:val="20"/>
                <w:szCs w:val="20"/>
              </w:rPr>
            </w:pPr>
          </w:p>
        </w:tc>
      </w:tr>
      <w:tr w:rsidR="00C36010" w:rsidRPr="00D24B93" w14:paraId="669B146C" w14:textId="77777777" w:rsidTr="00D24B93">
        <w:trPr>
          <w:trHeight w:val="300"/>
        </w:trPr>
        <w:tc>
          <w:tcPr>
            <w:tcW w:w="3119" w:type="dxa"/>
            <w:vMerge/>
            <w:tcBorders>
              <w:top w:val="nil"/>
            </w:tcBorders>
            <w:vAlign w:val="center"/>
            <w:hideMark/>
          </w:tcPr>
          <w:p w14:paraId="3DE6FE05"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61ABD0BE"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w:t>
            </w:r>
          </w:p>
        </w:tc>
        <w:tc>
          <w:tcPr>
            <w:tcW w:w="992" w:type="dxa"/>
            <w:tcBorders>
              <w:top w:val="nil"/>
            </w:tcBorders>
            <w:shd w:val="clear" w:color="auto" w:fill="auto"/>
            <w:vAlign w:val="center"/>
            <w:hideMark/>
          </w:tcPr>
          <w:p w14:paraId="1773FB7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5,798</w:t>
            </w:r>
          </w:p>
        </w:tc>
        <w:tc>
          <w:tcPr>
            <w:tcW w:w="851" w:type="dxa"/>
            <w:tcBorders>
              <w:top w:val="nil"/>
            </w:tcBorders>
            <w:shd w:val="clear" w:color="auto" w:fill="auto"/>
            <w:vAlign w:val="center"/>
            <w:hideMark/>
          </w:tcPr>
          <w:p w14:paraId="5781DF8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19.8</w:t>
            </w:r>
          </w:p>
        </w:tc>
        <w:tc>
          <w:tcPr>
            <w:tcW w:w="992" w:type="dxa"/>
            <w:vMerge/>
            <w:tcBorders>
              <w:top w:val="nil"/>
              <w:left w:val="nil"/>
            </w:tcBorders>
            <w:vAlign w:val="center"/>
            <w:hideMark/>
          </w:tcPr>
          <w:p w14:paraId="2C698188" w14:textId="77777777" w:rsidR="00C36010" w:rsidRPr="00D24B93" w:rsidRDefault="00C36010" w:rsidP="00966E61">
            <w:pPr>
              <w:spacing w:before="0" w:line="240" w:lineRule="auto"/>
              <w:rPr>
                <w:rFonts w:eastAsia="Times New Roman"/>
                <w:sz w:val="20"/>
                <w:szCs w:val="20"/>
              </w:rPr>
            </w:pPr>
          </w:p>
        </w:tc>
      </w:tr>
      <w:tr w:rsidR="00C36010" w:rsidRPr="00D24B93" w14:paraId="7C444E84" w14:textId="77777777" w:rsidTr="00D01A6C">
        <w:trPr>
          <w:trHeight w:val="300"/>
        </w:trPr>
        <w:tc>
          <w:tcPr>
            <w:tcW w:w="3119" w:type="dxa"/>
            <w:vMerge/>
            <w:tcBorders>
              <w:top w:val="nil"/>
              <w:bottom w:val="single" w:sz="4" w:space="0" w:color="auto"/>
            </w:tcBorders>
            <w:vAlign w:val="center"/>
            <w:hideMark/>
          </w:tcPr>
          <w:p w14:paraId="666B6127"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407B00E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w:t>
            </w:r>
          </w:p>
        </w:tc>
        <w:tc>
          <w:tcPr>
            <w:tcW w:w="992" w:type="dxa"/>
            <w:tcBorders>
              <w:top w:val="nil"/>
              <w:bottom w:val="single" w:sz="4" w:space="0" w:color="auto"/>
            </w:tcBorders>
            <w:shd w:val="clear" w:color="auto" w:fill="auto"/>
            <w:vAlign w:val="center"/>
            <w:hideMark/>
          </w:tcPr>
          <w:p w14:paraId="49DEF27D"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4,623</w:t>
            </w:r>
          </w:p>
        </w:tc>
        <w:tc>
          <w:tcPr>
            <w:tcW w:w="851" w:type="dxa"/>
            <w:tcBorders>
              <w:top w:val="nil"/>
              <w:bottom w:val="single" w:sz="4" w:space="0" w:color="auto"/>
            </w:tcBorders>
            <w:shd w:val="clear" w:color="auto" w:fill="auto"/>
            <w:vAlign w:val="center"/>
            <w:hideMark/>
          </w:tcPr>
          <w:p w14:paraId="09098B5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15.8</w:t>
            </w:r>
          </w:p>
        </w:tc>
        <w:tc>
          <w:tcPr>
            <w:tcW w:w="992" w:type="dxa"/>
            <w:vMerge/>
            <w:tcBorders>
              <w:top w:val="nil"/>
              <w:left w:val="nil"/>
              <w:bottom w:val="single" w:sz="4" w:space="0" w:color="auto"/>
            </w:tcBorders>
            <w:vAlign w:val="center"/>
            <w:hideMark/>
          </w:tcPr>
          <w:p w14:paraId="4E32571A" w14:textId="77777777" w:rsidR="00C36010" w:rsidRPr="00D24B93" w:rsidRDefault="00C36010" w:rsidP="00966E61">
            <w:pPr>
              <w:spacing w:before="0" w:line="240" w:lineRule="auto"/>
              <w:rPr>
                <w:rFonts w:eastAsia="Times New Roman"/>
                <w:sz w:val="20"/>
                <w:szCs w:val="20"/>
              </w:rPr>
            </w:pPr>
          </w:p>
        </w:tc>
      </w:tr>
      <w:tr w:rsidR="00C36010" w:rsidRPr="00D24B93" w14:paraId="76B2085D" w14:textId="77777777" w:rsidTr="00D01A6C">
        <w:trPr>
          <w:trHeight w:val="300"/>
        </w:trPr>
        <w:tc>
          <w:tcPr>
            <w:tcW w:w="3119" w:type="dxa"/>
            <w:vMerge w:val="restart"/>
            <w:tcBorders>
              <w:top w:val="single" w:sz="4" w:space="0" w:color="auto"/>
            </w:tcBorders>
            <w:shd w:val="clear" w:color="auto" w:fill="auto"/>
            <w:vAlign w:val="center"/>
            <w:hideMark/>
          </w:tcPr>
          <w:p w14:paraId="6385287E"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Consulted for mental health related problem</w:t>
            </w:r>
          </w:p>
        </w:tc>
        <w:tc>
          <w:tcPr>
            <w:tcW w:w="2126" w:type="dxa"/>
            <w:tcBorders>
              <w:top w:val="single" w:sz="4" w:space="0" w:color="auto"/>
            </w:tcBorders>
            <w:shd w:val="clear" w:color="auto" w:fill="auto"/>
            <w:vAlign w:val="center"/>
            <w:hideMark/>
          </w:tcPr>
          <w:p w14:paraId="066F646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Yes</w:t>
            </w:r>
          </w:p>
        </w:tc>
        <w:tc>
          <w:tcPr>
            <w:tcW w:w="992" w:type="dxa"/>
            <w:tcBorders>
              <w:top w:val="single" w:sz="4" w:space="0" w:color="auto"/>
            </w:tcBorders>
            <w:shd w:val="clear" w:color="auto" w:fill="auto"/>
            <w:vAlign w:val="center"/>
            <w:hideMark/>
          </w:tcPr>
          <w:p w14:paraId="7A6CB70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4,932</w:t>
            </w:r>
          </w:p>
        </w:tc>
        <w:tc>
          <w:tcPr>
            <w:tcW w:w="851" w:type="dxa"/>
            <w:tcBorders>
              <w:top w:val="single" w:sz="4" w:space="0" w:color="auto"/>
            </w:tcBorders>
            <w:shd w:val="clear" w:color="auto" w:fill="auto"/>
            <w:vAlign w:val="center"/>
            <w:hideMark/>
          </w:tcPr>
          <w:p w14:paraId="37B7B84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17.2</w:t>
            </w:r>
          </w:p>
        </w:tc>
        <w:tc>
          <w:tcPr>
            <w:tcW w:w="992" w:type="dxa"/>
            <w:vMerge w:val="restart"/>
            <w:tcBorders>
              <w:top w:val="single" w:sz="4" w:space="0" w:color="auto"/>
              <w:left w:val="nil"/>
            </w:tcBorders>
            <w:shd w:val="clear" w:color="auto" w:fill="auto"/>
            <w:vAlign w:val="center"/>
            <w:hideMark/>
          </w:tcPr>
          <w:p w14:paraId="1E246E8E"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682</w:t>
            </w:r>
          </w:p>
        </w:tc>
      </w:tr>
      <w:tr w:rsidR="00C36010" w:rsidRPr="00D24B93" w14:paraId="6136DA36" w14:textId="77777777" w:rsidTr="00D01A6C">
        <w:trPr>
          <w:trHeight w:val="300"/>
        </w:trPr>
        <w:tc>
          <w:tcPr>
            <w:tcW w:w="3119" w:type="dxa"/>
            <w:vMerge/>
            <w:tcBorders>
              <w:top w:val="nil"/>
              <w:bottom w:val="single" w:sz="4" w:space="0" w:color="auto"/>
            </w:tcBorders>
            <w:vAlign w:val="center"/>
            <w:hideMark/>
          </w:tcPr>
          <w:p w14:paraId="26F7BC44"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08FE468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No</w:t>
            </w:r>
          </w:p>
        </w:tc>
        <w:tc>
          <w:tcPr>
            <w:tcW w:w="992" w:type="dxa"/>
            <w:tcBorders>
              <w:top w:val="nil"/>
              <w:bottom w:val="single" w:sz="4" w:space="0" w:color="auto"/>
            </w:tcBorders>
            <w:shd w:val="clear" w:color="auto" w:fill="auto"/>
            <w:vAlign w:val="center"/>
            <w:hideMark/>
          </w:tcPr>
          <w:p w14:paraId="1DE3BFD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23,737</w:t>
            </w:r>
          </w:p>
        </w:tc>
        <w:tc>
          <w:tcPr>
            <w:tcW w:w="851" w:type="dxa"/>
            <w:tcBorders>
              <w:top w:val="nil"/>
              <w:bottom w:val="single" w:sz="4" w:space="0" w:color="auto"/>
            </w:tcBorders>
            <w:shd w:val="clear" w:color="auto" w:fill="auto"/>
            <w:vAlign w:val="center"/>
            <w:hideMark/>
          </w:tcPr>
          <w:p w14:paraId="45439A6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82.8</w:t>
            </w:r>
          </w:p>
        </w:tc>
        <w:tc>
          <w:tcPr>
            <w:tcW w:w="992" w:type="dxa"/>
            <w:vMerge/>
            <w:tcBorders>
              <w:top w:val="nil"/>
              <w:left w:val="nil"/>
              <w:bottom w:val="single" w:sz="4" w:space="0" w:color="auto"/>
            </w:tcBorders>
            <w:vAlign w:val="center"/>
            <w:hideMark/>
          </w:tcPr>
          <w:p w14:paraId="4D8778EC" w14:textId="77777777" w:rsidR="00C36010" w:rsidRPr="00D24B93" w:rsidRDefault="00C36010" w:rsidP="00966E61">
            <w:pPr>
              <w:spacing w:before="0" w:line="240" w:lineRule="auto"/>
              <w:rPr>
                <w:rFonts w:eastAsia="Times New Roman"/>
                <w:sz w:val="20"/>
                <w:szCs w:val="20"/>
              </w:rPr>
            </w:pPr>
          </w:p>
        </w:tc>
      </w:tr>
      <w:tr w:rsidR="00C36010" w:rsidRPr="00D24B93" w14:paraId="73B65388" w14:textId="77777777" w:rsidTr="00D01A6C">
        <w:trPr>
          <w:trHeight w:val="300"/>
        </w:trPr>
        <w:tc>
          <w:tcPr>
            <w:tcW w:w="3119" w:type="dxa"/>
            <w:vMerge w:val="restart"/>
            <w:tcBorders>
              <w:top w:val="single" w:sz="4" w:space="0" w:color="auto"/>
            </w:tcBorders>
            <w:shd w:val="clear" w:color="auto" w:fill="auto"/>
            <w:vAlign w:val="center"/>
            <w:hideMark/>
          </w:tcPr>
          <w:p w14:paraId="105E39B7"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Caring responsibilities</w:t>
            </w:r>
          </w:p>
        </w:tc>
        <w:tc>
          <w:tcPr>
            <w:tcW w:w="2126" w:type="dxa"/>
            <w:tcBorders>
              <w:top w:val="single" w:sz="4" w:space="0" w:color="auto"/>
            </w:tcBorders>
            <w:shd w:val="clear" w:color="auto" w:fill="auto"/>
            <w:vAlign w:val="center"/>
            <w:hideMark/>
          </w:tcPr>
          <w:p w14:paraId="09D8CAC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Yes</w:t>
            </w:r>
          </w:p>
        </w:tc>
        <w:tc>
          <w:tcPr>
            <w:tcW w:w="992" w:type="dxa"/>
            <w:tcBorders>
              <w:top w:val="single" w:sz="4" w:space="0" w:color="auto"/>
            </w:tcBorders>
            <w:shd w:val="clear" w:color="auto" w:fill="auto"/>
            <w:vAlign w:val="center"/>
            <w:hideMark/>
          </w:tcPr>
          <w:p w14:paraId="5CE79E4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6,846</w:t>
            </w:r>
          </w:p>
        </w:tc>
        <w:tc>
          <w:tcPr>
            <w:tcW w:w="851" w:type="dxa"/>
            <w:tcBorders>
              <w:top w:val="single" w:sz="4" w:space="0" w:color="auto"/>
            </w:tcBorders>
            <w:shd w:val="clear" w:color="auto" w:fill="auto"/>
            <w:vAlign w:val="center"/>
            <w:hideMark/>
          </w:tcPr>
          <w:p w14:paraId="3CAF611C"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24.2</w:t>
            </w:r>
          </w:p>
        </w:tc>
        <w:tc>
          <w:tcPr>
            <w:tcW w:w="992" w:type="dxa"/>
            <w:vMerge w:val="restart"/>
            <w:tcBorders>
              <w:top w:val="single" w:sz="4" w:space="0" w:color="auto"/>
              <w:left w:val="nil"/>
            </w:tcBorders>
            <w:shd w:val="clear" w:color="auto" w:fill="auto"/>
            <w:vAlign w:val="center"/>
            <w:hideMark/>
          </w:tcPr>
          <w:p w14:paraId="2F2D30CF" w14:textId="437541A4"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1025</w:t>
            </w:r>
          </w:p>
        </w:tc>
      </w:tr>
      <w:tr w:rsidR="00C36010" w:rsidRPr="00D24B93" w14:paraId="0729983B" w14:textId="77777777" w:rsidTr="00D01A6C">
        <w:trPr>
          <w:trHeight w:val="300"/>
        </w:trPr>
        <w:tc>
          <w:tcPr>
            <w:tcW w:w="3119" w:type="dxa"/>
            <w:vMerge/>
            <w:tcBorders>
              <w:top w:val="nil"/>
              <w:bottom w:val="single" w:sz="4" w:space="0" w:color="auto"/>
            </w:tcBorders>
            <w:vAlign w:val="center"/>
            <w:hideMark/>
          </w:tcPr>
          <w:p w14:paraId="34AF7C8C"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4B49CF5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No</w:t>
            </w:r>
          </w:p>
        </w:tc>
        <w:tc>
          <w:tcPr>
            <w:tcW w:w="992" w:type="dxa"/>
            <w:tcBorders>
              <w:top w:val="nil"/>
              <w:bottom w:val="single" w:sz="4" w:space="0" w:color="auto"/>
            </w:tcBorders>
            <w:shd w:val="clear" w:color="auto" w:fill="auto"/>
            <w:vAlign w:val="center"/>
            <w:hideMark/>
          </w:tcPr>
          <w:p w14:paraId="69A322B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21,480</w:t>
            </w:r>
          </w:p>
        </w:tc>
        <w:tc>
          <w:tcPr>
            <w:tcW w:w="851" w:type="dxa"/>
            <w:tcBorders>
              <w:top w:val="nil"/>
              <w:bottom w:val="single" w:sz="4" w:space="0" w:color="auto"/>
            </w:tcBorders>
            <w:shd w:val="clear" w:color="auto" w:fill="auto"/>
            <w:vAlign w:val="center"/>
            <w:hideMark/>
          </w:tcPr>
          <w:p w14:paraId="327729C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75.8</w:t>
            </w:r>
          </w:p>
        </w:tc>
        <w:tc>
          <w:tcPr>
            <w:tcW w:w="992" w:type="dxa"/>
            <w:vMerge/>
            <w:tcBorders>
              <w:top w:val="nil"/>
              <w:left w:val="nil"/>
              <w:bottom w:val="single" w:sz="4" w:space="0" w:color="auto"/>
            </w:tcBorders>
            <w:vAlign w:val="center"/>
            <w:hideMark/>
          </w:tcPr>
          <w:p w14:paraId="208AC80F" w14:textId="77777777" w:rsidR="00C36010" w:rsidRPr="00D24B93" w:rsidRDefault="00C36010" w:rsidP="00966E61">
            <w:pPr>
              <w:spacing w:before="0" w:line="240" w:lineRule="auto"/>
              <w:rPr>
                <w:rFonts w:eastAsia="Times New Roman"/>
                <w:sz w:val="20"/>
                <w:szCs w:val="20"/>
              </w:rPr>
            </w:pPr>
          </w:p>
        </w:tc>
      </w:tr>
      <w:tr w:rsidR="00C36010" w:rsidRPr="00D24B93" w14:paraId="36F9B3D5" w14:textId="77777777" w:rsidTr="00D01A6C">
        <w:trPr>
          <w:trHeight w:val="300"/>
        </w:trPr>
        <w:tc>
          <w:tcPr>
            <w:tcW w:w="3119" w:type="dxa"/>
            <w:vMerge w:val="restart"/>
            <w:tcBorders>
              <w:top w:val="single" w:sz="4" w:space="0" w:color="auto"/>
            </w:tcBorders>
            <w:shd w:val="clear" w:color="auto" w:fill="auto"/>
            <w:vAlign w:val="center"/>
            <w:hideMark/>
          </w:tcPr>
          <w:p w14:paraId="61C1CC6C"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Legal marital status</w:t>
            </w:r>
          </w:p>
        </w:tc>
        <w:tc>
          <w:tcPr>
            <w:tcW w:w="2126" w:type="dxa"/>
            <w:tcBorders>
              <w:top w:val="single" w:sz="4" w:space="0" w:color="auto"/>
            </w:tcBorders>
            <w:shd w:val="clear" w:color="auto" w:fill="auto"/>
            <w:vAlign w:val="center"/>
            <w:hideMark/>
          </w:tcPr>
          <w:p w14:paraId="62CC45E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Married/Civil Partner</w:t>
            </w:r>
          </w:p>
        </w:tc>
        <w:tc>
          <w:tcPr>
            <w:tcW w:w="992" w:type="dxa"/>
            <w:tcBorders>
              <w:top w:val="single" w:sz="4" w:space="0" w:color="auto"/>
            </w:tcBorders>
            <w:shd w:val="clear" w:color="auto" w:fill="auto"/>
            <w:vAlign w:val="center"/>
            <w:hideMark/>
          </w:tcPr>
          <w:p w14:paraId="51A222EE"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23,411</w:t>
            </w:r>
          </w:p>
        </w:tc>
        <w:tc>
          <w:tcPr>
            <w:tcW w:w="851" w:type="dxa"/>
            <w:tcBorders>
              <w:top w:val="single" w:sz="4" w:space="0" w:color="auto"/>
            </w:tcBorders>
            <w:shd w:val="clear" w:color="auto" w:fill="auto"/>
            <w:vAlign w:val="center"/>
            <w:hideMark/>
          </w:tcPr>
          <w:p w14:paraId="5422DBE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80.5</w:t>
            </w:r>
          </w:p>
        </w:tc>
        <w:tc>
          <w:tcPr>
            <w:tcW w:w="992" w:type="dxa"/>
            <w:vMerge w:val="restart"/>
            <w:tcBorders>
              <w:top w:val="single" w:sz="4" w:space="0" w:color="auto"/>
              <w:left w:val="nil"/>
            </w:tcBorders>
            <w:shd w:val="clear" w:color="auto" w:fill="auto"/>
            <w:vAlign w:val="center"/>
            <w:hideMark/>
          </w:tcPr>
          <w:p w14:paraId="585B05C8"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264</w:t>
            </w:r>
          </w:p>
        </w:tc>
      </w:tr>
      <w:tr w:rsidR="00C36010" w:rsidRPr="00D24B93" w14:paraId="53B4B130" w14:textId="77777777" w:rsidTr="00D24B93">
        <w:trPr>
          <w:trHeight w:val="300"/>
        </w:trPr>
        <w:tc>
          <w:tcPr>
            <w:tcW w:w="3119" w:type="dxa"/>
            <w:vMerge/>
            <w:tcBorders>
              <w:top w:val="nil"/>
            </w:tcBorders>
            <w:vAlign w:val="center"/>
            <w:hideMark/>
          </w:tcPr>
          <w:p w14:paraId="2474B49E"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2C41DAC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Separated/Divorced</w:t>
            </w:r>
          </w:p>
        </w:tc>
        <w:tc>
          <w:tcPr>
            <w:tcW w:w="992" w:type="dxa"/>
            <w:tcBorders>
              <w:top w:val="nil"/>
            </w:tcBorders>
            <w:shd w:val="clear" w:color="auto" w:fill="auto"/>
            <w:vAlign w:val="center"/>
            <w:hideMark/>
          </w:tcPr>
          <w:p w14:paraId="7571F148"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2,109</w:t>
            </w:r>
          </w:p>
        </w:tc>
        <w:tc>
          <w:tcPr>
            <w:tcW w:w="851" w:type="dxa"/>
            <w:tcBorders>
              <w:top w:val="nil"/>
            </w:tcBorders>
            <w:shd w:val="clear" w:color="auto" w:fill="auto"/>
            <w:vAlign w:val="center"/>
            <w:hideMark/>
          </w:tcPr>
          <w:p w14:paraId="2F4248D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7.3</w:t>
            </w:r>
          </w:p>
        </w:tc>
        <w:tc>
          <w:tcPr>
            <w:tcW w:w="992" w:type="dxa"/>
            <w:vMerge/>
            <w:tcBorders>
              <w:top w:val="nil"/>
              <w:left w:val="nil"/>
            </w:tcBorders>
            <w:vAlign w:val="center"/>
            <w:hideMark/>
          </w:tcPr>
          <w:p w14:paraId="1CF08F43" w14:textId="77777777" w:rsidR="00C36010" w:rsidRPr="00D24B93" w:rsidRDefault="00C36010" w:rsidP="00966E61">
            <w:pPr>
              <w:spacing w:before="0" w:line="240" w:lineRule="auto"/>
              <w:rPr>
                <w:rFonts w:eastAsia="Times New Roman"/>
                <w:sz w:val="20"/>
                <w:szCs w:val="20"/>
              </w:rPr>
            </w:pPr>
          </w:p>
        </w:tc>
      </w:tr>
      <w:tr w:rsidR="00C36010" w:rsidRPr="00D24B93" w14:paraId="781EDD6D" w14:textId="77777777" w:rsidTr="00D24B93">
        <w:trPr>
          <w:trHeight w:val="300"/>
        </w:trPr>
        <w:tc>
          <w:tcPr>
            <w:tcW w:w="3119" w:type="dxa"/>
            <w:vMerge/>
            <w:tcBorders>
              <w:top w:val="nil"/>
            </w:tcBorders>
            <w:vAlign w:val="center"/>
            <w:hideMark/>
          </w:tcPr>
          <w:p w14:paraId="55FE72F3"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1D8CBF6D"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Widowed</w:t>
            </w:r>
          </w:p>
        </w:tc>
        <w:tc>
          <w:tcPr>
            <w:tcW w:w="992" w:type="dxa"/>
            <w:tcBorders>
              <w:top w:val="nil"/>
            </w:tcBorders>
            <w:shd w:val="clear" w:color="auto" w:fill="auto"/>
            <w:vAlign w:val="center"/>
            <w:hideMark/>
          </w:tcPr>
          <w:p w14:paraId="3B9888B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2,126</w:t>
            </w:r>
          </w:p>
        </w:tc>
        <w:tc>
          <w:tcPr>
            <w:tcW w:w="851" w:type="dxa"/>
            <w:tcBorders>
              <w:top w:val="nil"/>
            </w:tcBorders>
            <w:shd w:val="clear" w:color="auto" w:fill="auto"/>
            <w:vAlign w:val="center"/>
            <w:hideMark/>
          </w:tcPr>
          <w:p w14:paraId="65C0F52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7.3</w:t>
            </w:r>
          </w:p>
        </w:tc>
        <w:tc>
          <w:tcPr>
            <w:tcW w:w="992" w:type="dxa"/>
            <w:vMerge/>
            <w:tcBorders>
              <w:top w:val="nil"/>
              <w:left w:val="nil"/>
            </w:tcBorders>
            <w:vAlign w:val="center"/>
            <w:hideMark/>
          </w:tcPr>
          <w:p w14:paraId="368A7107" w14:textId="77777777" w:rsidR="00C36010" w:rsidRPr="00D24B93" w:rsidRDefault="00C36010" w:rsidP="00966E61">
            <w:pPr>
              <w:spacing w:before="0" w:line="240" w:lineRule="auto"/>
              <w:rPr>
                <w:rFonts w:eastAsia="Times New Roman"/>
                <w:sz w:val="20"/>
                <w:szCs w:val="20"/>
              </w:rPr>
            </w:pPr>
          </w:p>
        </w:tc>
      </w:tr>
      <w:tr w:rsidR="00C36010" w:rsidRPr="00D24B93" w14:paraId="3E6356EE" w14:textId="77777777" w:rsidTr="00D24B93">
        <w:trPr>
          <w:trHeight w:val="300"/>
        </w:trPr>
        <w:tc>
          <w:tcPr>
            <w:tcW w:w="3119" w:type="dxa"/>
            <w:vMerge/>
            <w:tcBorders>
              <w:top w:val="nil"/>
            </w:tcBorders>
            <w:vAlign w:val="center"/>
            <w:hideMark/>
          </w:tcPr>
          <w:p w14:paraId="53218E2A"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4957CCEE"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Single</w:t>
            </w:r>
          </w:p>
        </w:tc>
        <w:tc>
          <w:tcPr>
            <w:tcW w:w="992" w:type="dxa"/>
            <w:tcBorders>
              <w:top w:val="nil"/>
            </w:tcBorders>
            <w:shd w:val="clear" w:color="auto" w:fill="auto"/>
            <w:vAlign w:val="center"/>
            <w:hideMark/>
          </w:tcPr>
          <w:p w14:paraId="485DA0F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1,058</w:t>
            </w:r>
          </w:p>
        </w:tc>
        <w:tc>
          <w:tcPr>
            <w:tcW w:w="851" w:type="dxa"/>
            <w:tcBorders>
              <w:top w:val="nil"/>
            </w:tcBorders>
            <w:shd w:val="clear" w:color="auto" w:fill="auto"/>
            <w:vAlign w:val="center"/>
            <w:hideMark/>
          </w:tcPr>
          <w:p w14:paraId="4AF55A7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3.6</w:t>
            </w:r>
          </w:p>
        </w:tc>
        <w:tc>
          <w:tcPr>
            <w:tcW w:w="992" w:type="dxa"/>
            <w:vMerge/>
            <w:tcBorders>
              <w:top w:val="nil"/>
              <w:left w:val="nil"/>
            </w:tcBorders>
            <w:vAlign w:val="center"/>
            <w:hideMark/>
          </w:tcPr>
          <w:p w14:paraId="419CFB59" w14:textId="77777777" w:rsidR="00C36010" w:rsidRPr="00D24B93" w:rsidRDefault="00C36010" w:rsidP="00966E61">
            <w:pPr>
              <w:spacing w:before="0" w:line="240" w:lineRule="auto"/>
              <w:rPr>
                <w:rFonts w:eastAsia="Times New Roman"/>
                <w:sz w:val="20"/>
                <w:szCs w:val="20"/>
              </w:rPr>
            </w:pPr>
          </w:p>
        </w:tc>
      </w:tr>
      <w:tr w:rsidR="00C36010" w:rsidRPr="00D24B93" w14:paraId="1FCC828E" w14:textId="77777777" w:rsidTr="00D01A6C">
        <w:trPr>
          <w:trHeight w:val="300"/>
        </w:trPr>
        <w:tc>
          <w:tcPr>
            <w:tcW w:w="3119" w:type="dxa"/>
            <w:vMerge/>
            <w:tcBorders>
              <w:top w:val="nil"/>
              <w:bottom w:val="single" w:sz="4" w:space="0" w:color="auto"/>
            </w:tcBorders>
            <w:vAlign w:val="center"/>
            <w:hideMark/>
          </w:tcPr>
          <w:p w14:paraId="040ABAE3"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2AB0427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Other</w:t>
            </w:r>
          </w:p>
        </w:tc>
        <w:tc>
          <w:tcPr>
            <w:tcW w:w="992" w:type="dxa"/>
            <w:tcBorders>
              <w:top w:val="nil"/>
              <w:bottom w:val="single" w:sz="4" w:space="0" w:color="auto"/>
            </w:tcBorders>
            <w:shd w:val="clear" w:color="auto" w:fill="auto"/>
            <w:vAlign w:val="center"/>
            <w:hideMark/>
          </w:tcPr>
          <w:p w14:paraId="46F20128"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383</w:t>
            </w:r>
          </w:p>
        </w:tc>
        <w:tc>
          <w:tcPr>
            <w:tcW w:w="851" w:type="dxa"/>
            <w:tcBorders>
              <w:top w:val="nil"/>
              <w:bottom w:val="single" w:sz="4" w:space="0" w:color="auto"/>
            </w:tcBorders>
            <w:shd w:val="clear" w:color="auto" w:fill="auto"/>
            <w:vAlign w:val="center"/>
            <w:hideMark/>
          </w:tcPr>
          <w:p w14:paraId="4D232B08"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1.3</w:t>
            </w:r>
          </w:p>
        </w:tc>
        <w:tc>
          <w:tcPr>
            <w:tcW w:w="992" w:type="dxa"/>
            <w:vMerge/>
            <w:tcBorders>
              <w:top w:val="nil"/>
              <w:left w:val="nil"/>
              <w:bottom w:val="single" w:sz="4" w:space="0" w:color="auto"/>
            </w:tcBorders>
            <w:vAlign w:val="center"/>
            <w:hideMark/>
          </w:tcPr>
          <w:p w14:paraId="5936A108" w14:textId="77777777" w:rsidR="00C36010" w:rsidRPr="00D24B93" w:rsidRDefault="00C36010" w:rsidP="00966E61">
            <w:pPr>
              <w:spacing w:before="0" w:line="240" w:lineRule="auto"/>
              <w:rPr>
                <w:rFonts w:eastAsia="Times New Roman"/>
                <w:sz w:val="20"/>
                <w:szCs w:val="20"/>
              </w:rPr>
            </w:pPr>
          </w:p>
        </w:tc>
      </w:tr>
      <w:tr w:rsidR="00C36010" w:rsidRPr="00D24B93" w14:paraId="132AA88A" w14:textId="77777777" w:rsidTr="00D01A6C">
        <w:trPr>
          <w:trHeight w:val="300"/>
        </w:trPr>
        <w:tc>
          <w:tcPr>
            <w:tcW w:w="3119" w:type="dxa"/>
            <w:vMerge w:val="restart"/>
            <w:tcBorders>
              <w:top w:val="single" w:sz="4" w:space="0" w:color="auto"/>
            </w:tcBorders>
            <w:shd w:val="clear" w:color="auto" w:fill="auto"/>
            <w:vAlign w:val="center"/>
            <w:hideMark/>
          </w:tcPr>
          <w:p w14:paraId="03B9427A"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Employment status</w:t>
            </w:r>
          </w:p>
        </w:tc>
        <w:tc>
          <w:tcPr>
            <w:tcW w:w="2126" w:type="dxa"/>
            <w:tcBorders>
              <w:top w:val="single" w:sz="4" w:space="0" w:color="auto"/>
            </w:tcBorders>
            <w:shd w:val="clear" w:color="auto" w:fill="auto"/>
            <w:vAlign w:val="center"/>
            <w:hideMark/>
          </w:tcPr>
          <w:p w14:paraId="7538015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Employed</w:t>
            </w:r>
          </w:p>
        </w:tc>
        <w:tc>
          <w:tcPr>
            <w:tcW w:w="992" w:type="dxa"/>
            <w:tcBorders>
              <w:top w:val="single" w:sz="4" w:space="0" w:color="auto"/>
            </w:tcBorders>
            <w:shd w:val="clear" w:color="auto" w:fill="auto"/>
            <w:vAlign w:val="center"/>
            <w:hideMark/>
          </w:tcPr>
          <w:p w14:paraId="009810D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5,974</w:t>
            </w:r>
          </w:p>
        </w:tc>
        <w:tc>
          <w:tcPr>
            <w:tcW w:w="851" w:type="dxa"/>
            <w:tcBorders>
              <w:top w:val="single" w:sz="4" w:space="0" w:color="auto"/>
            </w:tcBorders>
            <w:shd w:val="clear" w:color="auto" w:fill="auto"/>
            <w:vAlign w:val="center"/>
            <w:hideMark/>
          </w:tcPr>
          <w:p w14:paraId="64CBD93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20.9</w:t>
            </w:r>
          </w:p>
        </w:tc>
        <w:tc>
          <w:tcPr>
            <w:tcW w:w="992" w:type="dxa"/>
            <w:vMerge w:val="restart"/>
            <w:tcBorders>
              <w:top w:val="single" w:sz="4" w:space="0" w:color="auto"/>
              <w:left w:val="nil"/>
            </w:tcBorders>
            <w:shd w:val="clear" w:color="auto" w:fill="auto"/>
            <w:vAlign w:val="center"/>
            <w:hideMark/>
          </w:tcPr>
          <w:p w14:paraId="7B58A7CF"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784</w:t>
            </w:r>
          </w:p>
        </w:tc>
      </w:tr>
      <w:tr w:rsidR="00C36010" w:rsidRPr="00D24B93" w14:paraId="091EA7E7" w14:textId="77777777" w:rsidTr="00D24B93">
        <w:trPr>
          <w:trHeight w:val="300"/>
        </w:trPr>
        <w:tc>
          <w:tcPr>
            <w:tcW w:w="3119" w:type="dxa"/>
            <w:vMerge/>
            <w:tcBorders>
              <w:top w:val="nil"/>
            </w:tcBorders>
            <w:vAlign w:val="center"/>
            <w:hideMark/>
          </w:tcPr>
          <w:p w14:paraId="66905ED1"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4B9269F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Unemployed</w:t>
            </w:r>
          </w:p>
        </w:tc>
        <w:tc>
          <w:tcPr>
            <w:tcW w:w="992" w:type="dxa"/>
            <w:tcBorders>
              <w:top w:val="nil"/>
            </w:tcBorders>
            <w:shd w:val="clear" w:color="auto" w:fill="auto"/>
            <w:vAlign w:val="center"/>
            <w:hideMark/>
          </w:tcPr>
          <w:p w14:paraId="4AF8141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582</w:t>
            </w:r>
          </w:p>
        </w:tc>
        <w:tc>
          <w:tcPr>
            <w:tcW w:w="851" w:type="dxa"/>
            <w:tcBorders>
              <w:top w:val="nil"/>
            </w:tcBorders>
            <w:shd w:val="clear" w:color="auto" w:fill="auto"/>
            <w:vAlign w:val="center"/>
            <w:hideMark/>
          </w:tcPr>
          <w:p w14:paraId="2A280E7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w:t>
            </w:r>
          </w:p>
        </w:tc>
        <w:tc>
          <w:tcPr>
            <w:tcW w:w="992" w:type="dxa"/>
            <w:vMerge/>
            <w:tcBorders>
              <w:top w:val="nil"/>
              <w:left w:val="nil"/>
            </w:tcBorders>
            <w:vAlign w:val="center"/>
            <w:hideMark/>
          </w:tcPr>
          <w:p w14:paraId="5DBF25EC" w14:textId="77777777" w:rsidR="00C36010" w:rsidRPr="00D24B93" w:rsidRDefault="00C36010" w:rsidP="00966E61">
            <w:pPr>
              <w:spacing w:before="0" w:line="240" w:lineRule="auto"/>
              <w:rPr>
                <w:rFonts w:eastAsia="Times New Roman"/>
                <w:sz w:val="20"/>
                <w:szCs w:val="20"/>
              </w:rPr>
            </w:pPr>
          </w:p>
        </w:tc>
      </w:tr>
      <w:tr w:rsidR="00C36010" w:rsidRPr="00D24B93" w14:paraId="5D6D2D36" w14:textId="77777777" w:rsidTr="00D24B93">
        <w:trPr>
          <w:trHeight w:val="300"/>
        </w:trPr>
        <w:tc>
          <w:tcPr>
            <w:tcW w:w="3119" w:type="dxa"/>
            <w:vMerge/>
            <w:tcBorders>
              <w:top w:val="nil"/>
            </w:tcBorders>
            <w:vAlign w:val="center"/>
            <w:hideMark/>
          </w:tcPr>
          <w:p w14:paraId="781C023C"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658EB64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Retired</w:t>
            </w:r>
          </w:p>
        </w:tc>
        <w:tc>
          <w:tcPr>
            <w:tcW w:w="992" w:type="dxa"/>
            <w:tcBorders>
              <w:top w:val="nil"/>
            </w:tcBorders>
            <w:shd w:val="clear" w:color="auto" w:fill="auto"/>
            <w:vAlign w:val="center"/>
            <w:hideMark/>
          </w:tcPr>
          <w:p w14:paraId="2EF38CA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21,804</w:t>
            </w:r>
          </w:p>
        </w:tc>
        <w:tc>
          <w:tcPr>
            <w:tcW w:w="851" w:type="dxa"/>
            <w:tcBorders>
              <w:top w:val="nil"/>
            </w:tcBorders>
            <w:shd w:val="clear" w:color="auto" w:fill="auto"/>
            <w:vAlign w:val="center"/>
            <w:hideMark/>
          </w:tcPr>
          <w:p w14:paraId="5067816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76.3</w:t>
            </w:r>
          </w:p>
        </w:tc>
        <w:tc>
          <w:tcPr>
            <w:tcW w:w="992" w:type="dxa"/>
            <w:vMerge/>
            <w:tcBorders>
              <w:top w:val="nil"/>
              <w:left w:val="nil"/>
            </w:tcBorders>
            <w:vAlign w:val="center"/>
            <w:hideMark/>
          </w:tcPr>
          <w:p w14:paraId="2DDB9EF0" w14:textId="77777777" w:rsidR="00C36010" w:rsidRPr="00D24B93" w:rsidRDefault="00C36010" w:rsidP="00966E61">
            <w:pPr>
              <w:spacing w:before="0" w:line="240" w:lineRule="auto"/>
              <w:rPr>
                <w:rFonts w:eastAsia="Times New Roman"/>
                <w:sz w:val="20"/>
                <w:szCs w:val="20"/>
              </w:rPr>
            </w:pPr>
          </w:p>
        </w:tc>
      </w:tr>
      <w:tr w:rsidR="00C36010" w:rsidRPr="00D24B93" w14:paraId="3737C3C5" w14:textId="77777777" w:rsidTr="00D01A6C">
        <w:trPr>
          <w:trHeight w:val="300"/>
        </w:trPr>
        <w:tc>
          <w:tcPr>
            <w:tcW w:w="3119" w:type="dxa"/>
            <w:vMerge/>
            <w:tcBorders>
              <w:top w:val="nil"/>
              <w:bottom w:val="single" w:sz="4" w:space="0" w:color="auto"/>
            </w:tcBorders>
            <w:vAlign w:val="center"/>
            <w:hideMark/>
          </w:tcPr>
          <w:p w14:paraId="406C4A28"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1565BCB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Other</w:t>
            </w:r>
          </w:p>
        </w:tc>
        <w:tc>
          <w:tcPr>
            <w:tcW w:w="992" w:type="dxa"/>
            <w:tcBorders>
              <w:top w:val="nil"/>
              <w:bottom w:val="single" w:sz="4" w:space="0" w:color="auto"/>
            </w:tcBorders>
            <w:shd w:val="clear" w:color="auto" w:fill="auto"/>
            <w:vAlign w:val="center"/>
            <w:hideMark/>
          </w:tcPr>
          <w:p w14:paraId="7B04BC2C"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207</w:t>
            </w:r>
          </w:p>
        </w:tc>
        <w:tc>
          <w:tcPr>
            <w:tcW w:w="851" w:type="dxa"/>
            <w:tcBorders>
              <w:top w:val="nil"/>
              <w:bottom w:val="single" w:sz="4" w:space="0" w:color="auto"/>
            </w:tcBorders>
            <w:shd w:val="clear" w:color="auto" w:fill="auto"/>
            <w:vAlign w:val="center"/>
            <w:hideMark/>
          </w:tcPr>
          <w:p w14:paraId="7FB3D71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0.7</w:t>
            </w:r>
          </w:p>
        </w:tc>
        <w:tc>
          <w:tcPr>
            <w:tcW w:w="992" w:type="dxa"/>
            <w:vMerge/>
            <w:tcBorders>
              <w:top w:val="nil"/>
              <w:left w:val="nil"/>
              <w:bottom w:val="single" w:sz="4" w:space="0" w:color="auto"/>
            </w:tcBorders>
            <w:vAlign w:val="center"/>
            <w:hideMark/>
          </w:tcPr>
          <w:p w14:paraId="314ECDBE" w14:textId="77777777" w:rsidR="00C36010" w:rsidRPr="00D24B93" w:rsidRDefault="00C36010" w:rsidP="00966E61">
            <w:pPr>
              <w:spacing w:before="0" w:line="240" w:lineRule="auto"/>
              <w:rPr>
                <w:rFonts w:eastAsia="Times New Roman"/>
                <w:sz w:val="20"/>
                <w:szCs w:val="20"/>
              </w:rPr>
            </w:pPr>
          </w:p>
        </w:tc>
      </w:tr>
      <w:tr w:rsidR="00C36010" w:rsidRPr="00D24B93" w14:paraId="0245CBF8" w14:textId="77777777" w:rsidTr="00D01A6C">
        <w:trPr>
          <w:trHeight w:val="300"/>
        </w:trPr>
        <w:tc>
          <w:tcPr>
            <w:tcW w:w="3119" w:type="dxa"/>
            <w:vMerge w:val="restart"/>
            <w:tcBorders>
              <w:top w:val="single" w:sz="4" w:space="0" w:color="auto"/>
            </w:tcBorders>
            <w:shd w:val="clear" w:color="auto" w:fill="auto"/>
            <w:vAlign w:val="center"/>
            <w:hideMark/>
          </w:tcPr>
          <w:p w14:paraId="715E3CEC"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Body Mass Index (Kg/m</w:t>
            </w:r>
            <w:r w:rsidRPr="00D24B93">
              <w:rPr>
                <w:rFonts w:eastAsia="Times New Roman"/>
                <w:b/>
                <w:bCs/>
                <w:sz w:val="20"/>
                <w:szCs w:val="20"/>
                <w:vertAlign w:val="superscript"/>
              </w:rPr>
              <w:t>2</w:t>
            </w:r>
            <w:r w:rsidRPr="00D24B93">
              <w:rPr>
                <w:rFonts w:eastAsia="Times New Roman"/>
                <w:b/>
                <w:bCs/>
                <w:sz w:val="20"/>
                <w:szCs w:val="20"/>
              </w:rPr>
              <w:t>)</w:t>
            </w:r>
          </w:p>
        </w:tc>
        <w:tc>
          <w:tcPr>
            <w:tcW w:w="2126" w:type="dxa"/>
            <w:tcBorders>
              <w:top w:val="single" w:sz="4" w:space="0" w:color="auto"/>
            </w:tcBorders>
            <w:shd w:val="clear" w:color="auto" w:fill="auto"/>
            <w:vAlign w:val="center"/>
            <w:hideMark/>
          </w:tcPr>
          <w:p w14:paraId="47541A3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&lt;25</w:t>
            </w:r>
          </w:p>
        </w:tc>
        <w:tc>
          <w:tcPr>
            <w:tcW w:w="992" w:type="dxa"/>
            <w:tcBorders>
              <w:top w:val="single" w:sz="4" w:space="0" w:color="auto"/>
            </w:tcBorders>
            <w:shd w:val="clear" w:color="auto" w:fill="auto"/>
            <w:vAlign w:val="center"/>
            <w:hideMark/>
          </w:tcPr>
          <w:p w14:paraId="007E091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8,409</w:t>
            </w:r>
          </w:p>
        </w:tc>
        <w:tc>
          <w:tcPr>
            <w:tcW w:w="851" w:type="dxa"/>
            <w:tcBorders>
              <w:top w:val="single" w:sz="4" w:space="0" w:color="auto"/>
            </w:tcBorders>
            <w:shd w:val="clear" w:color="auto" w:fill="auto"/>
            <w:vAlign w:val="center"/>
            <w:hideMark/>
          </w:tcPr>
          <w:p w14:paraId="7E2FAD2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30.9</w:t>
            </w:r>
          </w:p>
        </w:tc>
        <w:tc>
          <w:tcPr>
            <w:tcW w:w="992" w:type="dxa"/>
            <w:vMerge w:val="restart"/>
            <w:tcBorders>
              <w:top w:val="single" w:sz="4" w:space="0" w:color="auto"/>
              <w:left w:val="nil"/>
            </w:tcBorders>
            <w:shd w:val="clear" w:color="auto" w:fill="auto"/>
            <w:vAlign w:val="center"/>
            <w:hideMark/>
          </w:tcPr>
          <w:p w14:paraId="06122C9A"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2096</w:t>
            </w:r>
          </w:p>
        </w:tc>
      </w:tr>
      <w:tr w:rsidR="00C36010" w:rsidRPr="00D24B93" w14:paraId="6E489DA6" w14:textId="77777777" w:rsidTr="00D24B93">
        <w:trPr>
          <w:trHeight w:val="300"/>
        </w:trPr>
        <w:tc>
          <w:tcPr>
            <w:tcW w:w="3119" w:type="dxa"/>
            <w:vMerge/>
            <w:tcBorders>
              <w:top w:val="nil"/>
            </w:tcBorders>
            <w:vAlign w:val="center"/>
            <w:hideMark/>
          </w:tcPr>
          <w:p w14:paraId="4AAE892A"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24D0E03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25-30</w:t>
            </w:r>
          </w:p>
        </w:tc>
        <w:tc>
          <w:tcPr>
            <w:tcW w:w="992" w:type="dxa"/>
            <w:tcBorders>
              <w:top w:val="nil"/>
            </w:tcBorders>
            <w:shd w:val="clear" w:color="auto" w:fill="auto"/>
            <w:vAlign w:val="center"/>
            <w:hideMark/>
          </w:tcPr>
          <w:p w14:paraId="7C363AD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13,126</w:t>
            </w:r>
          </w:p>
        </w:tc>
        <w:tc>
          <w:tcPr>
            <w:tcW w:w="851" w:type="dxa"/>
            <w:tcBorders>
              <w:top w:val="nil"/>
            </w:tcBorders>
            <w:shd w:val="clear" w:color="auto" w:fill="auto"/>
            <w:vAlign w:val="center"/>
            <w:hideMark/>
          </w:tcPr>
          <w:p w14:paraId="477BAE3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48.2</w:t>
            </w:r>
          </w:p>
        </w:tc>
        <w:tc>
          <w:tcPr>
            <w:tcW w:w="992" w:type="dxa"/>
            <w:vMerge/>
            <w:tcBorders>
              <w:top w:val="nil"/>
              <w:left w:val="nil"/>
            </w:tcBorders>
            <w:vAlign w:val="center"/>
            <w:hideMark/>
          </w:tcPr>
          <w:p w14:paraId="6ED7F7C1" w14:textId="77777777" w:rsidR="00C36010" w:rsidRPr="00D24B93" w:rsidRDefault="00C36010" w:rsidP="00966E61">
            <w:pPr>
              <w:spacing w:before="0" w:line="240" w:lineRule="auto"/>
              <w:rPr>
                <w:rFonts w:eastAsia="Times New Roman"/>
                <w:sz w:val="20"/>
                <w:szCs w:val="20"/>
              </w:rPr>
            </w:pPr>
          </w:p>
        </w:tc>
      </w:tr>
      <w:tr w:rsidR="00C36010" w:rsidRPr="00D24B93" w14:paraId="0737089F" w14:textId="77777777" w:rsidTr="00D01A6C">
        <w:trPr>
          <w:trHeight w:val="300"/>
        </w:trPr>
        <w:tc>
          <w:tcPr>
            <w:tcW w:w="3119" w:type="dxa"/>
            <w:vMerge/>
            <w:tcBorders>
              <w:top w:val="nil"/>
              <w:bottom w:val="single" w:sz="4" w:space="0" w:color="auto"/>
            </w:tcBorders>
            <w:vAlign w:val="center"/>
            <w:hideMark/>
          </w:tcPr>
          <w:p w14:paraId="72D4D0EE"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69601C6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&gt;30</w:t>
            </w:r>
          </w:p>
        </w:tc>
        <w:tc>
          <w:tcPr>
            <w:tcW w:w="992" w:type="dxa"/>
            <w:tcBorders>
              <w:top w:val="nil"/>
              <w:bottom w:val="single" w:sz="4" w:space="0" w:color="auto"/>
            </w:tcBorders>
            <w:shd w:val="clear" w:color="auto" w:fill="auto"/>
            <w:vAlign w:val="center"/>
            <w:hideMark/>
          </w:tcPr>
          <w:p w14:paraId="272E11C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5,720</w:t>
            </w:r>
          </w:p>
        </w:tc>
        <w:tc>
          <w:tcPr>
            <w:tcW w:w="851" w:type="dxa"/>
            <w:tcBorders>
              <w:top w:val="nil"/>
              <w:bottom w:val="single" w:sz="4" w:space="0" w:color="auto"/>
            </w:tcBorders>
            <w:shd w:val="clear" w:color="auto" w:fill="auto"/>
            <w:vAlign w:val="center"/>
            <w:hideMark/>
          </w:tcPr>
          <w:p w14:paraId="2D6BE26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w:t>
            </w:r>
          </w:p>
        </w:tc>
        <w:tc>
          <w:tcPr>
            <w:tcW w:w="992" w:type="dxa"/>
            <w:vMerge/>
            <w:tcBorders>
              <w:top w:val="nil"/>
              <w:left w:val="nil"/>
              <w:bottom w:val="single" w:sz="4" w:space="0" w:color="auto"/>
            </w:tcBorders>
            <w:vAlign w:val="center"/>
            <w:hideMark/>
          </w:tcPr>
          <w:p w14:paraId="1ED908E5" w14:textId="77777777" w:rsidR="00C36010" w:rsidRPr="00D24B93" w:rsidRDefault="00C36010" w:rsidP="00966E61">
            <w:pPr>
              <w:spacing w:before="0" w:line="240" w:lineRule="auto"/>
              <w:rPr>
                <w:rFonts w:eastAsia="Times New Roman"/>
                <w:sz w:val="20"/>
                <w:szCs w:val="20"/>
              </w:rPr>
            </w:pPr>
          </w:p>
        </w:tc>
      </w:tr>
      <w:tr w:rsidR="00C36010" w:rsidRPr="00D24B93" w14:paraId="0E8E0E90" w14:textId="77777777" w:rsidTr="00D01A6C">
        <w:trPr>
          <w:trHeight w:val="300"/>
        </w:trPr>
        <w:tc>
          <w:tcPr>
            <w:tcW w:w="3119" w:type="dxa"/>
            <w:vMerge w:val="restart"/>
            <w:tcBorders>
              <w:top w:val="single" w:sz="4" w:space="0" w:color="auto"/>
            </w:tcBorders>
            <w:shd w:val="clear" w:color="auto" w:fill="auto"/>
            <w:vAlign w:val="center"/>
            <w:hideMark/>
          </w:tcPr>
          <w:p w14:paraId="65525D8D"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Prostate cancer stage at diagnosis</w:t>
            </w:r>
          </w:p>
        </w:tc>
        <w:tc>
          <w:tcPr>
            <w:tcW w:w="2126" w:type="dxa"/>
            <w:tcBorders>
              <w:top w:val="single" w:sz="4" w:space="0" w:color="auto"/>
            </w:tcBorders>
            <w:shd w:val="clear" w:color="auto" w:fill="auto"/>
            <w:vAlign w:val="center"/>
            <w:hideMark/>
          </w:tcPr>
          <w:p w14:paraId="23DBE75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I /II</w:t>
            </w:r>
          </w:p>
        </w:tc>
        <w:tc>
          <w:tcPr>
            <w:tcW w:w="992" w:type="dxa"/>
            <w:tcBorders>
              <w:top w:val="single" w:sz="4" w:space="0" w:color="auto"/>
            </w:tcBorders>
            <w:shd w:val="clear" w:color="auto" w:fill="auto"/>
            <w:vAlign w:val="center"/>
            <w:hideMark/>
          </w:tcPr>
          <w:p w14:paraId="46474E92"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16,338</w:t>
            </w:r>
          </w:p>
        </w:tc>
        <w:tc>
          <w:tcPr>
            <w:tcW w:w="851" w:type="dxa"/>
            <w:tcBorders>
              <w:top w:val="single" w:sz="4" w:space="0" w:color="auto"/>
            </w:tcBorders>
            <w:shd w:val="clear" w:color="auto" w:fill="auto"/>
            <w:vAlign w:val="center"/>
            <w:hideMark/>
          </w:tcPr>
          <w:p w14:paraId="389E1FF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64.6</w:t>
            </w:r>
          </w:p>
        </w:tc>
        <w:tc>
          <w:tcPr>
            <w:tcW w:w="992" w:type="dxa"/>
            <w:vMerge w:val="restart"/>
            <w:tcBorders>
              <w:top w:val="single" w:sz="4" w:space="0" w:color="auto"/>
              <w:left w:val="nil"/>
            </w:tcBorders>
            <w:shd w:val="clear" w:color="auto" w:fill="auto"/>
            <w:vAlign w:val="center"/>
            <w:hideMark/>
          </w:tcPr>
          <w:p w14:paraId="253C1F6B"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4061</w:t>
            </w:r>
          </w:p>
        </w:tc>
      </w:tr>
      <w:tr w:rsidR="00C36010" w:rsidRPr="00D24B93" w14:paraId="25DAA74B" w14:textId="77777777" w:rsidTr="00D24B93">
        <w:trPr>
          <w:trHeight w:val="300"/>
        </w:trPr>
        <w:tc>
          <w:tcPr>
            <w:tcW w:w="3119" w:type="dxa"/>
            <w:vMerge/>
            <w:tcBorders>
              <w:top w:val="nil"/>
            </w:tcBorders>
            <w:vAlign w:val="center"/>
            <w:hideMark/>
          </w:tcPr>
          <w:p w14:paraId="7AD150BF"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4B13B68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III</w:t>
            </w:r>
          </w:p>
        </w:tc>
        <w:tc>
          <w:tcPr>
            <w:tcW w:w="992" w:type="dxa"/>
            <w:tcBorders>
              <w:top w:val="nil"/>
            </w:tcBorders>
            <w:shd w:val="clear" w:color="auto" w:fill="auto"/>
            <w:vAlign w:val="center"/>
            <w:hideMark/>
          </w:tcPr>
          <w:p w14:paraId="4E4F598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5,801</w:t>
            </w:r>
          </w:p>
        </w:tc>
        <w:tc>
          <w:tcPr>
            <w:tcW w:w="851" w:type="dxa"/>
            <w:tcBorders>
              <w:top w:val="nil"/>
            </w:tcBorders>
            <w:shd w:val="clear" w:color="auto" w:fill="auto"/>
            <w:vAlign w:val="center"/>
            <w:hideMark/>
          </w:tcPr>
          <w:p w14:paraId="55295D4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22.9</w:t>
            </w:r>
          </w:p>
        </w:tc>
        <w:tc>
          <w:tcPr>
            <w:tcW w:w="992" w:type="dxa"/>
            <w:vMerge/>
            <w:tcBorders>
              <w:top w:val="nil"/>
              <w:left w:val="nil"/>
            </w:tcBorders>
            <w:vAlign w:val="center"/>
            <w:hideMark/>
          </w:tcPr>
          <w:p w14:paraId="2EEBC468" w14:textId="77777777" w:rsidR="00C36010" w:rsidRPr="00D24B93" w:rsidRDefault="00C36010" w:rsidP="00966E61">
            <w:pPr>
              <w:spacing w:before="0" w:line="240" w:lineRule="auto"/>
              <w:rPr>
                <w:rFonts w:eastAsia="Times New Roman"/>
                <w:sz w:val="20"/>
                <w:szCs w:val="20"/>
              </w:rPr>
            </w:pPr>
          </w:p>
        </w:tc>
      </w:tr>
      <w:tr w:rsidR="00C36010" w:rsidRPr="00D24B93" w14:paraId="47B1FA6B" w14:textId="77777777" w:rsidTr="00D01A6C">
        <w:trPr>
          <w:trHeight w:val="300"/>
        </w:trPr>
        <w:tc>
          <w:tcPr>
            <w:tcW w:w="3119" w:type="dxa"/>
            <w:vMerge/>
            <w:tcBorders>
              <w:top w:val="nil"/>
              <w:bottom w:val="single" w:sz="4" w:space="0" w:color="auto"/>
            </w:tcBorders>
            <w:vAlign w:val="center"/>
            <w:hideMark/>
          </w:tcPr>
          <w:p w14:paraId="5050B619"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4366AC5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IV</w:t>
            </w:r>
          </w:p>
        </w:tc>
        <w:tc>
          <w:tcPr>
            <w:tcW w:w="992" w:type="dxa"/>
            <w:tcBorders>
              <w:top w:val="nil"/>
              <w:bottom w:val="single" w:sz="4" w:space="0" w:color="auto"/>
            </w:tcBorders>
            <w:shd w:val="clear" w:color="auto" w:fill="auto"/>
            <w:vAlign w:val="center"/>
            <w:hideMark/>
          </w:tcPr>
          <w:p w14:paraId="54EEFFA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3,151</w:t>
            </w:r>
          </w:p>
        </w:tc>
        <w:tc>
          <w:tcPr>
            <w:tcW w:w="851" w:type="dxa"/>
            <w:tcBorders>
              <w:top w:val="nil"/>
              <w:bottom w:val="single" w:sz="4" w:space="0" w:color="auto"/>
            </w:tcBorders>
            <w:shd w:val="clear" w:color="auto" w:fill="auto"/>
            <w:vAlign w:val="center"/>
            <w:hideMark/>
          </w:tcPr>
          <w:p w14:paraId="6FD2159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12.5</w:t>
            </w:r>
          </w:p>
        </w:tc>
        <w:tc>
          <w:tcPr>
            <w:tcW w:w="992" w:type="dxa"/>
            <w:vMerge/>
            <w:tcBorders>
              <w:top w:val="nil"/>
              <w:left w:val="nil"/>
              <w:bottom w:val="single" w:sz="4" w:space="0" w:color="auto"/>
            </w:tcBorders>
            <w:vAlign w:val="center"/>
            <w:hideMark/>
          </w:tcPr>
          <w:p w14:paraId="6993019E" w14:textId="77777777" w:rsidR="00C36010" w:rsidRPr="00D24B93" w:rsidRDefault="00C36010" w:rsidP="00966E61">
            <w:pPr>
              <w:spacing w:before="0" w:line="240" w:lineRule="auto"/>
              <w:rPr>
                <w:rFonts w:eastAsia="Times New Roman"/>
                <w:sz w:val="20"/>
                <w:szCs w:val="20"/>
              </w:rPr>
            </w:pPr>
          </w:p>
        </w:tc>
      </w:tr>
      <w:tr w:rsidR="00C36010" w:rsidRPr="00D24B93" w14:paraId="35531B63" w14:textId="77777777" w:rsidTr="00D01A6C">
        <w:trPr>
          <w:trHeight w:val="300"/>
        </w:trPr>
        <w:tc>
          <w:tcPr>
            <w:tcW w:w="3119" w:type="dxa"/>
            <w:vMerge w:val="restart"/>
            <w:tcBorders>
              <w:top w:val="single" w:sz="4" w:space="0" w:color="auto"/>
            </w:tcBorders>
            <w:shd w:val="clear" w:color="auto" w:fill="auto"/>
            <w:vAlign w:val="center"/>
            <w:hideMark/>
          </w:tcPr>
          <w:p w14:paraId="11E0A38E" w14:textId="77777777" w:rsidR="00C36010" w:rsidRPr="00D24B93" w:rsidRDefault="00C36010" w:rsidP="00966E61">
            <w:pPr>
              <w:spacing w:before="0" w:line="240" w:lineRule="auto"/>
              <w:jc w:val="right"/>
              <w:rPr>
                <w:rFonts w:eastAsia="Times New Roman"/>
                <w:b/>
                <w:bCs/>
                <w:sz w:val="20"/>
                <w:szCs w:val="20"/>
              </w:rPr>
            </w:pPr>
            <w:r w:rsidRPr="00D24B93">
              <w:rPr>
                <w:rFonts w:eastAsia="Times New Roman"/>
                <w:b/>
                <w:bCs/>
                <w:sz w:val="20"/>
                <w:szCs w:val="20"/>
              </w:rPr>
              <w:t>Treatment</w:t>
            </w:r>
          </w:p>
        </w:tc>
        <w:tc>
          <w:tcPr>
            <w:tcW w:w="2126" w:type="dxa"/>
            <w:tcBorders>
              <w:top w:val="single" w:sz="4" w:space="0" w:color="auto"/>
            </w:tcBorders>
            <w:shd w:val="clear" w:color="auto" w:fill="auto"/>
            <w:vAlign w:val="center"/>
            <w:hideMark/>
          </w:tcPr>
          <w:p w14:paraId="71EF396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Active surveillance</w:t>
            </w:r>
          </w:p>
        </w:tc>
        <w:tc>
          <w:tcPr>
            <w:tcW w:w="992" w:type="dxa"/>
            <w:tcBorders>
              <w:top w:val="single" w:sz="4" w:space="0" w:color="auto"/>
            </w:tcBorders>
            <w:shd w:val="clear" w:color="auto" w:fill="auto"/>
            <w:vAlign w:val="center"/>
            <w:hideMark/>
          </w:tcPr>
          <w:p w14:paraId="017A14D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2,869</w:t>
            </w:r>
          </w:p>
        </w:tc>
        <w:tc>
          <w:tcPr>
            <w:tcW w:w="851" w:type="dxa"/>
            <w:tcBorders>
              <w:top w:val="single" w:sz="4" w:space="0" w:color="auto"/>
            </w:tcBorders>
            <w:shd w:val="clear" w:color="auto" w:fill="auto"/>
            <w:vAlign w:val="center"/>
            <w:hideMark/>
          </w:tcPr>
          <w:p w14:paraId="437D34B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9.8</w:t>
            </w:r>
          </w:p>
        </w:tc>
        <w:tc>
          <w:tcPr>
            <w:tcW w:w="992" w:type="dxa"/>
            <w:vMerge w:val="restart"/>
            <w:tcBorders>
              <w:top w:val="single" w:sz="4" w:space="0" w:color="auto"/>
              <w:left w:val="nil"/>
            </w:tcBorders>
            <w:shd w:val="clear" w:color="auto" w:fill="auto"/>
            <w:vAlign w:val="center"/>
            <w:hideMark/>
          </w:tcPr>
          <w:p w14:paraId="355C69C9" w14:textId="77777777" w:rsidR="00C36010" w:rsidRPr="00D24B93" w:rsidRDefault="00C36010" w:rsidP="00966E61">
            <w:pPr>
              <w:spacing w:before="0" w:line="240" w:lineRule="auto"/>
              <w:jc w:val="center"/>
              <w:rPr>
                <w:rFonts w:eastAsia="Times New Roman"/>
                <w:sz w:val="20"/>
                <w:szCs w:val="20"/>
              </w:rPr>
            </w:pPr>
            <w:r w:rsidRPr="00D24B93">
              <w:rPr>
                <w:rFonts w:eastAsia="Times New Roman"/>
                <w:sz w:val="20"/>
                <w:szCs w:val="20"/>
              </w:rPr>
              <w:t>0</w:t>
            </w:r>
          </w:p>
        </w:tc>
      </w:tr>
      <w:tr w:rsidR="00C36010" w:rsidRPr="00D24B93" w14:paraId="4D195786" w14:textId="77777777" w:rsidTr="00D24B93">
        <w:trPr>
          <w:trHeight w:val="300"/>
        </w:trPr>
        <w:tc>
          <w:tcPr>
            <w:tcW w:w="3119" w:type="dxa"/>
            <w:vMerge/>
            <w:tcBorders>
              <w:top w:val="nil"/>
            </w:tcBorders>
            <w:vAlign w:val="center"/>
            <w:hideMark/>
          </w:tcPr>
          <w:p w14:paraId="504E76DC"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6D32C43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Surgery alone</w:t>
            </w:r>
          </w:p>
        </w:tc>
        <w:tc>
          <w:tcPr>
            <w:tcW w:w="992" w:type="dxa"/>
            <w:tcBorders>
              <w:top w:val="nil"/>
            </w:tcBorders>
            <w:shd w:val="clear" w:color="auto" w:fill="auto"/>
            <w:vAlign w:val="center"/>
            <w:hideMark/>
          </w:tcPr>
          <w:p w14:paraId="4F9E5A3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6,919</w:t>
            </w:r>
          </w:p>
        </w:tc>
        <w:tc>
          <w:tcPr>
            <w:tcW w:w="851" w:type="dxa"/>
            <w:tcBorders>
              <w:top w:val="nil"/>
            </w:tcBorders>
            <w:shd w:val="clear" w:color="auto" w:fill="auto"/>
            <w:vAlign w:val="center"/>
            <w:hideMark/>
          </w:tcPr>
          <w:p w14:paraId="08F7703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23.6</w:t>
            </w:r>
          </w:p>
        </w:tc>
        <w:tc>
          <w:tcPr>
            <w:tcW w:w="992" w:type="dxa"/>
            <w:vMerge/>
            <w:tcBorders>
              <w:top w:val="nil"/>
              <w:left w:val="nil"/>
            </w:tcBorders>
            <w:vAlign w:val="center"/>
            <w:hideMark/>
          </w:tcPr>
          <w:p w14:paraId="179869A3" w14:textId="77777777" w:rsidR="00C36010" w:rsidRPr="00D24B93" w:rsidRDefault="00C36010" w:rsidP="00966E61">
            <w:pPr>
              <w:spacing w:before="0" w:line="240" w:lineRule="auto"/>
              <w:rPr>
                <w:rFonts w:eastAsia="Times New Roman"/>
                <w:sz w:val="20"/>
                <w:szCs w:val="20"/>
              </w:rPr>
            </w:pPr>
          </w:p>
        </w:tc>
      </w:tr>
      <w:tr w:rsidR="00C36010" w:rsidRPr="00D24B93" w14:paraId="6BE21781" w14:textId="77777777" w:rsidTr="00D24B93">
        <w:trPr>
          <w:trHeight w:val="300"/>
        </w:trPr>
        <w:tc>
          <w:tcPr>
            <w:tcW w:w="3119" w:type="dxa"/>
            <w:vMerge/>
            <w:tcBorders>
              <w:top w:val="nil"/>
            </w:tcBorders>
            <w:vAlign w:val="center"/>
            <w:hideMark/>
          </w:tcPr>
          <w:p w14:paraId="603F8A31"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00A563D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EBRT alone</w:t>
            </w:r>
          </w:p>
        </w:tc>
        <w:tc>
          <w:tcPr>
            <w:tcW w:w="992" w:type="dxa"/>
            <w:tcBorders>
              <w:top w:val="nil"/>
            </w:tcBorders>
            <w:shd w:val="clear" w:color="auto" w:fill="auto"/>
            <w:vAlign w:val="center"/>
            <w:hideMark/>
          </w:tcPr>
          <w:p w14:paraId="63F3705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2,442</w:t>
            </w:r>
          </w:p>
        </w:tc>
        <w:tc>
          <w:tcPr>
            <w:tcW w:w="851" w:type="dxa"/>
            <w:tcBorders>
              <w:top w:val="nil"/>
            </w:tcBorders>
            <w:shd w:val="clear" w:color="auto" w:fill="auto"/>
            <w:vAlign w:val="center"/>
            <w:hideMark/>
          </w:tcPr>
          <w:p w14:paraId="0D28A507"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8.3</w:t>
            </w:r>
          </w:p>
        </w:tc>
        <w:tc>
          <w:tcPr>
            <w:tcW w:w="992" w:type="dxa"/>
            <w:vMerge/>
            <w:tcBorders>
              <w:top w:val="nil"/>
              <w:left w:val="nil"/>
            </w:tcBorders>
            <w:vAlign w:val="center"/>
            <w:hideMark/>
          </w:tcPr>
          <w:p w14:paraId="6B4FB510" w14:textId="77777777" w:rsidR="00C36010" w:rsidRPr="00D24B93" w:rsidRDefault="00C36010" w:rsidP="00966E61">
            <w:pPr>
              <w:spacing w:before="0" w:line="240" w:lineRule="auto"/>
              <w:rPr>
                <w:rFonts w:eastAsia="Times New Roman"/>
                <w:sz w:val="20"/>
                <w:szCs w:val="20"/>
              </w:rPr>
            </w:pPr>
          </w:p>
        </w:tc>
      </w:tr>
      <w:tr w:rsidR="00C36010" w:rsidRPr="00D24B93" w14:paraId="6A898F08" w14:textId="77777777" w:rsidTr="00D24B93">
        <w:trPr>
          <w:trHeight w:val="300"/>
        </w:trPr>
        <w:tc>
          <w:tcPr>
            <w:tcW w:w="3119" w:type="dxa"/>
            <w:vMerge/>
            <w:vAlign w:val="center"/>
            <w:hideMark/>
          </w:tcPr>
          <w:p w14:paraId="5BAC90E5" w14:textId="77777777" w:rsidR="00C36010" w:rsidRPr="00D24B93" w:rsidRDefault="00C36010" w:rsidP="00966E61">
            <w:pPr>
              <w:spacing w:before="0" w:line="240" w:lineRule="auto"/>
              <w:rPr>
                <w:rFonts w:eastAsia="Times New Roman"/>
                <w:b/>
                <w:bCs/>
                <w:sz w:val="20"/>
                <w:szCs w:val="20"/>
              </w:rPr>
            </w:pPr>
          </w:p>
        </w:tc>
        <w:tc>
          <w:tcPr>
            <w:tcW w:w="2126" w:type="dxa"/>
            <w:shd w:val="clear" w:color="auto" w:fill="auto"/>
            <w:vAlign w:val="center"/>
            <w:hideMark/>
          </w:tcPr>
          <w:p w14:paraId="063F83B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Brachytherapy alone</w:t>
            </w:r>
          </w:p>
        </w:tc>
        <w:tc>
          <w:tcPr>
            <w:tcW w:w="992" w:type="dxa"/>
            <w:shd w:val="clear" w:color="auto" w:fill="auto"/>
            <w:vAlign w:val="center"/>
            <w:hideMark/>
          </w:tcPr>
          <w:p w14:paraId="4DAD249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1,190</w:t>
            </w:r>
          </w:p>
        </w:tc>
        <w:tc>
          <w:tcPr>
            <w:tcW w:w="851" w:type="dxa"/>
            <w:shd w:val="clear" w:color="auto" w:fill="auto"/>
            <w:vAlign w:val="center"/>
            <w:hideMark/>
          </w:tcPr>
          <w:p w14:paraId="0661097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4.1</w:t>
            </w:r>
          </w:p>
        </w:tc>
        <w:tc>
          <w:tcPr>
            <w:tcW w:w="992" w:type="dxa"/>
            <w:vMerge/>
            <w:tcBorders>
              <w:left w:val="nil"/>
            </w:tcBorders>
            <w:vAlign w:val="center"/>
            <w:hideMark/>
          </w:tcPr>
          <w:p w14:paraId="53B53A47" w14:textId="77777777" w:rsidR="00C36010" w:rsidRPr="00D24B93" w:rsidRDefault="00C36010" w:rsidP="00966E61">
            <w:pPr>
              <w:spacing w:before="0" w:line="240" w:lineRule="auto"/>
              <w:rPr>
                <w:rFonts w:eastAsia="Times New Roman"/>
                <w:sz w:val="20"/>
                <w:szCs w:val="20"/>
              </w:rPr>
            </w:pPr>
          </w:p>
        </w:tc>
      </w:tr>
      <w:tr w:rsidR="00C36010" w:rsidRPr="00D24B93" w14:paraId="3679ADD5" w14:textId="77777777" w:rsidTr="00D24B93">
        <w:trPr>
          <w:trHeight w:val="300"/>
        </w:trPr>
        <w:tc>
          <w:tcPr>
            <w:tcW w:w="3119" w:type="dxa"/>
            <w:vMerge/>
            <w:tcBorders>
              <w:top w:val="nil"/>
            </w:tcBorders>
            <w:vAlign w:val="center"/>
            <w:hideMark/>
          </w:tcPr>
          <w:p w14:paraId="3A410C8F"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6C8B9DF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ADT alone</w:t>
            </w:r>
          </w:p>
        </w:tc>
        <w:tc>
          <w:tcPr>
            <w:tcW w:w="992" w:type="dxa"/>
            <w:tcBorders>
              <w:top w:val="nil"/>
            </w:tcBorders>
            <w:shd w:val="clear" w:color="auto" w:fill="auto"/>
            <w:vAlign w:val="center"/>
            <w:hideMark/>
          </w:tcPr>
          <w:p w14:paraId="43371824"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2,990</w:t>
            </w:r>
          </w:p>
        </w:tc>
        <w:tc>
          <w:tcPr>
            <w:tcW w:w="851" w:type="dxa"/>
            <w:tcBorders>
              <w:top w:val="nil"/>
            </w:tcBorders>
            <w:shd w:val="clear" w:color="auto" w:fill="auto"/>
            <w:vAlign w:val="center"/>
            <w:hideMark/>
          </w:tcPr>
          <w:p w14:paraId="33A6050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10.2</w:t>
            </w:r>
          </w:p>
        </w:tc>
        <w:tc>
          <w:tcPr>
            <w:tcW w:w="992" w:type="dxa"/>
            <w:vMerge/>
            <w:tcBorders>
              <w:top w:val="nil"/>
              <w:left w:val="nil"/>
            </w:tcBorders>
            <w:vAlign w:val="center"/>
            <w:hideMark/>
          </w:tcPr>
          <w:p w14:paraId="031ACEBC" w14:textId="77777777" w:rsidR="00C36010" w:rsidRPr="00D24B93" w:rsidRDefault="00C36010" w:rsidP="00966E61">
            <w:pPr>
              <w:spacing w:before="0" w:line="240" w:lineRule="auto"/>
              <w:rPr>
                <w:rFonts w:eastAsia="Times New Roman"/>
                <w:sz w:val="20"/>
                <w:szCs w:val="20"/>
              </w:rPr>
            </w:pPr>
          </w:p>
        </w:tc>
      </w:tr>
      <w:tr w:rsidR="00C36010" w:rsidRPr="00D24B93" w14:paraId="1C27FEE6" w14:textId="77777777" w:rsidTr="00D24B93">
        <w:trPr>
          <w:trHeight w:val="300"/>
        </w:trPr>
        <w:tc>
          <w:tcPr>
            <w:tcW w:w="3119" w:type="dxa"/>
            <w:vMerge/>
            <w:tcBorders>
              <w:top w:val="nil"/>
            </w:tcBorders>
            <w:vAlign w:val="center"/>
            <w:hideMark/>
          </w:tcPr>
          <w:p w14:paraId="750E8C4F"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4A29B1ED"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Watchful waiting</w:t>
            </w:r>
          </w:p>
        </w:tc>
        <w:tc>
          <w:tcPr>
            <w:tcW w:w="992" w:type="dxa"/>
            <w:tcBorders>
              <w:top w:val="nil"/>
            </w:tcBorders>
            <w:shd w:val="clear" w:color="auto" w:fill="auto"/>
            <w:vAlign w:val="center"/>
            <w:hideMark/>
          </w:tcPr>
          <w:p w14:paraId="3C9BBB6C"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2,211</w:t>
            </w:r>
          </w:p>
        </w:tc>
        <w:tc>
          <w:tcPr>
            <w:tcW w:w="851" w:type="dxa"/>
            <w:tcBorders>
              <w:top w:val="nil"/>
            </w:tcBorders>
            <w:shd w:val="clear" w:color="auto" w:fill="auto"/>
            <w:vAlign w:val="center"/>
            <w:hideMark/>
          </w:tcPr>
          <w:p w14:paraId="3D71EE68"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7.5</w:t>
            </w:r>
          </w:p>
        </w:tc>
        <w:tc>
          <w:tcPr>
            <w:tcW w:w="992" w:type="dxa"/>
            <w:vMerge/>
            <w:tcBorders>
              <w:top w:val="nil"/>
              <w:left w:val="nil"/>
            </w:tcBorders>
            <w:vAlign w:val="center"/>
            <w:hideMark/>
          </w:tcPr>
          <w:p w14:paraId="56D3F342" w14:textId="77777777" w:rsidR="00C36010" w:rsidRPr="00D24B93" w:rsidRDefault="00C36010" w:rsidP="00966E61">
            <w:pPr>
              <w:spacing w:before="0" w:line="240" w:lineRule="auto"/>
              <w:rPr>
                <w:rFonts w:eastAsia="Times New Roman"/>
                <w:sz w:val="20"/>
                <w:szCs w:val="20"/>
              </w:rPr>
            </w:pPr>
          </w:p>
        </w:tc>
      </w:tr>
      <w:tr w:rsidR="00C36010" w:rsidRPr="00D24B93" w14:paraId="00D30475" w14:textId="77777777" w:rsidTr="00D24B93">
        <w:trPr>
          <w:trHeight w:val="300"/>
        </w:trPr>
        <w:tc>
          <w:tcPr>
            <w:tcW w:w="3119" w:type="dxa"/>
            <w:vMerge/>
            <w:tcBorders>
              <w:top w:val="nil"/>
            </w:tcBorders>
            <w:vAlign w:val="center"/>
            <w:hideMark/>
          </w:tcPr>
          <w:p w14:paraId="456A81D0"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2202F49C"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EBRT &amp; ADT</w:t>
            </w:r>
          </w:p>
        </w:tc>
        <w:tc>
          <w:tcPr>
            <w:tcW w:w="992" w:type="dxa"/>
            <w:tcBorders>
              <w:top w:val="nil"/>
            </w:tcBorders>
            <w:shd w:val="clear" w:color="auto" w:fill="auto"/>
            <w:vAlign w:val="center"/>
            <w:hideMark/>
          </w:tcPr>
          <w:p w14:paraId="666EDBA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7,337</w:t>
            </w:r>
          </w:p>
        </w:tc>
        <w:tc>
          <w:tcPr>
            <w:tcW w:w="851" w:type="dxa"/>
            <w:tcBorders>
              <w:top w:val="nil"/>
            </w:tcBorders>
            <w:shd w:val="clear" w:color="auto" w:fill="auto"/>
            <w:vAlign w:val="center"/>
            <w:hideMark/>
          </w:tcPr>
          <w:p w14:paraId="45EDDE2D"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25</w:t>
            </w:r>
          </w:p>
        </w:tc>
        <w:tc>
          <w:tcPr>
            <w:tcW w:w="992" w:type="dxa"/>
            <w:vMerge/>
            <w:tcBorders>
              <w:top w:val="nil"/>
              <w:left w:val="nil"/>
            </w:tcBorders>
            <w:vAlign w:val="center"/>
            <w:hideMark/>
          </w:tcPr>
          <w:p w14:paraId="517140E2" w14:textId="77777777" w:rsidR="00C36010" w:rsidRPr="00D24B93" w:rsidRDefault="00C36010" w:rsidP="00966E61">
            <w:pPr>
              <w:spacing w:before="0" w:line="240" w:lineRule="auto"/>
              <w:rPr>
                <w:rFonts w:eastAsia="Times New Roman"/>
                <w:sz w:val="20"/>
                <w:szCs w:val="20"/>
              </w:rPr>
            </w:pPr>
          </w:p>
        </w:tc>
      </w:tr>
      <w:tr w:rsidR="00C36010" w:rsidRPr="00D24B93" w14:paraId="493E3778" w14:textId="77777777" w:rsidTr="00D24B93">
        <w:trPr>
          <w:trHeight w:val="300"/>
        </w:trPr>
        <w:tc>
          <w:tcPr>
            <w:tcW w:w="3119" w:type="dxa"/>
            <w:vMerge/>
            <w:tcBorders>
              <w:top w:val="nil"/>
            </w:tcBorders>
            <w:vAlign w:val="center"/>
            <w:hideMark/>
          </w:tcPr>
          <w:p w14:paraId="3A5EB4A0"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5E4439D6"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Surgery &amp; EBRT/ADT</w:t>
            </w:r>
          </w:p>
        </w:tc>
        <w:tc>
          <w:tcPr>
            <w:tcW w:w="992" w:type="dxa"/>
            <w:tcBorders>
              <w:top w:val="nil"/>
            </w:tcBorders>
            <w:shd w:val="clear" w:color="auto" w:fill="auto"/>
            <w:vAlign w:val="center"/>
            <w:hideMark/>
          </w:tcPr>
          <w:p w14:paraId="7A6BB8A1"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2,279</w:t>
            </w:r>
          </w:p>
        </w:tc>
        <w:tc>
          <w:tcPr>
            <w:tcW w:w="851" w:type="dxa"/>
            <w:tcBorders>
              <w:top w:val="nil"/>
            </w:tcBorders>
            <w:shd w:val="clear" w:color="auto" w:fill="auto"/>
            <w:vAlign w:val="center"/>
            <w:hideMark/>
          </w:tcPr>
          <w:p w14:paraId="1196FC4A"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7.8</w:t>
            </w:r>
          </w:p>
        </w:tc>
        <w:tc>
          <w:tcPr>
            <w:tcW w:w="992" w:type="dxa"/>
            <w:vMerge/>
            <w:tcBorders>
              <w:top w:val="nil"/>
              <w:left w:val="nil"/>
            </w:tcBorders>
            <w:vAlign w:val="center"/>
            <w:hideMark/>
          </w:tcPr>
          <w:p w14:paraId="685969D6" w14:textId="77777777" w:rsidR="00C36010" w:rsidRPr="00D24B93" w:rsidRDefault="00C36010" w:rsidP="00966E61">
            <w:pPr>
              <w:spacing w:before="0" w:line="240" w:lineRule="auto"/>
              <w:rPr>
                <w:rFonts w:eastAsia="Times New Roman"/>
                <w:sz w:val="20"/>
                <w:szCs w:val="20"/>
              </w:rPr>
            </w:pPr>
          </w:p>
        </w:tc>
      </w:tr>
      <w:tr w:rsidR="00C36010" w:rsidRPr="00D24B93" w14:paraId="2448BF42" w14:textId="77777777" w:rsidTr="00D24B93">
        <w:trPr>
          <w:trHeight w:val="300"/>
        </w:trPr>
        <w:tc>
          <w:tcPr>
            <w:tcW w:w="3119" w:type="dxa"/>
            <w:vMerge/>
            <w:tcBorders>
              <w:top w:val="nil"/>
            </w:tcBorders>
            <w:vAlign w:val="center"/>
            <w:hideMark/>
          </w:tcPr>
          <w:p w14:paraId="72E2D2AE" w14:textId="77777777" w:rsidR="00C36010" w:rsidRPr="00D24B93" w:rsidRDefault="00C36010" w:rsidP="00966E61">
            <w:pPr>
              <w:spacing w:before="0" w:line="240" w:lineRule="auto"/>
              <w:rPr>
                <w:rFonts w:eastAsia="Times New Roman"/>
                <w:b/>
                <w:bCs/>
                <w:sz w:val="20"/>
                <w:szCs w:val="20"/>
              </w:rPr>
            </w:pPr>
          </w:p>
        </w:tc>
        <w:tc>
          <w:tcPr>
            <w:tcW w:w="2126" w:type="dxa"/>
            <w:tcBorders>
              <w:top w:val="nil"/>
            </w:tcBorders>
            <w:shd w:val="clear" w:color="auto" w:fill="auto"/>
            <w:vAlign w:val="center"/>
            <w:hideMark/>
          </w:tcPr>
          <w:p w14:paraId="02B9401F"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ADT &amp; systemic</w:t>
            </w:r>
          </w:p>
        </w:tc>
        <w:tc>
          <w:tcPr>
            <w:tcW w:w="992" w:type="dxa"/>
            <w:tcBorders>
              <w:top w:val="nil"/>
            </w:tcBorders>
            <w:shd w:val="clear" w:color="auto" w:fill="auto"/>
            <w:vAlign w:val="center"/>
            <w:hideMark/>
          </w:tcPr>
          <w:p w14:paraId="17DD8FC0"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609</w:t>
            </w:r>
          </w:p>
        </w:tc>
        <w:tc>
          <w:tcPr>
            <w:tcW w:w="851" w:type="dxa"/>
            <w:tcBorders>
              <w:top w:val="nil"/>
            </w:tcBorders>
            <w:shd w:val="clear" w:color="auto" w:fill="auto"/>
            <w:vAlign w:val="center"/>
            <w:hideMark/>
          </w:tcPr>
          <w:p w14:paraId="29E06BDB"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2.1</w:t>
            </w:r>
          </w:p>
        </w:tc>
        <w:tc>
          <w:tcPr>
            <w:tcW w:w="992" w:type="dxa"/>
            <w:vMerge/>
            <w:tcBorders>
              <w:top w:val="nil"/>
              <w:left w:val="nil"/>
            </w:tcBorders>
            <w:vAlign w:val="center"/>
            <w:hideMark/>
          </w:tcPr>
          <w:p w14:paraId="21967665" w14:textId="77777777" w:rsidR="00C36010" w:rsidRPr="00D24B93" w:rsidRDefault="00C36010" w:rsidP="00966E61">
            <w:pPr>
              <w:spacing w:before="0" w:line="240" w:lineRule="auto"/>
              <w:rPr>
                <w:rFonts w:eastAsia="Times New Roman"/>
                <w:sz w:val="20"/>
                <w:szCs w:val="20"/>
              </w:rPr>
            </w:pPr>
          </w:p>
        </w:tc>
      </w:tr>
      <w:tr w:rsidR="00C36010" w:rsidRPr="00D24B93" w14:paraId="4FA5A774" w14:textId="77777777" w:rsidTr="00D01A6C">
        <w:trPr>
          <w:trHeight w:val="300"/>
        </w:trPr>
        <w:tc>
          <w:tcPr>
            <w:tcW w:w="3119" w:type="dxa"/>
            <w:vMerge/>
            <w:tcBorders>
              <w:top w:val="nil"/>
              <w:bottom w:val="single" w:sz="4" w:space="0" w:color="auto"/>
            </w:tcBorders>
            <w:vAlign w:val="center"/>
            <w:hideMark/>
          </w:tcPr>
          <w:p w14:paraId="15DE1428" w14:textId="77777777" w:rsidR="00C36010" w:rsidRPr="00D24B93" w:rsidRDefault="00C36010" w:rsidP="00966E61">
            <w:pPr>
              <w:spacing w:before="0" w:line="240" w:lineRule="auto"/>
              <w:rPr>
                <w:rFonts w:eastAsia="Times New Roman"/>
                <w:b/>
                <w:bCs/>
                <w:sz w:val="20"/>
                <w:szCs w:val="20"/>
              </w:rPr>
            </w:pPr>
          </w:p>
        </w:tc>
        <w:tc>
          <w:tcPr>
            <w:tcW w:w="2126" w:type="dxa"/>
            <w:tcBorders>
              <w:top w:val="nil"/>
              <w:bottom w:val="single" w:sz="4" w:space="0" w:color="auto"/>
            </w:tcBorders>
            <w:shd w:val="clear" w:color="auto" w:fill="auto"/>
            <w:vAlign w:val="center"/>
            <w:hideMark/>
          </w:tcPr>
          <w:p w14:paraId="03B7F975"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EBRT &amp; systemic</w:t>
            </w:r>
          </w:p>
        </w:tc>
        <w:tc>
          <w:tcPr>
            <w:tcW w:w="992" w:type="dxa"/>
            <w:tcBorders>
              <w:top w:val="nil"/>
              <w:bottom w:val="single" w:sz="4" w:space="0" w:color="auto"/>
            </w:tcBorders>
            <w:shd w:val="clear" w:color="auto" w:fill="auto"/>
            <w:vAlign w:val="center"/>
            <w:hideMark/>
          </w:tcPr>
          <w:p w14:paraId="43E9B673"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505</w:t>
            </w:r>
          </w:p>
        </w:tc>
        <w:tc>
          <w:tcPr>
            <w:tcW w:w="851" w:type="dxa"/>
            <w:tcBorders>
              <w:top w:val="nil"/>
              <w:bottom w:val="single" w:sz="4" w:space="0" w:color="auto"/>
            </w:tcBorders>
            <w:shd w:val="clear" w:color="auto" w:fill="auto"/>
            <w:vAlign w:val="center"/>
            <w:hideMark/>
          </w:tcPr>
          <w:p w14:paraId="78093569" w14:textId="77777777" w:rsidR="00C36010" w:rsidRPr="00D24B93" w:rsidRDefault="00C36010" w:rsidP="00966E61">
            <w:pPr>
              <w:spacing w:before="0" w:line="240" w:lineRule="auto"/>
              <w:jc w:val="right"/>
              <w:rPr>
                <w:rFonts w:eastAsia="Times New Roman"/>
                <w:sz w:val="20"/>
                <w:szCs w:val="20"/>
              </w:rPr>
            </w:pPr>
            <w:r w:rsidRPr="00D24B93">
              <w:rPr>
                <w:rFonts w:eastAsia="Times New Roman"/>
                <w:sz w:val="20"/>
                <w:szCs w:val="20"/>
              </w:rPr>
              <w:t>1.7</w:t>
            </w:r>
          </w:p>
        </w:tc>
        <w:tc>
          <w:tcPr>
            <w:tcW w:w="992" w:type="dxa"/>
            <w:vMerge/>
            <w:tcBorders>
              <w:top w:val="nil"/>
              <w:left w:val="nil"/>
              <w:bottom w:val="single" w:sz="4" w:space="0" w:color="auto"/>
            </w:tcBorders>
            <w:vAlign w:val="center"/>
            <w:hideMark/>
          </w:tcPr>
          <w:p w14:paraId="145302F8" w14:textId="77777777" w:rsidR="00C36010" w:rsidRPr="00D24B93" w:rsidRDefault="00C36010" w:rsidP="00966E61">
            <w:pPr>
              <w:spacing w:before="0" w:line="240" w:lineRule="auto"/>
              <w:rPr>
                <w:rFonts w:eastAsia="Times New Roman"/>
                <w:sz w:val="20"/>
                <w:szCs w:val="20"/>
              </w:rPr>
            </w:pPr>
          </w:p>
        </w:tc>
      </w:tr>
      <w:tr w:rsidR="00C36010" w:rsidRPr="00D24B93" w14:paraId="022E9641" w14:textId="77777777" w:rsidTr="00D01A6C">
        <w:trPr>
          <w:trHeight w:val="300"/>
        </w:trPr>
        <w:tc>
          <w:tcPr>
            <w:tcW w:w="3119" w:type="dxa"/>
            <w:tcBorders>
              <w:top w:val="single" w:sz="4" w:space="0" w:color="auto"/>
              <w:left w:val="nil"/>
              <w:bottom w:val="nil"/>
              <w:right w:val="nil"/>
            </w:tcBorders>
            <w:shd w:val="clear" w:color="auto" w:fill="auto"/>
            <w:noWrap/>
            <w:vAlign w:val="center"/>
            <w:hideMark/>
          </w:tcPr>
          <w:p w14:paraId="2115F24C" w14:textId="77777777" w:rsidR="00C36010" w:rsidRPr="00D24B93" w:rsidRDefault="00C36010" w:rsidP="00966E61">
            <w:pPr>
              <w:spacing w:before="0" w:line="240" w:lineRule="auto"/>
              <w:jc w:val="right"/>
              <w:rPr>
                <w:rFonts w:eastAsia="Times New Roman"/>
                <w:sz w:val="20"/>
                <w:szCs w:val="20"/>
              </w:rPr>
            </w:pPr>
          </w:p>
        </w:tc>
        <w:tc>
          <w:tcPr>
            <w:tcW w:w="2126" w:type="dxa"/>
            <w:tcBorders>
              <w:top w:val="single" w:sz="4" w:space="0" w:color="auto"/>
              <w:left w:val="nil"/>
              <w:bottom w:val="nil"/>
              <w:right w:val="nil"/>
            </w:tcBorders>
            <w:shd w:val="clear" w:color="auto" w:fill="auto"/>
            <w:noWrap/>
            <w:vAlign w:val="bottom"/>
            <w:hideMark/>
          </w:tcPr>
          <w:p w14:paraId="61FD0953" w14:textId="77777777" w:rsidR="00C36010" w:rsidRPr="00D24B93" w:rsidRDefault="00C36010" w:rsidP="00966E61">
            <w:pPr>
              <w:spacing w:before="0" w:line="240" w:lineRule="auto"/>
              <w:ind w:firstLineChars="200" w:firstLine="400"/>
              <w:rPr>
                <w:rFonts w:eastAsia="Times New Roman"/>
                <w:sz w:val="20"/>
                <w:szCs w:val="20"/>
              </w:rPr>
            </w:pPr>
          </w:p>
        </w:tc>
        <w:tc>
          <w:tcPr>
            <w:tcW w:w="992" w:type="dxa"/>
            <w:tcBorders>
              <w:top w:val="single" w:sz="4" w:space="0" w:color="auto"/>
              <w:left w:val="nil"/>
              <w:bottom w:val="nil"/>
              <w:right w:val="nil"/>
            </w:tcBorders>
            <w:shd w:val="clear" w:color="auto" w:fill="auto"/>
            <w:noWrap/>
            <w:vAlign w:val="bottom"/>
            <w:hideMark/>
          </w:tcPr>
          <w:p w14:paraId="435BAC70" w14:textId="77777777" w:rsidR="00C36010" w:rsidRPr="00D24B93" w:rsidRDefault="00C36010" w:rsidP="00966E61">
            <w:pPr>
              <w:spacing w:before="0" w:line="240" w:lineRule="auto"/>
              <w:rPr>
                <w:rFonts w:eastAsia="Times New Roman"/>
                <w:sz w:val="20"/>
                <w:szCs w:val="20"/>
              </w:rPr>
            </w:pPr>
          </w:p>
        </w:tc>
        <w:tc>
          <w:tcPr>
            <w:tcW w:w="851" w:type="dxa"/>
            <w:tcBorders>
              <w:top w:val="single" w:sz="4" w:space="0" w:color="auto"/>
              <w:left w:val="nil"/>
              <w:bottom w:val="nil"/>
              <w:right w:val="nil"/>
            </w:tcBorders>
            <w:shd w:val="clear" w:color="auto" w:fill="auto"/>
            <w:noWrap/>
            <w:vAlign w:val="bottom"/>
            <w:hideMark/>
          </w:tcPr>
          <w:p w14:paraId="2EF3251F" w14:textId="77777777" w:rsidR="00C36010" w:rsidRPr="00D24B93" w:rsidRDefault="00C36010" w:rsidP="00966E61">
            <w:pPr>
              <w:spacing w:before="0" w:line="240" w:lineRule="auto"/>
              <w:rPr>
                <w:rFonts w:eastAsia="Times New Roman"/>
                <w:sz w:val="20"/>
                <w:szCs w:val="20"/>
              </w:rPr>
            </w:pPr>
          </w:p>
        </w:tc>
        <w:tc>
          <w:tcPr>
            <w:tcW w:w="992" w:type="dxa"/>
            <w:tcBorders>
              <w:top w:val="single" w:sz="4" w:space="0" w:color="auto"/>
              <w:left w:val="nil"/>
              <w:bottom w:val="nil"/>
              <w:right w:val="nil"/>
            </w:tcBorders>
            <w:shd w:val="clear" w:color="auto" w:fill="auto"/>
            <w:noWrap/>
            <w:vAlign w:val="bottom"/>
            <w:hideMark/>
          </w:tcPr>
          <w:p w14:paraId="40E3E756" w14:textId="77777777" w:rsidR="00C36010" w:rsidRPr="00D24B93" w:rsidRDefault="00C36010" w:rsidP="00966E61">
            <w:pPr>
              <w:spacing w:before="0" w:line="240" w:lineRule="auto"/>
              <w:rPr>
                <w:rFonts w:eastAsia="Times New Roman"/>
                <w:sz w:val="20"/>
                <w:szCs w:val="20"/>
              </w:rPr>
            </w:pPr>
          </w:p>
        </w:tc>
      </w:tr>
      <w:tr w:rsidR="00C36010" w:rsidRPr="00D24B93" w14:paraId="49C29463" w14:textId="77777777" w:rsidTr="00D24B93">
        <w:trPr>
          <w:trHeight w:val="720"/>
        </w:trPr>
        <w:tc>
          <w:tcPr>
            <w:tcW w:w="8080" w:type="dxa"/>
            <w:gridSpan w:val="5"/>
            <w:tcBorders>
              <w:top w:val="nil"/>
              <w:left w:val="nil"/>
              <w:bottom w:val="nil"/>
              <w:right w:val="nil"/>
            </w:tcBorders>
            <w:shd w:val="clear" w:color="auto" w:fill="auto"/>
            <w:vAlign w:val="center"/>
            <w:hideMark/>
          </w:tcPr>
          <w:p w14:paraId="5046DE14" w14:textId="236D697B" w:rsidR="00C36010" w:rsidRPr="00D24B93" w:rsidRDefault="00C36010" w:rsidP="00D8294D">
            <w:pPr>
              <w:spacing w:before="0" w:line="240" w:lineRule="auto"/>
              <w:rPr>
                <w:rFonts w:eastAsia="Times New Roman"/>
                <w:b/>
                <w:bCs/>
                <w:sz w:val="20"/>
                <w:szCs w:val="20"/>
              </w:rPr>
            </w:pPr>
            <w:r w:rsidRPr="00D24B93">
              <w:rPr>
                <w:rFonts w:eastAsia="Times New Roman"/>
                <w:b/>
                <w:bCs/>
                <w:sz w:val="20"/>
                <w:szCs w:val="20"/>
              </w:rPr>
              <w:t>Key</w:t>
            </w:r>
            <w:r w:rsidRPr="00D24B93">
              <w:rPr>
                <w:rFonts w:eastAsia="Times New Roman"/>
                <w:sz w:val="20"/>
                <w:szCs w:val="20"/>
              </w:rPr>
              <w:t>: SD-16: Social Distress scale. EBRT: External beam radiotherapy. ADT: Androgen deprivation therapy. Systemic (chemotherapy/Abiraterone/Enzalutamide</w:t>
            </w:r>
            <w:r w:rsidRPr="00A9635B">
              <w:rPr>
                <w:rFonts w:eastAsia="Times New Roman"/>
                <w:color w:val="auto"/>
                <w:sz w:val="20"/>
                <w:szCs w:val="20"/>
              </w:rPr>
              <w:t xml:space="preserve">). </w:t>
            </w:r>
            <w:r w:rsidR="00502E32" w:rsidRPr="00A9635B">
              <w:rPr>
                <w:rFonts w:eastAsia="Times New Roman"/>
                <w:color w:val="auto"/>
                <w:sz w:val="20"/>
                <w:szCs w:val="20"/>
              </w:rPr>
              <w:t>Long term conditions</w:t>
            </w:r>
            <w:r w:rsidR="006F7FE6" w:rsidRPr="00A9635B">
              <w:rPr>
                <w:rFonts w:eastAsia="Times New Roman"/>
                <w:color w:val="auto"/>
                <w:sz w:val="20"/>
                <w:szCs w:val="20"/>
              </w:rPr>
              <w:t xml:space="preserve"> reported were counted from a list of 14 and categorised into one of </w:t>
            </w:r>
            <w:r w:rsidR="00D8294D" w:rsidRPr="00A9635B">
              <w:rPr>
                <w:rFonts w:eastAsia="Times New Roman"/>
                <w:color w:val="auto"/>
                <w:sz w:val="20"/>
                <w:szCs w:val="20"/>
              </w:rPr>
              <w:t xml:space="preserve">the four groups (0, 1, 2, </w:t>
            </w:r>
            <w:r w:rsidR="00D8294D" w:rsidRPr="00A9635B">
              <w:rPr>
                <w:rFonts w:eastAsia="Times New Roman"/>
                <w:color w:val="auto"/>
                <w:sz w:val="22"/>
                <w:szCs w:val="22"/>
              </w:rPr>
              <w:t>≥3</w:t>
            </w:r>
            <w:r w:rsidR="006F7FE6" w:rsidRPr="00A9635B">
              <w:rPr>
                <w:rFonts w:eastAsia="Times New Roman"/>
                <w:color w:val="auto"/>
                <w:sz w:val="20"/>
                <w:szCs w:val="20"/>
              </w:rPr>
              <w:t>).</w:t>
            </w:r>
          </w:p>
        </w:tc>
      </w:tr>
    </w:tbl>
    <w:p w14:paraId="48C372C1" w14:textId="77777777" w:rsidR="00C36010" w:rsidRPr="00D24B93" w:rsidRDefault="00C36010" w:rsidP="00C36010">
      <w:pPr>
        <w:rPr>
          <w:sz w:val="20"/>
          <w:szCs w:val="20"/>
        </w:rPr>
      </w:pPr>
    </w:p>
    <w:p w14:paraId="743AD087" w14:textId="0DC8FDA4" w:rsidR="00AE6DF1" w:rsidRDefault="00AE6DF1">
      <w:pPr>
        <w:pBdr>
          <w:top w:val="none" w:sz="0" w:space="0" w:color="auto"/>
          <w:left w:val="none" w:sz="0" w:space="0" w:color="auto"/>
          <w:bottom w:val="none" w:sz="0" w:space="0" w:color="auto"/>
          <w:right w:val="none" w:sz="0" w:space="0" w:color="auto"/>
          <w:between w:val="none" w:sz="0" w:space="0" w:color="auto"/>
        </w:pBdr>
        <w:spacing w:before="0" w:after="200"/>
        <w:rPr>
          <w:b/>
          <w:noProof/>
          <w:sz w:val="22"/>
          <w:szCs w:val="22"/>
        </w:rPr>
      </w:pPr>
      <w:r>
        <w:rPr>
          <w:b/>
          <w:noProof/>
          <w:sz w:val="22"/>
          <w:szCs w:val="22"/>
        </w:rPr>
        <w:br w:type="page"/>
      </w:r>
    </w:p>
    <w:tbl>
      <w:tblPr>
        <w:tblW w:w="10160" w:type="dxa"/>
        <w:tblLayout w:type="fixed"/>
        <w:tblLook w:val="04A0" w:firstRow="1" w:lastRow="0" w:firstColumn="1" w:lastColumn="0" w:noHBand="0" w:noVBand="1"/>
      </w:tblPr>
      <w:tblGrid>
        <w:gridCol w:w="3708"/>
        <w:gridCol w:w="2835"/>
        <w:gridCol w:w="1047"/>
        <w:gridCol w:w="1047"/>
        <w:gridCol w:w="1051"/>
        <w:gridCol w:w="85"/>
        <w:gridCol w:w="151"/>
        <w:gridCol w:w="236"/>
      </w:tblGrid>
      <w:tr w:rsidR="00AE6DF1" w:rsidRPr="00104D36" w14:paraId="6CA25C3A" w14:textId="77777777" w:rsidTr="00AE6DF1">
        <w:trPr>
          <w:gridAfter w:val="2"/>
          <w:wAfter w:w="387" w:type="dxa"/>
          <w:trHeight w:val="315"/>
        </w:trPr>
        <w:tc>
          <w:tcPr>
            <w:tcW w:w="9773" w:type="dxa"/>
            <w:gridSpan w:val="6"/>
            <w:tcBorders>
              <w:top w:val="nil"/>
              <w:left w:val="nil"/>
              <w:bottom w:val="nil"/>
              <w:right w:val="nil"/>
            </w:tcBorders>
            <w:shd w:val="clear" w:color="auto" w:fill="auto"/>
            <w:noWrap/>
            <w:vAlign w:val="center"/>
            <w:hideMark/>
          </w:tcPr>
          <w:p w14:paraId="4901FF0C" w14:textId="77777777" w:rsidR="00AE6DF1" w:rsidRPr="00AE6DF1" w:rsidRDefault="00AE6DF1" w:rsidP="00966E61">
            <w:pPr>
              <w:spacing w:before="0" w:line="240" w:lineRule="auto"/>
              <w:rPr>
                <w:rFonts w:eastAsia="Times New Roman"/>
                <w:b/>
                <w:bCs/>
                <w:sz w:val="20"/>
                <w:szCs w:val="20"/>
              </w:rPr>
            </w:pPr>
            <w:r w:rsidRPr="00AE6DF1">
              <w:rPr>
                <w:rFonts w:eastAsia="Times New Roman"/>
                <w:b/>
                <w:bCs/>
                <w:sz w:val="20"/>
                <w:szCs w:val="20"/>
              </w:rPr>
              <w:lastRenderedPageBreak/>
              <w:t>Table 2  Proportion of respondents who scored ≥10 on SD-16 by characteristics</w:t>
            </w:r>
          </w:p>
        </w:tc>
      </w:tr>
      <w:tr w:rsidR="00AE6DF1" w:rsidRPr="00104D36" w14:paraId="070684E4" w14:textId="77777777" w:rsidTr="00AE6DF1">
        <w:trPr>
          <w:gridAfter w:val="3"/>
          <w:wAfter w:w="472" w:type="dxa"/>
          <w:trHeight w:val="315"/>
        </w:trPr>
        <w:tc>
          <w:tcPr>
            <w:tcW w:w="3708" w:type="dxa"/>
            <w:tcBorders>
              <w:top w:val="single" w:sz="4" w:space="0" w:color="auto"/>
              <w:left w:val="nil"/>
              <w:bottom w:val="nil"/>
              <w:right w:val="nil"/>
            </w:tcBorders>
            <w:shd w:val="clear" w:color="auto" w:fill="auto"/>
            <w:noWrap/>
            <w:vAlign w:val="center"/>
            <w:hideMark/>
          </w:tcPr>
          <w:p w14:paraId="2BB91A5A" w14:textId="77777777" w:rsidR="00AE6DF1" w:rsidRPr="00AE6DF1" w:rsidRDefault="00AE6DF1" w:rsidP="00966E61">
            <w:pPr>
              <w:spacing w:before="0" w:line="240" w:lineRule="auto"/>
              <w:rPr>
                <w:rFonts w:eastAsia="Times New Roman"/>
                <w:b/>
                <w:bCs/>
                <w:sz w:val="20"/>
                <w:szCs w:val="20"/>
              </w:rPr>
            </w:pPr>
          </w:p>
        </w:tc>
        <w:tc>
          <w:tcPr>
            <w:tcW w:w="2835" w:type="dxa"/>
            <w:tcBorders>
              <w:top w:val="single" w:sz="4" w:space="0" w:color="auto"/>
              <w:left w:val="nil"/>
              <w:bottom w:val="nil"/>
              <w:right w:val="nil"/>
            </w:tcBorders>
            <w:shd w:val="clear" w:color="auto" w:fill="auto"/>
            <w:noWrap/>
            <w:vAlign w:val="bottom"/>
            <w:hideMark/>
          </w:tcPr>
          <w:p w14:paraId="7734BD24" w14:textId="77777777" w:rsidR="00AE6DF1" w:rsidRPr="00AE6DF1" w:rsidRDefault="00AE6DF1" w:rsidP="00966E61">
            <w:pPr>
              <w:spacing w:before="0" w:line="240" w:lineRule="auto"/>
              <w:rPr>
                <w:rFonts w:eastAsia="Times New Roman"/>
                <w:sz w:val="20"/>
                <w:szCs w:val="20"/>
              </w:rPr>
            </w:pPr>
          </w:p>
        </w:tc>
        <w:tc>
          <w:tcPr>
            <w:tcW w:w="1047" w:type="dxa"/>
            <w:tcBorders>
              <w:top w:val="single" w:sz="4" w:space="0" w:color="auto"/>
              <w:left w:val="nil"/>
              <w:bottom w:val="nil"/>
              <w:right w:val="nil"/>
            </w:tcBorders>
            <w:shd w:val="clear" w:color="auto" w:fill="auto"/>
            <w:noWrap/>
            <w:vAlign w:val="bottom"/>
            <w:hideMark/>
          </w:tcPr>
          <w:p w14:paraId="3D491519" w14:textId="77777777" w:rsidR="00AE6DF1" w:rsidRPr="00AE6DF1" w:rsidRDefault="00AE6DF1" w:rsidP="00966E61">
            <w:pPr>
              <w:spacing w:before="0" w:line="240" w:lineRule="auto"/>
              <w:rPr>
                <w:rFonts w:eastAsia="Times New Roman"/>
                <w:sz w:val="20"/>
                <w:szCs w:val="20"/>
              </w:rPr>
            </w:pPr>
          </w:p>
        </w:tc>
        <w:tc>
          <w:tcPr>
            <w:tcW w:w="1047" w:type="dxa"/>
            <w:tcBorders>
              <w:top w:val="single" w:sz="4" w:space="0" w:color="auto"/>
              <w:left w:val="nil"/>
              <w:bottom w:val="nil"/>
              <w:right w:val="nil"/>
            </w:tcBorders>
            <w:shd w:val="clear" w:color="auto" w:fill="auto"/>
            <w:noWrap/>
            <w:vAlign w:val="bottom"/>
            <w:hideMark/>
          </w:tcPr>
          <w:p w14:paraId="37BB4636" w14:textId="77777777" w:rsidR="00AE6DF1" w:rsidRPr="00AE6DF1" w:rsidRDefault="00AE6DF1" w:rsidP="00966E61">
            <w:pPr>
              <w:spacing w:before="0" w:line="240" w:lineRule="auto"/>
              <w:rPr>
                <w:rFonts w:eastAsia="Times New Roman"/>
                <w:sz w:val="20"/>
                <w:szCs w:val="20"/>
              </w:rPr>
            </w:pPr>
          </w:p>
        </w:tc>
        <w:tc>
          <w:tcPr>
            <w:tcW w:w="1051" w:type="dxa"/>
            <w:tcBorders>
              <w:top w:val="single" w:sz="4" w:space="0" w:color="auto"/>
              <w:left w:val="nil"/>
              <w:bottom w:val="nil"/>
              <w:right w:val="nil"/>
            </w:tcBorders>
            <w:shd w:val="clear" w:color="auto" w:fill="auto"/>
            <w:noWrap/>
            <w:vAlign w:val="bottom"/>
            <w:hideMark/>
          </w:tcPr>
          <w:p w14:paraId="26814F33" w14:textId="77777777" w:rsidR="00AE6DF1" w:rsidRPr="00AE6DF1" w:rsidRDefault="00AE6DF1" w:rsidP="00966E61">
            <w:pPr>
              <w:spacing w:before="0" w:line="240" w:lineRule="auto"/>
              <w:rPr>
                <w:rFonts w:eastAsia="Times New Roman"/>
                <w:sz w:val="20"/>
                <w:szCs w:val="20"/>
              </w:rPr>
            </w:pPr>
          </w:p>
        </w:tc>
      </w:tr>
      <w:tr w:rsidR="00AE6DF1" w:rsidRPr="00104D36" w14:paraId="01E0BAE2" w14:textId="77777777" w:rsidTr="00AE6DF1">
        <w:trPr>
          <w:gridAfter w:val="3"/>
          <w:wAfter w:w="472" w:type="dxa"/>
          <w:trHeight w:val="600"/>
        </w:trPr>
        <w:tc>
          <w:tcPr>
            <w:tcW w:w="6543" w:type="dxa"/>
            <w:gridSpan w:val="2"/>
            <w:vMerge w:val="restart"/>
            <w:shd w:val="clear" w:color="auto" w:fill="auto"/>
            <w:noWrap/>
            <w:vAlign w:val="center"/>
            <w:hideMark/>
          </w:tcPr>
          <w:p w14:paraId="2024C126" w14:textId="77777777" w:rsidR="00AE6DF1" w:rsidRPr="00AE6DF1" w:rsidRDefault="00AE6DF1" w:rsidP="00966E61">
            <w:pPr>
              <w:spacing w:before="0" w:line="240" w:lineRule="auto"/>
              <w:jc w:val="center"/>
              <w:rPr>
                <w:rFonts w:eastAsia="Times New Roman"/>
                <w:b/>
                <w:bCs/>
                <w:sz w:val="20"/>
                <w:szCs w:val="20"/>
              </w:rPr>
            </w:pPr>
            <w:r w:rsidRPr="00AE6DF1">
              <w:rPr>
                <w:rFonts w:eastAsia="Times New Roman"/>
                <w:b/>
                <w:bCs/>
                <w:sz w:val="20"/>
                <w:szCs w:val="20"/>
              </w:rPr>
              <w:t> </w:t>
            </w:r>
          </w:p>
        </w:tc>
        <w:tc>
          <w:tcPr>
            <w:tcW w:w="3145" w:type="dxa"/>
            <w:gridSpan w:val="3"/>
            <w:shd w:val="clear" w:color="auto" w:fill="auto"/>
            <w:vAlign w:val="center"/>
            <w:hideMark/>
          </w:tcPr>
          <w:p w14:paraId="3D1289A0" w14:textId="77777777" w:rsidR="00AE6DF1" w:rsidRPr="00AE6DF1" w:rsidRDefault="00AE6DF1" w:rsidP="00966E61">
            <w:pPr>
              <w:spacing w:before="0" w:line="240" w:lineRule="auto"/>
              <w:jc w:val="center"/>
              <w:rPr>
                <w:rFonts w:eastAsia="Times New Roman"/>
                <w:b/>
                <w:bCs/>
                <w:sz w:val="20"/>
                <w:szCs w:val="20"/>
              </w:rPr>
            </w:pPr>
            <w:r w:rsidRPr="00AE6DF1">
              <w:rPr>
                <w:rFonts w:eastAsia="Times New Roman"/>
                <w:b/>
                <w:bCs/>
                <w:sz w:val="20"/>
                <w:szCs w:val="20"/>
              </w:rPr>
              <w:t xml:space="preserve">UK men with  prostate cancer          </w:t>
            </w:r>
          </w:p>
        </w:tc>
      </w:tr>
      <w:tr w:rsidR="00AE6DF1" w:rsidRPr="00104D36" w14:paraId="09A46854" w14:textId="77777777" w:rsidTr="00AE6DF1">
        <w:trPr>
          <w:gridAfter w:val="3"/>
          <w:wAfter w:w="472" w:type="dxa"/>
          <w:trHeight w:val="300"/>
        </w:trPr>
        <w:tc>
          <w:tcPr>
            <w:tcW w:w="6543" w:type="dxa"/>
            <w:gridSpan w:val="2"/>
            <w:vMerge/>
            <w:tcBorders>
              <w:bottom w:val="single" w:sz="4" w:space="0" w:color="auto"/>
            </w:tcBorders>
            <w:vAlign w:val="center"/>
            <w:hideMark/>
          </w:tcPr>
          <w:p w14:paraId="256E15A5" w14:textId="77777777" w:rsidR="00AE6DF1" w:rsidRPr="00AE6DF1" w:rsidRDefault="00AE6DF1" w:rsidP="00966E61">
            <w:pPr>
              <w:spacing w:before="0" w:line="240" w:lineRule="auto"/>
              <w:rPr>
                <w:rFonts w:eastAsia="Times New Roman"/>
                <w:b/>
                <w:bCs/>
                <w:sz w:val="20"/>
                <w:szCs w:val="20"/>
              </w:rPr>
            </w:pPr>
          </w:p>
        </w:tc>
        <w:tc>
          <w:tcPr>
            <w:tcW w:w="3145" w:type="dxa"/>
            <w:gridSpan w:val="3"/>
            <w:tcBorders>
              <w:bottom w:val="single" w:sz="4" w:space="0" w:color="auto"/>
            </w:tcBorders>
            <w:shd w:val="clear" w:color="auto" w:fill="auto"/>
            <w:vAlign w:val="center"/>
            <w:hideMark/>
          </w:tcPr>
          <w:p w14:paraId="0B410E7F" w14:textId="77777777" w:rsidR="00AE6DF1" w:rsidRPr="00AE6DF1" w:rsidRDefault="00AE6DF1" w:rsidP="00966E61">
            <w:pPr>
              <w:spacing w:before="0" w:line="240" w:lineRule="auto"/>
              <w:jc w:val="center"/>
              <w:rPr>
                <w:rFonts w:eastAsia="Times New Roman"/>
                <w:b/>
                <w:bCs/>
                <w:sz w:val="20"/>
                <w:szCs w:val="20"/>
              </w:rPr>
            </w:pPr>
            <w:r w:rsidRPr="00AE6DF1">
              <w:rPr>
                <w:rFonts w:eastAsia="Times New Roman"/>
                <w:b/>
                <w:bCs/>
                <w:sz w:val="20"/>
                <w:szCs w:val="20"/>
              </w:rPr>
              <w:t>(N= 2,766)</w:t>
            </w:r>
          </w:p>
        </w:tc>
      </w:tr>
      <w:tr w:rsidR="00AE6DF1" w:rsidRPr="00104D36" w14:paraId="63D78301" w14:textId="77777777" w:rsidTr="00AE6DF1">
        <w:trPr>
          <w:gridAfter w:val="3"/>
          <w:wAfter w:w="472" w:type="dxa"/>
          <w:trHeight w:val="300"/>
        </w:trPr>
        <w:tc>
          <w:tcPr>
            <w:tcW w:w="6543" w:type="dxa"/>
            <w:gridSpan w:val="2"/>
            <w:tcBorders>
              <w:top w:val="single" w:sz="4" w:space="0" w:color="auto"/>
              <w:bottom w:val="single" w:sz="4" w:space="0" w:color="auto"/>
            </w:tcBorders>
            <w:shd w:val="clear" w:color="auto" w:fill="auto"/>
            <w:vAlign w:val="center"/>
            <w:hideMark/>
          </w:tcPr>
          <w:p w14:paraId="034326AD" w14:textId="77777777" w:rsidR="00AE6DF1" w:rsidRPr="00AE6DF1" w:rsidRDefault="00AE6DF1" w:rsidP="00966E61">
            <w:pPr>
              <w:spacing w:before="0" w:line="240" w:lineRule="auto"/>
              <w:rPr>
                <w:rFonts w:eastAsia="Times New Roman"/>
                <w:b/>
                <w:bCs/>
                <w:sz w:val="20"/>
                <w:szCs w:val="20"/>
              </w:rPr>
            </w:pPr>
            <w:r w:rsidRPr="00AE6DF1">
              <w:rPr>
                <w:rFonts w:eastAsia="Times New Roman"/>
                <w:b/>
                <w:bCs/>
                <w:sz w:val="20"/>
                <w:szCs w:val="20"/>
              </w:rPr>
              <w:t xml:space="preserve">                Characteristic</w:t>
            </w:r>
          </w:p>
        </w:tc>
        <w:tc>
          <w:tcPr>
            <w:tcW w:w="1047" w:type="dxa"/>
            <w:tcBorders>
              <w:top w:val="single" w:sz="4" w:space="0" w:color="auto"/>
              <w:bottom w:val="single" w:sz="4" w:space="0" w:color="auto"/>
            </w:tcBorders>
            <w:shd w:val="clear" w:color="auto" w:fill="auto"/>
            <w:vAlign w:val="center"/>
            <w:hideMark/>
          </w:tcPr>
          <w:p w14:paraId="422F6B40"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N</w:t>
            </w:r>
          </w:p>
        </w:tc>
        <w:tc>
          <w:tcPr>
            <w:tcW w:w="1047" w:type="dxa"/>
            <w:tcBorders>
              <w:top w:val="single" w:sz="4" w:space="0" w:color="auto"/>
              <w:bottom w:val="single" w:sz="4" w:space="0" w:color="auto"/>
            </w:tcBorders>
            <w:shd w:val="clear" w:color="auto" w:fill="auto"/>
            <w:vAlign w:val="center"/>
            <w:hideMark/>
          </w:tcPr>
          <w:p w14:paraId="30325D21"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w:t>
            </w:r>
          </w:p>
        </w:tc>
        <w:tc>
          <w:tcPr>
            <w:tcW w:w="1051" w:type="dxa"/>
            <w:tcBorders>
              <w:top w:val="single" w:sz="4" w:space="0" w:color="auto"/>
              <w:bottom w:val="single" w:sz="4" w:space="0" w:color="auto"/>
            </w:tcBorders>
            <w:shd w:val="clear" w:color="auto" w:fill="auto"/>
            <w:vAlign w:val="center"/>
            <w:hideMark/>
          </w:tcPr>
          <w:p w14:paraId="172B9488" w14:textId="77777777" w:rsidR="00AE6DF1" w:rsidRPr="00AE6DF1" w:rsidRDefault="00AE6DF1" w:rsidP="00966E61">
            <w:pPr>
              <w:spacing w:before="0" w:line="240" w:lineRule="auto"/>
              <w:jc w:val="center"/>
              <w:rPr>
                <w:rFonts w:eastAsia="Times New Roman"/>
                <w:b/>
                <w:bCs/>
                <w:sz w:val="20"/>
                <w:szCs w:val="20"/>
              </w:rPr>
            </w:pPr>
            <w:r w:rsidRPr="00AE6DF1">
              <w:rPr>
                <w:rFonts w:eastAsia="Times New Roman"/>
                <w:b/>
                <w:bCs/>
                <w:sz w:val="20"/>
                <w:szCs w:val="20"/>
              </w:rPr>
              <w:t>p</w:t>
            </w:r>
          </w:p>
        </w:tc>
      </w:tr>
      <w:tr w:rsidR="00AE6DF1" w:rsidRPr="00104D36" w14:paraId="73D47285" w14:textId="77777777" w:rsidTr="00AE6DF1">
        <w:trPr>
          <w:gridAfter w:val="3"/>
          <w:wAfter w:w="472" w:type="dxa"/>
          <w:trHeight w:val="300"/>
        </w:trPr>
        <w:tc>
          <w:tcPr>
            <w:tcW w:w="3708" w:type="dxa"/>
            <w:vMerge w:val="restart"/>
            <w:tcBorders>
              <w:top w:val="single" w:sz="4" w:space="0" w:color="auto"/>
            </w:tcBorders>
            <w:shd w:val="clear" w:color="auto" w:fill="auto"/>
            <w:vAlign w:val="center"/>
            <w:hideMark/>
          </w:tcPr>
          <w:p w14:paraId="5DC99E2B"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Age</w:t>
            </w:r>
          </w:p>
        </w:tc>
        <w:tc>
          <w:tcPr>
            <w:tcW w:w="2835" w:type="dxa"/>
            <w:tcBorders>
              <w:top w:val="single" w:sz="4" w:space="0" w:color="auto"/>
            </w:tcBorders>
            <w:shd w:val="clear" w:color="auto" w:fill="auto"/>
            <w:vAlign w:val="center"/>
            <w:hideMark/>
          </w:tcPr>
          <w:p w14:paraId="1AC5CB8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&lt;60 years</w:t>
            </w:r>
          </w:p>
        </w:tc>
        <w:tc>
          <w:tcPr>
            <w:tcW w:w="1047" w:type="dxa"/>
            <w:tcBorders>
              <w:top w:val="single" w:sz="4" w:space="0" w:color="auto"/>
            </w:tcBorders>
            <w:shd w:val="clear" w:color="auto" w:fill="auto"/>
            <w:vAlign w:val="center"/>
            <w:hideMark/>
          </w:tcPr>
          <w:p w14:paraId="311E208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325</w:t>
            </w:r>
          </w:p>
        </w:tc>
        <w:tc>
          <w:tcPr>
            <w:tcW w:w="1047" w:type="dxa"/>
            <w:tcBorders>
              <w:top w:val="single" w:sz="4" w:space="0" w:color="auto"/>
            </w:tcBorders>
            <w:shd w:val="clear" w:color="auto" w:fill="auto"/>
            <w:vAlign w:val="center"/>
            <w:hideMark/>
          </w:tcPr>
          <w:p w14:paraId="6BD2F27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15</w:t>
            </w:r>
          </w:p>
        </w:tc>
        <w:tc>
          <w:tcPr>
            <w:tcW w:w="1051" w:type="dxa"/>
            <w:vMerge w:val="restart"/>
            <w:tcBorders>
              <w:top w:val="single" w:sz="4" w:space="0" w:color="auto"/>
            </w:tcBorders>
            <w:shd w:val="clear" w:color="auto" w:fill="auto"/>
            <w:vAlign w:val="center"/>
            <w:hideMark/>
          </w:tcPr>
          <w:p w14:paraId="16ACE978"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224B5DEE" w14:textId="77777777" w:rsidTr="00AE6DF1">
        <w:trPr>
          <w:gridAfter w:val="3"/>
          <w:wAfter w:w="472" w:type="dxa"/>
          <w:trHeight w:val="300"/>
        </w:trPr>
        <w:tc>
          <w:tcPr>
            <w:tcW w:w="3708" w:type="dxa"/>
            <w:vMerge/>
            <w:tcBorders>
              <w:top w:val="nil"/>
            </w:tcBorders>
            <w:vAlign w:val="center"/>
            <w:hideMark/>
          </w:tcPr>
          <w:p w14:paraId="383A4E54"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2FDBC9A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60-69 years</w:t>
            </w:r>
          </w:p>
        </w:tc>
        <w:tc>
          <w:tcPr>
            <w:tcW w:w="1047" w:type="dxa"/>
            <w:tcBorders>
              <w:top w:val="nil"/>
            </w:tcBorders>
            <w:shd w:val="clear" w:color="auto" w:fill="auto"/>
            <w:vAlign w:val="center"/>
            <w:hideMark/>
          </w:tcPr>
          <w:p w14:paraId="1DD3DD0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956</w:t>
            </w:r>
          </w:p>
        </w:tc>
        <w:tc>
          <w:tcPr>
            <w:tcW w:w="1047" w:type="dxa"/>
            <w:tcBorders>
              <w:top w:val="nil"/>
            </w:tcBorders>
            <w:shd w:val="clear" w:color="auto" w:fill="auto"/>
            <w:vAlign w:val="center"/>
            <w:hideMark/>
          </w:tcPr>
          <w:p w14:paraId="63D3AC8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9.4</w:t>
            </w:r>
          </w:p>
        </w:tc>
        <w:tc>
          <w:tcPr>
            <w:tcW w:w="1051" w:type="dxa"/>
            <w:vMerge/>
            <w:tcBorders>
              <w:top w:val="nil"/>
            </w:tcBorders>
            <w:vAlign w:val="center"/>
            <w:hideMark/>
          </w:tcPr>
          <w:p w14:paraId="4A8DFC4D" w14:textId="77777777" w:rsidR="00AE6DF1" w:rsidRPr="00AE6DF1" w:rsidRDefault="00AE6DF1" w:rsidP="00966E61">
            <w:pPr>
              <w:spacing w:before="0" w:line="240" w:lineRule="auto"/>
              <w:rPr>
                <w:rFonts w:eastAsia="Times New Roman"/>
                <w:sz w:val="20"/>
                <w:szCs w:val="20"/>
              </w:rPr>
            </w:pPr>
          </w:p>
        </w:tc>
      </w:tr>
      <w:tr w:rsidR="00AE6DF1" w:rsidRPr="00104D36" w14:paraId="2DB372DF" w14:textId="77777777" w:rsidTr="00AE6DF1">
        <w:trPr>
          <w:gridAfter w:val="3"/>
          <w:wAfter w:w="472" w:type="dxa"/>
          <w:trHeight w:val="300"/>
        </w:trPr>
        <w:tc>
          <w:tcPr>
            <w:tcW w:w="3708" w:type="dxa"/>
            <w:vMerge/>
            <w:tcBorders>
              <w:top w:val="nil"/>
            </w:tcBorders>
            <w:vAlign w:val="center"/>
            <w:hideMark/>
          </w:tcPr>
          <w:p w14:paraId="405F4090"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213CAAA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70-79 years</w:t>
            </w:r>
          </w:p>
        </w:tc>
        <w:tc>
          <w:tcPr>
            <w:tcW w:w="1047" w:type="dxa"/>
            <w:tcBorders>
              <w:top w:val="nil"/>
            </w:tcBorders>
            <w:shd w:val="clear" w:color="auto" w:fill="auto"/>
            <w:vAlign w:val="center"/>
            <w:hideMark/>
          </w:tcPr>
          <w:p w14:paraId="2F6AC5E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899</w:t>
            </w:r>
          </w:p>
        </w:tc>
        <w:tc>
          <w:tcPr>
            <w:tcW w:w="1047" w:type="dxa"/>
            <w:tcBorders>
              <w:top w:val="nil"/>
            </w:tcBorders>
            <w:shd w:val="clear" w:color="auto" w:fill="auto"/>
            <w:vAlign w:val="center"/>
            <w:hideMark/>
          </w:tcPr>
          <w:p w14:paraId="2E37A3A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7.1</w:t>
            </w:r>
          </w:p>
        </w:tc>
        <w:tc>
          <w:tcPr>
            <w:tcW w:w="1051" w:type="dxa"/>
            <w:vMerge/>
            <w:tcBorders>
              <w:top w:val="nil"/>
            </w:tcBorders>
            <w:vAlign w:val="center"/>
            <w:hideMark/>
          </w:tcPr>
          <w:p w14:paraId="278D60D5" w14:textId="77777777" w:rsidR="00AE6DF1" w:rsidRPr="00AE6DF1" w:rsidRDefault="00AE6DF1" w:rsidP="00966E61">
            <w:pPr>
              <w:spacing w:before="0" w:line="240" w:lineRule="auto"/>
              <w:rPr>
                <w:rFonts w:eastAsia="Times New Roman"/>
                <w:sz w:val="20"/>
                <w:szCs w:val="20"/>
              </w:rPr>
            </w:pPr>
          </w:p>
        </w:tc>
      </w:tr>
      <w:tr w:rsidR="00AE6DF1" w:rsidRPr="00104D36" w14:paraId="37F5B970" w14:textId="77777777" w:rsidTr="00AE6DF1">
        <w:trPr>
          <w:gridAfter w:val="3"/>
          <w:wAfter w:w="472" w:type="dxa"/>
          <w:trHeight w:val="300"/>
        </w:trPr>
        <w:tc>
          <w:tcPr>
            <w:tcW w:w="3708" w:type="dxa"/>
            <w:vMerge/>
            <w:tcBorders>
              <w:top w:val="nil"/>
              <w:bottom w:val="single" w:sz="4" w:space="0" w:color="auto"/>
            </w:tcBorders>
            <w:vAlign w:val="center"/>
            <w:hideMark/>
          </w:tcPr>
          <w:p w14:paraId="584AA017"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41EC6C5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80+ years</w:t>
            </w:r>
          </w:p>
        </w:tc>
        <w:tc>
          <w:tcPr>
            <w:tcW w:w="1047" w:type="dxa"/>
            <w:tcBorders>
              <w:top w:val="nil"/>
              <w:bottom w:val="single" w:sz="4" w:space="0" w:color="auto"/>
            </w:tcBorders>
            <w:shd w:val="clear" w:color="auto" w:fill="auto"/>
            <w:vAlign w:val="center"/>
            <w:hideMark/>
          </w:tcPr>
          <w:p w14:paraId="26054B94"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586</w:t>
            </w:r>
          </w:p>
        </w:tc>
        <w:tc>
          <w:tcPr>
            <w:tcW w:w="1047" w:type="dxa"/>
            <w:tcBorders>
              <w:top w:val="nil"/>
              <w:bottom w:val="single" w:sz="4" w:space="0" w:color="auto"/>
            </w:tcBorders>
            <w:shd w:val="clear" w:color="auto" w:fill="auto"/>
            <w:vAlign w:val="center"/>
            <w:hideMark/>
          </w:tcPr>
          <w:p w14:paraId="34313DE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13.5</w:t>
            </w:r>
          </w:p>
        </w:tc>
        <w:tc>
          <w:tcPr>
            <w:tcW w:w="1051" w:type="dxa"/>
            <w:vMerge/>
            <w:tcBorders>
              <w:top w:val="nil"/>
              <w:bottom w:val="single" w:sz="4" w:space="0" w:color="auto"/>
            </w:tcBorders>
            <w:vAlign w:val="center"/>
            <w:hideMark/>
          </w:tcPr>
          <w:p w14:paraId="602108FB" w14:textId="77777777" w:rsidR="00AE6DF1" w:rsidRPr="00AE6DF1" w:rsidRDefault="00AE6DF1" w:rsidP="00966E61">
            <w:pPr>
              <w:spacing w:before="0" w:line="240" w:lineRule="auto"/>
              <w:rPr>
                <w:rFonts w:eastAsia="Times New Roman"/>
                <w:sz w:val="20"/>
                <w:szCs w:val="20"/>
              </w:rPr>
            </w:pPr>
          </w:p>
        </w:tc>
      </w:tr>
      <w:tr w:rsidR="00AE6DF1" w:rsidRPr="00104D36" w14:paraId="742D3DE9" w14:textId="77777777" w:rsidTr="00AE6DF1">
        <w:trPr>
          <w:gridAfter w:val="3"/>
          <w:wAfter w:w="472" w:type="dxa"/>
          <w:trHeight w:val="300"/>
        </w:trPr>
        <w:tc>
          <w:tcPr>
            <w:tcW w:w="3708" w:type="dxa"/>
            <w:vMerge w:val="restart"/>
            <w:tcBorders>
              <w:top w:val="single" w:sz="4" w:space="0" w:color="auto"/>
            </w:tcBorders>
            <w:shd w:val="clear" w:color="auto" w:fill="auto"/>
            <w:vAlign w:val="center"/>
            <w:hideMark/>
          </w:tcPr>
          <w:p w14:paraId="68D7D55A"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Deprivation             (Quintile of socio-economic deprivation)</w:t>
            </w:r>
          </w:p>
        </w:tc>
        <w:tc>
          <w:tcPr>
            <w:tcW w:w="2835" w:type="dxa"/>
            <w:tcBorders>
              <w:top w:val="single" w:sz="4" w:space="0" w:color="auto"/>
            </w:tcBorders>
            <w:shd w:val="clear" w:color="auto" w:fill="auto"/>
            <w:vAlign w:val="center"/>
            <w:hideMark/>
          </w:tcPr>
          <w:p w14:paraId="3B20CB7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Most affluent   1</w:t>
            </w:r>
          </w:p>
        </w:tc>
        <w:tc>
          <w:tcPr>
            <w:tcW w:w="1047" w:type="dxa"/>
            <w:tcBorders>
              <w:top w:val="single" w:sz="4" w:space="0" w:color="auto"/>
            </w:tcBorders>
            <w:shd w:val="clear" w:color="auto" w:fill="auto"/>
            <w:vAlign w:val="center"/>
            <w:hideMark/>
          </w:tcPr>
          <w:p w14:paraId="742A720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480</w:t>
            </w:r>
          </w:p>
        </w:tc>
        <w:tc>
          <w:tcPr>
            <w:tcW w:w="1047" w:type="dxa"/>
            <w:tcBorders>
              <w:top w:val="single" w:sz="4" w:space="0" w:color="auto"/>
            </w:tcBorders>
            <w:shd w:val="clear" w:color="auto" w:fill="auto"/>
            <w:vAlign w:val="center"/>
            <w:hideMark/>
          </w:tcPr>
          <w:p w14:paraId="1B65D35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w:t>
            </w:r>
          </w:p>
        </w:tc>
        <w:tc>
          <w:tcPr>
            <w:tcW w:w="1051" w:type="dxa"/>
            <w:vMerge w:val="restart"/>
            <w:tcBorders>
              <w:top w:val="single" w:sz="4" w:space="0" w:color="auto"/>
            </w:tcBorders>
            <w:shd w:val="clear" w:color="auto" w:fill="auto"/>
            <w:vAlign w:val="center"/>
            <w:hideMark/>
          </w:tcPr>
          <w:p w14:paraId="2C6A2F4A"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0.07</w:t>
            </w:r>
          </w:p>
        </w:tc>
      </w:tr>
      <w:tr w:rsidR="00AE6DF1" w:rsidRPr="00104D36" w14:paraId="4316570D" w14:textId="77777777" w:rsidTr="00AE6DF1">
        <w:trPr>
          <w:gridAfter w:val="3"/>
          <w:wAfter w:w="472" w:type="dxa"/>
          <w:trHeight w:val="300"/>
        </w:trPr>
        <w:tc>
          <w:tcPr>
            <w:tcW w:w="3708" w:type="dxa"/>
            <w:vMerge/>
            <w:tcBorders>
              <w:top w:val="nil"/>
            </w:tcBorders>
            <w:vAlign w:val="center"/>
            <w:hideMark/>
          </w:tcPr>
          <w:p w14:paraId="06AD1307"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38BF9EED"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w:t>
            </w:r>
          </w:p>
        </w:tc>
        <w:tc>
          <w:tcPr>
            <w:tcW w:w="1047" w:type="dxa"/>
            <w:tcBorders>
              <w:top w:val="nil"/>
            </w:tcBorders>
            <w:shd w:val="clear" w:color="auto" w:fill="auto"/>
            <w:vAlign w:val="center"/>
            <w:hideMark/>
          </w:tcPr>
          <w:p w14:paraId="2A40CA7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608</w:t>
            </w:r>
          </w:p>
        </w:tc>
        <w:tc>
          <w:tcPr>
            <w:tcW w:w="1047" w:type="dxa"/>
            <w:tcBorders>
              <w:top w:val="nil"/>
            </w:tcBorders>
            <w:shd w:val="clear" w:color="auto" w:fill="auto"/>
            <w:vAlign w:val="center"/>
            <w:hideMark/>
          </w:tcPr>
          <w:p w14:paraId="12A3B49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7.8</w:t>
            </w:r>
          </w:p>
        </w:tc>
        <w:tc>
          <w:tcPr>
            <w:tcW w:w="1051" w:type="dxa"/>
            <w:vMerge/>
            <w:tcBorders>
              <w:top w:val="nil"/>
            </w:tcBorders>
            <w:vAlign w:val="center"/>
            <w:hideMark/>
          </w:tcPr>
          <w:p w14:paraId="2D5490CD" w14:textId="77777777" w:rsidR="00AE6DF1" w:rsidRPr="00AE6DF1" w:rsidRDefault="00AE6DF1" w:rsidP="00966E61">
            <w:pPr>
              <w:spacing w:before="0" w:line="240" w:lineRule="auto"/>
              <w:rPr>
                <w:rFonts w:eastAsia="Times New Roman"/>
                <w:sz w:val="20"/>
                <w:szCs w:val="20"/>
              </w:rPr>
            </w:pPr>
          </w:p>
        </w:tc>
      </w:tr>
      <w:tr w:rsidR="00AE6DF1" w:rsidRPr="00104D36" w14:paraId="1144643A" w14:textId="77777777" w:rsidTr="00AE6DF1">
        <w:trPr>
          <w:gridAfter w:val="3"/>
          <w:wAfter w:w="472" w:type="dxa"/>
          <w:trHeight w:val="300"/>
        </w:trPr>
        <w:tc>
          <w:tcPr>
            <w:tcW w:w="3708" w:type="dxa"/>
            <w:vMerge/>
            <w:tcBorders>
              <w:top w:val="nil"/>
            </w:tcBorders>
            <w:vAlign w:val="center"/>
            <w:hideMark/>
          </w:tcPr>
          <w:p w14:paraId="4B16781F"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380B146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w:t>
            </w:r>
          </w:p>
        </w:tc>
        <w:tc>
          <w:tcPr>
            <w:tcW w:w="1047" w:type="dxa"/>
            <w:tcBorders>
              <w:top w:val="nil"/>
            </w:tcBorders>
            <w:shd w:val="clear" w:color="auto" w:fill="auto"/>
            <w:vAlign w:val="center"/>
            <w:hideMark/>
          </w:tcPr>
          <w:p w14:paraId="1C1A96C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584</w:t>
            </w:r>
          </w:p>
        </w:tc>
        <w:tc>
          <w:tcPr>
            <w:tcW w:w="1047" w:type="dxa"/>
            <w:tcBorders>
              <w:top w:val="nil"/>
            </w:tcBorders>
            <w:shd w:val="clear" w:color="auto" w:fill="auto"/>
            <w:vAlign w:val="center"/>
            <w:hideMark/>
          </w:tcPr>
          <w:p w14:paraId="4316FE3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9.7</w:t>
            </w:r>
          </w:p>
        </w:tc>
        <w:tc>
          <w:tcPr>
            <w:tcW w:w="1051" w:type="dxa"/>
            <w:vMerge/>
            <w:tcBorders>
              <w:top w:val="nil"/>
            </w:tcBorders>
            <w:vAlign w:val="center"/>
            <w:hideMark/>
          </w:tcPr>
          <w:p w14:paraId="6423B7CE" w14:textId="77777777" w:rsidR="00AE6DF1" w:rsidRPr="00AE6DF1" w:rsidRDefault="00AE6DF1" w:rsidP="00966E61">
            <w:pPr>
              <w:spacing w:before="0" w:line="240" w:lineRule="auto"/>
              <w:rPr>
                <w:rFonts w:eastAsia="Times New Roman"/>
                <w:sz w:val="20"/>
                <w:szCs w:val="20"/>
              </w:rPr>
            </w:pPr>
          </w:p>
        </w:tc>
      </w:tr>
      <w:tr w:rsidR="00AE6DF1" w:rsidRPr="00104D36" w14:paraId="762B96E3" w14:textId="77777777" w:rsidTr="00AE6DF1">
        <w:trPr>
          <w:gridAfter w:val="3"/>
          <w:wAfter w:w="472" w:type="dxa"/>
          <w:trHeight w:val="300"/>
        </w:trPr>
        <w:tc>
          <w:tcPr>
            <w:tcW w:w="3708" w:type="dxa"/>
            <w:vMerge/>
            <w:tcBorders>
              <w:top w:val="nil"/>
            </w:tcBorders>
            <w:vAlign w:val="center"/>
            <w:hideMark/>
          </w:tcPr>
          <w:p w14:paraId="07C5C750"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497BEB0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w:t>
            </w:r>
          </w:p>
        </w:tc>
        <w:tc>
          <w:tcPr>
            <w:tcW w:w="1047" w:type="dxa"/>
            <w:tcBorders>
              <w:top w:val="nil"/>
            </w:tcBorders>
            <w:shd w:val="clear" w:color="auto" w:fill="auto"/>
            <w:vAlign w:val="center"/>
            <w:hideMark/>
          </w:tcPr>
          <w:p w14:paraId="31F54B4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529</w:t>
            </w:r>
          </w:p>
        </w:tc>
        <w:tc>
          <w:tcPr>
            <w:tcW w:w="1047" w:type="dxa"/>
            <w:tcBorders>
              <w:top w:val="nil"/>
            </w:tcBorders>
            <w:shd w:val="clear" w:color="auto" w:fill="auto"/>
            <w:vAlign w:val="center"/>
            <w:hideMark/>
          </w:tcPr>
          <w:p w14:paraId="2A54EE4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12.6</w:t>
            </w:r>
          </w:p>
        </w:tc>
        <w:tc>
          <w:tcPr>
            <w:tcW w:w="1051" w:type="dxa"/>
            <w:vMerge/>
            <w:tcBorders>
              <w:top w:val="nil"/>
            </w:tcBorders>
            <w:vAlign w:val="center"/>
            <w:hideMark/>
          </w:tcPr>
          <w:p w14:paraId="174608B1" w14:textId="77777777" w:rsidR="00AE6DF1" w:rsidRPr="00AE6DF1" w:rsidRDefault="00AE6DF1" w:rsidP="00966E61">
            <w:pPr>
              <w:spacing w:before="0" w:line="240" w:lineRule="auto"/>
              <w:rPr>
                <w:rFonts w:eastAsia="Times New Roman"/>
                <w:sz w:val="20"/>
                <w:szCs w:val="20"/>
              </w:rPr>
            </w:pPr>
          </w:p>
        </w:tc>
      </w:tr>
      <w:tr w:rsidR="00AE6DF1" w:rsidRPr="00104D36" w14:paraId="2D4E7548" w14:textId="77777777" w:rsidTr="00AE6DF1">
        <w:trPr>
          <w:gridAfter w:val="3"/>
          <w:wAfter w:w="472" w:type="dxa"/>
          <w:trHeight w:val="300"/>
        </w:trPr>
        <w:tc>
          <w:tcPr>
            <w:tcW w:w="3708" w:type="dxa"/>
            <w:vMerge/>
            <w:tcBorders>
              <w:top w:val="nil"/>
              <w:bottom w:val="single" w:sz="4" w:space="0" w:color="auto"/>
            </w:tcBorders>
            <w:vAlign w:val="center"/>
            <w:hideMark/>
          </w:tcPr>
          <w:p w14:paraId="01488A64"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56F1BE9F"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 xml:space="preserve"> Least affluent   5</w:t>
            </w:r>
          </w:p>
        </w:tc>
        <w:tc>
          <w:tcPr>
            <w:tcW w:w="1047" w:type="dxa"/>
            <w:tcBorders>
              <w:top w:val="nil"/>
              <w:bottom w:val="single" w:sz="4" w:space="0" w:color="auto"/>
            </w:tcBorders>
            <w:shd w:val="clear" w:color="auto" w:fill="auto"/>
            <w:vAlign w:val="center"/>
            <w:hideMark/>
          </w:tcPr>
          <w:p w14:paraId="132ABE9F"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498</w:t>
            </w:r>
          </w:p>
        </w:tc>
        <w:tc>
          <w:tcPr>
            <w:tcW w:w="1047" w:type="dxa"/>
            <w:tcBorders>
              <w:top w:val="nil"/>
              <w:bottom w:val="single" w:sz="4" w:space="0" w:color="auto"/>
            </w:tcBorders>
            <w:shd w:val="clear" w:color="auto" w:fill="auto"/>
            <w:vAlign w:val="center"/>
            <w:hideMark/>
          </w:tcPr>
          <w:p w14:paraId="69DF851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18.3</w:t>
            </w:r>
          </w:p>
        </w:tc>
        <w:tc>
          <w:tcPr>
            <w:tcW w:w="1051" w:type="dxa"/>
            <w:vMerge/>
            <w:tcBorders>
              <w:top w:val="nil"/>
              <w:bottom w:val="single" w:sz="4" w:space="0" w:color="auto"/>
            </w:tcBorders>
            <w:vAlign w:val="center"/>
            <w:hideMark/>
          </w:tcPr>
          <w:p w14:paraId="3F00DCEE" w14:textId="77777777" w:rsidR="00AE6DF1" w:rsidRPr="00AE6DF1" w:rsidRDefault="00AE6DF1" w:rsidP="00966E61">
            <w:pPr>
              <w:spacing w:before="0" w:line="240" w:lineRule="auto"/>
              <w:rPr>
                <w:rFonts w:eastAsia="Times New Roman"/>
                <w:sz w:val="20"/>
                <w:szCs w:val="20"/>
              </w:rPr>
            </w:pPr>
          </w:p>
        </w:tc>
      </w:tr>
      <w:tr w:rsidR="00AE6DF1" w:rsidRPr="00104D36" w14:paraId="1998A70F" w14:textId="77777777" w:rsidTr="00AE6DF1">
        <w:trPr>
          <w:gridAfter w:val="3"/>
          <w:wAfter w:w="472" w:type="dxa"/>
          <w:trHeight w:val="300"/>
        </w:trPr>
        <w:tc>
          <w:tcPr>
            <w:tcW w:w="3708" w:type="dxa"/>
            <w:vMerge w:val="restart"/>
            <w:tcBorders>
              <w:top w:val="single" w:sz="4" w:space="0" w:color="auto"/>
            </w:tcBorders>
            <w:shd w:val="clear" w:color="auto" w:fill="auto"/>
            <w:vAlign w:val="center"/>
            <w:hideMark/>
          </w:tcPr>
          <w:p w14:paraId="35F605D3"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Ethnicity</w:t>
            </w:r>
          </w:p>
        </w:tc>
        <w:tc>
          <w:tcPr>
            <w:tcW w:w="2835" w:type="dxa"/>
            <w:tcBorders>
              <w:top w:val="single" w:sz="4" w:space="0" w:color="auto"/>
            </w:tcBorders>
            <w:shd w:val="clear" w:color="auto" w:fill="auto"/>
            <w:vAlign w:val="center"/>
            <w:hideMark/>
          </w:tcPr>
          <w:p w14:paraId="3A4A521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White</w:t>
            </w:r>
          </w:p>
        </w:tc>
        <w:tc>
          <w:tcPr>
            <w:tcW w:w="1047" w:type="dxa"/>
            <w:tcBorders>
              <w:top w:val="single" w:sz="4" w:space="0" w:color="auto"/>
            </w:tcBorders>
            <w:shd w:val="clear" w:color="auto" w:fill="auto"/>
            <w:vAlign w:val="center"/>
            <w:hideMark/>
          </w:tcPr>
          <w:p w14:paraId="503CC99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2,101</w:t>
            </w:r>
          </w:p>
        </w:tc>
        <w:tc>
          <w:tcPr>
            <w:tcW w:w="1047" w:type="dxa"/>
            <w:tcBorders>
              <w:top w:val="single" w:sz="4" w:space="0" w:color="auto"/>
            </w:tcBorders>
            <w:shd w:val="clear" w:color="auto" w:fill="auto"/>
            <w:vAlign w:val="center"/>
            <w:hideMark/>
          </w:tcPr>
          <w:p w14:paraId="470DD83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8.9</w:t>
            </w:r>
          </w:p>
        </w:tc>
        <w:tc>
          <w:tcPr>
            <w:tcW w:w="1051" w:type="dxa"/>
            <w:vMerge w:val="restart"/>
            <w:tcBorders>
              <w:top w:val="single" w:sz="4" w:space="0" w:color="auto"/>
            </w:tcBorders>
            <w:shd w:val="clear" w:color="auto" w:fill="auto"/>
            <w:vAlign w:val="center"/>
            <w:hideMark/>
          </w:tcPr>
          <w:p w14:paraId="792D2260"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0940FC3C" w14:textId="77777777" w:rsidTr="00AE6DF1">
        <w:trPr>
          <w:gridAfter w:val="3"/>
          <w:wAfter w:w="472" w:type="dxa"/>
          <w:trHeight w:val="300"/>
        </w:trPr>
        <w:tc>
          <w:tcPr>
            <w:tcW w:w="3708" w:type="dxa"/>
            <w:vMerge/>
            <w:tcBorders>
              <w:top w:val="nil"/>
              <w:bottom w:val="single" w:sz="4" w:space="0" w:color="auto"/>
            </w:tcBorders>
            <w:vAlign w:val="center"/>
            <w:hideMark/>
          </w:tcPr>
          <w:p w14:paraId="104D98AF"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0BE727D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Non-White</w:t>
            </w:r>
          </w:p>
        </w:tc>
        <w:tc>
          <w:tcPr>
            <w:tcW w:w="1047" w:type="dxa"/>
            <w:tcBorders>
              <w:top w:val="nil"/>
              <w:bottom w:val="single" w:sz="4" w:space="0" w:color="auto"/>
            </w:tcBorders>
            <w:shd w:val="clear" w:color="auto" w:fill="auto"/>
            <w:vAlign w:val="center"/>
            <w:hideMark/>
          </w:tcPr>
          <w:p w14:paraId="3DEF909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126</w:t>
            </w:r>
          </w:p>
        </w:tc>
        <w:tc>
          <w:tcPr>
            <w:tcW w:w="1047" w:type="dxa"/>
            <w:tcBorders>
              <w:top w:val="nil"/>
              <w:bottom w:val="single" w:sz="4" w:space="0" w:color="auto"/>
            </w:tcBorders>
            <w:shd w:val="clear" w:color="auto" w:fill="auto"/>
            <w:vAlign w:val="center"/>
            <w:hideMark/>
          </w:tcPr>
          <w:p w14:paraId="2A8B8B0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15.4</w:t>
            </w:r>
          </w:p>
        </w:tc>
        <w:tc>
          <w:tcPr>
            <w:tcW w:w="1051" w:type="dxa"/>
            <w:vMerge/>
            <w:tcBorders>
              <w:top w:val="nil"/>
              <w:bottom w:val="single" w:sz="4" w:space="0" w:color="auto"/>
            </w:tcBorders>
            <w:vAlign w:val="center"/>
            <w:hideMark/>
          </w:tcPr>
          <w:p w14:paraId="4661B45B" w14:textId="77777777" w:rsidR="00AE6DF1" w:rsidRPr="00AE6DF1" w:rsidRDefault="00AE6DF1" w:rsidP="00966E61">
            <w:pPr>
              <w:spacing w:before="0" w:line="240" w:lineRule="auto"/>
              <w:rPr>
                <w:rFonts w:eastAsia="Times New Roman"/>
                <w:sz w:val="20"/>
                <w:szCs w:val="20"/>
              </w:rPr>
            </w:pPr>
          </w:p>
        </w:tc>
      </w:tr>
      <w:tr w:rsidR="00AE6DF1" w:rsidRPr="00104D36" w14:paraId="38BFC449"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1D1938A1"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Long term conditions</w:t>
            </w:r>
          </w:p>
        </w:tc>
        <w:tc>
          <w:tcPr>
            <w:tcW w:w="2835" w:type="dxa"/>
            <w:tcBorders>
              <w:top w:val="single" w:sz="4" w:space="0" w:color="auto"/>
            </w:tcBorders>
            <w:shd w:val="clear" w:color="auto" w:fill="auto"/>
            <w:vAlign w:val="center"/>
            <w:hideMark/>
          </w:tcPr>
          <w:p w14:paraId="6B9E401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0</w:t>
            </w:r>
          </w:p>
        </w:tc>
        <w:tc>
          <w:tcPr>
            <w:tcW w:w="1047" w:type="dxa"/>
            <w:tcBorders>
              <w:top w:val="single" w:sz="4" w:space="0" w:color="auto"/>
            </w:tcBorders>
            <w:shd w:val="clear" w:color="auto" w:fill="auto"/>
            <w:vAlign w:val="center"/>
            <w:hideMark/>
          </w:tcPr>
          <w:p w14:paraId="310EB19D"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403</w:t>
            </w:r>
          </w:p>
        </w:tc>
        <w:tc>
          <w:tcPr>
            <w:tcW w:w="1047" w:type="dxa"/>
            <w:tcBorders>
              <w:top w:val="single" w:sz="4" w:space="0" w:color="auto"/>
            </w:tcBorders>
            <w:shd w:val="clear" w:color="auto" w:fill="auto"/>
            <w:vAlign w:val="center"/>
            <w:hideMark/>
          </w:tcPr>
          <w:p w14:paraId="1BC0B17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4.7</w:t>
            </w:r>
          </w:p>
        </w:tc>
        <w:tc>
          <w:tcPr>
            <w:tcW w:w="1051" w:type="dxa"/>
            <w:vMerge w:val="restart"/>
            <w:tcBorders>
              <w:top w:val="single" w:sz="4" w:space="0" w:color="auto"/>
            </w:tcBorders>
            <w:shd w:val="clear" w:color="auto" w:fill="auto"/>
            <w:vAlign w:val="center"/>
            <w:hideMark/>
          </w:tcPr>
          <w:p w14:paraId="4A6535D7"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12246FC6" w14:textId="77777777" w:rsidTr="00AE6DF1">
        <w:trPr>
          <w:gridAfter w:val="3"/>
          <w:wAfter w:w="472" w:type="dxa"/>
          <w:trHeight w:val="300"/>
        </w:trPr>
        <w:tc>
          <w:tcPr>
            <w:tcW w:w="3708" w:type="dxa"/>
            <w:vMerge/>
            <w:tcBorders>
              <w:top w:val="nil"/>
            </w:tcBorders>
            <w:vAlign w:val="center"/>
            <w:hideMark/>
          </w:tcPr>
          <w:p w14:paraId="2FD9F8E4"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82E0A8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w:t>
            </w:r>
          </w:p>
        </w:tc>
        <w:tc>
          <w:tcPr>
            <w:tcW w:w="1047" w:type="dxa"/>
            <w:tcBorders>
              <w:top w:val="nil"/>
            </w:tcBorders>
            <w:shd w:val="clear" w:color="auto" w:fill="auto"/>
            <w:vAlign w:val="center"/>
            <w:hideMark/>
          </w:tcPr>
          <w:p w14:paraId="7956FD1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660</w:t>
            </w:r>
          </w:p>
        </w:tc>
        <w:tc>
          <w:tcPr>
            <w:tcW w:w="1047" w:type="dxa"/>
            <w:tcBorders>
              <w:top w:val="nil"/>
            </w:tcBorders>
            <w:shd w:val="clear" w:color="auto" w:fill="auto"/>
            <w:vAlign w:val="center"/>
            <w:hideMark/>
          </w:tcPr>
          <w:p w14:paraId="1938349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6.4</w:t>
            </w:r>
          </w:p>
        </w:tc>
        <w:tc>
          <w:tcPr>
            <w:tcW w:w="1051" w:type="dxa"/>
            <w:vMerge/>
            <w:tcBorders>
              <w:top w:val="nil"/>
            </w:tcBorders>
            <w:vAlign w:val="center"/>
            <w:hideMark/>
          </w:tcPr>
          <w:p w14:paraId="1C4691F3" w14:textId="77777777" w:rsidR="00AE6DF1" w:rsidRPr="00AE6DF1" w:rsidRDefault="00AE6DF1" w:rsidP="00966E61">
            <w:pPr>
              <w:spacing w:before="0" w:line="240" w:lineRule="auto"/>
              <w:rPr>
                <w:rFonts w:eastAsia="Times New Roman"/>
                <w:sz w:val="20"/>
                <w:szCs w:val="20"/>
              </w:rPr>
            </w:pPr>
          </w:p>
        </w:tc>
      </w:tr>
      <w:tr w:rsidR="00AE6DF1" w:rsidRPr="00104D36" w14:paraId="349C275C" w14:textId="77777777" w:rsidTr="00AE6DF1">
        <w:trPr>
          <w:gridAfter w:val="3"/>
          <w:wAfter w:w="472" w:type="dxa"/>
          <w:trHeight w:val="300"/>
        </w:trPr>
        <w:tc>
          <w:tcPr>
            <w:tcW w:w="3708" w:type="dxa"/>
            <w:vMerge/>
            <w:tcBorders>
              <w:top w:val="nil"/>
            </w:tcBorders>
            <w:vAlign w:val="center"/>
            <w:hideMark/>
          </w:tcPr>
          <w:p w14:paraId="1AE0AC6A"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38431BCD"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w:t>
            </w:r>
          </w:p>
        </w:tc>
        <w:tc>
          <w:tcPr>
            <w:tcW w:w="1047" w:type="dxa"/>
            <w:tcBorders>
              <w:top w:val="nil"/>
            </w:tcBorders>
            <w:shd w:val="clear" w:color="auto" w:fill="auto"/>
            <w:vAlign w:val="center"/>
            <w:hideMark/>
          </w:tcPr>
          <w:p w14:paraId="018E514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668</w:t>
            </w:r>
          </w:p>
        </w:tc>
        <w:tc>
          <w:tcPr>
            <w:tcW w:w="1047" w:type="dxa"/>
            <w:tcBorders>
              <w:top w:val="nil"/>
            </w:tcBorders>
            <w:shd w:val="clear" w:color="auto" w:fill="auto"/>
            <w:vAlign w:val="center"/>
            <w:hideMark/>
          </w:tcPr>
          <w:p w14:paraId="4BD0E76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11.5</w:t>
            </w:r>
          </w:p>
        </w:tc>
        <w:tc>
          <w:tcPr>
            <w:tcW w:w="1051" w:type="dxa"/>
            <w:vMerge/>
            <w:tcBorders>
              <w:top w:val="nil"/>
            </w:tcBorders>
            <w:vAlign w:val="center"/>
            <w:hideMark/>
          </w:tcPr>
          <w:p w14:paraId="284A8016" w14:textId="77777777" w:rsidR="00AE6DF1" w:rsidRPr="00AE6DF1" w:rsidRDefault="00AE6DF1" w:rsidP="00966E61">
            <w:pPr>
              <w:spacing w:before="0" w:line="240" w:lineRule="auto"/>
              <w:rPr>
                <w:rFonts w:eastAsia="Times New Roman"/>
                <w:sz w:val="20"/>
                <w:szCs w:val="20"/>
              </w:rPr>
            </w:pPr>
          </w:p>
        </w:tc>
      </w:tr>
      <w:tr w:rsidR="00AE6DF1" w:rsidRPr="00104D36" w14:paraId="27577AD4" w14:textId="77777777" w:rsidTr="00AE6DF1">
        <w:trPr>
          <w:gridAfter w:val="3"/>
          <w:wAfter w:w="472" w:type="dxa"/>
          <w:trHeight w:val="300"/>
        </w:trPr>
        <w:tc>
          <w:tcPr>
            <w:tcW w:w="3708" w:type="dxa"/>
            <w:vMerge/>
            <w:tcBorders>
              <w:top w:val="nil"/>
              <w:bottom w:val="single" w:sz="4" w:space="0" w:color="auto"/>
            </w:tcBorders>
            <w:vAlign w:val="center"/>
            <w:hideMark/>
          </w:tcPr>
          <w:p w14:paraId="659ED71A"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19AEE2C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w:t>
            </w:r>
          </w:p>
        </w:tc>
        <w:tc>
          <w:tcPr>
            <w:tcW w:w="1047" w:type="dxa"/>
            <w:tcBorders>
              <w:top w:val="nil"/>
              <w:bottom w:val="single" w:sz="4" w:space="0" w:color="auto"/>
            </w:tcBorders>
            <w:shd w:val="clear" w:color="auto" w:fill="auto"/>
            <w:vAlign w:val="center"/>
            <w:hideMark/>
          </w:tcPr>
          <w:p w14:paraId="653DC59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1,035</w:t>
            </w:r>
          </w:p>
        </w:tc>
        <w:tc>
          <w:tcPr>
            <w:tcW w:w="1047" w:type="dxa"/>
            <w:tcBorders>
              <w:top w:val="nil"/>
              <w:bottom w:val="single" w:sz="4" w:space="0" w:color="auto"/>
            </w:tcBorders>
            <w:shd w:val="clear" w:color="auto" w:fill="auto"/>
            <w:vAlign w:val="center"/>
            <w:hideMark/>
          </w:tcPr>
          <w:p w14:paraId="0DD192D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22.4</w:t>
            </w:r>
          </w:p>
        </w:tc>
        <w:tc>
          <w:tcPr>
            <w:tcW w:w="1051" w:type="dxa"/>
            <w:vMerge/>
            <w:tcBorders>
              <w:top w:val="nil"/>
              <w:bottom w:val="single" w:sz="4" w:space="0" w:color="auto"/>
            </w:tcBorders>
            <w:vAlign w:val="center"/>
            <w:hideMark/>
          </w:tcPr>
          <w:p w14:paraId="3BFAEDF0" w14:textId="77777777" w:rsidR="00AE6DF1" w:rsidRPr="00AE6DF1" w:rsidRDefault="00AE6DF1" w:rsidP="00966E61">
            <w:pPr>
              <w:spacing w:before="0" w:line="240" w:lineRule="auto"/>
              <w:rPr>
                <w:rFonts w:eastAsia="Times New Roman"/>
                <w:sz w:val="20"/>
                <w:szCs w:val="20"/>
              </w:rPr>
            </w:pPr>
          </w:p>
        </w:tc>
      </w:tr>
      <w:tr w:rsidR="00AE6DF1" w:rsidRPr="00104D36" w14:paraId="2939946B" w14:textId="77777777" w:rsidTr="00AE6DF1">
        <w:trPr>
          <w:gridAfter w:val="3"/>
          <w:wAfter w:w="472" w:type="dxa"/>
          <w:trHeight w:val="300"/>
        </w:trPr>
        <w:tc>
          <w:tcPr>
            <w:tcW w:w="3708" w:type="dxa"/>
            <w:vMerge w:val="restart"/>
            <w:tcBorders>
              <w:top w:val="single" w:sz="4" w:space="0" w:color="auto"/>
            </w:tcBorders>
            <w:shd w:val="clear" w:color="auto" w:fill="auto"/>
            <w:vAlign w:val="center"/>
            <w:hideMark/>
          </w:tcPr>
          <w:p w14:paraId="620FF0B4"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Consulted for mental health related problem</w:t>
            </w:r>
          </w:p>
        </w:tc>
        <w:tc>
          <w:tcPr>
            <w:tcW w:w="2835" w:type="dxa"/>
            <w:tcBorders>
              <w:top w:val="single" w:sz="4" w:space="0" w:color="auto"/>
            </w:tcBorders>
            <w:shd w:val="clear" w:color="auto" w:fill="auto"/>
            <w:vAlign w:val="center"/>
            <w:hideMark/>
          </w:tcPr>
          <w:p w14:paraId="1892137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No</w:t>
            </w:r>
          </w:p>
        </w:tc>
        <w:tc>
          <w:tcPr>
            <w:tcW w:w="1047" w:type="dxa"/>
            <w:tcBorders>
              <w:top w:val="single" w:sz="4" w:space="0" w:color="auto"/>
            </w:tcBorders>
            <w:shd w:val="clear" w:color="auto" w:fill="auto"/>
            <w:vAlign w:val="center"/>
            <w:hideMark/>
          </w:tcPr>
          <w:p w14:paraId="3702840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1,795</w:t>
            </w:r>
          </w:p>
        </w:tc>
        <w:tc>
          <w:tcPr>
            <w:tcW w:w="1047" w:type="dxa"/>
            <w:tcBorders>
              <w:top w:val="single" w:sz="4" w:space="0" w:color="auto"/>
            </w:tcBorders>
            <w:shd w:val="clear" w:color="auto" w:fill="auto"/>
            <w:vAlign w:val="center"/>
            <w:hideMark/>
          </w:tcPr>
          <w:p w14:paraId="7690677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7.6</w:t>
            </w:r>
          </w:p>
        </w:tc>
        <w:tc>
          <w:tcPr>
            <w:tcW w:w="1051" w:type="dxa"/>
            <w:vMerge w:val="restart"/>
            <w:tcBorders>
              <w:top w:val="single" w:sz="4" w:space="0" w:color="auto"/>
            </w:tcBorders>
            <w:shd w:val="clear" w:color="auto" w:fill="auto"/>
            <w:vAlign w:val="center"/>
            <w:hideMark/>
          </w:tcPr>
          <w:p w14:paraId="1CDE5FC1"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16841005" w14:textId="77777777" w:rsidTr="00AE6DF1">
        <w:trPr>
          <w:gridAfter w:val="3"/>
          <w:wAfter w:w="472" w:type="dxa"/>
          <w:trHeight w:val="300"/>
        </w:trPr>
        <w:tc>
          <w:tcPr>
            <w:tcW w:w="3708" w:type="dxa"/>
            <w:vMerge/>
            <w:tcBorders>
              <w:top w:val="nil"/>
              <w:bottom w:val="single" w:sz="4" w:space="0" w:color="auto"/>
            </w:tcBorders>
            <w:vAlign w:val="center"/>
            <w:hideMark/>
          </w:tcPr>
          <w:p w14:paraId="20FF8AC4"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067B360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Yes</w:t>
            </w:r>
          </w:p>
        </w:tc>
        <w:tc>
          <w:tcPr>
            <w:tcW w:w="1047" w:type="dxa"/>
            <w:tcBorders>
              <w:top w:val="nil"/>
              <w:bottom w:val="single" w:sz="4" w:space="0" w:color="auto"/>
            </w:tcBorders>
            <w:shd w:val="clear" w:color="auto" w:fill="auto"/>
            <w:vAlign w:val="center"/>
            <w:hideMark/>
          </w:tcPr>
          <w:p w14:paraId="3FD4868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883</w:t>
            </w:r>
          </w:p>
        </w:tc>
        <w:tc>
          <w:tcPr>
            <w:tcW w:w="1047" w:type="dxa"/>
            <w:tcBorders>
              <w:top w:val="nil"/>
              <w:bottom w:val="single" w:sz="4" w:space="0" w:color="auto"/>
            </w:tcBorders>
            <w:shd w:val="clear" w:color="auto" w:fill="auto"/>
            <w:vAlign w:val="center"/>
            <w:hideMark/>
          </w:tcPr>
          <w:p w14:paraId="573AD18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17.9</w:t>
            </w:r>
          </w:p>
        </w:tc>
        <w:tc>
          <w:tcPr>
            <w:tcW w:w="1051" w:type="dxa"/>
            <w:vMerge/>
            <w:tcBorders>
              <w:top w:val="nil"/>
              <w:bottom w:val="single" w:sz="4" w:space="0" w:color="auto"/>
            </w:tcBorders>
            <w:vAlign w:val="center"/>
            <w:hideMark/>
          </w:tcPr>
          <w:p w14:paraId="0684D6A7" w14:textId="77777777" w:rsidR="00AE6DF1" w:rsidRPr="00AE6DF1" w:rsidRDefault="00AE6DF1" w:rsidP="00966E61">
            <w:pPr>
              <w:spacing w:before="0" w:line="240" w:lineRule="auto"/>
              <w:rPr>
                <w:rFonts w:eastAsia="Times New Roman"/>
                <w:sz w:val="20"/>
                <w:szCs w:val="20"/>
              </w:rPr>
            </w:pPr>
          </w:p>
        </w:tc>
      </w:tr>
      <w:tr w:rsidR="00AE6DF1" w:rsidRPr="00104D36" w14:paraId="5688E3DF"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63675A5E"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Carer status</w:t>
            </w:r>
          </w:p>
        </w:tc>
        <w:tc>
          <w:tcPr>
            <w:tcW w:w="2835" w:type="dxa"/>
            <w:tcBorders>
              <w:top w:val="single" w:sz="4" w:space="0" w:color="auto"/>
            </w:tcBorders>
            <w:shd w:val="clear" w:color="auto" w:fill="auto"/>
            <w:vAlign w:val="center"/>
            <w:hideMark/>
          </w:tcPr>
          <w:p w14:paraId="0F02BE1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No</w:t>
            </w:r>
          </w:p>
        </w:tc>
        <w:tc>
          <w:tcPr>
            <w:tcW w:w="1047" w:type="dxa"/>
            <w:tcBorders>
              <w:top w:val="single" w:sz="4" w:space="0" w:color="auto"/>
            </w:tcBorders>
            <w:shd w:val="clear" w:color="auto" w:fill="auto"/>
            <w:vAlign w:val="center"/>
            <w:hideMark/>
          </w:tcPr>
          <w:p w14:paraId="7743281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1,855</w:t>
            </w:r>
          </w:p>
        </w:tc>
        <w:tc>
          <w:tcPr>
            <w:tcW w:w="1047" w:type="dxa"/>
            <w:tcBorders>
              <w:top w:val="single" w:sz="4" w:space="0" w:color="auto"/>
            </w:tcBorders>
            <w:shd w:val="clear" w:color="auto" w:fill="auto"/>
            <w:vAlign w:val="center"/>
            <w:hideMark/>
          </w:tcPr>
          <w:p w14:paraId="6665A284"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8.6</w:t>
            </w:r>
          </w:p>
        </w:tc>
        <w:tc>
          <w:tcPr>
            <w:tcW w:w="1051" w:type="dxa"/>
            <w:vMerge w:val="restart"/>
            <w:tcBorders>
              <w:top w:val="single" w:sz="4" w:space="0" w:color="auto"/>
            </w:tcBorders>
            <w:shd w:val="clear" w:color="auto" w:fill="auto"/>
            <w:vAlign w:val="center"/>
            <w:hideMark/>
          </w:tcPr>
          <w:p w14:paraId="64188994"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6324F4F5" w14:textId="77777777" w:rsidTr="00AE6DF1">
        <w:trPr>
          <w:gridAfter w:val="3"/>
          <w:wAfter w:w="472" w:type="dxa"/>
          <w:trHeight w:val="300"/>
        </w:trPr>
        <w:tc>
          <w:tcPr>
            <w:tcW w:w="3708" w:type="dxa"/>
            <w:vMerge/>
            <w:tcBorders>
              <w:top w:val="nil"/>
              <w:bottom w:val="single" w:sz="4" w:space="0" w:color="auto"/>
            </w:tcBorders>
            <w:vAlign w:val="center"/>
            <w:hideMark/>
          </w:tcPr>
          <w:p w14:paraId="5C9AD852"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3B69BAB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Yes</w:t>
            </w:r>
          </w:p>
        </w:tc>
        <w:tc>
          <w:tcPr>
            <w:tcW w:w="1047" w:type="dxa"/>
            <w:tcBorders>
              <w:top w:val="nil"/>
              <w:bottom w:val="single" w:sz="4" w:space="0" w:color="auto"/>
            </w:tcBorders>
            <w:shd w:val="clear" w:color="auto" w:fill="auto"/>
            <w:vAlign w:val="center"/>
            <w:hideMark/>
          </w:tcPr>
          <w:p w14:paraId="622D2B7D"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766</w:t>
            </w:r>
          </w:p>
        </w:tc>
        <w:tc>
          <w:tcPr>
            <w:tcW w:w="1047" w:type="dxa"/>
            <w:tcBorders>
              <w:top w:val="nil"/>
              <w:bottom w:val="single" w:sz="4" w:space="0" w:color="auto"/>
            </w:tcBorders>
            <w:shd w:val="clear" w:color="auto" w:fill="auto"/>
            <w:vAlign w:val="center"/>
            <w:hideMark/>
          </w:tcPr>
          <w:p w14:paraId="79EA43E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11.2</w:t>
            </w:r>
          </w:p>
        </w:tc>
        <w:tc>
          <w:tcPr>
            <w:tcW w:w="1051" w:type="dxa"/>
            <w:vMerge/>
            <w:tcBorders>
              <w:top w:val="nil"/>
              <w:bottom w:val="single" w:sz="4" w:space="0" w:color="auto"/>
            </w:tcBorders>
            <w:vAlign w:val="center"/>
            <w:hideMark/>
          </w:tcPr>
          <w:p w14:paraId="2B3C11E5" w14:textId="77777777" w:rsidR="00AE6DF1" w:rsidRPr="00AE6DF1" w:rsidRDefault="00AE6DF1" w:rsidP="00966E61">
            <w:pPr>
              <w:spacing w:before="0" w:line="240" w:lineRule="auto"/>
              <w:rPr>
                <w:rFonts w:eastAsia="Times New Roman"/>
                <w:sz w:val="20"/>
                <w:szCs w:val="20"/>
              </w:rPr>
            </w:pPr>
          </w:p>
        </w:tc>
      </w:tr>
      <w:tr w:rsidR="00AE6DF1" w:rsidRPr="00104D36" w14:paraId="053A5A49"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1BD643FB"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Legal marital status</w:t>
            </w:r>
          </w:p>
        </w:tc>
        <w:tc>
          <w:tcPr>
            <w:tcW w:w="2835" w:type="dxa"/>
            <w:tcBorders>
              <w:top w:val="single" w:sz="4" w:space="0" w:color="auto"/>
            </w:tcBorders>
            <w:shd w:val="clear" w:color="auto" w:fill="auto"/>
            <w:vAlign w:val="center"/>
            <w:hideMark/>
          </w:tcPr>
          <w:p w14:paraId="05FABA0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Married/Civil Partner</w:t>
            </w:r>
          </w:p>
        </w:tc>
        <w:tc>
          <w:tcPr>
            <w:tcW w:w="1047" w:type="dxa"/>
            <w:tcBorders>
              <w:top w:val="single" w:sz="4" w:space="0" w:color="auto"/>
            </w:tcBorders>
            <w:shd w:val="clear" w:color="auto" w:fill="auto"/>
            <w:vAlign w:val="center"/>
            <w:hideMark/>
          </w:tcPr>
          <w:p w14:paraId="7EBF106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1,986</w:t>
            </w:r>
          </w:p>
        </w:tc>
        <w:tc>
          <w:tcPr>
            <w:tcW w:w="1047" w:type="dxa"/>
            <w:tcBorders>
              <w:top w:val="single" w:sz="4" w:space="0" w:color="auto"/>
            </w:tcBorders>
            <w:shd w:val="clear" w:color="auto" w:fill="auto"/>
            <w:vAlign w:val="center"/>
            <w:hideMark/>
          </w:tcPr>
          <w:p w14:paraId="02E44CC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8.5</w:t>
            </w:r>
          </w:p>
        </w:tc>
        <w:tc>
          <w:tcPr>
            <w:tcW w:w="1051" w:type="dxa"/>
            <w:vMerge w:val="restart"/>
            <w:tcBorders>
              <w:top w:val="single" w:sz="4" w:space="0" w:color="auto"/>
            </w:tcBorders>
            <w:shd w:val="clear" w:color="auto" w:fill="auto"/>
            <w:vAlign w:val="center"/>
            <w:hideMark/>
          </w:tcPr>
          <w:p w14:paraId="0B624BBB"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56BE78B5" w14:textId="77777777" w:rsidTr="00AE6DF1">
        <w:trPr>
          <w:gridAfter w:val="3"/>
          <w:wAfter w:w="472" w:type="dxa"/>
          <w:trHeight w:val="300"/>
        </w:trPr>
        <w:tc>
          <w:tcPr>
            <w:tcW w:w="3708" w:type="dxa"/>
            <w:vMerge/>
            <w:tcBorders>
              <w:top w:val="nil"/>
            </w:tcBorders>
            <w:vAlign w:val="center"/>
            <w:hideMark/>
          </w:tcPr>
          <w:p w14:paraId="2AA65D7D"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4B5D5C6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Separated/Divorced</w:t>
            </w:r>
          </w:p>
        </w:tc>
        <w:tc>
          <w:tcPr>
            <w:tcW w:w="1047" w:type="dxa"/>
            <w:tcBorders>
              <w:top w:val="nil"/>
            </w:tcBorders>
            <w:shd w:val="clear" w:color="auto" w:fill="auto"/>
            <w:vAlign w:val="center"/>
            <w:hideMark/>
          </w:tcPr>
          <w:p w14:paraId="57ADB22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331</w:t>
            </w:r>
          </w:p>
        </w:tc>
        <w:tc>
          <w:tcPr>
            <w:tcW w:w="1047" w:type="dxa"/>
            <w:tcBorders>
              <w:top w:val="nil"/>
            </w:tcBorders>
            <w:shd w:val="clear" w:color="auto" w:fill="auto"/>
            <w:vAlign w:val="center"/>
            <w:hideMark/>
          </w:tcPr>
          <w:p w14:paraId="3D9875D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15.7</w:t>
            </w:r>
          </w:p>
        </w:tc>
        <w:tc>
          <w:tcPr>
            <w:tcW w:w="1051" w:type="dxa"/>
            <w:vMerge/>
            <w:tcBorders>
              <w:top w:val="nil"/>
            </w:tcBorders>
            <w:vAlign w:val="center"/>
            <w:hideMark/>
          </w:tcPr>
          <w:p w14:paraId="1CEE3DC9" w14:textId="77777777" w:rsidR="00AE6DF1" w:rsidRPr="00AE6DF1" w:rsidRDefault="00AE6DF1" w:rsidP="00966E61">
            <w:pPr>
              <w:spacing w:before="0" w:line="240" w:lineRule="auto"/>
              <w:rPr>
                <w:rFonts w:eastAsia="Times New Roman"/>
                <w:sz w:val="20"/>
                <w:szCs w:val="20"/>
              </w:rPr>
            </w:pPr>
          </w:p>
        </w:tc>
      </w:tr>
      <w:tr w:rsidR="00AE6DF1" w:rsidRPr="00104D36" w14:paraId="0790B46D" w14:textId="77777777" w:rsidTr="00AE6DF1">
        <w:trPr>
          <w:gridAfter w:val="3"/>
          <w:wAfter w:w="472" w:type="dxa"/>
          <w:trHeight w:val="300"/>
        </w:trPr>
        <w:tc>
          <w:tcPr>
            <w:tcW w:w="3708" w:type="dxa"/>
            <w:vMerge/>
            <w:tcBorders>
              <w:top w:val="nil"/>
            </w:tcBorders>
            <w:vAlign w:val="center"/>
            <w:hideMark/>
          </w:tcPr>
          <w:p w14:paraId="6429A586"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2CBFE37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Widowed</w:t>
            </w:r>
          </w:p>
        </w:tc>
        <w:tc>
          <w:tcPr>
            <w:tcW w:w="1047" w:type="dxa"/>
            <w:tcBorders>
              <w:top w:val="nil"/>
            </w:tcBorders>
            <w:shd w:val="clear" w:color="auto" w:fill="auto"/>
            <w:vAlign w:val="center"/>
            <w:hideMark/>
          </w:tcPr>
          <w:p w14:paraId="58871C2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229</w:t>
            </w:r>
          </w:p>
        </w:tc>
        <w:tc>
          <w:tcPr>
            <w:tcW w:w="1047" w:type="dxa"/>
            <w:tcBorders>
              <w:top w:val="nil"/>
            </w:tcBorders>
            <w:shd w:val="clear" w:color="auto" w:fill="auto"/>
            <w:vAlign w:val="center"/>
            <w:hideMark/>
          </w:tcPr>
          <w:p w14:paraId="524F298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10.8</w:t>
            </w:r>
          </w:p>
        </w:tc>
        <w:tc>
          <w:tcPr>
            <w:tcW w:w="1051" w:type="dxa"/>
            <w:vMerge/>
            <w:tcBorders>
              <w:top w:val="nil"/>
            </w:tcBorders>
            <w:vAlign w:val="center"/>
            <w:hideMark/>
          </w:tcPr>
          <w:p w14:paraId="41F81BF2" w14:textId="77777777" w:rsidR="00AE6DF1" w:rsidRPr="00AE6DF1" w:rsidRDefault="00AE6DF1" w:rsidP="00966E61">
            <w:pPr>
              <w:spacing w:before="0" w:line="240" w:lineRule="auto"/>
              <w:rPr>
                <w:rFonts w:eastAsia="Times New Roman"/>
                <w:sz w:val="20"/>
                <w:szCs w:val="20"/>
              </w:rPr>
            </w:pPr>
          </w:p>
        </w:tc>
      </w:tr>
      <w:tr w:rsidR="00AE6DF1" w:rsidRPr="00104D36" w14:paraId="42ED3944" w14:textId="77777777" w:rsidTr="00AE6DF1">
        <w:trPr>
          <w:gridAfter w:val="3"/>
          <w:wAfter w:w="472" w:type="dxa"/>
          <w:trHeight w:val="300"/>
        </w:trPr>
        <w:tc>
          <w:tcPr>
            <w:tcW w:w="3708" w:type="dxa"/>
            <w:vMerge/>
            <w:tcBorders>
              <w:top w:val="nil"/>
            </w:tcBorders>
            <w:vAlign w:val="center"/>
            <w:hideMark/>
          </w:tcPr>
          <w:p w14:paraId="55665B3D"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2C7225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Single</w:t>
            </w:r>
          </w:p>
        </w:tc>
        <w:tc>
          <w:tcPr>
            <w:tcW w:w="1047" w:type="dxa"/>
            <w:tcBorders>
              <w:top w:val="nil"/>
            </w:tcBorders>
            <w:shd w:val="clear" w:color="auto" w:fill="auto"/>
            <w:vAlign w:val="center"/>
            <w:hideMark/>
          </w:tcPr>
          <w:p w14:paraId="3C7DC5D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130</w:t>
            </w:r>
          </w:p>
        </w:tc>
        <w:tc>
          <w:tcPr>
            <w:tcW w:w="1047" w:type="dxa"/>
            <w:tcBorders>
              <w:top w:val="nil"/>
            </w:tcBorders>
            <w:shd w:val="clear" w:color="auto" w:fill="auto"/>
            <w:vAlign w:val="center"/>
            <w:hideMark/>
          </w:tcPr>
          <w:p w14:paraId="401AA4B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12.3</w:t>
            </w:r>
          </w:p>
        </w:tc>
        <w:tc>
          <w:tcPr>
            <w:tcW w:w="1051" w:type="dxa"/>
            <w:vMerge/>
            <w:tcBorders>
              <w:top w:val="nil"/>
            </w:tcBorders>
            <w:vAlign w:val="center"/>
            <w:hideMark/>
          </w:tcPr>
          <w:p w14:paraId="592DC663" w14:textId="77777777" w:rsidR="00AE6DF1" w:rsidRPr="00AE6DF1" w:rsidRDefault="00AE6DF1" w:rsidP="00966E61">
            <w:pPr>
              <w:spacing w:before="0" w:line="240" w:lineRule="auto"/>
              <w:rPr>
                <w:rFonts w:eastAsia="Times New Roman"/>
                <w:sz w:val="20"/>
                <w:szCs w:val="20"/>
              </w:rPr>
            </w:pPr>
          </w:p>
        </w:tc>
      </w:tr>
      <w:tr w:rsidR="00AE6DF1" w:rsidRPr="00104D36" w14:paraId="677558CF" w14:textId="77777777" w:rsidTr="00AE6DF1">
        <w:trPr>
          <w:gridAfter w:val="3"/>
          <w:wAfter w:w="472" w:type="dxa"/>
          <w:trHeight w:val="300"/>
        </w:trPr>
        <w:tc>
          <w:tcPr>
            <w:tcW w:w="3708" w:type="dxa"/>
            <w:vMerge/>
            <w:tcBorders>
              <w:top w:val="nil"/>
              <w:bottom w:val="single" w:sz="4" w:space="0" w:color="auto"/>
            </w:tcBorders>
            <w:vAlign w:val="center"/>
            <w:hideMark/>
          </w:tcPr>
          <w:p w14:paraId="21BAC17E"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149DC5CF"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Other</w:t>
            </w:r>
          </w:p>
        </w:tc>
        <w:tc>
          <w:tcPr>
            <w:tcW w:w="1047" w:type="dxa"/>
            <w:tcBorders>
              <w:top w:val="nil"/>
              <w:bottom w:val="single" w:sz="4" w:space="0" w:color="auto"/>
            </w:tcBorders>
            <w:shd w:val="clear" w:color="auto" w:fill="auto"/>
            <w:vAlign w:val="center"/>
            <w:hideMark/>
          </w:tcPr>
          <w:p w14:paraId="03BA512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55</w:t>
            </w:r>
          </w:p>
        </w:tc>
        <w:tc>
          <w:tcPr>
            <w:tcW w:w="1047" w:type="dxa"/>
            <w:tcBorders>
              <w:top w:val="nil"/>
              <w:bottom w:val="single" w:sz="4" w:space="0" w:color="auto"/>
            </w:tcBorders>
            <w:shd w:val="clear" w:color="auto" w:fill="auto"/>
            <w:vAlign w:val="center"/>
            <w:hideMark/>
          </w:tcPr>
          <w:p w14:paraId="1DC8B69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14.4</w:t>
            </w:r>
          </w:p>
        </w:tc>
        <w:tc>
          <w:tcPr>
            <w:tcW w:w="1051" w:type="dxa"/>
            <w:vMerge/>
            <w:tcBorders>
              <w:top w:val="nil"/>
              <w:bottom w:val="single" w:sz="4" w:space="0" w:color="auto"/>
            </w:tcBorders>
            <w:vAlign w:val="center"/>
            <w:hideMark/>
          </w:tcPr>
          <w:p w14:paraId="38117BC6" w14:textId="77777777" w:rsidR="00AE6DF1" w:rsidRPr="00AE6DF1" w:rsidRDefault="00AE6DF1" w:rsidP="00966E61">
            <w:pPr>
              <w:spacing w:before="0" w:line="240" w:lineRule="auto"/>
              <w:rPr>
                <w:rFonts w:eastAsia="Times New Roman"/>
                <w:sz w:val="20"/>
                <w:szCs w:val="20"/>
              </w:rPr>
            </w:pPr>
          </w:p>
        </w:tc>
      </w:tr>
      <w:tr w:rsidR="00AE6DF1" w:rsidRPr="00104D36" w14:paraId="6B254693"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1BDCD9BD"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Employment status</w:t>
            </w:r>
          </w:p>
        </w:tc>
        <w:tc>
          <w:tcPr>
            <w:tcW w:w="2835" w:type="dxa"/>
            <w:tcBorders>
              <w:top w:val="single" w:sz="4" w:space="0" w:color="auto"/>
            </w:tcBorders>
            <w:shd w:val="clear" w:color="auto" w:fill="auto"/>
            <w:vAlign w:val="center"/>
            <w:hideMark/>
          </w:tcPr>
          <w:p w14:paraId="0299E7A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Employed</w:t>
            </w:r>
          </w:p>
        </w:tc>
        <w:tc>
          <w:tcPr>
            <w:tcW w:w="1047" w:type="dxa"/>
            <w:tcBorders>
              <w:top w:val="single" w:sz="4" w:space="0" w:color="auto"/>
            </w:tcBorders>
            <w:shd w:val="clear" w:color="auto" w:fill="auto"/>
            <w:vAlign w:val="center"/>
            <w:hideMark/>
          </w:tcPr>
          <w:p w14:paraId="6558A9C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376</w:t>
            </w:r>
          </w:p>
        </w:tc>
        <w:tc>
          <w:tcPr>
            <w:tcW w:w="1047" w:type="dxa"/>
            <w:tcBorders>
              <w:top w:val="single" w:sz="4" w:space="0" w:color="auto"/>
            </w:tcBorders>
            <w:shd w:val="clear" w:color="auto" w:fill="auto"/>
            <w:vAlign w:val="center"/>
            <w:hideMark/>
          </w:tcPr>
          <w:p w14:paraId="1576861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6.3</w:t>
            </w:r>
          </w:p>
        </w:tc>
        <w:tc>
          <w:tcPr>
            <w:tcW w:w="1051" w:type="dxa"/>
            <w:vMerge w:val="restart"/>
            <w:tcBorders>
              <w:top w:val="single" w:sz="4" w:space="0" w:color="auto"/>
            </w:tcBorders>
            <w:shd w:val="clear" w:color="auto" w:fill="auto"/>
            <w:vAlign w:val="center"/>
            <w:hideMark/>
          </w:tcPr>
          <w:p w14:paraId="7F034425"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6FCB6359" w14:textId="77777777" w:rsidTr="00AE6DF1">
        <w:trPr>
          <w:gridAfter w:val="3"/>
          <w:wAfter w:w="472" w:type="dxa"/>
          <w:trHeight w:val="300"/>
        </w:trPr>
        <w:tc>
          <w:tcPr>
            <w:tcW w:w="3708" w:type="dxa"/>
            <w:vMerge/>
            <w:tcBorders>
              <w:top w:val="nil"/>
            </w:tcBorders>
            <w:vAlign w:val="center"/>
            <w:hideMark/>
          </w:tcPr>
          <w:p w14:paraId="1011729C"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0866923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Unemployed</w:t>
            </w:r>
          </w:p>
        </w:tc>
        <w:tc>
          <w:tcPr>
            <w:tcW w:w="1047" w:type="dxa"/>
            <w:tcBorders>
              <w:top w:val="nil"/>
            </w:tcBorders>
            <w:shd w:val="clear" w:color="auto" w:fill="auto"/>
            <w:vAlign w:val="center"/>
            <w:hideMark/>
          </w:tcPr>
          <w:p w14:paraId="6204A6D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343</w:t>
            </w:r>
          </w:p>
        </w:tc>
        <w:tc>
          <w:tcPr>
            <w:tcW w:w="1047" w:type="dxa"/>
            <w:tcBorders>
              <w:top w:val="nil"/>
            </w:tcBorders>
            <w:shd w:val="clear" w:color="auto" w:fill="auto"/>
            <w:vAlign w:val="center"/>
            <w:hideMark/>
          </w:tcPr>
          <w:p w14:paraId="6780816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58.9</w:t>
            </w:r>
          </w:p>
        </w:tc>
        <w:tc>
          <w:tcPr>
            <w:tcW w:w="1051" w:type="dxa"/>
            <w:vMerge/>
            <w:tcBorders>
              <w:top w:val="nil"/>
            </w:tcBorders>
            <w:vAlign w:val="center"/>
            <w:hideMark/>
          </w:tcPr>
          <w:p w14:paraId="47F158AF" w14:textId="77777777" w:rsidR="00AE6DF1" w:rsidRPr="00AE6DF1" w:rsidRDefault="00AE6DF1" w:rsidP="00966E61">
            <w:pPr>
              <w:spacing w:before="0" w:line="240" w:lineRule="auto"/>
              <w:rPr>
                <w:rFonts w:eastAsia="Times New Roman"/>
                <w:sz w:val="20"/>
                <w:szCs w:val="20"/>
              </w:rPr>
            </w:pPr>
          </w:p>
        </w:tc>
      </w:tr>
      <w:tr w:rsidR="00AE6DF1" w:rsidRPr="00104D36" w14:paraId="412A0748" w14:textId="77777777" w:rsidTr="00AE6DF1">
        <w:trPr>
          <w:gridAfter w:val="3"/>
          <w:wAfter w:w="472" w:type="dxa"/>
          <w:trHeight w:val="300"/>
        </w:trPr>
        <w:tc>
          <w:tcPr>
            <w:tcW w:w="3708" w:type="dxa"/>
            <w:vMerge/>
            <w:tcBorders>
              <w:top w:val="nil"/>
            </w:tcBorders>
            <w:vAlign w:val="center"/>
            <w:hideMark/>
          </w:tcPr>
          <w:p w14:paraId="68AF47EA"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2766BC2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Retired</w:t>
            </w:r>
          </w:p>
        </w:tc>
        <w:tc>
          <w:tcPr>
            <w:tcW w:w="1047" w:type="dxa"/>
            <w:tcBorders>
              <w:top w:val="nil"/>
            </w:tcBorders>
            <w:shd w:val="clear" w:color="auto" w:fill="auto"/>
            <w:vAlign w:val="center"/>
            <w:hideMark/>
          </w:tcPr>
          <w:p w14:paraId="2B4C8CA4"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1,928</w:t>
            </w:r>
          </w:p>
        </w:tc>
        <w:tc>
          <w:tcPr>
            <w:tcW w:w="1047" w:type="dxa"/>
            <w:tcBorders>
              <w:top w:val="nil"/>
            </w:tcBorders>
            <w:shd w:val="clear" w:color="auto" w:fill="auto"/>
            <w:vAlign w:val="center"/>
            <w:hideMark/>
          </w:tcPr>
          <w:p w14:paraId="32BC481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8.8</w:t>
            </w:r>
          </w:p>
        </w:tc>
        <w:tc>
          <w:tcPr>
            <w:tcW w:w="1051" w:type="dxa"/>
            <w:vMerge/>
            <w:tcBorders>
              <w:top w:val="nil"/>
            </w:tcBorders>
            <w:vAlign w:val="center"/>
            <w:hideMark/>
          </w:tcPr>
          <w:p w14:paraId="7C25A1DE" w14:textId="77777777" w:rsidR="00AE6DF1" w:rsidRPr="00AE6DF1" w:rsidRDefault="00AE6DF1" w:rsidP="00966E61">
            <w:pPr>
              <w:spacing w:before="0" w:line="240" w:lineRule="auto"/>
              <w:rPr>
                <w:rFonts w:eastAsia="Times New Roman"/>
                <w:sz w:val="20"/>
                <w:szCs w:val="20"/>
              </w:rPr>
            </w:pPr>
          </w:p>
        </w:tc>
      </w:tr>
      <w:tr w:rsidR="00AE6DF1" w:rsidRPr="00104D36" w14:paraId="7D919F7A" w14:textId="77777777" w:rsidTr="00AE6DF1">
        <w:trPr>
          <w:gridAfter w:val="3"/>
          <w:wAfter w:w="472" w:type="dxa"/>
          <w:trHeight w:val="300"/>
        </w:trPr>
        <w:tc>
          <w:tcPr>
            <w:tcW w:w="3708" w:type="dxa"/>
            <w:vMerge/>
            <w:tcBorders>
              <w:top w:val="nil"/>
              <w:bottom w:val="single" w:sz="4" w:space="0" w:color="auto"/>
            </w:tcBorders>
            <w:vAlign w:val="center"/>
            <w:hideMark/>
          </w:tcPr>
          <w:p w14:paraId="046636A4"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604AF11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Other</w:t>
            </w:r>
          </w:p>
        </w:tc>
        <w:tc>
          <w:tcPr>
            <w:tcW w:w="1047" w:type="dxa"/>
            <w:tcBorders>
              <w:top w:val="nil"/>
              <w:bottom w:val="single" w:sz="4" w:space="0" w:color="auto"/>
            </w:tcBorders>
            <w:shd w:val="clear" w:color="auto" w:fill="auto"/>
            <w:vAlign w:val="center"/>
            <w:hideMark/>
          </w:tcPr>
          <w:p w14:paraId="3610E6F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36</w:t>
            </w:r>
          </w:p>
        </w:tc>
        <w:tc>
          <w:tcPr>
            <w:tcW w:w="1047" w:type="dxa"/>
            <w:tcBorders>
              <w:top w:val="nil"/>
              <w:bottom w:val="single" w:sz="4" w:space="0" w:color="auto"/>
            </w:tcBorders>
            <w:shd w:val="clear" w:color="auto" w:fill="auto"/>
            <w:vAlign w:val="center"/>
            <w:hideMark/>
          </w:tcPr>
          <w:p w14:paraId="4178534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17.4</w:t>
            </w:r>
          </w:p>
        </w:tc>
        <w:tc>
          <w:tcPr>
            <w:tcW w:w="1051" w:type="dxa"/>
            <w:vMerge/>
            <w:tcBorders>
              <w:top w:val="nil"/>
              <w:bottom w:val="single" w:sz="4" w:space="0" w:color="auto"/>
            </w:tcBorders>
            <w:vAlign w:val="center"/>
            <w:hideMark/>
          </w:tcPr>
          <w:p w14:paraId="401F1585" w14:textId="77777777" w:rsidR="00AE6DF1" w:rsidRPr="00AE6DF1" w:rsidRDefault="00AE6DF1" w:rsidP="00966E61">
            <w:pPr>
              <w:spacing w:before="0" w:line="240" w:lineRule="auto"/>
              <w:rPr>
                <w:rFonts w:eastAsia="Times New Roman"/>
                <w:sz w:val="20"/>
                <w:szCs w:val="20"/>
              </w:rPr>
            </w:pPr>
          </w:p>
        </w:tc>
      </w:tr>
      <w:tr w:rsidR="00AE6DF1" w:rsidRPr="00104D36" w14:paraId="48E66124"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56A00A2C"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Body Mass Index (Kg/m</w:t>
            </w:r>
            <w:r w:rsidRPr="00AE6DF1">
              <w:rPr>
                <w:rFonts w:eastAsia="Times New Roman"/>
                <w:b/>
                <w:bCs/>
                <w:sz w:val="20"/>
                <w:szCs w:val="20"/>
                <w:vertAlign w:val="superscript"/>
              </w:rPr>
              <w:t>2</w:t>
            </w:r>
            <w:r w:rsidRPr="00AE6DF1">
              <w:rPr>
                <w:rFonts w:eastAsia="Times New Roman"/>
                <w:b/>
                <w:bCs/>
                <w:sz w:val="20"/>
                <w:szCs w:val="20"/>
              </w:rPr>
              <w:t>)</w:t>
            </w:r>
          </w:p>
        </w:tc>
        <w:tc>
          <w:tcPr>
            <w:tcW w:w="2835" w:type="dxa"/>
            <w:tcBorders>
              <w:top w:val="single" w:sz="4" w:space="0" w:color="auto"/>
            </w:tcBorders>
            <w:shd w:val="clear" w:color="auto" w:fill="auto"/>
            <w:vAlign w:val="center"/>
            <w:hideMark/>
          </w:tcPr>
          <w:p w14:paraId="54B327C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&lt;25</w:t>
            </w:r>
          </w:p>
        </w:tc>
        <w:tc>
          <w:tcPr>
            <w:tcW w:w="1047" w:type="dxa"/>
            <w:tcBorders>
              <w:top w:val="single" w:sz="4" w:space="0" w:color="auto"/>
            </w:tcBorders>
            <w:shd w:val="clear" w:color="auto" w:fill="auto"/>
            <w:vAlign w:val="center"/>
            <w:hideMark/>
          </w:tcPr>
          <w:p w14:paraId="7808F4E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623</w:t>
            </w:r>
          </w:p>
        </w:tc>
        <w:tc>
          <w:tcPr>
            <w:tcW w:w="1047" w:type="dxa"/>
            <w:tcBorders>
              <w:top w:val="single" w:sz="4" w:space="0" w:color="auto"/>
            </w:tcBorders>
            <w:shd w:val="clear" w:color="auto" w:fill="auto"/>
            <w:vAlign w:val="center"/>
            <w:hideMark/>
          </w:tcPr>
          <w:p w14:paraId="0AA8EB7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7.41</w:t>
            </w:r>
          </w:p>
        </w:tc>
        <w:tc>
          <w:tcPr>
            <w:tcW w:w="1051" w:type="dxa"/>
            <w:vMerge w:val="restart"/>
            <w:tcBorders>
              <w:top w:val="single" w:sz="4" w:space="0" w:color="auto"/>
            </w:tcBorders>
            <w:shd w:val="clear" w:color="auto" w:fill="auto"/>
            <w:vAlign w:val="center"/>
            <w:hideMark/>
          </w:tcPr>
          <w:p w14:paraId="0D5DCCBC"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2A0A154C" w14:textId="77777777" w:rsidTr="00AE6DF1">
        <w:trPr>
          <w:gridAfter w:val="3"/>
          <w:wAfter w:w="472" w:type="dxa"/>
          <w:trHeight w:val="300"/>
        </w:trPr>
        <w:tc>
          <w:tcPr>
            <w:tcW w:w="3708" w:type="dxa"/>
            <w:vMerge/>
            <w:tcBorders>
              <w:top w:val="nil"/>
            </w:tcBorders>
            <w:vAlign w:val="center"/>
            <w:hideMark/>
          </w:tcPr>
          <w:p w14:paraId="49296FA1"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5AC4D4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25-30</w:t>
            </w:r>
          </w:p>
        </w:tc>
        <w:tc>
          <w:tcPr>
            <w:tcW w:w="1047" w:type="dxa"/>
            <w:tcBorders>
              <w:top w:val="nil"/>
            </w:tcBorders>
            <w:shd w:val="clear" w:color="auto" w:fill="auto"/>
            <w:vAlign w:val="center"/>
            <w:hideMark/>
          </w:tcPr>
          <w:p w14:paraId="4E1C815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1,005</w:t>
            </w:r>
          </w:p>
        </w:tc>
        <w:tc>
          <w:tcPr>
            <w:tcW w:w="1047" w:type="dxa"/>
            <w:tcBorders>
              <w:top w:val="nil"/>
            </w:tcBorders>
            <w:shd w:val="clear" w:color="auto" w:fill="auto"/>
            <w:vAlign w:val="center"/>
            <w:hideMark/>
          </w:tcPr>
          <w:p w14:paraId="3699DDF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7.66</w:t>
            </w:r>
          </w:p>
        </w:tc>
        <w:tc>
          <w:tcPr>
            <w:tcW w:w="1051" w:type="dxa"/>
            <w:vMerge/>
            <w:tcBorders>
              <w:top w:val="nil"/>
            </w:tcBorders>
            <w:vAlign w:val="center"/>
            <w:hideMark/>
          </w:tcPr>
          <w:p w14:paraId="47E40E0A" w14:textId="77777777" w:rsidR="00AE6DF1" w:rsidRPr="00AE6DF1" w:rsidRDefault="00AE6DF1" w:rsidP="00966E61">
            <w:pPr>
              <w:spacing w:before="0" w:line="240" w:lineRule="auto"/>
              <w:rPr>
                <w:rFonts w:eastAsia="Times New Roman"/>
                <w:sz w:val="20"/>
                <w:szCs w:val="20"/>
              </w:rPr>
            </w:pPr>
          </w:p>
        </w:tc>
      </w:tr>
      <w:tr w:rsidR="00AE6DF1" w:rsidRPr="00104D36" w14:paraId="6823D899" w14:textId="77777777" w:rsidTr="00AE6DF1">
        <w:trPr>
          <w:gridAfter w:val="3"/>
          <w:wAfter w:w="472" w:type="dxa"/>
          <w:trHeight w:val="300"/>
        </w:trPr>
        <w:tc>
          <w:tcPr>
            <w:tcW w:w="3708" w:type="dxa"/>
            <w:vMerge/>
            <w:tcBorders>
              <w:top w:val="nil"/>
              <w:bottom w:val="single" w:sz="4" w:space="0" w:color="auto"/>
            </w:tcBorders>
            <w:vAlign w:val="center"/>
            <w:hideMark/>
          </w:tcPr>
          <w:p w14:paraId="5FDFC45F"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267D607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&gt;30</w:t>
            </w:r>
          </w:p>
        </w:tc>
        <w:tc>
          <w:tcPr>
            <w:tcW w:w="1047" w:type="dxa"/>
            <w:tcBorders>
              <w:top w:val="nil"/>
              <w:bottom w:val="single" w:sz="4" w:space="0" w:color="auto"/>
            </w:tcBorders>
            <w:shd w:val="clear" w:color="auto" w:fill="auto"/>
            <w:vAlign w:val="center"/>
            <w:hideMark/>
          </w:tcPr>
          <w:p w14:paraId="32EA2A3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824</w:t>
            </w:r>
          </w:p>
        </w:tc>
        <w:tc>
          <w:tcPr>
            <w:tcW w:w="1047" w:type="dxa"/>
            <w:tcBorders>
              <w:top w:val="nil"/>
              <w:bottom w:val="single" w:sz="4" w:space="0" w:color="auto"/>
            </w:tcBorders>
            <w:shd w:val="clear" w:color="auto" w:fill="auto"/>
            <w:vAlign w:val="center"/>
            <w:hideMark/>
          </w:tcPr>
          <w:p w14:paraId="5C62654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14.41</w:t>
            </w:r>
          </w:p>
        </w:tc>
        <w:tc>
          <w:tcPr>
            <w:tcW w:w="1051" w:type="dxa"/>
            <w:vMerge/>
            <w:tcBorders>
              <w:top w:val="nil"/>
              <w:bottom w:val="single" w:sz="4" w:space="0" w:color="auto"/>
            </w:tcBorders>
            <w:vAlign w:val="center"/>
            <w:hideMark/>
          </w:tcPr>
          <w:p w14:paraId="45D46B2D" w14:textId="77777777" w:rsidR="00AE6DF1" w:rsidRPr="00AE6DF1" w:rsidRDefault="00AE6DF1" w:rsidP="00966E61">
            <w:pPr>
              <w:spacing w:before="0" w:line="240" w:lineRule="auto"/>
              <w:rPr>
                <w:rFonts w:eastAsia="Times New Roman"/>
                <w:sz w:val="20"/>
                <w:szCs w:val="20"/>
              </w:rPr>
            </w:pPr>
          </w:p>
        </w:tc>
      </w:tr>
      <w:tr w:rsidR="00AE6DF1" w:rsidRPr="00104D36" w14:paraId="0406785B" w14:textId="77777777" w:rsidTr="00AE6DF1">
        <w:trPr>
          <w:gridAfter w:val="3"/>
          <w:wAfter w:w="472" w:type="dxa"/>
          <w:trHeight w:val="300"/>
        </w:trPr>
        <w:tc>
          <w:tcPr>
            <w:tcW w:w="3708" w:type="dxa"/>
            <w:vMerge w:val="restart"/>
            <w:tcBorders>
              <w:top w:val="single" w:sz="4" w:space="0" w:color="auto"/>
            </w:tcBorders>
            <w:shd w:val="clear" w:color="auto" w:fill="auto"/>
            <w:vAlign w:val="center"/>
            <w:hideMark/>
          </w:tcPr>
          <w:p w14:paraId="42395C91"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Stage</w:t>
            </w:r>
          </w:p>
        </w:tc>
        <w:tc>
          <w:tcPr>
            <w:tcW w:w="2835" w:type="dxa"/>
            <w:tcBorders>
              <w:top w:val="single" w:sz="4" w:space="0" w:color="auto"/>
            </w:tcBorders>
            <w:shd w:val="clear" w:color="auto" w:fill="auto"/>
            <w:vAlign w:val="center"/>
            <w:hideMark/>
          </w:tcPr>
          <w:p w14:paraId="2DA1119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I /II</w:t>
            </w:r>
          </w:p>
        </w:tc>
        <w:tc>
          <w:tcPr>
            <w:tcW w:w="1047" w:type="dxa"/>
            <w:tcBorders>
              <w:top w:val="single" w:sz="4" w:space="0" w:color="auto"/>
            </w:tcBorders>
            <w:shd w:val="clear" w:color="auto" w:fill="auto"/>
            <w:vAlign w:val="center"/>
            <w:hideMark/>
          </w:tcPr>
          <w:p w14:paraId="172CFC24"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1,331</w:t>
            </w:r>
          </w:p>
        </w:tc>
        <w:tc>
          <w:tcPr>
            <w:tcW w:w="1047" w:type="dxa"/>
            <w:tcBorders>
              <w:top w:val="single" w:sz="4" w:space="0" w:color="auto"/>
            </w:tcBorders>
            <w:shd w:val="clear" w:color="auto" w:fill="auto"/>
            <w:vAlign w:val="center"/>
            <w:hideMark/>
          </w:tcPr>
          <w:p w14:paraId="33D1B79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8.1</w:t>
            </w:r>
          </w:p>
        </w:tc>
        <w:tc>
          <w:tcPr>
            <w:tcW w:w="1051" w:type="dxa"/>
            <w:vMerge w:val="restart"/>
            <w:tcBorders>
              <w:top w:val="single" w:sz="4" w:space="0" w:color="auto"/>
            </w:tcBorders>
            <w:shd w:val="clear" w:color="auto" w:fill="auto"/>
            <w:vAlign w:val="center"/>
            <w:hideMark/>
          </w:tcPr>
          <w:p w14:paraId="0F7CCC6A"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144BA644" w14:textId="77777777" w:rsidTr="00AE6DF1">
        <w:trPr>
          <w:gridAfter w:val="3"/>
          <w:wAfter w:w="472" w:type="dxa"/>
          <w:trHeight w:val="300"/>
        </w:trPr>
        <w:tc>
          <w:tcPr>
            <w:tcW w:w="3708" w:type="dxa"/>
            <w:vMerge/>
            <w:tcBorders>
              <w:top w:val="nil"/>
            </w:tcBorders>
            <w:vAlign w:val="center"/>
            <w:hideMark/>
          </w:tcPr>
          <w:p w14:paraId="0743F6B5"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55C215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III</w:t>
            </w:r>
          </w:p>
        </w:tc>
        <w:tc>
          <w:tcPr>
            <w:tcW w:w="1047" w:type="dxa"/>
            <w:tcBorders>
              <w:top w:val="nil"/>
            </w:tcBorders>
            <w:shd w:val="clear" w:color="auto" w:fill="auto"/>
            <w:vAlign w:val="center"/>
            <w:hideMark/>
          </w:tcPr>
          <w:p w14:paraId="4A78118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548</w:t>
            </w:r>
          </w:p>
        </w:tc>
        <w:tc>
          <w:tcPr>
            <w:tcW w:w="1047" w:type="dxa"/>
            <w:tcBorders>
              <w:top w:val="nil"/>
            </w:tcBorders>
            <w:shd w:val="clear" w:color="auto" w:fill="auto"/>
            <w:vAlign w:val="center"/>
            <w:hideMark/>
          </w:tcPr>
          <w:p w14:paraId="7B45126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9.4</w:t>
            </w:r>
          </w:p>
        </w:tc>
        <w:tc>
          <w:tcPr>
            <w:tcW w:w="1051" w:type="dxa"/>
            <w:vMerge/>
            <w:tcBorders>
              <w:top w:val="nil"/>
            </w:tcBorders>
            <w:vAlign w:val="center"/>
            <w:hideMark/>
          </w:tcPr>
          <w:p w14:paraId="23DEDEC5" w14:textId="77777777" w:rsidR="00AE6DF1" w:rsidRPr="00AE6DF1" w:rsidRDefault="00AE6DF1" w:rsidP="00966E61">
            <w:pPr>
              <w:spacing w:before="0" w:line="240" w:lineRule="auto"/>
              <w:rPr>
                <w:rFonts w:eastAsia="Times New Roman"/>
                <w:sz w:val="20"/>
                <w:szCs w:val="20"/>
              </w:rPr>
            </w:pPr>
          </w:p>
        </w:tc>
      </w:tr>
      <w:tr w:rsidR="00AE6DF1" w:rsidRPr="00104D36" w14:paraId="5F549661" w14:textId="77777777" w:rsidTr="00AE6DF1">
        <w:trPr>
          <w:gridAfter w:val="3"/>
          <w:wAfter w:w="472" w:type="dxa"/>
          <w:trHeight w:val="300"/>
        </w:trPr>
        <w:tc>
          <w:tcPr>
            <w:tcW w:w="3708" w:type="dxa"/>
            <w:vMerge/>
            <w:tcBorders>
              <w:top w:val="nil"/>
              <w:bottom w:val="single" w:sz="4" w:space="0" w:color="auto"/>
            </w:tcBorders>
            <w:vAlign w:val="center"/>
            <w:hideMark/>
          </w:tcPr>
          <w:p w14:paraId="3536388C"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7C24356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IV</w:t>
            </w:r>
          </w:p>
        </w:tc>
        <w:tc>
          <w:tcPr>
            <w:tcW w:w="1047" w:type="dxa"/>
            <w:tcBorders>
              <w:top w:val="nil"/>
              <w:bottom w:val="single" w:sz="4" w:space="0" w:color="auto"/>
            </w:tcBorders>
            <w:shd w:val="clear" w:color="auto" w:fill="auto"/>
            <w:vAlign w:val="center"/>
            <w:hideMark/>
          </w:tcPr>
          <w:p w14:paraId="142111B3"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489</w:t>
            </w:r>
          </w:p>
        </w:tc>
        <w:tc>
          <w:tcPr>
            <w:tcW w:w="1047" w:type="dxa"/>
            <w:tcBorders>
              <w:top w:val="nil"/>
              <w:bottom w:val="single" w:sz="4" w:space="0" w:color="auto"/>
            </w:tcBorders>
            <w:shd w:val="clear" w:color="auto" w:fill="auto"/>
            <w:vAlign w:val="center"/>
            <w:hideMark/>
          </w:tcPr>
          <w:p w14:paraId="53B0C7E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15.5</w:t>
            </w:r>
          </w:p>
        </w:tc>
        <w:tc>
          <w:tcPr>
            <w:tcW w:w="1051" w:type="dxa"/>
            <w:vMerge/>
            <w:tcBorders>
              <w:top w:val="nil"/>
              <w:bottom w:val="single" w:sz="4" w:space="0" w:color="auto"/>
            </w:tcBorders>
            <w:vAlign w:val="center"/>
            <w:hideMark/>
          </w:tcPr>
          <w:p w14:paraId="3FF10A5C" w14:textId="77777777" w:rsidR="00AE6DF1" w:rsidRPr="00AE6DF1" w:rsidRDefault="00AE6DF1" w:rsidP="00966E61">
            <w:pPr>
              <w:spacing w:before="0" w:line="240" w:lineRule="auto"/>
              <w:rPr>
                <w:rFonts w:eastAsia="Times New Roman"/>
                <w:sz w:val="20"/>
                <w:szCs w:val="20"/>
              </w:rPr>
            </w:pPr>
          </w:p>
        </w:tc>
      </w:tr>
      <w:tr w:rsidR="00AE6DF1" w:rsidRPr="00104D36" w14:paraId="0B9A4599" w14:textId="77777777" w:rsidTr="00AE6DF1">
        <w:trPr>
          <w:gridAfter w:val="3"/>
          <w:wAfter w:w="472" w:type="dxa"/>
          <w:trHeight w:val="300"/>
        </w:trPr>
        <w:tc>
          <w:tcPr>
            <w:tcW w:w="3708" w:type="dxa"/>
            <w:vMerge w:val="restart"/>
            <w:tcBorders>
              <w:top w:val="single" w:sz="4" w:space="0" w:color="auto"/>
            </w:tcBorders>
            <w:shd w:val="clear" w:color="auto" w:fill="auto"/>
            <w:noWrap/>
            <w:vAlign w:val="center"/>
            <w:hideMark/>
          </w:tcPr>
          <w:p w14:paraId="4B19F5FB" w14:textId="77777777" w:rsidR="00AE6DF1" w:rsidRPr="00AE6DF1" w:rsidRDefault="00AE6DF1" w:rsidP="00966E61">
            <w:pPr>
              <w:spacing w:before="0" w:line="240" w:lineRule="auto"/>
              <w:jc w:val="right"/>
              <w:rPr>
                <w:rFonts w:eastAsia="Times New Roman"/>
                <w:b/>
                <w:bCs/>
                <w:sz w:val="20"/>
                <w:szCs w:val="20"/>
              </w:rPr>
            </w:pPr>
            <w:r w:rsidRPr="00AE6DF1">
              <w:rPr>
                <w:rFonts w:eastAsia="Times New Roman"/>
                <w:b/>
                <w:bCs/>
                <w:sz w:val="20"/>
                <w:szCs w:val="20"/>
              </w:rPr>
              <w:t>Treatment</w:t>
            </w:r>
          </w:p>
        </w:tc>
        <w:tc>
          <w:tcPr>
            <w:tcW w:w="2835" w:type="dxa"/>
            <w:tcBorders>
              <w:top w:val="single" w:sz="4" w:space="0" w:color="auto"/>
            </w:tcBorders>
            <w:shd w:val="clear" w:color="auto" w:fill="auto"/>
            <w:vAlign w:val="center"/>
            <w:hideMark/>
          </w:tcPr>
          <w:p w14:paraId="3DFE89D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Active surveillance</w:t>
            </w:r>
          </w:p>
        </w:tc>
        <w:tc>
          <w:tcPr>
            <w:tcW w:w="1047" w:type="dxa"/>
            <w:tcBorders>
              <w:top w:val="single" w:sz="4" w:space="0" w:color="auto"/>
            </w:tcBorders>
            <w:shd w:val="clear" w:color="auto" w:fill="auto"/>
            <w:vAlign w:val="center"/>
            <w:hideMark/>
          </w:tcPr>
          <w:p w14:paraId="68FB711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188</w:t>
            </w:r>
          </w:p>
        </w:tc>
        <w:tc>
          <w:tcPr>
            <w:tcW w:w="1047" w:type="dxa"/>
            <w:tcBorders>
              <w:top w:val="single" w:sz="4" w:space="0" w:color="auto"/>
            </w:tcBorders>
            <w:shd w:val="clear" w:color="auto" w:fill="auto"/>
            <w:vAlign w:val="center"/>
            <w:hideMark/>
          </w:tcPr>
          <w:p w14:paraId="112DA991"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6.6</w:t>
            </w:r>
          </w:p>
        </w:tc>
        <w:tc>
          <w:tcPr>
            <w:tcW w:w="1051" w:type="dxa"/>
            <w:vMerge w:val="restart"/>
            <w:tcBorders>
              <w:top w:val="single" w:sz="4" w:space="0" w:color="auto"/>
            </w:tcBorders>
            <w:shd w:val="clear" w:color="auto" w:fill="auto"/>
            <w:vAlign w:val="center"/>
            <w:hideMark/>
          </w:tcPr>
          <w:p w14:paraId="1FCED3FA" w14:textId="77777777" w:rsidR="00AE6DF1" w:rsidRPr="00AE6DF1" w:rsidRDefault="00AE6DF1" w:rsidP="00966E61">
            <w:pPr>
              <w:spacing w:before="0" w:line="240" w:lineRule="auto"/>
              <w:jc w:val="center"/>
              <w:rPr>
                <w:rFonts w:eastAsia="Times New Roman"/>
                <w:sz w:val="20"/>
                <w:szCs w:val="20"/>
              </w:rPr>
            </w:pPr>
            <w:r w:rsidRPr="00AE6DF1">
              <w:rPr>
                <w:rFonts w:eastAsia="Times New Roman"/>
                <w:sz w:val="20"/>
                <w:szCs w:val="20"/>
              </w:rPr>
              <w:t>&lt;0.01</w:t>
            </w:r>
          </w:p>
        </w:tc>
      </w:tr>
      <w:tr w:rsidR="00AE6DF1" w:rsidRPr="00104D36" w14:paraId="5D7C0B7A" w14:textId="77777777" w:rsidTr="00AE6DF1">
        <w:trPr>
          <w:gridAfter w:val="3"/>
          <w:wAfter w:w="472" w:type="dxa"/>
          <w:trHeight w:val="300"/>
        </w:trPr>
        <w:tc>
          <w:tcPr>
            <w:tcW w:w="3708" w:type="dxa"/>
            <w:vMerge/>
            <w:tcBorders>
              <w:top w:val="nil"/>
            </w:tcBorders>
            <w:vAlign w:val="center"/>
            <w:hideMark/>
          </w:tcPr>
          <w:p w14:paraId="386CA399"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3ACCF41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Surgery alone</w:t>
            </w:r>
          </w:p>
        </w:tc>
        <w:tc>
          <w:tcPr>
            <w:tcW w:w="1047" w:type="dxa"/>
            <w:tcBorders>
              <w:top w:val="nil"/>
            </w:tcBorders>
            <w:shd w:val="clear" w:color="auto" w:fill="auto"/>
            <w:vAlign w:val="center"/>
            <w:hideMark/>
          </w:tcPr>
          <w:p w14:paraId="63BC98C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503</w:t>
            </w:r>
          </w:p>
        </w:tc>
        <w:tc>
          <w:tcPr>
            <w:tcW w:w="1047" w:type="dxa"/>
            <w:tcBorders>
              <w:top w:val="nil"/>
            </w:tcBorders>
            <w:shd w:val="clear" w:color="auto" w:fill="auto"/>
            <w:vAlign w:val="center"/>
            <w:hideMark/>
          </w:tcPr>
          <w:p w14:paraId="553CF6C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7.3</w:t>
            </w:r>
          </w:p>
        </w:tc>
        <w:tc>
          <w:tcPr>
            <w:tcW w:w="1051" w:type="dxa"/>
            <w:vMerge/>
            <w:tcBorders>
              <w:top w:val="nil"/>
            </w:tcBorders>
            <w:vAlign w:val="center"/>
            <w:hideMark/>
          </w:tcPr>
          <w:p w14:paraId="1ED357BB" w14:textId="77777777" w:rsidR="00AE6DF1" w:rsidRPr="00AE6DF1" w:rsidRDefault="00AE6DF1" w:rsidP="00966E61">
            <w:pPr>
              <w:spacing w:before="0" w:line="240" w:lineRule="auto"/>
              <w:rPr>
                <w:rFonts w:eastAsia="Times New Roman"/>
                <w:sz w:val="20"/>
                <w:szCs w:val="20"/>
              </w:rPr>
            </w:pPr>
          </w:p>
        </w:tc>
      </w:tr>
      <w:tr w:rsidR="00AE6DF1" w:rsidRPr="00104D36" w14:paraId="178862C2" w14:textId="77777777" w:rsidTr="00AE6DF1">
        <w:trPr>
          <w:gridAfter w:val="3"/>
          <w:wAfter w:w="472" w:type="dxa"/>
          <w:trHeight w:val="300"/>
        </w:trPr>
        <w:tc>
          <w:tcPr>
            <w:tcW w:w="3708" w:type="dxa"/>
            <w:vMerge/>
            <w:tcBorders>
              <w:top w:val="nil"/>
            </w:tcBorders>
            <w:vAlign w:val="center"/>
            <w:hideMark/>
          </w:tcPr>
          <w:p w14:paraId="7AD128E0"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451A063F"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EBRT alone</w:t>
            </w:r>
          </w:p>
        </w:tc>
        <w:tc>
          <w:tcPr>
            <w:tcW w:w="1047" w:type="dxa"/>
            <w:tcBorders>
              <w:top w:val="nil"/>
            </w:tcBorders>
            <w:shd w:val="clear" w:color="auto" w:fill="auto"/>
            <w:vAlign w:val="center"/>
            <w:hideMark/>
          </w:tcPr>
          <w:p w14:paraId="126E75E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196</w:t>
            </w:r>
          </w:p>
        </w:tc>
        <w:tc>
          <w:tcPr>
            <w:tcW w:w="1047" w:type="dxa"/>
            <w:tcBorders>
              <w:top w:val="nil"/>
            </w:tcBorders>
            <w:shd w:val="clear" w:color="auto" w:fill="auto"/>
            <w:vAlign w:val="center"/>
            <w:hideMark/>
          </w:tcPr>
          <w:p w14:paraId="32AD0E2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w:t>
            </w:r>
          </w:p>
        </w:tc>
        <w:tc>
          <w:tcPr>
            <w:tcW w:w="1051" w:type="dxa"/>
            <w:vMerge/>
            <w:tcBorders>
              <w:top w:val="nil"/>
            </w:tcBorders>
            <w:vAlign w:val="center"/>
            <w:hideMark/>
          </w:tcPr>
          <w:p w14:paraId="3404F112" w14:textId="77777777" w:rsidR="00AE6DF1" w:rsidRPr="00AE6DF1" w:rsidRDefault="00AE6DF1" w:rsidP="00966E61">
            <w:pPr>
              <w:spacing w:before="0" w:line="240" w:lineRule="auto"/>
              <w:rPr>
                <w:rFonts w:eastAsia="Times New Roman"/>
                <w:sz w:val="20"/>
                <w:szCs w:val="20"/>
              </w:rPr>
            </w:pPr>
          </w:p>
        </w:tc>
      </w:tr>
      <w:tr w:rsidR="00AE6DF1" w:rsidRPr="00104D36" w14:paraId="40D3AADF" w14:textId="77777777" w:rsidTr="00AE6DF1">
        <w:trPr>
          <w:trHeight w:val="300"/>
        </w:trPr>
        <w:tc>
          <w:tcPr>
            <w:tcW w:w="3708" w:type="dxa"/>
            <w:vMerge/>
            <w:tcBorders>
              <w:top w:val="nil"/>
            </w:tcBorders>
            <w:vAlign w:val="center"/>
            <w:hideMark/>
          </w:tcPr>
          <w:p w14:paraId="66416C8A"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76EDCF9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Brachytherapy alone</w:t>
            </w:r>
          </w:p>
        </w:tc>
        <w:tc>
          <w:tcPr>
            <w:tcW w:w="1047" w:type="dxa"/>
            <w:tcBorders>
              <w:top w:val="nil"/>
            </w:tcBorders>
            <w:shd w:val="clear" w:color="auto" w:fill="auto"/>
            <w:vAlign w:val="center"/>
            <w:hideMark/>
          </w:tcPr>
          <w:p w14:paraId="1C41851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50</w:t>
            </w:r>
          </w:p>
        </w:tc>
        <w:tc>
          <w:tcPr>
            <w:tcW w:w="1047" w:type="dxa"/>
            <w:tcBorders>
              <w:top w:val="nil"/>
            </w:tcBorders>
            <w:shd w:val="clear" w:color="auto" w:fill="auto"/>
            <w:vAlign w:val="center"/>
            <w:hideMark/>
          </w:tcPr>
          <w:p w14:paraId="189B5D8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4.2</w:t>
            </w:r>
          </w:p>
        </w:tc>
        <w:tc>
          <w:tcPr>
            <w:tcW w:w="1051" w:type="dxa"/>
            <w:vMerge/>
            <w:tcBorders>
              <w:top w:val="nil"/>
            </w:tcBorders>
            <w:vAlign w:val="center"/>
            <w:hideMark/>
          </w:tcPr>
          <w:p w14:paraId="1B5F06C4" w14:textId="77777777" w:rsidR="00AE6DF1" w:rsidRPr="00AE6DF1" w:rsidRDefault="00AE6DF1" w:rsidP="00966E61">
            <w:pPr>
              <w:spacing w:before="0" w:line="240" w:lineRule="auto"/>
              <w:rPr>
                <w:rFonts w:eastAsia="Times New Roman"/>
                <w:sz w:val="20"/>
                <w:szCs w:val="20"/>
              </w:rPr>
            </w:pPr>
          </w:p>
        </w:tc>
        <w:tc>
          <w:tcPr>
            <w:tcW w:w="236" w:type="dxa"/>
            <w:gridSpan w:val="2"/>
            <w:tcBorders>
              <w:top w:val="nil"/>
              <w:right w:val="nil"/>
            </w:tcBorders>
            <w:shd w:val="clear" w:color="auto" w:fill="auto"/>
            <w:noWrap/>
            <w:vAlign w:val="bottom"/>
            <w:hideMark/>
          </w:tcPr>
          <w:p w14:paraId="27934C12" w14:textId="77777777" w:rsidR="00AE6DF1" w:rsidRPr="00104D36" w:rsidRDefault="00AE6DF1" w:rsidP="00966E61">
            <w:pPr>
              <w:spacing w:before="0" w:line="240" w:lineRule="auto"/>
              <w:jc w:val="right"/>
              <w:rPr>
                <w:rFonts w:eastAsia="Times New Roman"/>
                <w:sz w:val="22"/>
                <w:szCs w:val="22"/>
              </w:rPr>
            </w:pPr>
          </w:p>
        </w:tc>
        <w:tc>
          <w:tcPr>
            <w:tcW w:w="236" w:type="dxa"/>
            <w:tcBorders>
              <w:top w:val="nil"/>
              <w:left w:val="nil"/>
              <w:bottom w:val="nil"/>
              <w:right w:val="nil"/>
            </w:tcBorders>
            <w:shd w:val="clear" w:color="auto" w:fill="auto"/>
            <w:noWrap/>
            <w:vAlign w:val="bottom"/>
            <w:hideMark/>
          </w:tcPr>
          <w:p w14:paraId="58DA1139" w14:textId="77777777" w:rsidR="00AE6DF1" w:rsidRPr="00104D36" w:rsidRDefault="00AE6DF1" w:rsidP="00966E61">
            <w:pPr>
              <w:spacing w:before="0" w:line="240" w:lineRule="auto"/>
              <w:rPr>
                <w:rFonts w:ascii="Times New Roman" w:eastAsia="Times New Roman" w:hAnsi="Times New Roman" w:cs="Times New Roman"/>
                <w:sz w:val="20"/>
                <w:szCs w:val="20"/>
              </w:rPr>
            </w:pPr>
          </w:p>
        </w:tc>
      </w:tr>
      <w:tr w:rsidR="00AE6DF1" w:rsidRPr="00104D36" w14:paraId="6E3AD522" w14:textId="77777777" w:rsidTr="00AE6DF1">
        <w:trPr>
          <w:trHeight w:val="300"/>
        </w:trPr>
        <w:tc>
          <w:tcPr>
            <w:tcW w:w="3708" w:type="dxa"/>
            <w:vMerge/>
            <w:tcBorders>
              <w:top w:val="nil"/>
            </w:tcBorders>
            <w:vAlign w:val="center"/>
            <w:hideMark/>
          </w:tcPr>
          <w:p w14:paraId="134F0DD2"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AD1FED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ADT alone</w:t>
            </w:r>
          </w:p>
        </w:tc>
        <w:tc>
          <w:tcPr>
            <w:tcW w:w="1047" w:type="dxa"/>
            <w:tcBorders>
              <w:top w:val="nil"/>
            </w:tcBorders>
            <w:shd w:val="clear" w:color="auto" w:fill="auto"/>
            <w:vAlign w:val="center"/>
            <w:hideMark/>
          </w:tcPr>
          <w:p w14:paraId="452A57DF"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469</w:t>
            </w:r>
          </w:p>
        </w:tc>
        <w:tc>
          <w:tcPr>
            <w:tcW w:w="1047" w:type="dxa"/>
            <w:tcBorders>
              <w:top w:val="nil"/>
            </w:tcBorders>
            <w:shd w:val="clear" w:color="auto" w:fill="auto"/>
            <w:vAlign w:val="center"/>
            <w:hideMark/>
          </w:tcPr>
          <w:p w14:paraId="0479D0B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15.7</w:t>
            </w:r>
          </w:p>
        </w:tc>
        <w:tc>
          <w:tcPr>
            <w:tcW w:w="1051" w:type="dxa"/>
            <w:vMerge/>
            <w:tcBorders>
              <w:top w:val="nil"/>
            </w:tcBorders>
            <w:vAlign w:val="center"/>
            <w:hideMark/>
          </w:tcPr>
          <w:p w14:paraId="5048D9FE" w14:textId="77777777" w:rsidR="00AE6DF1" w:rsidRPr="00AE6DF1" w:rsidRDefault="00AE6DF1" w:rsidP="00966E61">
            <w:pPr>
              <w:spacing w:before="0" w:line="240" w:lineRule="auto"/>
              <w:rPr>
                <w:rFonts w:eastAsia="Times New Roman"/>
                <w:sz w:val="20"/>
                <w:szCs w:val="20"/>
              </w:rPr>
            </w:pPr>
          </w:p>
        </w:tc>
        <w:tc>
          <w:tcPr>
            <w:tcW w:w="236" w:type="dxa"/>
            <w:gridSpan w:val="2"/>
            <w:tcBorders>
              <w:top w:val="nil"/>
              <w:right w:val="nil"/>
            </w:tcBorders>
            <w:shd w:val="clear" w:color="auto" w:fill="auto"/>
            <w:noWrap/>
            <w:vAlign w:val="bottom"/>
            <w:hideMark/>
          </w:tcPr>
          <w:p w14:paraId="15DFB320" w14:textId="77777777" w:rsidR="00AE6DF1" w:rsidRPr="00104D36" w:rsidRDefault="00AE6DF1" w:rsidP="00966E61">
            <w:pPr>
              <w:spacing w:before="0" w:line="240" w:lineRule="auto"/>
              <w:jc w:val="right"/>
              <w:rPr>
                <w:rFonts w:eastAsia="Times New Roman"/>
                <w:sz w:val="22"/>
                <w:szCs w:val="22"/>
              </w:rPr>
            </w:pPr>
          </w:p>
        </w:tc>
        <w:tc>
          <w:tcPr>
            <w:tcW w:w="236" w:type="dxa"/>
            <w:tcBorders>
              <w:top w:val="nil"/>
              <w:left w:val="nil"/>
              <w:bottom w:val="nil"/>
              <w:right w:val="nil"/>
            </w:tcBorders>
            <w:shd w:val="clear" w:color="auto" w:fill="auto"/>
            <w:noWrap/>
            <w:vAlign w:val="bottom"/>
            <w:hideMark/>
          </w:tcPr>
          <w:p w14:paraId="41E7A1E6" w14:textId="77777777" w:rsidR="00AE6DF1" w:rsidRPr="00104D36" w:rsidRDefault="00AE6DF1" w:rsidP="00966E61">
            <w:pPr>
              <w:spacing w:before="0" w:line="240" w:lineRule="auto"/>
              <w:rPr>
                <w:rFonts w:ascii="Times New Roman" w:eastAsia="Times New Roman" w:hAnsi="Times New Roman" w:cs="Times New Roman"/>
                <w:sz w:val="20"/>
                <w:szCs w:val="20"/>
              </w:rPr>
            </w:pPr>
          </w:p>
        </w:tc>
      </w:tr>
      <w:tr w:rsidR="00AE6DF1" w:rsidRPr="00104D36" w14:paraId="6F3DE3F3" w14:textId="77777777" w:rsidTr="00AE6DF1">
        <w:trPr>
          <w:gridAfter w:val="3"/>
          <w:wAfter w:w="472" w:type="dxa"/>
          <w:trHeight w:val="300"/>
        </w:trPr>
        <w:tc>
          <w:tcPr>
            <w:tcW w:w="3708" w:type="dxa"/>
            <w:vMerge/>
            <w:tcBorders>
              <w:top w:val="nil"/>
            </w:tcBorders>
            <w:vAlign w:val="center"/>
            <w:hideMark/>
          </w:tcPr>
          <w:p w14:paraId="620F7EB9"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077D6557"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Watchful waiting</w:t>
            </w:r>
          </w:p>
        </w:tc>
        <w:tc>
          <w:tcPr>
            <w:tcW w:w="1047" w:type="dxa"/>
            <w:tcBorders>
              <w:top w:val="nil"/>
            </w:tcBorders>
            <w:shd w:val="clear" w:color="auto" w:fill="auto"/>
            <w:vAlign w:val="center"/>
            <w:hideMark/>
          </w:tcPr>
          <w:p w14:paraId="70A55DD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181</w:t>
            </w:r>
          </w:p>
        </w:tc>
        <w:tc>
          <w:tcPr>
            <w:tcW w:w="1047" w:type="dxa"/>
            <w:tcBorders>
              <w:top w:val="nil"/>
            </w:tcBorders>
            <w:shd w:val="clear" w:color="auto" w:fill="auto"/>
            <w:vAlign w:val="center"/>
            <w:hideMark/>
          </w:tcPr>
          <w:p w14:paraId="130D295E"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8.2</w:t>
            </w:r>
          </w:p>
        </w:tc>
        <w:tc>
          <w:tcPr>
            <w:tcW w:w="1051" w:type="dxa"/>
            <w:vMerge/>
            <w:tcBorders>
              <w:top w:val="nil"/>
            </w:tcBorders>
            <w:vAlign w:val="center"/>
            <w:hideMark/>
          </w:tcPr>
          <w:p w14:paraId="7AF8BA29" w14:textId="77777777" w:rsidR="00AE6DF1" w:rsidRPr="00AE6DF1" w:rsidRDefault="00AE6DF1" w:rsidP="00966E61">
            <w:pPr>
              <w:spacing w:before="0" w:line="240" w:lineRule="auto"/>
              <w:rPr>
                <w:rFonts w:eastAsia="Times New Roman"/>
                <w:sz w:val="20"/>
                <w:szCs w:val="20"/>
              </w:rPr>
            </w:pPr>
          </w:p>
        </w:tc>
      </w:tr>
      <w:tr w:rsidR="00AE6DF1" w:rsidRPr="00104D36" w14:paraId="36626BB1" w14:textId="77777777" w:rsidTr="00AE6DF1">
        <w:trPr>
          <w:gridAfter w:val="3"/>
          <w:wAfter w:w="472" w:type="dxa"/>
          <w:trHeight w:val="300"/>
        </w:trPr>
        <w:tc>
          <w:tcPr>
            <w:tcW w:w="3708" w:type="dxa"/>
            <w:vMerge/>
            <w:tcBorders>
              <w:top w:val="nil"/>
            </w:tcBorders>
            <w:vAlign w:val="center"/>
            <w:hideMark/>
          </w:tcPr>
          <w:p w14:paraId="345ECE26"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34175ECC"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EBRT &amp; ADT</w:t>
            </w:r>
          </w:p>
        </w:tc>
        <w:tc>
          <w:tcPr>
            <w:tcW w:w="1047" w:type="dxa"/>
            <w:tcBorders>
              <w:top w:val="nil"/>
            </w:tcBorders>
            <w:shd w:val="clear" w:color="auto" w:fill="auto"/>
            <w:vAlign w:val="center"/>
            <w:hideMark/>
          </w:tcPr>
          <w:p w14:paraId="7F9C8D86"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702</w:t>
            </w:r>
          </w:p>
        </w:tc>
        <w:tc>
          <w:tcPr>
            <w:tcW w:w="1047" w:type="dxa"/>
            <w:tcBorders>
              <w:top w:val="nil"/>
            </w:tcBorders>
            <w:shd w:val="clear" w:color="auto" w:fill="auto"/>
            <w:vAlign w:val="center"/>
            <w:hideMark/>
          </w:tcPr>
          <w:p w14:paraId="33EE5095"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9.6</w:t>
            </w:r>
          </w:p>
        </w:tc>
        <w:tc>
          <w:tcPr>
            <w:tcW w:w="1051" w:type="dxa"/>
            <w:vMerge/>
            <w:tcBorders>
              <w:top w:val="nil"/>
            </w:tcBorders>
            <w:vAlign w:val="center"/>
            <w:hideMark/>
          </w:tcPr>
          <w:p w14:paraId="58962431" w14:textId="77777777" w:rsidR="00AE6DF1" w:rsidRPr="00AE6DF1" w:rsidRDefault="00AE6DF1" w:rsidP="00966E61">
            <w:pPr>
              <w:spacing w:before="0" w:line="240" w:lineRule="auto"/>
              <w:rPr>
                <w:rFonts w:eastAsia="Times New Roman"/>
                <w:sz w:val="20"/>
                <w:szCs w:val="20"/>
              </w:rPr>
            </w:pPr>
          </w:p>
        </w:tc>
      </w:tr>
      <w:tr w:rsidR="00AE6DF1" w:rsidRPr="00104D36" w14:paraId="31F11F1E" w14:textId="77777777" w:rsidTr="00AE6DF1">
        <w:trPr>
          <w:gridAfter w:val="3"/>
          <w:wAfter w:w="472" w:type="dxa"/>
          <w:trHeight w:val="300"/>
        </w:trPr>
        <w:tc>
          <w:tcPr>
            <w:tcW w:w="3708" w:type="dxa"/>
            <w:vMerge/>
            <w:tcBorders>
              <w:top w:val="nil"/>
            </w:tcBorders>
            <w:vAlign w:val="center"/>
            <w:hideMark/>
          </w:tcPr>
          <w:p w14:paraId="78CA473B"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031B8BC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Surgery &amp; EBRT/ADT</w:t>
            </w:r>
          </w:p>
        </w:tc>
        <w:tc>
          <w:tcPr>
            <w:tcW w:w="1047" w:type="dxa"/>
            <w:tcBorders>
              <w:top w:val="nil"/>
            </w:tcBorders>
            <w:shd w:val="clear" w:color="auto" w:fill="auto"/>
            <w:vAlign w:val="center"/>
            <w:hideMark/>
          </w:tcPr>
          <w:p w14:paraId="52CE607B"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274</w:t>
            </w:r>
          </w:p>
        </w:tc>
        <w:tc>
          <w:tcPr>
            <w:tcW w:w="1047" w:type="dxa"/>
            <w:tcBorders>
              <w:top w:val="nil"/>
            </w:tcBorders>
            <w:shd w:val="clear" w:color="auto" w:fill="auto"/>
            <w:vAlign w:val="center"/>
            <w:hideMark/>
          </w:tcPr>
          <w:p w14:paraId="52582CF2"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12</w:t>
            </w:r>
          </w:p>
        </w:tc>
        <w:tc>
          <w:tcPr>
            <w:tcW w:w="1051" w:type="dxa"/>
            <w:vMerge/>
            <w:tcBorders>
              <w:top w:val="nil"/>
            </w:tcBorders>
            <w:vAlign w:val="center"/>
            <w:hideMark/>
          </w:tcPr>
          <w:p w14:paraId="1BC11DBA" w14:textId="77777777" w:rsidR="00AE6DF1" w:rsidRPr="00AE6DF1" w:rsidRDefault="00AE6DF1" w:rsidP="00966E61">
            <w:pPr>
              <w:spacing w:before="0" w:line="240" w:lineRule="auto"/>
              <w:rPr>
                <w:rFonts w:eastAsia="Times New Roman"/>
                <w:sz w:val="20"/>
                <w:szCs w:val="20"/>
              </w:rPr>
            </w:pPr>
          </w:p>
        </w:tc>
      </w:tr>
      <w:tr w:rsidR="00AE6DF1" w:rsidRPr="00104D36" w14:paraId="1DFB5191" w14:textId="77777777" w:rsidTr="00AE6DF1">
        <w:trPr>
          <w:gridAfter w:val="3"/>
          <w:wAfter w:w="472" w:type="dxa"/>
          <w:trHeight w:val="300"/>
        </w:trPr>
        <w:tc>
          <w:tcPr>
            <w:tcW w:w="3708" w:type="dxa"/>
            <w:vMerge/>
            <w:tcBorders>
              <w:top w:val="nil"/>
            </w:tcBorders>
            <w:vAlign w:val="center"/>
            <w:hideMark/>
          </w:tcPr>
          <w:p w14:paraId="0A4392D3" w14:textId="77777777" w:rsidR="00AE6DF1" w:rsidRPr="00AE6DF1" w:rsidRDefault="00AE6DF1" w:rsidP="00966E61">
            <w:pPr>
              <w:spacing w:before="0" w:line="240" w:lineRule="auto"/>
              <w:rPr>
                <w:rFonts w:eastAsia="Times New Roman"/>
                <w:b/>
                <w:bCs/>
                <w:sz w:val="20"/>
                <w:szCs w:val="20"/>
              </w:rPr>
            </w:pPr>
          </w:p>
        </w:tc>
        <w:tc>
          <w:tcPr>
            <w:tcW w:w="2835" w:type="dxa"/>
            <w:tcBorders>
              <w:top w:val="nil"/>
            </w:tcBorders>
            <w:shd w:val="clear" w:color="auto" w:fill="auto"/>
            <w:vAlign w:val="center"/>
            <w:hideMark/>
          </w:tcPr>
          <w:p w14:paraId="5D646E39"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ADT &amp; systemic</w:t>
            </w:r>
          </w:p>
        </w:tc>
        <w:tc>
          <w:tcPr>
            <w:tcW w:w="1047" w:type="dxa"/>
            <w:tcBorders>
              <w:top w:val="nil"/>
            </w:tcBorders>
            <w:shd w:val="clear" w:color="auto" w:fill="auto"/>
            <w:vAlign w:val="center"/>
            <w:hideMark/>
          </w:tcPr>
          <w:p w14:paraId="70E5606D"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105</w:t>
            </w:r>
          </w:p>
        </w:tc>
        <w:tc>
          <w:tcPr>
            <w:tcW w:w="1047" w:type="dxa"/>
            <w:tcBorders>
              <w:top w:val="nil"/>
            </w:tcBorders>
            <w:shd w:val="clear" w:color="auto" w:fill="auto"/>
            <w:vAlign w:val="center"/>
            <w:hideMark/>
          </w:tcPr>
          <w:p w14:paraId="2AB12458"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17.2</w:t>
            </w:r>
          </w:p>
        </w:tc>
        <w:tc>
          <w:tcPr>
            <w:tcW w:w="1051" w:type="dxa"/>
            <w:vMerge/>
            <w:tcBorders>
              <w:top w:val="nil"/>
            </w:tcBorders>
            <w:vAlign w:val="center"/>
            <w:hideMark/>
          </w:tcPr>
          <w:p w14:paraId="68CC096D" w14:textId="77777777" w:rsidR="00AE6DF1" w:rsidRPr="00AE6DF1" w:rsidRDefault="00AE6DF1" w:rsidP="00966E61">
            <w:pPr>
              <w:spacing w:before="0" w:line="240" w:lineRule="auto"/>
              <w:rPr>
                <w:rFonts w:eastAsia="Times New Roman"/>
                <w:sz w:val="20"/>
                <w:szCs w:val="20"/>
              </w:rPr>
            </w:pPr>
          </w:p>
        </w:tc>
      </w:tr>
      <w:tr w:rsidR="00AE6DF1" w:rsidRPr="00104D36" w14:paraId="7544BBC4" w14:textId="77777777" w:rsidTr="00AE6DF1">
        <w:trPr>
          <w:gridAfter w:val="3"/>
          <w:wAfter w:w="472" w:type="dxa"/>
          <w:trHeight w:val="300"/>
        </w:trPr>
        <w:tc>
          <w:tcPr>
            <w:tcW w:w="3708" w:type="dxa"/>
            <w:vMerge/>
            <w:tcBorders>
              <w:top w:val="nil"/>
              <w:bottom w:val="single" w:sz="4" w:space="0" w:color="auto"/>
            </w:tcBorders>
            <w:vAlign w:val="center"/>
            <w:hideMark/>
          </w:tcPr>
          <w:p w14:paraId="4D74F946" w14:textId="77777777" w:rsidR="00AE6DF1" w:rsidRPr="00AE6DF1" w:rsidRDefault="00AE6DF1" w:rsidP="00966E61">
            <w:pPr>
              <w:spacing w:before="0" w:line="240" w:lineRule="auto"/>
              <w:rPr>
                <w:rFonts w:eastAsia="Times New Roman"/>
                <w:b/>
                <w:bCs/>
                <w:sz w:val="20"/>
                <w:szCs w:val="20"/>
              </w:rPr>
            </w:pPr>
          </w:p>
        </w:tc>
        <w:tc>
          <w:tcPr>
            <w:tcW w:w="2835" w:type="dxa"/>
            <w:tcBorders>
              <w:top w:val="nil"/>
              <w:bottom w:val="single" w:sz="4" w:space="0" w:color="auto"/>
            </w:tcBorders>
            <w:shd w:val="clear" w:color="auto" w:fill="auto"/>
            <w:vAlign w:val="center"/>
            <w:hideMark/>
          </w:tcPr>
          <w:p w14:paraId="1B8BC4D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EBRT &amp; systemic</w:t>
            </w:r>
          </w:p>
        </w:tc>
        <w:tc>
          <w:tcPr>
            <w:tcW w:w="1047" w:type="dxa"/>
            <w:tcBorders>
              <w:top w:val="nil"/>
              <w:bottom w:val="single" w:sz="4" w:space="0" w:color="auto"/>
            </w:tcBorders>
            <w:shd w:val="clear" w:color="auto" w:fill="auto"/>
            <w:vAlign w:val="center"/>
            <w:hideMark/>
          </w:tcPr>
          <w:p w14:paraId="5C0BB18A"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98</w:t>
            </w:r>
          </w:p>
        </w:tc>
        <w:tc>
          <w:tcPr>
            <w:tcW w:w="1047" w:type="dxa"/>
            <w:tcBorders>
              <w:top w:val="nil"/>
              <w:bottom w:val="single" w:sz="4" w:space="0" w:color="auto"/>
            </w:tcBorders>
            <w:shd w:val="clear" w:color="auto" w:fill="auto"/>
            <w:vAlign w:val="center"/>
            <w:hideMark/>
          </w:tcPr>
          <w:p w14:paraId="47A6ECE0" w14:textId="77777777" w:rsidR="00AE6DF1" w:rsidRPr="00AE6DF1" w:rsidRDefault="00AE6DF1" w:rsidP="00966E61">
            <w:pPr>
              <w:spacing w:before="0" w:line="240" w:lineRule="auto"/>
              <w:jc w:val="right"/>
              <w:rPr>
                <w:rFonts w:eastAsia="Times New Roman"/>
                <w:sz w:val="20"/>
                <w:szCs w:val="20"/>
              </w:rPr>
            </w:pPr>
            <w:r w:rsidRPr="00AE6DF1">
              <w:rPr>
                <w:rFonts w:eastAsia="Times New Roman"/>
                <w:sz w:val="20"/>
                <w:szCs w:val="20"/>
              </w:rPr>
              <w:t>19.4</w:t>
            </w:r>
          </w:p>
        </w:tc>
        <w:tc>
          <w:tcPr>
            <w:tcW w:w="1051" w:type="dxa"/>
            <w:vMerge/>
            <w:tcBorders>
              <w:top w:val="nil"/>
              <w:bottom w:val="single" w:sz="4" w:space="0" w:color="auto"/>
            </w:tcBorders>
            <w:vAlign w:val="center"/>
            <w:hideMark/>
          </w:tcPr>
          <w:p w14:paraId="69DA1CDF" w14:textId="77777777" w:rsidR="00AE6DF1" w:rsidRPr="00AE6DF1" w:rsidRDefault="00AE6DF1" w:rsidP="00966E61">
            <w:pPr>
              <w:spacing w:before="0" w:line="240" w:lineRule="auto"/>
              <w:rPr>
                <w:rFonts w:eastAsia="Times New Roman"/>
                <w:sz w:val="20"/>
                <w:szCs w:val="20"/>
              </w:rPr>
            </w:pPr>
          </w:p>
        </w:tc>
      </w:tr>
      <w:tr w:rsidR="00AE6DF1" w:rsidRPr="00104D36" w14:paraId="07CC33C7" w14:textId="77777777" w:rsidTr="00AE6DF1">
        <w:trPr>
          <w:gridAfter w:val="3"/>
          <w:wAfter w:w="472" w:type="dxa"/>
          <w:trHeight w:val="315"/>
        </w:trPr>
        <w:tc>
          <w:tcPr>
            <w:tcW w:w="3708" w:type="dxa"/>
            <w:tcBorders>
              <w:top w:val="single" w:sz="4" w:space="0" w:color="auto"/>
              <w:left w:val="nil"/>
              <w:bottom w:val="nil"/>
              <w:right w:val="nil"/>
            </w:tcBorders>
            <w:shd w:val="clear" w:color="auto" w:fill="auto"/>
            <w:noWrap/>
            <w:vAlign w:val="center"/>
            <w:hideMark/>
          </w:tcPr>
          <w:p w14:paraId="68E43A8C" w14:textId="77777777" w:rsidR="00AE6DF1" w:rsidRPr="00AE6DF1" w:rsidRDefault="00AE6DF1" w:rsidP="00966E61">
            <w:pPr>
              <w:spacing w:before="0" w:line="240" w:lineRule="auto"/>
              <w:rPr>
                <w:rFonts w:eastAsia="Times New Roman"/>
                <w:sz w:val="20"/>
                <w:szCs w:val="20"/>
              </w:rPr>
            </w:pPr>
          </w:p>
        </w:tc>
        <w:tc>
          <w:tcPr>
            <w:tcW w:w="2835" w:type="dxa"/>
            <w:tcBorders>
              <w:top w:val="single" w:sz="4" w:space="0" w:color="auto"/>
              <w:left w:val="nil"/>
              <w:bottom w:val="nil"/>
              <w:right w:val="nil"/>
            </w:tcBorders>
            <w:shd w:val="clear" w:color="auto" w:fill="auto"/>
            <w:noWrap/>
            <w:vAlign w:val="bottom"/>
            <w:hideMark/>
          </w:tcPr>
          <w:p w14:paraId="16A6FFE1" w14:textId="77777777" w:rsidR="00AE6DF1" w:rsidRPr="00AE6DF1" w:rsidRDefault="00AE6DF1" w:rsidP="00966E61">
            <w:pPr>
              <w:spacing w:before="0" w:line="240" w:lineRule="auto"/>
              <w:ind w:firstLineChars="200" w:firstLine="400"/>
              <w:rPr>
                <w:rFonts w:eastAsia="Times New Roman"/>
                <w:sz w:val="20"/>
                <w:szCs w:val="20"/>
              </w:rPr>
            </w:pPr>
          </w:p>
        </w:tc>
        <w:tc>
          <w:tcPr>
            <w:tcW w:w="1047" w:type="dxa"/>
            <w:tcBorders>
              <w:top w:val="single" w:sz="4" w:space="0" w:color="auto"/>
              <w:left w:val="nil"/>
              <w:bottom w:val="nil"/>
              <w:right w:val="nil"/>
            </w:tcBorders>
            <w:shd w:val="clear" w:color="auto" w:fill="auto"/>
            <w:noWrap/>
            <w:vAlign w:val="bottom"/>
            <w:hideMark/>
          </w:tcPr>
          <w:p w14:paraId="1FB3073F" w14:textId="77777777" w:rsidR="00AE6DF1" w:rsidRPr="00AE6DF1" w:rsidRDefault="00AE6DF1" w:rsidP="00966E61">
            <w:pPr>
              <w:spacing w:before="0" w:line="240" w:lineRule="auto"/>
              <w:rPr>
                <w:rFonts w:eastAsia="Times New Roman"/>
                <w:sz w:val="20"/>
                <w:szCs w:val="20"/>
              </w:rPr>
            </w:pPr>
          </w:p>
        </w:tc>
        <w:tc>
          <w:tcPr>
            <w:tcW w:w="1047" w:type="dxa"/>
            <w:tcBorders>
              <w:top w:val="single" w:sz="4" w:space="0" w:color="auto"/>
              <w:left w:val="nil"/>
              <w:bottom w:val="nil"/>
              <w:right w:val="nil"/>
            </w:tcBorders>
            <w:shd w:val="clear" w:color="auto" w:fill="auto"/>
            <w:noWrap/>
            <w:vAlign w:val="bottom"/>
            <w:hideMark/>
          </w:tcPr>
          <w:p w14:paraId="3229D1AE" w14:textId="77777777" w:rsidR="00AE6DF1" w:rsidRPr="00AE6DF1" w:rsidRDefault="00AE6DF1" w:rsidP="00966E61">
            <w:pPr>
              <w:spacing w:before="0" w:line="240" w:lineRule="auto"/>
              <w:rPr>
                <w:rFonts w:eastAsia="Times New Roman"/>
                <w:sz w:val="20"/>
                <w:szCs w:val="20"/>
              </w:rPr>
            </w:pPr>
          </w:p>
        </w:tc>
        <w:tc>
          <w:tcPr>
            <w:tcW w:w="1051" w:type="dxa"/>
            <w:tcBorders>
              <w:top w:val="single" w:sz="4" w:space="0" w:color="auto"/>
              <w:left w:val="nil"/>
              <w:bottom w:val="nil"/>
              <w:right w:val="nil"/>
            </w:tcBorders>
            <w:shd w:val="clear" w:color="auto" w:fill="auto"/>
            <w:noWrap/>
            <w:vAlign w:val="bottom"/>
            <w:hideMark/>
          </w:tcPr>
          <w:p w14:paraId="095DD93B" w14:textId="77777777" w:rsidR="00AE6DF1" w:rsidRPr="00AE6DF1" w:rsidRDefault="00AE6DF1" w:rsidP="00966E61">
            <w:pPr>
              <w:spacing w:before="0" w:line="240" w:lineRule="auto"/>
              <w:rPr>
                <w:rFonts w:eastAsia="Times New Roman"/>
                <w:sz w:val="20"/>
                <w:szCs w:val="20"/>
              </w:rPr>
            </w:pPr>
          </w:p>
        </w:tc>
      </w:tr>
      <w:tr w:rsidR="00AE6DF1" w:rsidRPr="00104D36" w14:paraId="0402540F" w14:textId="77777777" w:rsidTr="00AE6DF1">
        <w:trPr>
          <w:gridAfter w:val="3"/>
          <w:wAfter w:w="472" w:type="dxa"/>
          <w:trHeight w:val="1425"/>
        </w:trPr>
        <w:tc>
          <w:tcPr>
            <w:tcW w:w="9688" w:type="dxa"/>
            <w:gridSpan w:val="5"/>
            <w:tcBorders>
              <w:top w:val="nil"/>
              <w:left w:val="nil"/>
              <w:bottom w:val="nil"/>
              <w:right w:val="nil"/>
            </w:tcBorders>
            <w:shd w:val="clear" w:color="auto" w:fill="auto"/>
            <w:vAlign w:val="center"/>
            <w:hideMark/>
          </w:tcPr>
          <w:p w14:paraId="3FEB0CFE" w14:textId="77777777" w:rsidR="00AE6DF1" w:rsidRPr="00AE6DF1" w:rsidRDefault="00AE6DF1" w:rsidP="00966E61">
            <w:pPr>
              <w:spacing w:before="0" w:line="240" w:lineRule="auto"/>
              <w:rPr>
                <w:rFonts w:eastAsia="Times New Roman"/>
                <w:sz w:val="20"/>
                <w:szCs w:val="20"/>
              </w:rPr>
            </w:pPr>
            <w:r w:rsidRPr="00AE6DF1">
              <w:rPr>
                <w:rFonts w:eastAsia="Times New Roman"/>
                <w:sz w:val="20"/>
                <w:szCs w:val="20"/>
              </w:rPr>
              <w:t>Key: SD-16: Social Distress scale. EBRT: External beam radiotherapy.        ADT: Androgen deprivation therapy.  Systemic (chemotherapy/Abiraterone/Enzalutamide). p values represent level of significance in a chi-squared test, significance was indicated at the .05 level.</w:t>
            </w:r>
          </w:p>
        </w:tc>
      </w:tr>
    </w:tbl>
    <w:p w14:paraId="72B73F7C" w14:textId="0F1686BC" w:rsidR="00020438" w:rsidRDefault="00020438">
      <w:pPr>
        <w:pBdr>
          <w:top w:val="none" w:sz="0" w:space="0" w:color="auto"/>
          <w:left w:val="none" w:sz="0" w:space="0" w:color="auto"/>
          <w:bottom w:val="none" w:sz="0" w:space="0" w:color="auto"/>
          <w:right w:val="none" w:sz="0" w:space="0" w:color="auto"/>
          <w:between w:val="none" w:sz="0" w:space="0" w:color="auto"/>
        </w:pBdr>
        <w:spacing w:before="0" w:after="200"/>
        <w:rPr>
          <w:b/>
          <w:noProof/>
          <w:sz w:val="22"/>
          <w:szCs w:val="22"/>
        </w:rPr>
      </w:pPr>
    </w:p>
    <w:p w14:paraId="6E3B8E38" w14:textId="77777777" w:rsidR="00020438" w:rsidRDefault="00020438">
      <w:pPr>
        <w:pBdr>
          <w:top w:val="none" w:sz="0" w:space="0" w:color="auto"/>
          <w:left w:val="none" w:sz="0" w:space="0" w:color="auto"/>
          <w:bottom w:val="none" w:sz="0" w:space="0" w:color="auto"/>
          <w:right w:val="none" w:sz="0" w:space="0" w:color="auto"/>
          <w:between w:val="none" w:sz="0" w:space="0" w:color="auto"/>
        </w:pBdr>
        <w:spacing w:before="0" w:after="200"/>
        <w:rPr>
          <w:b/>
          <w:noProof/>
          <w:sz w:val="22"/>
          <w:szCs w:val="22"/>
        </w:rPr>
      </w:pPr>
      <w:r>
        <w:rPr>
          <w:b/>
          <w:noProof/>
          <w:sz w:val="22"/>
          <w:szCs w:val="22"/>
        </w:rPr>
        <w:br w:type="page"/>
      </w:r>
    </w:p>
    <w:tbl>
      <w:tblPr>
        <w:tblW w:w="9498" w:type="dxa"/>
        <w:tblLook w:val="04A0" w:firstRow="1" w:lastRow="0" w:firstColumn="1" w:lastColumn="0" w:noHBand="0" w:noVBand="1"/>
      </w:tblPr>
      <w:tblGrid>
        <w:gridCol w:w="3640"/>
        <w:gridCol w:w="2292"/>
        <w:gridCol w:w="731"/>
        <w:gridCol w:w="1842"/>
        <w:gridCol w:w="993"/>
      </w:tblGrid>
      <w:tr w:rsidR="00020438" w:rsidRPr="00A90947" w14:paraId="2475D220" w14:textId="77777777" w:rsidTr="00020438">
        <w:trPr>
          <w:trHeight w:val="435"/>
        </w:trPr>
        <w:tc>
          <w:tcPr>
            <w:tcW w:w="6663" w:type="dxa"/>
            <w:gridSpan w:val="3"/>
            <w:tcBorders>
              <w:top w:val="nil"/>
              <w:left w:val="nil"/>
              <w:bottom w:val="nil"/>
              <w:right w:val="nil"/>
            </w:tcBorders>
            <w:shd w:val="clear" w:color="auto" w:fill="auto"/>
            <w:noWrap/>
            <w:vAlign w:val="center"/>
            <w:hideMark/>
          </w:tcPr>
          <w:p w14:paraId="262026D0" w14:textId="77777777" w:rsidR="00020438" w:rsidRPr="00020438" w:rsidRDefault="00020438" w:rsidP="00966E61">
            <w:pPr>
              <w:spacing w:before="0" w:line="240" w:lineRule="auto"/>
              <w:ind w:firstLineChars="200" w:firstLine="400"/>
              <w:rPr>
                <w:rFonts w:eastAsia="Times New Roman"/>
                <w:b/>
                <w:bCs/>
                <w:sz w:val="20"/>
                <w:szCs w:val="20"/>
              </w:rPr>
            </w:pPr>
            <w:r w:rsidRPr="00020438">
              <w:rPr>
                <w:rFonts w:eastAsia="Times New Roman"/>
                <w:b/>
                <w:bCs/>
                <w:sz w:val="20"/>
                <w:szCs w:val="20"/>
              </w:rPr>
              <w:lastRenderedPageBreak/>
              <w:t xml:space="preserve">Table 3 Logistic regression analyses for Social Distress </w:t>
            </w:r>
          </w:p>
        </w:tc>
        <w:tc>
          <w:tcPr>
            <w:tcW w:w="1842" w:type="dxa"/>
            <w:tcBorders>
              <w:top w:val="nil"/>
              <w:left w:val="nil"/>
              <w:bottom w:val="nil"/>
              <w:right w:val="nil"/>
            </w:tcBorders>
            <w:shd w:val="clear" w:color="auto" w:fill="auto"/>
            <w:noWrap/>
            <w:vAlign w:val="bottom"/>
            <w:hideMark/>
          </w:tcPr>
          <w:p w14:paraId="0558284C" w14:textId="77777777" w:rsidR="00020438" w:rsidRPr="00020438" w:rsidRDefault="00020438" w:rsidP="00020438">
            <w:pPr>
              <w:spacing w:before="0" w:line="240" w:lineRule="auto"/>
              <w:jc w:val="center"/>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220E94F9" w14:textId="77777777" w:rsidR="00020438" w:rsidRPr="00020438" w:rsidRDefault="00020438" w:rsidP="00966E61">
            <w:pPr>
              <w:spacing w:before="0" w:line="240" w:lineRule="auto"/>
              <w:rPr>
                <w:rFonts w:eastAsia="Times New Roman"/>
                <w:sz w:val="20"/>
                <w:szCs w:val="20"/>
              </w:rPr>
            </w:pPr>
          </w:p>
        </w:tc>
      </w:tr>
      <w:tr w:rsidR="00020438" w:rsidRPr="00A90947" w14:paraId="26FF1C8B" w14:textId="77777777" w:rsidTr="00F55FBD">
        <w:trPr>
          <w:trHeight w:val="560"/>
        </w:trPr>
        <w:tc>
          <w:tcPr>
            <w:tcW w:w="5932" w:type="dxa"/>
            <w:gridSpan w:val="2"/>
            <w:tcBorders>
              <w:bottom w:val="single" w:sz="4" w:space="0" w:color="auto"/>
            </w:tcBorders>
            <w:shd w:val="clear" w:color="auto" w:fill="auto"/>
            <w:noWrap/>
            <w:vAlign w:val="center"/>
            <w:hideMark/>
          </w:tcPr>
          <w:p w14:paraId="570ADBE8" w14:textId="77777777" w:rsidR="00020438" w:rsidRPr="00020438" w:rsidRDefault="00020438" w:rsidP="00966E61">
            <w:pPr>
              <w:spacing w:before="0" w:line="240" w:lineRule="auto"/>
              <w:jc w:val="center"/>
              <w:rPr>
                <w:rFonts w:eastAsia="Times New Roman"/>
                <w:sz w:val="20"/>
                <w:szCs w:val="20"/>
              </w:rPr>
            </w:pPr>
            <w:r w:rsidRPr="00020438">
              <w:rPr>
                <w:rFonts w:eastAsia="Times New Roman"/>
                <w:sz w:val="20"/>
                <w:szCs w:val="20"/>
              </w:rPr>
              <w:t> </w:t>
            </w:r>
          </w:p>
        </w:tc>
        <w:tc>
          <w:tcPr>
            <w:tcW w:w="731" w:type="dxa"/>
            <w:tcBorders>
              <w:bottom w:val="single" w:sz="4" w:space="0" w:color="auto"/>
            </w:tcBorders>
            <w:shd w:val="clear" w:color="auto" w:fill="auto"/>
            <w:vAlign w:val="center"/>
            <w:hideMark/>
          </w:tcPr>
          <w:p w14:paraId="56A33BA8"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Odds Ratio</w:t>
            </w:r>
          </w:p>
        </w:tc>
        <w:tc>
          <w:tcPr>
            <w:tcW w:w="1842" w:type="dxa"/>
            <w:tcBorders>
              <w:bottom w:val="single" w:sz="4" w:space="0" w:color="auto"/>
            </w:tcBorders>
            <w:shd w:val="clear" w:color="auto" w:fill="auto"/>
            <w:vAlign w:val="center"/>
            <w:hideMark/>
          </w:tcPr>
          <w:p w14:paraId="4F3476D8" w14:textId="77777777" w:rsidR="00020438" w:rsidRPr="00020438" w:rsidRDefault="00020438" w:rsidP="00020438">
            <w:pPr>
              <w:spacing w:before="0" w:line="240" w:lineRule="auto"/>
              <w:jc w:val="center"/>
              <w:rPr>
                <w:rFonts w:eastAsia="Times New Roman"/>
                <w:b/>
                <w:bCs/>
                <w:sz w:val="20"/>
                <w:szCs w:val="20"/>
              </w:rPr>
            </w:pPr>
            <w:r w:rsidRPr="00020438">
              <w:rPr>
                <w:rFonts w:eastAsia="Times New Roman"/>
                <w:b/>
                <w:bCs/>
                <w:sz w:val="20"/>
                <w:szCs w:val="20"/>
              </w:rPr>
              <w:t>95% Confidence interval</w:t>
            </w:r>
          </w:p>
        </w:tc>
        <w:tc>
          <w:tcPr>
            <w:tcW w:w="993" w:type="dxa"/>
            <w:tcBorders>
              <w:bottom w:val="single" w:sz="4" w:space="0" w:color="auto"/>
            </w:tcBorders>
            <w:shd w:val="clear" w:color="auto" w:fill="auto"/>
            <w:vAlign w:val="center"/>
            <w:hideMark/>
          </w:tcPr>
          <w:p w14:paraId="2AC01C01"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p</w:t>
            </w:r>
          </w:p>
        </w:tc>
      </w:tr>
      <w:tr w:rsidR="00020438" w:rsidRPr="00A90947" w14:paraId="39BBB90B" w14:textId="77777777" w:rsidTr="00020438">
        <w:trPr>
          <w:trHeight w:val="300"/>
        </w:trPr>
        <w:tc>
          <w:tcPr>
            <w:tcW w:w="3640" w:type="dxa"/>
            <w:vMerge w:val="restart"/>
            <w:tcBorders>
              <w:top w:val="single" w:sz="4" w:space="0" w:color="auto"/>
            </w:tcBorders>
            <w:shd w:val="clear" w:color="auto" w:fill="auto"/>
            <w:vAlign w:val="center"/>
            <w:hideMark/>
          </w:tcPr>
          <w:p w14:paraId="23F6D398"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Age</w:t>
            </w:r>
          </w:p>
        </w:tc>
        <w:tc>
          <w:tcPr>
            <w:tcW w:w="2292" w:type="dxa"/>
            <w:tcBorders>
              <w:top w:val="single" w:sz="4" w:space="0" w:color="auto"/>
            </w:tcBorders>
            <w:shd w:val="clear" w:color="auto" w:fill="auto"/>
            <w:vAlign w:val="center"/>
            <w:hideMark/>
          </w:tcPr>
          <w:p w14:paraId="4F20328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&lt;60 years</w:t>
            </w:r>
          </w:p>
        </w:tc>
        <w:tc>
          <w:tcPr>
            <w:tcW w:w="731" w:type="dxa"/>
            <w:tcBorders>
              <w:top w:val="single" w:sz="4" w:space="0" w:color="auto"/>
            </w:tcBorders>
            <w:shd w:val="clear" w:color="auto" w:fill="auto"/>
            <w:vAlign w:val="center"/>
            <w:hideMark/>
          </w:tcPr>
          <w:p w14:paraId="21403E3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38A07D08" w14:textId="4AD1FCE7"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7FE971B2"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0B36EDB6" w14:textId="77777777" w:rsidTr="00020438">
        <w:trPr>
          <w:trHeight w:val="300"/>
        </w:trPr>
        <w:tc>
          <w:tcPr>
            <w:tcW w:w="3640" w:type="dxa"/>
            <w:vMerge/>
            <w:vAlign w:val="center"/>
            <w:hideMark/>
          </w:tcPr>
          <w:p w14:paraId="71B6ACBD"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080DD56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60-69 years</w:t>
            </w:r>
          </w:p>
        </w:tc>
        <w:tc>
          <w:tcPr>
            <w:tcW w:w="731" w:type="dxa"/>
            <w:shd w:val="clear" w:color="auto" w:fill="auto"/>
            <w:vAlign w:val="center"/>
            <w:hideMark/>
          </w:tcPr>
          <w:p w14:paraId="15BFDAD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0.55</w:t>
            </w:r>
          </w:p>
        </w:tc>
        <w:tc>
          <w:tcPr>
            <w:tcW w:w="1842" w:type="dxa"/>
            <w:shd w:val="clear" w:color="auto" w:fill="auto"/>
            <w:vAlign w:val="center"/>
            <w:hideMark/>
          </w:tcPr>
          <w:p w14:paraId="7C3BDD9E"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0.45 - 0.67</w:t>
            </w:r>
          </w:p>
        </w:tc>
        <w:tc>
          <w:tcPr>
            <w:tcW w:w="993" w:type="dxa"/>
            <w:shd w:val="clear" w:color="auto" w:fill="auto"/>
            <w:vAlign w:val="center"/>
            <w:hideMark/>
          </w:tcPr>
          <w:p w14:paraId="1FB2035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2920831F" w14:textId="77777777" w:rsidTr="00020438">
        <w:trPr>
          <w:trHeight w:val="300"/>
        </w:trPr>
        <w:tc>
          <w:tcPr>
            <w:tcW w:w="3640" w:type="dxa"/>
            <w:vMerge/>
            <w:vAlign w:val="center"/>
            <w:hideMark/>
          </w:tcPr>
          <w:p w14:paraId="554A0F12"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153108F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70-79 years</w:t>
            </w:r>
          </w:p>
        </w:tc>
        <w:tc>
          <w:tcPr>
            <w:tcW w:w="731" w:type="dxa"/>
            <w:shd w:val="clear" w:color="auto" w:fill="auto"/>
            <w:vAlign w:val="center"/>
            <w:hideMark/>
          </w:tcPr>
          <w:p w14:paraId="1531ED5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0.41</w:t>
            </w:r>
          </w:p>
        </w:tc>
        <w:tc>
          <w:tcPr>
            <w:tcW w:w="1842" w:type="dxa"/>
            <w:shd w:val="clear" w:color="auto" w:fill="auto"/>
            <w:vAlign w:val="center"/>
            <w:hideMark/>
          </w:tcPr>
          <w:p w14:paraId="376B9F0A"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0.33 - 0.51</w:t>
            </w:r>
          </w:p>
        </w:tc>
        <w:tc>
          <w:tcPr>
            <w:tcW w:w="993" w:type="dxa"/>
            <w:shd w:val="clear" w:color="auto" w:fill="auto"/>
            <w:vAlign w:val="center"/>
            <w:hideMark/>
          </w:tcPr>
          <w:p w14:paraId="36C11A7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226C7D48" w14:textId="77777777" w:rsidTr="00F55FBD">
        <w:trPr>
          <w:trHeight w:val="300"/>
        </w:trPr>
        <w:tc>
          <w:tcPr>
            <w:tcW w:w="3640" w:type="dxa"/>
            <w:vMerge/>
            <w:tcBorders>
              <w:bottom w:val="single" w:sz="4" w:space="0" w:color="auto"/>
            </w:tcBorders>
            <w:vAlign w:val="center"/>
            <w:hideMark/>
          </w:tcPr>
          <w:p w14:paraId="5F5311D4"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10DFDC7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80+ years</w:t>
            </w:r>
          </w:p>
        </w:tc>
        <w:tc>
          <w:tcPr>
            <w:tcW w:w="731" w:type="dxa"/>
            <w:tcBorders>
              <w:bottom w:val="single" w:sz="4" w:space="0" w:color="auto"/>
            </w:tcBorders>
            <w:shd w:val="clear" w:color="auto" w:fill="auto"/>
            <w:vAlign w:val="center"/>
            <w:hideMark/>
          </w:tcPr>
          <w:p w14:paraId="771A858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0.69</w:t>
            </w:r>
          </w:p>
        </w:tc>
        <w:tc>
          <w:tcPr>
            <w:tcW w:w="1842" w:type="dxa"/>
            <w:tcBorders>
              <w:bottom w:val="single" w:sz="4" w:space="0" w:color="auto"/>
            </w:tcBorders>
            <w:shd w:val="clear" w:color="auto" w:fill="auto"/>
            <w:vAlign w:val="center"/>
            <w:hideMark/>
          </w:tcPr>
          <w:p w14:paraId="4F811E8D"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0.54 - 0.88</w:t>
            </w:r>
          </w:p>
        </w:tc>
        <w:tc>
          <w:tcPr>
            <w:tcW w:w="993" w:type="dxa"/>
            <w:tcBorders>
              <w:bottom w:val="single" w:sz="4" w:space="0" w:color="auto"/>
            </w:tcBorders>
            <w:shd w:val="clear" w:color="auto" w:fill="auto"/>
            <w:vAlign w:val="center"/>
            <w:hideMark/>
          </w:tcPr>
          <w:p w14:paraId="277DDBF8"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179364B1" w14:textId="77777777" w:rsidTr="00F55FBD">
        <w:trPr>
          <w:trHeight w:val="300"/>
        </w:trPr>
        <w:tc>
          <w:tcPr>
            <w:tcW w:w="3640" w:type="dxa"/>
            <w:vMerge w:val="restart"/>
            <w:tcBorders>
              <w:top w:val="single" w:sz="4" w:space="0" w:color="auto"/>
            </w:tcBorders>
            <w:shd w:val="clear" w:color="auto" w:fill="auto"/>
            <w:vAlign w:val="center"/>
            <w:hideMark/>
          </w:tcPr>
          <w:p w14:paraId="370EF1DF"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Deprivation                             (Quintile of socio-economic deprivation)</w:t>
            </w:r>
          </w:p>
        </w:tc>
        <w:tc>
          <w:tcPr>
            <w:tcW w:w="2292" w:type="dxa"/>
            <w:tcBorders>
              <w:top w:val="single" w:sz="4" w:space="0" w:color="auto"/>
            </w:tcBorders>
            <w:shd w:val="clear" w:color="auto" w:fill="auto"/>
            <w:vAlign w:val="center"/>
            <w:hideMark/>
          </w:tcPr>
          <w:p w14:paraId="5361D32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Most affluent   1</w:t>
            </w:r>
          </w:p>
        </w:tc>
        <w:tc>
          <w:tcPr>
            <w:tcW w:w="731" w:type="dxa"/>
            <w:tcBorders>
              <w:top w:val="single" w:sz="4" w:space="0" w:color="auto"/>
            </w:tcBorders>
            <w:shd w:val="clear" w:color="auto" w:fill="auto"/>
            <w:vAlign w:val="center"/>
            <w:hideMark/>
          </w:tcPr>
          <w:p w14:paraId="6AED47A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2BE34B2E" w14:textId="74E01177"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49C7F874"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09EC8E48" w14:textId="77777777" w:rsidTr="00020438">
        <w:trPr>
          <w:trHeight w:val="300"/>
        </w:trPr>
        <w:tc>
          <w:tcPr>
            <w:tcW w:w="3640" w:type="dxa"/>
            <w:vMerge/>
            <w:vAlign w:val="center"/>
            <w:hideMark/>
          </w:tcPr>
          <w:p w14:paraId="0C8A9905"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3C1D099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w:t>
            </w:r>
          </w:p>
        </w:tc>
        <w:tc>
          <w:tcPr>
            <w:tcW w:w="731" w:type="dxa"/>
            <w:shd w:val="clear" w:color="auto" w:fill="auto"/>
            <w:vAlign w:val="center"/>
            <w:hideMark/>
          </w:tcPr>
          <w:p w14:paraId="4104D4B8"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1.28</w:t>
            </w:r>
          </w:p>
        </w:tc>
        <w:tc>
          <w:tcPr>
            <w:tcW w:w="1842" w:type="dxa"/>
            <w:shd w:val="clear" w:color="auto" w:fill="auto"/>
            <w:vAlign w:val="center"/>
            <w:hideMark/>
          </w:tcPr>
          <w:p w14:paraId="716176E6"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1.11 - 1.49</w:t>
            </w:r>
          </w:p>
        </w:tc>
        <w:tc>
          <w:tcPr>
            <w:tcW w:w="993" w:type="dxa"/>
            <w:shd w:val="clear" w:color="auto" w:fill="auto"/>
            <w:vAlign w:val="center"/>
            <w:hideMark/>
          </w:tcPr>
          <w:p w14:paraId="431B508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32708BDC" w14:textId="77777777" w:rsidTr="00020438">
        <w:trPr>
          <w:trHeight w:val="300"/>
        </w:trPr>
        <w:tc>
          <w:tcPr>
            <w:tcW w:w="3640" w:type="dxa"/>
            <w:vMerge/>
            <w:vAlign w:val="center"/>
            <w:hideMark/>
          </w:tcPr>
          <w:p w14:paraId="531B07B8"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4F03F41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3</w:t>
            </w:r>
          </w:p>
        </w:tc>
        <w:tc>
          <w:tcPr>
            <w:tcW w:w="731" w:type="dxa"/>
            <w:shd w:val="clear" w:color="auto" w:fill="auto"/>
            <w:vAlign w:val="center"/>
            <w:hideMark/>
          </w:tcPr>
          <w:p w14:paraId="65B7CC7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1.43</w:t>
            </w:r>
          </w:p>
        </w:tc>
        <w:tc>
          <w:tcPr>
            <w:tcW w:w="1842" w:type="dxa"/>
            <w:shd w:val="clear" w:color="auto" w:fill="auto"/>
            <w:vAlign w:val="center"/>
            <w:hideMark/>
          </w:tcPr>
          <w:p w14:paraId="572B5D86"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1.23 - 1.66</w:t>
            </w:r>
          </w:p>
        </w:tc>
        <w:tc>
          <w:tcPr>
            <w:tcW w:w="993" w:type="dxa"/>
            <w:shd w:val="clear" w:color="auto" w:fill="auto"/>
            <w:vAlign w:val="center"/>
            <w:hideMark/>
          </w:tcPr>
          <w:p w14:paraId="35AFC04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8A64E51" w14:textId="77777777" w:rsidTr="00020438">
        <w:trPr>
          <w:trHeight w:val="300"/>
        </w:trPr>
        <w:tc>
          <w:tcPr>
            <w:tcW w:w="3640" w:type="dxa"/>
            <w:vMerge/>
            <w:vAlign w:val="center"/>
            <w:hideMark/>
          </w:tcPr>
          <w:p w14:paraId="22B23A82"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2A7B60E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4</w:t>
            </w:r>
          </w:p>
        </w:tc>
        <w:tc>
          <w:tcPr>
            <w:tcW w:w="731" w:type="dxa"/>
            <w:shd w:val="clear" w:color="auto" w:fill="auto"/>
            <w:vAlign w:val="center"/>
            <w:hideMark/>
          </w:tcPr>
          <w:p w14:paraId="5A42137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1.66</w:t>
            </w:r>
          </w:p>
        </w:tc>
        <w:tc>
          <w:tcPr>
            <w:tcW w:w="1842" w:type="dxa"/>
            <w:shd w:val="clear" w:color="auto" w:fill="auto"/>
            <w:vAlign w:val="center"/>
            <w:hideMark/>
          </w:tcPr>
          <w:p w14:paraId="33F11B30"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1.42 - 1.95</w:t>
            </w:r>
          </w:p>
        </w:tc>
        <w:tc>
          <w:tcPr>
            <w:tcW w:w="993" w:type="dxa"/>
            <w:shd w:val="clear" w:color="auto" w:fill="auto"/>
            <w:vAlign w:val="center"/>
            <w:hideMark/>
          </w:tcPr>
          <w:p w14:paraId="43ACD64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3A078182" w14:textId="77777777" w:rsidTr="00F55FBD">
        <w:trPr>
          <w:trHeight w:val="300"/>
        </w:trPr>
        <w:tc>
          <w:tcPr>
            <w:tcW w:w="3640" w:type="dxa"/>
            <w:vMerge/>
            <w:tcBorders>
              <w:bottom w:val="single" w:sz="4" w:space="0" w:color="auto"/>
            </w:tcBorders>
            <w:vAlign w:val="center"/>
            <w:hideMark/>
          </w:tcPr>
          <w:p w14:paraId="7F176D69"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40CD5C3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Least affluent   5</w:t>
            </w:r>
          </w:p>
        </w:tc>
        <w:tc>
          <w:tcPr>
            <w:tcW w:w="731" w:type="dxa"/>
            <w:tcBorders>
              <w:bottom w:val="single" w:sz="4" w:space="0" w:color="auto"/>
            </w:tcBorders>
            <w:shd w:val="clear" w:color="auto" w:fill="auto"/>
            <w:vAlign w:val="center"/>
            <w:hideMark/>
          </w:tcPr>
          <w:p w14:paraId="21587D2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2.3</w:t>
            </w:r>
          </w:p>
        </w:tc>
        <w:tc>
          <w:tcPr>
            <w:tcW w:w="1842" w:type="dxa"/>
            <w:tcBorders>
              <w:bottom w:val="single" w:sz="4" w:space="0" w:color="auto"/>
            </w:tcBorders>
            <w:shd w:val="clear" w:color="auto" w:fill="auto"/>
            <w:vAlign w:val="center"/>
            <w:hideMark/>
          </w:tcPr>
          <w:p w14:paraId="5AC73290"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1.95 - 2.72</w:t>
            </w:r>
          </w:p>
        </w:tc>
        <w:tc>
          <w:tcPr>
            <w:tcW w:w="993" w:type="dxa"/>
            <w:tcBorders>
              <w:bottom w:val="single" w:sz="4" w:space="0" w:color="auto"/>
            </w:tcBorders>
            <w:shd w:val="clear" w:color="auto" w:fill="auto"/>
            <w:vAlign w:val="center"/>
            <w:hideMark/>
          </w:tcPr>
          <w:p w14:paraId="26EBAAE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F069074" w14:textId="77777777" w:rsidTr="00F55FBD">
        <w:trPr>
          <w:trHeight w:val="300"/>
        </w:trPr>
        <w:tc>
          <w:tcPr>
            <w:tcW w:w="3640" w:type="dxa"/>
            <w:vMerge w:val="restart"/>
            <w:tcBorders>
              <w:top w:val="single" w:sz="4" w:space="0" w:color="auto"/>
            </w:tcBorders>
            <w:shd w:val="clear" w:color="auto" w:fill="auto"/>
            <w:noWrap/>
            <w:vAlign w:val="center"/>
            <w:hideMark/>
          </w:tcPr>
          <w:p w14:paraId="4D003729"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Ethnicity</w:t>
            </w:r>
          </w:p>
        </w:tc>
        <w:tc>
          <w:tcPr>
            <w:tcW w:w="2292" w:type="dxa"/>
            <w:tcBorders>
              <w:top w:val="single" w:sz="4" w:space="0" w:color="auto"/>
            </w:tcBorders>
            <w:shd w:val="clear" w:color="auto" w:fill="auto"/>
            <w:vAlign w:val="center"/>
            <w:hideMark/>
          </w:tcPr>
          <w:p w14:paraId="1C50FF0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White</w:t>
            </w:r>
          </w:p>
        </w:tc>
        <w:tc>
          <w:tcPr>
            <w:tcW w:w="731" w:type="dxa"/>
            <w:tcBorders>
              <w:top w:val="single" w:sz="4" w:space="0" w:color="auto"/>
            </w:tcBorders>
            <w:shd w:val="clear" w:color="auto" w:fill="auto"/>
            <w:vAlign w:val="center"/>
            <w:hideMark/>
          </w:tcPr>
          <w:p w14:paraId="6A5589C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6E93CBB8" w14:textId="530B037B"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36FB3AAB"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5CDC7C7B" w14:textId="77777777" w:rsidTr="00F55FBD">
        <w:trPr>
          <w:trHeight w:val="300"/>
        </w:trPr>
        <w:tc>
          <w:tcPr>
            <w:tcW w:w="3640" w:type="dxa"/>
            <w:vMerge/>
            <w:tcBorders>
              <w:bottom w:val="single" w:sz="4" w:space="0" w:color="auto"/>
            </w:tcBorders>
            <w:vAlign w:val="center"/>
            <w:hideMark/>
          </w:tcPr>
          <w:p w14:paraId="19E0A648"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5A57E07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Non-White</w:t>
            </w:r>
          </w:p>
        </w:tc>
        <w:tc>
          <w:tcPr>
            <w:tcW w:w="731" w:type="dxa"/>
            <w:tcBorders>
              <w:bottom w:val="single" w:sz="4" w:space="0" w:color="auto"/>
            </w:tcBorders>
            <w:shd w:val="clear" w:color="auto" w:fill="auto"/>
            <w:vAlign w:val="center"/>
            <w:hideMark/>
          </w:tcPr>
          <w:p w14:paraId="784AF39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1.29</w:t>
            </w:r>
          </w:p>
        </w:tc>
        <w:tc>
          <w:tcPr>
            <w:tcW w:w="1842" w:type="dxa"/>
            <w:tcBorders>
              <w:bottom w:val="single" w:sz="4" w:space="0" w:color="auto"/>
            </w:tcBorders>
            <w:shd w:val="clear" w:color="auto" w:fill="auto"/>
            <w:vAlign w:val="center"/>
            <w:hideMark/>
          </w:tcPr>
          <w:p w14:paraId="6E6F06AC"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0.99 - 1.67</w:t>
            </w:r>
          </w:p>
        </w:tc>
        <w:tc>
          <w:tcPr>
            <w:tcW w:w="993" w:type="dxa"/>
            <w:tcBorders>
              <w:bottom w:val="single" w:sz="4" w:space="0" w:color="auto"/>
            </w:tcBorders>
            <w:shd w:val="clear" w:color="auto" w:fill="auto"/>
            <w:vAlign w:val="center"/>
            <w:hideMark/>
          </w:tcPr>
          <w:p w14:paraId="345FDE3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0.06</w:t>
            </w:r>
          </w:p>
        </w:tc>
      </w:tr>
      <w:tr w:rsidR="00020438" w:rsidRPr="00A90947" w14:paraId="4F07AB11" w14:textId="77777777" w:rsidTr="00F55FBD">
        <w:trPr>
          <w:trHeight w:val="300"/>
        </w:trPr>
        <w:tc>
          <w:tcPr>
            <w:tcW w:w="3640" w:type="dxa"/>
            <w:vMerge w:val="restart"/>
            <w:tcBorders>
              <w:top w:val="single" w:sz="4" w:space="0" w:color="auto"/>
            </w:tcBorders>
            <w:shd w:val="clear" w:color="auto" w:fill="auto"/>
            <w:vAlign w:val="center"/>
            <w:hideMark/>
          </w:tcPr>
          <w:p w14:paraId="11A063BC"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Long term conditions</w:t>
            </w:r>
          </w:p>
        </w:tc>
        <w:tc>
          <w:tcPr>
            <w:tcW w:w="2292" w:type="dxa"/>
            <w:tcBorders>
              <w:top w:val="single" w:sz="4" w:space="0" w:color="auto"/>
            </w:tcBorders>
            <w:shd w:val="clear" w:color="auto" w:fill="auto"/>
            <w:vAlign w:val="center"/>
            <w:hideMark/>
          </w:tcPr>
          <w:p w14:paraId="511EF01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w:t>
            </w:r>
          </w:p>
        </w:tc>
        <w:tc>
          <w:tcPr>
            <w:tcW w:w="731" w:type="dxa"/>
            <w:tcBorders>
              <w:top w:val="single" w:sz="4" w:space="0" w:color="auto"/>
            </w:tcBorders>
            <w:shd w:val="clear" w:color="auto" w:fill="auto"/>
            <w:vAlign w:val="center"/>
            <w:hideMark/>
          </w:tcPr>
          <w:p w14:paraId="2AEDCFE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004D2B62" w14:textId="68916C42"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2B860201"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0987161C" w14:textId="77777777" w:rsidTr="00020438">
        <w:trPr>
          <w:trHeight w:val="300"/>
        </w:trPr>
        <w:tc>
          <w:tcPr>
            <w:tcW w:w="3640" w:type="dxa"/>
            <w:vMerge/>
            <w:vAlign w:val="center"/>
            <w:hideMark/>
          </w:tcPr>
          <w:p w14:paraId="743A9712"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06C27CF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731" w:type="dxa"/>
            <w:shd w:val="clear" w:color="auto" w:fill="auto"/>
            <w:vAlign w:val="center"/>
            <w:hideMark/>
          </w:tcPr>
          <w:p w14:paraId="6E40A0B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1.38</w:t>
            </w:r>
          </w:p>
        </w:tc>
        <w:tc>
          <w:tcPr>
            <w:tcW w:w="1842" w:type="dxa"/>
            <w:shd w:val="clear" w:color="auto" w:fill="auto"/>
            <w:vAlign w:val="center"/>
            <w:hideMark/>
          </w:tcPr>
          <w:p w14:paraId="4063556A"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1.18 - 1.61</w:t>
            </w:r>
          </w:p>
        </w:tc>
        <w:tc>
          <w:tcPr>
            <w:tcW w:w="993" w:type="dxa"/>
            <w:shd w:val="clear" w:color="auto" w:fill="auto"/>
            <w:vAlign w:val="center"/>
            <w:hideMark/>
          </w:tcPr>
          <w:p w14:paraId="3DD0ACE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36D80CB7" w14:textId="77777777" w:rsidTr="00020438">
        <w:trPr>
          <w:trHeight w:val="300"/>
        </w:trPr>
        <w:tc>
          <w:tcPr>
            <w:tcW w:w="3640" w:type="dxa"/>
            <w:vMerge/>
            <w:vAlign w:val="center"/>
            <w:hideMark/>
          </w:tcPr>
          <w:p w14:paraId="1E67D603" w14:textId="77777777" w:rsidR="00020438" w:rsidRPr="00020438" w:rsidRDefault="00020438" w:rsidP="00966E61">
            <w:pPr>
              <w:spacing w:before="0" w:line="240" w:lineRule="auto"/>
              <w:rPr>
                <w:rFonts w:eastAsia="Times New Roman"/>
                <w:b/>
                <w:bCs/>
                <w:sz w:val="20"/>
                <w:szCs w:val="20"/>
              </w:rPr>
            </w:pPr>
          </w:p>
        </w:tc>
        <w:tc>
          <w:tcPr>
            <w:tcW w:w="2292" w:type="dxa"/>
            <w:shd w:val="clear" w:color="auto" w:fill="auto"/>
            <w:vAlign w:val="center"/>
            <w:hideMark/>
          </w:tcPr>
          <w:p w14:paraId="108A008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w:t>
            </w:r>
          </w:p>
        </w:tc>
        <w:tc>
          <w:tcPr>
            <w:tcW w:w="731" w:type="dxa"/>
            <w:shd w:val="clear" w:color="auto" w:fill="auto"/>
            <w:vAlign w:val="center"/>
            <w:hideMark/>
          </w:tcPr>
          <w:p w14:paraId="1942901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2.63</w:t>
            </w:r>
          </w:p>
        </w:tc>
        <w:tc>
          <w:tcPr>
            <w:tcW w:w="1842" w:type="dxa"/>
            <w:shd w:val="clear" w:color="auto" w:fill="auto"/>
            <w:vAlign w:val="center"/>
            <w:hideMark/>
          </w:tcPr>
          <w:p w14:paraId="299F58F1"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2.25 - 3.08</w:t>
            </w:r>
          </w:p>
        </w:tc>
        <w:tc>
          <w:tcPr>
            <w:tcW w:w="993" w:type="dxa"/>
            <w:shd w:val="clear" w:color="auto" w:fill="auto"/>
            <w:vAlign w:val="center"/>
            <w:hideMark/>
          </w:tcPr>
          <w:p w14:paraId="6123D61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7256C67D" w14:textId="77777777" w:rsidTr="00F55FBD">
        <w:trPr>
          <w:trHeight w:val="300"/>
        </w:trPr>
        <w:tc>
          <w:tcPr>
            <w:tcW w:w="3640" w:type="dxa"/>
            <w:vMerge/>
            <w:tcBorders>
              <w:bottom w:val="single" w:sz="4" w:space="0" w:color="auto"/>
            </w:tcBorders>
            <w:vAlign w:val="center"/>
            <w:hideMark/>
          </w:tcPr>
          <w:p w14:paraId="196C8759"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7391240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3+</w:t>
            </w:r>
          </w:p>
        </w:tc>
        <w:tc>
          <w:tcPr>
            <w:tcW w:w="731" w:type="dxa"/>
            <w:tcBorders>
              <w:bottom w:val="single" w:sz="4" w:space="0" w:color="auto"/>
            </w:tcBorders>
            <w:shd w:val="clear" w:color="auto" w:fill="auto"/>
            <w:vAlign w:val="center"/>
            <w:hideMark/>
          </w:tcPr>
          <w:p w14:paraId="221FA09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5.37</w:t>
            </w:r>
          </w:p>
        </w:tc>
        <w:tc>
          <w:tcPr>
            <w:tcW w:w="1842" w:type="dxa"/>
            <w:tcBorders>
              <w:bottom w:val="single" w:sz="4" w:space="0" w:color="auto"/>
            </w:tcBorders>
            <w:shd w:val="clear" w:color="auto" w:fill="auto"/>
            <w:vAlign w:val="center"/>
            <w:hideMark/>
          </w:tcPr>
          <w:p w14:paraId="3261AE48"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4.61 - 6.27</w:t>
            </w:r>
          </w:p>
        </w:tc>
        <w:tc>
          <w:tcPr>
            <w:tcW w:w="993" w:type="dxa"/>
            <w:tcBorders>
              <w:bottom w:val="single" w:sz="4" w:space="0" w:color="auto"/>
            </w:tcBorders>
            <w:shd w:val="clear" w:color="auto" w:fill="auto"/>
            <w:vAlign w:val="center"/>
            <w:hideMark/>
          </w:tcPr>
          <w:p w14:paraId="6867D4A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09265979" w14:textId="77777777" w:rsidTr="00F55FBD">
        <w:trPr>
          <w:trHeight w:val="300"/>
        </w:trPr>
        <w:tc>
          <w:tcPr>
            <w:tcW w:w="3640" w:type="dxa"/>
            <w:vMerge w:val="restart"/>
            <w:tcBorders>
              <w:top w:val="single" w:sz="4" w:space="0" w:color="auto"/>
            </w:tcBorders>
            <w:shd w:val="clear" w:color="auto" w:fill="auto"/>
            <w:vAlign w:val="center"/>
            <w:hideMark/>
          </w:tcPr>
          <w:p w14:paraId="06099ADB"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Consulted for mental health related problem</w:t>
            </w:r>
          </w:p>
        </w:tc>
        <w:tc>
          <w:tcPr>
            <w:tcW w:w="2292" w:type="dxa"/>
            <w:tcBorders>
              <w:top w:val="single" w:sz="4" w:space="0" w:color="auto"/>
            </w:tcBorders>
            <w:shd w:val="clear" w:color="auto" w:fill="auto"/>
            <w:vAlign w:val="center"/>
            <w:hideMark/>
          </w:tcPr>
          <w:p w14:paraId="3986775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No</w:t>
            </w:r>
          </w:p>
        </w:tc>
        <w:tc>
          <w:tcPr>
            <w:tcW w:w="731" w:type="dxa"/>
            <w:tcBorders>
              <w:top w:val="single" w:sz="4" w:space="0" w:color="auto"/>
            </w:tcBorders>
            <w:shd w:val="clear" w:color="auto" w:fill="auto"/>
            <w:vAlign w:val="center"/>
            <w:hideMark/>
          </w:tcPr>
          <w:p w14:paraId="769CE56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7C1A4F80" w14:textId="2DF3135E"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1868D7AA"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739E4D69" w14:textId="77777777" w:rsidTr="00F55FBD">
        <w:trPr>
          <w:trHeight w:val="300"/>
        </w:trPr>
        <w:tc>
          <w:tcPr>
            <w:tcW w:w="3640" w:type="dxa"/>
            <w:vMerge/>
            <w:tcBorders>
              <w:bottom w:val="single" w:sz="4" w:space="0" w:color="auto"/>
            </w:tcBorders>
            <w:vAlign w:val="center"/>
            <w:hideMark/>
          </w:tcPr>
          <w:p w14:paraId="1F4319BA"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6C3EB2D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Yes</w:t>
            </w:r>
          </w:p>
        </w:tc>
        <w:tc>
          <w:tcPr>
            <w:tcW w:w="731" w:type="dxa"/>
            <w:tcBorders>
              <w:bottom w:val="single" w:sz="4" w:space="0" w:color="auto"/>
            </w:tcBorders>
            <w:shd w:val="clear" w:color="auto" w:fill="auto"/>
            <w:vAlign w:val="center"/>
            <w:hideMark/>
          </w:tcPr>
          <w:p w14:paraId="3C5F936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2.23</w:t>
            </w:r>
          </w:p>
        </w:tc>
        <w:tc>
          <w:tcPr>
            <w:tcW w:w="1842" w:type="dxa"/>
            <w:tcBorders>
              <w:bottom w:val="single" w:sz="4" w:space="0" w:color="auto"/>
            </w:tcBorders>
            <w:shd w:val="clear" w:color="auto" w:fill="auto"/>
            <w:vAlign w:val="center"/>
            <w:hideMark/>
          </w:tcPr>
          <w:p w14:paraId="39A6EAB4"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2.00 - 2.48</w:t>
            </w:r>
          </w:p>
        </w:tc>
        <w:tc>
          <w:tcPr>
            <w:tcW w:w="993" w:type="dxa"/>
            <w:tcBorders>
              <w:bottom w:val="single" w:sz="4" w:space="0" w:color="auto"/>
            </w:tcBorders>
            <w:shd w:val="clear" w:color="auto" w:fill="auto"/>
            <w:vAlign w:val="center"/>
            <w:hideMark/>
          </w:tcPr>
          <w:p w14:paraId="5386C0C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495783D" w14:textId="77777777" w:rsidTr="00F55FBD">
        <w:trPr>
          <w:trHeight w:val="300"/>
        </w:trPr>
        <w:tc>
          <w:tcPr>
            <w:tcW w:w="3640" w:type="dxa"/>
            <w:vMerge w:val="restart"/>
            <w:tcBorders>
              <w:top w:val="single" w:sz="4" w:space="0" w:color="auto"/>
            </w:tcBorders>
            <w:shd w:val="clear" w:color="auto" w:fill="auto"/>
            <w:noWrap/>
            <w:vAlign w:val="center"/>
            <w:hideMark/>
          </w:tcPr>
          <w:p w14:paraId="1B0C9B0D"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Carer status</w:t>
            </w:r>
          </w:p>
        </w:tc>
        <w:tc>
          <w:tcPr>
            <w:tcW w:w="2292" w:type="dxa"/>
            <w:tcBorders>
              <w:top w:val="single" w:sz="4" w:space="0" w:color="auto"/>
            </w:tcBorders>
            <w:shd w:val="clear" w:color="auto" w:fill="auto"/>
            <w:vAlign w:val="center"/>
            <w:hideMark/>
          </w:tcPr>
          <w:p w14:paraId="4DA4F66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No</w:t>
            </w:r>
          </w:p>
        </w:tc>
        <w:tc>
          <w:tcPr>
            <w:tcW w:w="731" w:type="dxa"/>
            <w:tcBorders>
              <w:top w:val="single" w:sz="4" w:space="0" w:color="auto"/>
            </w:tcBorders>
            <w:shd w:val="clear" w:color="auto" w:fill="auto"/>
            <w:vAlign w:val="center"/>
            <w:hideMark/>
          </w:tcPr>
          <w:p w14:paraId="4C8D752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69D3572A" w14:textId="613ACC7F"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6BC3E0D7"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12A826F1" w14:textId="77777777" w:rsidTr="00F55FBD">
        <w:trPr>
          <w:trHeight w:val="300"/>
        </w:trPr>
        <w:tc>
          <w:tcPr>
            <w:tcW w:w="3640" w:type="dxa"/>
            <w:vMerge/>
            <w:tcBorders>
              <w:bottom w:val="single" w:sz="4" w:space="0" w:color="auto"/>
            </w:tcBorders>
            <w:vAlign w:val="center"/>
            <w:hideMark/>
          </w:tcPr>
          <w:p w14:paraId="053297CD" w14:textId="77777777" w:rsidR="00020438" w:rsidRPr="00020438" w:rsidRDefault="00020438" w:rsidP="00966E61">
            <w:pPr>
              <w:spacing w:before="0" w:line="240" w:lineRule="auto"/>
              <w:rPr>
                <w:rFonts w:eastAsia="Times New Roman"/>
                <w:b/>
                <w:bCs/>
                <w:sz w:val="20"/>
                <w:szCs w:val="20"/>
              </w:rPr>
            </w:pPr>
          </w:p>
        </w:tc>
        <w:tc>
          <w:tcPr>
            <w:tcW w:w="2292" w:type="dxa"/>
            <w:tcBorders>
              <w:bottom w:val="single" w:sz="4" w:space="0" w:color="auto"/>
            </w:tcBorders>
            <w:shd w:val="clear" w:color="auto" w:fill="auto"/>
            <w:vAlign w:val="center"/>
            <w:hideMark/>
          </w:tcPr>
          <w:p w14:paraId="00F64C92"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Yes</w:t>
            </w:r>
          </w:p>
        </w:tc>
        <w:tc>
          <w:tcPr>
            <w:tcW w:w="731" w:type="dxa"/>
            <w:tcBorders>
              <w:bottom w:val="single" w:sz="4" w:space="0" w:color="auto"/>
            </w:tcBorders>
            <w:shd w:val="clear" w:color="auto" w:fill="auto"/>
            <w:vAlign w:val="center"/>
            <w:hideMark/>
          </w:tcPr>
          <w:p w14:paraId="03E4404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1.32</w:t>
            </w:r>
          </w:p>
        </w:tc>
        <w:tc>
          <w:tcPr>
            <w:tcW w:w="1842" w:type="dxa"/>
            <w:tcBorders>
              <w:bottom w:val="single" w:sz="4" w:space="0" w:color="auto"/>
            </w:tcBorders>
            <w:shd w:val="clear" w:color="auto" w:fill="auto"/>
            <w:vAlign w:val="center"/>
            <w:hideMark/>
          </w:tcPr>
          <w:p w14:paraId="6681AE77" w14:textId="7777777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1.19 - 1.47</w:t>
            </w:r>
          </w:p>
        </w:tc>
        <w:tc>
          <w:tcPr>
            <w:tcW w:w="993" w:type="dxa"/>
            <w:tcBorders>
              <w:bottom w:val="single" w:sz="4" w:space="0" w:color="auto"/>
            </w:tcBorders>
            <w:shd w:val="clear" w:color="auto" w:fill="auto"/>
            <w:vAlign w:val="center"/>
            <w:hideMark/>
          </w:tcPr>
          <w:p w14:paraId="180F010E"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B6A61E9" w14:textId="77777777" w:rsidTr="00F55FBD">
        <w:trPr>
          <w:trHeight w:val="300"/>
        </w:trPr>
        <w:tc>
          <w:tcPr>
            <w:tcW w:w="3640" w:type="dxa"/>
            <w:vMerge w:val="restart"/>
            <w:tcBorders>
              <w:top w:val="single" w:sz="4" w:space="0" w:color="auto"/>
            </w:tcBorders>
            <w:shd w:val="clear" w:color="auto" w:fill="auto"/>
            <w:noWrap/>
            <w:vAlign w:val="center"/>
            <w:hideMark/>
          </w:tcPr>
          <w:p w14:paraId="57EAAF82"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Legal marital status</w:t>
            </w:r>
          </w:p>
        </w:tc>
        <w:tc>
          <w:tcPr>
            <w:tcW w:w="2292" w:type="dxa"/>
            <w:tcBorders>
              <w:top w:val="single" w:sz="4" w:space="0" w:color="auto"/>
            </w:tcBorders>
            <w:shd w:val="clear" w:color="auto" w:fill="auto"/>
            <w:vAlign w:val="center"/>
            <w:hideMark/>
          </w:tcPr>
          <w:p w14:paraId="615C04C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Married/Civil Partner</w:t>
            </w:r>
          </w:p>
        </w:tc>
        <w:tc>
          <w:tcPr>
            <w:tcW w:w="731" w:type="dxa"/>
            <w:tcBorders>
              <w:top w:val="single" w:sz="4" w:space="0" w:color="auto"/>
            </w:tcBorders>
            <w:shd w:val="clear" w:color="auto" w:fill="auto"/>
            <w:vAlign w:val="center"/>
            <w:hideMark/>
          </w:tcPr>
          <w:p w14:paraId="222F945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457C6760" w14:textId="27C40BB0" w:rsidR="00020438" w:rsidRPr="00020438" w:rsidRDefault="00020438" w:rsidP="00020438">
            <w:pPr>
              <w:spacing w:before="0" w:line="240" w:lineRule="auto"/>
              <w:jc w:val="center"/>
              <w:rPr>
                <w:rFonts w:eastAsia="Times New Roman"/>
                <w:sz w:val="20"/>
                <w:szCs w:val="20"/>
              </w:rPr>
            </w:pPr>
          </w:p>
          <w:p w14:paraId="0B750998" w14:textId="270139D4"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23FDD1E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 </w:t>
            </w:r>
          </w:p>
        </w:tc>
      </w:tr>
      <w:tr w:rsidR="00020438" w:rsidRPr="00A90947" w14:paraId="7D6EA43D" w14:textId="77777777" w:rsidTr="00020438">
        <w:trPr>
          <w:trHeight w:val="300"/>
        </w:trPr>
        <w:tc>
          <w:tcPr>
            <w:tcW w:w="3640" w:type="dxa"/>
            <w:vMerge/>
            <w:tcBorders>
              <w:top w:val="nil"/>
            </w:tcBorders>
            <w:vAlign w:val="center"/>
            <w:hideMark/>
          </w:tcPr>
          <w:p w14:paraId="1B3AFD11"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410B2B5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Separated/Divorced</w:t>
            </w:r>
          </w:p>
        </w:tc>
        <w:tc>
          <w:tcPr>
            <w:tcW w:w="731" w:type="dxa"/>
            <w:tcBorders>
              <w:top w:val="nil"/>
            </w:tcBorders>
            <w:shd w:val="clear" w:color="auto" w:fill="auto"/>
            <w:vAlign w:val="center"/>
            <w:hideMark/>
          </w:tcPr>
          <w:p w14:paraId="648ADBA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1.48</w:t>
            </w:r>
          </w:p>
        </w:tc>
        <w:tc>
          <w:tcPr>
            <w:tcW w:w="1842" w:type="dxa"/>
            <w:tcBorders>
              <w:top w:val="nil"/>
            </w:tcBorders>
            <w:shd w:val="clear" w:color="auto" w:fill="auto"/>
            <w:vAlign w:val="center"/>
            <w:hideMark/>
          </w:tcPr>
          <w:p w14:paraId="1F87C62A" w14:textId="0DA21AAE"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1.26 -</w:t>
            </w:r>
            <w:r>
              <w:rPr>
                <w:rFonts w:eastAsia="Times New Roman"/>
                <w:sz w:val="20"/>
                <w:szCs w:val="20"/>
              </w:rPr>
              <w:t xml:space="preserve"> </w:t>
            </w:r>
            <w:r w:rsidRPr="00020438">
              <w:rPr>
                <w:rFonts w:eastAsia="Times New Roman"/>
                <w:sz w:val="20"/>
                <w:szCs w:val="20"/>
              </w:rPr>
              <w:t>1.74</w:t>
            </w:r>
          </w:p>
        </w:tc>
        <w:tc>
          <w:tcPr>
            <w:tcW w:w="993" w:type="dxa"/>
            <w:tcBorders>
              <w:top w:val="nil"/>
            </w:tcBorders>
            <w:shd w:val="clear" w:color="auto" w:fill="auto"/>
            <w:vAlign w:val="center"/>
            <w:hideMark/>
          </w:tcPr>
          <w:p w14:paraId="36C9F95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19861758" w14:textId="77777777" w:rsidTr="00020438">
        <w:trPr>
          <w:trHeight w:val="300"/>
        </w:trPr>
        <w:tc>
          <w:tcPr>
            <w:tcW w:w="3640" w:type="dxa"/>
            <w:vMerge/>
            <w:tcBorders>
              <w:top w:val="nil"/>
            </w:tcBorders>
            <w:vAlign w:val="center"/>
            <w:hideMark/>
          </w:tcPr>
          <w:p w14:paraId="189FB61E"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421A5D6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Widowed</w:t>
            </w:r>
          </w:p>
        </w:tc>
        <w:tc>
          <w:tcPr>
            <w:tcW w:w="731" w:type="dxa"/>
            <w:tcBorders>
              <w:top w:val="nil"/>
            </w:tcBorders>
            <w:shd w:val="clear" w:color="auto" w:fill="auto"/>
            <w:vAlign w:val="center"/>
            <w:hideMark/>
          </w:tcPr>
          <w:p w14:paraId="087E6E0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1.07</w:t>
            </w:r>
          </w:p>
        </w:tc>
        <w:tc>
          <w:tcPr>
            <w:tcW w:w="1842" w:type="dxa"/>
            <w:tcBorders>
              <w:top w:val="nil"/>
            </w:tcBorders>
            <w:shd w:val="clear" w:color="auto" w:fill="auto"/>
            <w:vAlign w:val="center"/>
            <w:hideMark/>
          </w:tcPr>
          <w:p w14:paraId="2C7A50C2" w14:textId="74E84A42"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0.89 -</w:t>
            </w:r>
            <w:r>
              <w:rPr>
                <w:rFonts w:eastAsia="Times New Roman"/>
                <w:sz w:val="20"/>
                <w:szCs w:val="20"/>
              </w:rPr>
              <w:t xml:space="preserve"> </w:t>
            </w:r>
            <w:r w:rsidRPr="00020438">
              <w:rPr>
                <w:rFonts w:eastAsia="Times New Roman"/>
                <w:sz w:val="20"/>
                <w:szCs w:val="20"/>
              </w:rPr>
              <w:t>1.29</w:t>
            </w:r>
          </w:p>
        </w:tc>
        <w:tc>
          <w:tcPr>
            <w:tcW w:w="993" w:type="dxa"/>
            <w:tcBorders>
              <w:top w:val="nil"/>
            </w:tcBorders>
            <w:shd w:val="clear" w:color="auto" w:fill="auto"/>
            <w:vAlign w:val="center"/>
            <w:hideMark/>
          </w:tcPr>
          <w:p w14:paraId="6B78EF6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0.46</w:t>
            </w:r>
          </w:p>
        </w:tc>
      </w:tr>
      <w:tr w:rsidR="00020438" w:rsidRPr="00A90947" w14:paraId="6DBD519A" w14:textId="77777777" w:rsidTr="00020438">
        <w:trPr>
          <w:trHeight w:val="300"/>
        </w:trPr>
        <w:tc>
          <w:tcPr>
            <w:tcW w:w="3640" w:type="dxa"/>
            <w:vMerge/>
            <w:tcBorders>
              <w:top w:val="nil"/>
            </w:tcBorders>
            <w:vAlign w:val="center"/>
            <w:hideMark/>
          </w:tcPr>
          <w:p w14:paraId="483A506D"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002C4E0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Single</w:t>
            </w:r>
          </w:p>
        </w:tc>
        <w:tc>
          <w:tcPr>
            <w:tcW w:w="731" w:type="dxa"/>
            <w:tcBorders>
              <w:top w:val="nil"/>
            </w:tcBorders>
            <w:shd w:val="clear" w:color="auto" w:fill="auto"/>
            <w:vAlign w:val="center"/>
            <w:hideMark/>
          </w:tcPr>
          <w:p w14:paraId="3EBB042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0.89</w:t>
            </w:r>
          </w:p>
        </w:tc>
        <w:tc>
          <w:tcPr>
            <w:tcW w:w="1842" w:type="dxa"/>
            <w:tcBorders>
              <w:top w:val="nil"/>
            </w:tcBorders>
            <w:shd w:val="clear" w:color="auto" w:fill="auto"/>
            <w:vAlign w:val="center"/>
            <w:hideMark/>
          </w:tcPr>
          <w:p w14:paraId="750B1EB6" w14:textId="73C10F65"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0.70 -</w:t>
            </w:r>
            <w:r>
              <w:rPr>
                <w:rFonts w:eastAsia="Times New Roman"/>
                <w:sz w:val="20"/>
                <w:szCs w:val="20"/>
              </w:rPr>
              <w:t xml:space="preserve"> </w:t>
            </w:r>
            <w:r w:rsidRPr="00020438">
              <w:rPr>
                <w:rFonts w:eastAsia="Times New Roman"/>
                <w:sz w:val="20"/>
                <w:szCs w:val="20"/>
              </w:rPr>
              <w:t>1.15</w:t>
            </w:r>
          </w:p>
        </w:tc>
        <w:tc>
          <w:tcPr>
            <w:tcW w:w="993" w:type="dxa"/>
            <w:tcBorders>
              <w:top w:val="nil"/>
            </w:tcBorders>
            <w:shd w:val="clear" w:color="auto" w:fill="auto"/>
            <w:vAlign w:val="center"/>
            <w:hideMark/>
          </w:tcPr>
          <w:p w14:paraId="46A61D42"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0.37</w:t>
            </w:r>
          </w:p>
        </w:tc>
      </w:tr>
      <w:tr w:rsidR="00020438" w:rsidRPr="00A90947" w14:paraId="6E6F464A" w14:textId="77777777" w:rsidTr="00F55FBD">
        <w:trPr>
          <w:trHeight w:val="300"/>
        </w:trPr>
        <w:tc>
          <w:tcPr>
            <w:tcW w:w="3640" w:type="dxa"/>
            <w:vMerge/>
            <w:tcBorders>
              <w:top w:val="nil"/>
              <w:bottom w:val="single" w:sz="4" w:space="0" w:color="auto"/>
            </w:tcBorders>
            <w:vAlign w:val="center"/>
            <w:hideMark/>
          </w:tcPr>
          <w:p w14:paraId="12F07EFA" w14:textId="77777777" w:rsidR="00020438" w:rsidRPr="00020438" w:rsidRDefault="00020438" w:rsidP="00966E61">
            <w:pPr>
              <w:spacing w:before="0" w:line="240" w:lineRule="auto"/>
              <w:rPr>
                <w:rFonts w:eastAsia="Times New Roman"/>
                <w:b/>
                <w:bCs/>
                <w:sz w:val="20"/>
                <w:szCs w:val="20"/>
              </w:rPr>
            </w:pPr>
          </w:p>
        </w:tc>
        <w:tc>
          <w:tcPr>
            <w:tcW w:w="2292" w:type="dxa"/>
            <w:tcBorders>
              <w:top w:val="nil"/>
              <w:bottom w:val="single" w:sz="4" w:space="0" w:color="auto"/>
            </w:tcBorders>
            <w:shd w:val="clear" w:color="auto" w:fill="auto"/>
            <w:vAlign w:val="center"/>
            <w:hideMark/>
          </w:tcPr>
          <w:p w14:paraId="2F44046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Other</w:t>
            </w:r>
          </w:p>
        </w:tc>
        <w:tc>
          <w:tcPr>
            <w:tcW w:w="731" w:type="dxa"/>
            <w:tcBorders>
              <w:top w:val="nil"/>
              <w:bottom w:val="single" w:sz="4" w:space="0" w:color="auto"/>
            </w:tcBorders>
            <w:shd w:val="clear" w:color="auto" w:fill="auto"/>
            <w:vAlign w:val="center"/>
            <w:hideMark/>
          </w:tcPr>
          <w:p w14:paraId="5F68C29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1.56</w:t>
            </w:r>
          </w:p>
        </w:tc>
        <w:tc>
          <w:tcPr>
            <w:tcW w:w="1842" w:type="dxa"/>
            <w:tcBorders>
              <w:top w:val="nil"/>
              <w:bottom w:val="single" w:sz="4" w:space="0" w:color="auto"/>
            </w:tcBorders>
            <w:shd w:val="clear" w:color="auto" w:fill="auto"/>
            <w:vAlign w:val="center"/>
            <w:hideMark/>
          </w:tcPr>
          <w:p w14:paraId="68C4436C" w14:textId="456A1A95"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1.10 -</w:t>
            </w:r>
            <w:r>
              <w:rPr>
                <w:rFonts w:eastAsia="Times New Roman"/>
                <w:sz w:val="20"/>
                <w:szCs w:val="20"/>
              </w:rPr>
              <w:t xml:space="preserve"> </w:t>
            </w:r>
            <w:r w:rsidRPr="00020438">
              <w:rPr>
                <w:rFonts w:eastAsia="Times New Roman"/>
                <w:sz w:val="20"/>
                <w:szCs w:val="20"/>
              </w:rPr>
              <w:t>2.23</w:t>
            </w:r>
          </w:p>
        </w:tc>
        <w:tc>
          <w:tcPr>
            <w:tcW w:w="993" w:type="dxa"/>
            <w:tcBorders>
              <w:top w:val="nil"/>
              <w:bottom w:val="single" w:sz="4" w:space="0" w:color="auto"/>
            </w:tcBorders>
            <w:shd w:val="clear" w:color="auto" w:fill="auto"/>
            <w:vAlign w:val="center"/>
            <w:hideMark/>
          </w:tcPr>
          <w:p w14:paraId="4C5B87A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0.01</w:t>
            </w:r>
          </w:p>
        </w:tc>
      </w:tr>
      <w:tr w:rsidR="00020438" w:rsidRPr="00A90947" w14:paraId="482D7089" w14:textId="77777777" w:rsidTr="00F55FBD">
        <w:trPr>
          <w:trHeight w:val="300"/>
        </w:trPr>
        <w:tc>
          <w:tcPr>
            <w:tcW w:w="3640" w:type="dxa"/>
            <w:vMerge w:val="restart"/>
            <w:tcBorders>
              <w:top w:val="single" w:sz="4" w:space="0" w:color="auto"/>
            </w:tcBorders>
            <w:shd w:val="clear" w:color="auto" w:fill="auto"/>
            <w:noWrap/>
            <w:vAlign w:val="center"/>
            <w:hideMark/>
          </w:tcPr>
          <w:p w14:paraId="3DE86910"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Employment status</w:t>
            </w:r>
          </w:p>
        </w:tc>
        <w:tc>
          <w:tcPr>
            <w:tcW w:w="2292" w:type="dxa"/>
            <w:tcBorders>
              <w:top w:val="single" w:sz="4" w:space="0" w:color="auto"/>
            </w:tcBorders>
            <w:shd w:val="clear" w:color="auto" w:fill="auto"/>
            <w:vAlign w:val="center"/>
            <w:hideMark/>
          </w:tcPr>
          <w:p w14:paraId="18135F1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Employed</w:t>
            </w:r>
          </w:p>
        </w:tc>
        <w:tc>
          <w:tcPr>
            <w:tcW w:w="731" w:type="dxa"/>
            <w:tcBorders>
              <w:top w:val="single" w:sz="4" w:space="0" w:color="auto"/>
            </w:tcBorders>
            <w:shd w:val="clear" w:color="auto" w:fill="auto"/>
            <w:vAlign w:val="center"/>
            <w:hideMark/>
          </w:tcPr>
          <w:p w14:paraId="3A3475E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6686914F" w14:textId="75143A27" w:rsidR="00020438" w:rsidRPr="00020438" w:rsidRDefault="00020438" w:rsidP="00020438">
            <w:pPr>
              <w:spacing w:before="0" w:line="240" w:lineRule="auto"/>
              <w:jc w:val="center"/>
              <w:rPr>
                <w:rFonts w:eastAsia="Times New Roman"/>
                <w:sz w:val="20"/>
                <w:szCs w:val="20"/>
              </w:rPr>
            </w:pPr>
          </w:p>
          <w:p w14:paraId="4AC67BDB" w14:textId="2407D697"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3B8A6AB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 </w:t>
            </w:r>
          </w:p>
        </w:tc>
      </w:tr>
      <w:tr w:rsidR="00020438" w:rsidRPr="00A90947" w14:paraId="22E55EA7" w14:textId="77777777" w:rsidTr="00020438">
        <w:trPr>
          <w:trHeight w:val="300"/>
        </w:trPr>
        <w:tc>
          <w:tcPr>
            <w:tcW w:w="3640" w:type="dxa"/>
            <w:vMerge/>
            <w:tcBorders>
              <w:top w:val="nil"/>
            </w:tcBorders>
            <w:vAlign w:val="center"/>
            <w:hideMark/>
          </w:tcPr>
          <w:p w14:paraId="12430121"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2F8EFBC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Unemployed</w:t>
            </w:r>
          </w:p>
        </w:tc>
        <w:tc>
          <w:tcPr>
            <w:tcW w:w="731" w:type="dxa"/>
            <w:tcBorders>
              <w:top w:val="nil"/>
            </w:tcBorders>
            <w:shd w:val="clear" w:color="auto" w:fill="auto"/>
            <w:vAlign w:val="center"/>
            <w:hideMark/>
          </w:tcPr>
          <w:p w14:paraId="1B5E8C6A"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11.58</w:t>
            </w:r>
          </w:p>
        </w:tc>
        <w:tc>
          <w:tcPr>
            <w:tcW w:w="1842" w:type="dxa"/>
            <w:tcBorders>
              <w:top w:val="nil"/>
            </w:tcBorders>
            <w:shd w:val="clear" w:color="auto" w:fill="auto"/>
            <w:vAlign w:val="center"/>
            <w:hideMark/>
          </w:tcPr>
          <w:p w14:paraId="74725DE0" w14:textId="4883A836"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9.16 -</w:t>
            </w:r>
            <w:r>
              <w:rPr>
                <w:rFonts w:eastAsia="Times New Roman"/>
                <w:sz w:val="20"/>
                <w:szCs w:val="20"/>
              </w:rPr>
              <w:t xml:space="preserve"> </w:t>
            </w:r>
            <w:r w:rsidRPr="00020438">
              <w:rPr>
                <w:rFonts w:eastAsia="Times New Roman"/>
                <w:sz w:val="20"/>
                <w:szCs w:val="20"/>
              </w:rPr>
              <w:t>14.63</w:t>
            </w:r>
          </w:p>
        </w:tc>
        <w:tc>
          <w:tcPr>
            <w:tcW w:w="993" w:type="dxa"/>
            <w:tcBorders>
              <w:top w:val="nil"/>
            </w:tcBorders>
            <w:shd w:val="clear" w:color="auto" w:fill="auto"/>
            <w:vAlign w:val="center"/>
            <w:hideMark/>
          </w:tcPr>
          <w:p w14:paraId="62885302"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5254BC4" w14:textId="77777777" w:rsidTr="00020438">
        <w:trPr>
          <w:trHeight w:val="300"/>
        </w:trPr>
        <w:tc>
          <w:tcPr>
            <w:tcW w:w="3640" w:type="dxa"/>
            <w:vMerge/>
            <w:tcBorders>
              <w:top w:val="nil"/>
            </w:tcBorders>
            <w:vAlign w:val="center"/>
            <w:hideMark/>
          </w:tcPr>
          <w:p w14:paraId="546CE7DC"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7107CFCA"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Retired</w:t>
            </w:r>
          </w:p>
        </w:tc>
        <w:tc>
          <w:tcPr>
            <w:tcW w:w="731" w:type="dxa"/>
            <w:tcBorders>
              <w:top w:val="nil"/>
            </w:tcBorders>
            <w:shd w:val="clear" w:color="auto" w:fill="auto"/>
            <w:vAlign w:val="center"/>
            <w:hideMark/>
          </w:tcPr>
          <w:p w14:paraId="53BB75A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1.19</w:t>
            </w:r>
          </w:p>
        </w:tc>
        <w:tc>
          <w:tcPr>
            <w:tcW w:w="1842" w:type="dxa"/>
            <w:tcBorders>
              <w:top w:val="nil"/>
            </w:tcBorders>
            <w:shd w:val="clear" w:color="auto" w:fill="auto"/>
            <w:vAlign w:val="center"/>
            <w:hideMark/>
          </w:tcPr>
          <w:p w14:paraId="153CD6EA" w14:textId="5C00B04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1.02 -</w:t>
            </w:r>
            <w:r>
              <w:rPr>
                <w:rFonts w:eastAsia="Times New Roman"/>
                <w:sz w:val="20"/>
                <w:szCs w:val="20"/>
              </w:rPr>
              <w:t xml:space="preserve"> </w:t>
            </w:r>
            <w:r w:rsidRPr="00020438">
              <w:rPr>
                <w:rFonts w:eastAsia="Times New Roman"/>
                <w:sz w:val="20"/>
                <w:szCs w:val="20"/>
              </w:rPr>
              <w:t>1.39</w:t>
            </w:r>
          </w:p>
        </w:tc>
        <w:tc>
          <w:tcPr>
            <w:tcW w:w="993" w:type="dxa"/>
            <w:tcBorders>
              <w:top w:val="nil"/>
            </w:tcBorders>
            <w:shd w:val="clear" w:color="auto" w:fill="auto"/>
            <w:vAlign w:val="center"/>
            <w:hideMark/>
          </w:tcPr>
          <w:p w14:paraId="5A0D8E9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0.02</w:t>
            </w:r>
          </w:p>
        </w:tc>
      </w:tr>
      <w:tr w:rsidR="00020438" w:rsidRPr="00A90947" w14:paraId="4287DFCF" w14:textId="77777777" w:rsidTr="00F55FBD">
        <w:trPr>
          <w:trHeight w:val="300"/>
        </w:trPr>
        <w:tc>
          <w:tcPr>
            <w:tcW w:w="3640" w:type="dxa"/>
            <w:vMerge/>
            <w:tcBorders>
              <w:top w:val="nil"/>
              <w:bottom w:val="single" w:sz="4" w:space="0" w:color="auto"/>
            </w:tcBorders>
            <w:vAlign w:val="center"/>
            <w:hideMark/>
          </w:tcPr>
          <w:p w14:paraId="12D88E86" w14:textId="77777777" w:rsidR="00020438" w:rsidRPr="00020438" w:rsidRDefault="00020438" w:rsidP="00966E61">
            <w:pPr>
              <w:spacing w:before="0" w:line="240" w:lineRule="auto"/>
              <w:rPr>
                <w:rFonts w:eastAsia="Times New Roman"/>
                <w:b/>
                <w:bCs/>
                <w:sz w:val="20"/>
                <w:szCs w:val="20"/>
              </w:rPr>
            </w:pPr>
          </w:p>
        </w:tc>
        <w:tc>
          <w:tcPr>
            <w:tcW w:w="2292" w:type="dxa"/>
            <w:tcBorders>
              <w:top w:val="nil"/>
              <w:bottom w:val="single" w:sz="4" w:space="0" w:color="auto"/>
            </w:tcBorders>
            <w:shd w:val="clear" w:color="auto" w:fill="auto"/>
            <w:vAlign w:val="center"/>
            <w:hideMark/>
          </w:tcPr>
          <w:p w14:paraId="18E068DF"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Other</w:t>
            </w:r>
          </w:p>
        </w:tc>
        <w:tc>
          <w:tcPr>
            <w:tcW w:w="731" w:type="dxa"/>
            <w:tcBorders>
              <w:top w:val="nil"/>
              <w:bottom w:val="single" w:sz="4" w:space="0" w:color="auto"/>
            </w:tcBorders>
            <w:shd w:val="clear" w:color="auto" w:fill="auto"/>
            <w:vAlign w:val="center"/>
            <w:hideMark/>
          </w:tcPr>
          <w:p w14:paraId="742403B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2.39</w:t>
            </w:r>
          </w:p>
        </w:tc>
        <w:tc>
          <w:tcPr>
            <w:tcW w:w="1842" w:type="dxa"/>
            <w:tcBorders>
              <w:top w:val="nil"/>
              <w:bottom w:val="single" w:sz="4" w:space="0" w:color="auto"/>
            </w:tcBorders>
            <w:shd w:val="clear" w:color="auto" w:fill="auto"/>
            <w:vAlign w:val="center"/>
            <w:hideMark/>
          </w:tcPr>
          <w:p w14:paraId="6EB71F60" w14:textId="428AF31D"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1.55 -</w:t>
            </w:r>
            <w:r>
              <w:rPr>
                <w:rFonts w:eastAsia="Times New Roman"/>
                <w:sz w:val="20"/>
                <w:szCs w:val="20"/>
              </w:rPr>
              <w:t xml:space="preserve"> </w:t>
            </w:r>
            <w:r w:rsidRPr="00020438">
              <w:rPr>
                <w:rFonts w:eastAsia="Times New Roman"/>
                <w:sz w:val="20"/>
                <w:szCs w:val="20"/>
              </w:rPr>
              <w:t>3.7</w:t>
            </w:r>
          </w:p>
        </w:tc>
        <w:tc>
          <w:tcPr>
            <w:tcW w:w="993" w:type="dxa"/>
            <w:tcBorders>
              <w:top w:val="nil"/>
              <w:bottom w:val="single" w:sz="4" w:space="0" w:color="auto"/>
            </w:tcBorders>
            <w:shd w:val="clear" w:color="auto" w:fill="auto"/>
            <w:vAlign w:val="center"/>
            <w:hideMark/>
          </w:tcPr>
          <w:p w14:paraId="023B932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27987239" w14:textId="77777777" w:rsidTr="00F55FBD">
        <w:trPr>
          <w:trHeight w:val="300"/>
        </w:trPr>
        <w:tc>
          <w:tcPr>
            <w:tcW w:w="3640" w:type="dxa"/>
            <w:vMerge w:val="restart"/>
            <w:tcBorders>
              <w:top w:val="single" w:sz="4" w:space="0" w:color="auto"/>
            </w:tcBorders>
            <w:shd w:val="clear" w:color="auto" w:fill="auto"/>
            <w:vAlign w:val="center"/>
            <w:hideMark/>
          </w:tcPr>
          <w:p w14:paraId="71A1CFFB"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Body Mass Index (Kg/m</w:t>
            </w:r>
            <w:r w:rsidRPr="00020438">
              <w:rPr>
                <w:rFonts w:eastAsia="Times New Roman"/>
                <w:b/>
                <w:bCs/>
                <w:sz w:val="20"/>
                <w:szCs w:val="20"/>
                <w:vertAlign w:val="superscript"/>
              </w:rPr>
              <w:t>2</w:t>
            </w:r>
            <w:r w:rsidRPr="00020438">
              <w:rPr>
                <w:rFonts w:eastAsia="Times New Roman"/>
                <w:b/>
                <w:bCs/>
                <w:sz w:val="20"/>
                <w:szCs w:val="20"/>
              </w:rPr>
              <w:t xml:space="preserve">) </w:t>
            </w:r>
          </w:p>
        </w:tc>
        <w:tc>
          <w:tcPr>
            <w:tcW w:w="2292" w:type="dxa"/>
            <w:tcBorders>
              <w:top w:val="single" w:sz="4" w:space="0" w:color="auto"/>
            </w:tcBorders>
            <w:shd w:val="clear" w:color="auto" w:fill="auto"/>
            <w:vAlign w:val="center"/>
            <w:hideMark/>
          </w:tcPr>
          <w:p w14:paraId="67B4C179"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&lt;25</w:t>
            </w:r>
          </w:p>
        </w:tc>
        <w:tc>
          <w:tcPr>
            <w:tcW w:w="731" w:type="dxa"/>
            <w:tcBorders>
              <w:top w:val="single" w:sz="4" w:space="0" w:color="auto"/>
            </w:tcBorders>
            <w:shd w:val="clear" w:color="auto" w:fill="auto"/>
            <w:vAlign w:val="center"/>
            <w:hideMark/>
          </w:tcPr>
          <w:p w14:paraId="1C6F316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74C94D2E" w14:textId="5BC03266"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69A2DA2A"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 </w:t>
            </w:r>
          </w:p>
        </w:tc>
      </w:tr>
      <w:tr w:rsidR="00020438" w:rsidRPr="00A90947" w14:paraId="4DFA8F9F" w14:textId="77777777" w:rsidTr="00020438">
        <w:trPr>
          <w:trHeight w:val="300"/>
        </w:trPr>
        <w:tc>
          <w:tcPr>
            <w:tcW w:w="3640" w:type="dxa"/>
            <w:vMerge/>
            <w:tcBorders>
              <w:top w:val="nil"/>
            </w:tcBorders>
            <w:vAlign w:val="center"/>
            <w:hideMark/>
          </w:tcPr>
          <w:p w14:paraId="1E62BCF1"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4CF720E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25-30</w:t>
            </w:r>
          </w:p>
        </w:tc>
        <w:tc>
          <w:tcPr>
            <w:tcW w:w="731" w:type="dxa"/>
            <w:tcBorders>
              <w:top w:val="nil"/>
            </w:tcBorders>
            <w:shd w:val="clear" w:color="auto" w:fill="auto"/>
            <w:vAlign w:val="center"/>
            <w:hideMark/>
          </w:tcPr>
          <w:p w14:paraId="3FB6E07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1.01</w:t>
            </w:r>
          </w:p>
        </w:tc>
        <w:tc>
          <w:tcPr>
            <w:tcW w:w="1842" w:type="dxa"/>
            <w:tcBorders>
              <w:top w:val="nil"/>
            </w:tcBorders>
            <w:shd w:val="clear" w:color="auto" w:fill="auto"/>
            <w:vAlign w:val="center"/>
            <w:hideMark/>
          </w:tcPr>
          <w:p w14:paraId="51F38F48" w14:textId="6F5ED921"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0.89 -</w:t>
            </w:r>
            <w:r>
              <w:rPr>
                <w:rFonts w:eastAsia="Times New Roman"/>
                <w:sz w:val="20"/>
                <w:szCs w:val="20"/>
              </w:rPr>
              <w:t xml:space="preserve"> </w:t>
            </w:r>
            <w:r w:rsidRPr="00020438">
              <w:rPr>
                <w:rFonts w:eastAsia="Times New Roman"/>
                <w:sz w:val="20"/>
                <w:szCs w:val="20"/>
              </w:rPr>
              <w:t>1.15</w:t>
            </w:r>
          </w:p>
        </w:tc>
        <w:tc>
          <w:tcPr>
            <w:tcW w:w="993" w:type="dxa"/>
            <w:tcBorders>
              <w:top w:val="nil"/>
            </w:tcBorders>
            <w:shd w:val="clear" w:color="auto" w:fill="auto"/>
            <w:vAlign w:val="center"/>
            <w:hideMark/>
          </w:tcPr>
          <w:p w14:paraId="07CC919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0.87</w:t>
            </w:r>
          </w:p>
        </w:tc>
      </w:tr>
      <w:tr w:rsidR="00020438" w:rsidRPr="00A90947" w14:paraId="7AA34159" w14:textId="77777777" w:rsidTr="00F55FBD">
        <w:trPr>
          <w:trHeight w:val="300"/>
        </w:trPr>
        <w:tc>
          <w:tcPr>
            <w:tcW w:w="3640" w:type="dxa"/>
            <w:vMerge/>
            <w:tcBorders>
              <w:top w:val="nil"/>
              <w:bottom w:val="single" w:sz="4" w:space="0" w:color="auto"/>
            </w:tcBorders>
            <w:vAlign w:val="center"/>
            <w:hideMark/>
          </w:tcPr>
          <w:p w14:paraId="206495F7" w14:textId="77777777" w:rsidR="00020438" w:rsidRPr="00020438" w:rsidRDefault="00020438" w:rsidP="00966E61">
            <w:pPr>
              <w:spacing w:before="0" w:line="240" w:lineRule="auto"/>
              <w:rPr>
                <w:rFonts w:eastAsia="Times New Roman"/>
                <w:b/>
                <w:bCs/>
                <w:sz w:val="20"/>
                <w:szCs w:val="20"/>
              </w:rPr>
            </w:pPr>
          </w:p>
        </w:tc>
        <w:tc>
          <w:tcPr>
            <w:tcW w:w="2292" w:type="dxa"/>
            <w:tcBorders>
              <w:top w:val="nil"/>
              <w:bottom w:val="single" w:sz="4" w:space="0" w:color="auto"/>
            </w:tcBorders>
            <w:shd w:val="clear" w:color="auto" w:fill="auto"/>
            <w:vAlign w:val="center"/>
            <w:hideMark/>
          </w:tcPr>
          <w:p w14:paraId="4DD9D7F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&gt;30</w:t>
            </w:r>
          </w:p>
        </w:tc>
        <w:tc>
          <w:tcPr>
            <w:tcW w:w="731" w:type="dxa"/>
            <w:tcBorders>
              <w:top w:val="nil"/>
              <w:bottom w:val="single" w:sz="4" w:space="0" w:color="auto"/>
            </w:tcBorders>
            <w:shd w:val="clear" w:color="auto" w:fill="auto"/>
            <w:vAlign w:val="center"/>
            <w:hideMark/>
          </w:tcPr>
          <w:p w14:paraId="393F9B5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1.52</w:t>
            </w:r>
          </w:p>
        </w:tc>
        <w:tc>
          <w:tcPr>
            <w:tcW w:w="1842" w:type="dxa"/>
            <w:tcBorders>
              <w:top w:val="nil"/>
              <w:bottom w:val="single" w:sz="4" w:space="0" w:color="auto"/>
            </w:tcBorders>
            <w:shd w:val="clear" w:color="auto" w:fill="auto"/>
            <w:vAlign w:val="center"/>
            <w:hideMark/>
          </w:tcPr>
          <w:p w14:paraId="3221EC07" w14:textId="7D77CA18"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1.33 -</w:t>
            </w:r>
            <w:r>
              <w:rPr>
                <w:rFonts w:eastAsia="Times New Roman"/>
                <w:sz w:val="20"/>
                <w:szCs w:val="20"/>
              </w:rPr>
              <w:t xml:space="preserve"> </w:t>
            </w:r>
            <w:r w:rsidRPr="00020438">
              <w:rPr>
                <w:rFonts w:eastAsia="Times New Roman"/>
                <w:sz w:val="20"/>
                <w:szCs w:val="20"/>
              </w:rPr>
              <w:t>1.75</w:t>
            </w:r>
          </w:p>
        </w:tc>
        <w:tc>
          <w:tcPr>
            <w:tcW w:w="993" w:type="dxa"/>
            <w:tcBorders>
              <w:top w:val="nil"/>
              <w:bottom w:val="single" w:sz="4" w:space="0" w:color="auto"/>
            </w:tcBorders>
            <w:shd w:val="clear" w:color="auto" w:fill="auto"/>
            <w:vAlign w:val="center"/>
            <w:hideMark/>
          </w:tcPr>
          <w:p w14:paraId="5A689ED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6AF25343" w14:textId="77777777" w:rsidTr="00F55FBD">
        <w:trPr>
          <w:trHeight w:val="300"/>
        </w:trPr>
        <w:tc>
          <w:tcPr>
            <w:tcW w:w="3640" w:type="dxa"/>
            <w:vMerge w:val="restart"/>
            <w:tcBorders>
              <w:top w:val="single" w:sz="4" w:space="0" w:color="auto"/>
            </w:tcBorders>
            <w:shd w:val="clear" w:color="auto" w:fill="auto"/>
            <w:noWrap/>
            <w:vAlign w:val="center"/>
            <w:hideMark/>
          </w:tcPr>
          <w:p w14:paraId="640EF4F5"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Stage</w:t>
            </w:r>
          </w:p>
        </w:tc>
        <w:tc>
          <w:tcPr>
            <w:tcW w:w="2292" w:type="dxa"/>
            <w:tcBorders>
              <w:top w:val="single" w:sz="4" w:space="0" w:color="auto"/>
            </w:tcBorders>
            <w:shd w:val="clear" w:color="auto" w:fill="auto"/>
            <w:vAlign w:val="center"/>
            <w:hideMark/>
          </w:tcPr>
          <w:p w14:paraId="2CD83E23"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I /II</w:t>
            </w:r>
          </w:p>
        </w:tc>
        <w:tc>
          <w:tcPr>
            <w:tcW w:w="731" w:type="dxa"/>
            <w:tcBorders>
              <w:top w:val="single" w:sz="4" w:space="0" w:color="auto"/>
            </w:tcBorders>
            <w:shd w:val="clear" w:color="auto" w:fill="auto"/>
            <w:vAlign w:val="center"/>
            <w:hideMark/>
          </w:tcPr>
          <w:p w14:paraId="7ED4841A"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66ADDD09" w14:textId="775A6132"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37058CA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 </w:t>
            </w:r>
          </w:p>
        </w:tc>
      </w:tr>
      <w:tr w:rsidR="00020438" w:rsidRPr="00A90947" w14:paraId="52913089" w14:textId="77777777" w:rsidTr="00020438">
        <w:trPr>
          <w:trHeight w:val="300"/>
        </w:trPr>
        <w:tc>
          <w:tcPr>
            <w:tcW w:w="3640" w:type="dxa"/>
            <w:vMerge/>
            <w:tcBorders>
              <w:top w:val="nil"/>
            </w:tcBorders>
            <w:vAlign w:val="center"/>
            <w:hideMark/>
          </w:tcPr>
          <w:p w14:paraId="6D7114B1"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2633C51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III</w:t>
            </w:r>
          </w:p>
        </w:tc>
        <w:tc>
          <w:tcPr>
            <w:tcW w:w="731" w:type="dxa"/>
            <w:tcBorders>
              <w:top w:val="nil"/>
            </w:tcBorders>
            <w:shd w:val="clear" w:color="auto" w:fill="auto"/>
            <w:vAlign w:val="center"/>
            <w:hideMark/>
          </w:tcPr>
          <w:p w14:paraId="2B1D91EC"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1.09</w:t>
            </w:r>
          </w:p>
        </w:tc>
        <w:tc>
          <w:tcPr>
            <w:tcW w:w="1842" w:type="dxa"/>
            <w:tcBorders>
              <w:top w:val="nil"/>
            </w:tcBorders>
            <w:shd w:val="clear" w:color="auto" w:fill="auto"/>
            <w:vAlign w:val="center"/>
            <w:hideMark/>
          </w:tcPr>
          <w:p w14:paraId="0087D36A" w14:textId="3888A546"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0.96 -</w:t>
            </w:r>
            <w:r>
              <w:rPr>
                <w:rFonts w:eastAsia="Times New Roman"/>
                <w:sz w:val="20"/>
                <w:szCs w:val="20"/>
              </w:rPr>
              <w:t xml:space="preserve"> </w:t>
            </w:r>
            <w:r w:rsidRPr="00020438">
              <w:rPr>
                <w:rFonts w:eastAsia="Times New Roman"/>
                <w:sz w:val="20"/>
                <w:szCs w:val="20"/>
              </w:rPr>
              <w:t>1.23</w:t>
            </w:r>
          </w:p>
        </w:tc>
        <w:tc>
          <w:tcPr>
            <w:tcW w:w="993" w:type="dxa"/>
            <w:tcBorders>
              <w:top w:val="nil"/>
            </w:tcBorders>
            <w:shd w:val="clear" w:color="auto" w:fill="auto"/>
            <w:vAlign w:val="center"/>
            <w:hideMark/>
          </w:tcPr>
          <w:p w14:paraId="75C646A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0.18</w:t>
            </w:r>
          </w:p>
        </w:tc>
      </w:tr>
      <w:tr w:rsidR="00020438" w:rsidRPr="00A90947" w14:paraId="4727E2C5" w14:textId="77777777" w:rsidTr="00F55FBD">
        <w:trPr>
          <w:trHeight w:val="300"/>
        </w:trPr>
        <w:tc>
          <w:tcPr>
            <w:tcW w:w="3640" w:type="dxa"/>
            <w:vMerge/>
            <w:tcBorders>
              <w:top w:val="nil"/>
              <w:bottom w:val="single" w:sz="4" w:space="0" w:color="auto"/>
            </w:tcBorders>
            <w:vAlign w:val="center"/>
            <w:hideMark/>
          </w:tcPr>
          <w:p w14:paraId="26FFE23F" w14:textId="77777777" w:rsidR="00020438" w:rsidRPr="00020438" w:rsidRDefault="00020438" w:rsidP="00966E61">
            <w:pPr>
              <w:spacing w:before="0" w:line="240" w:lineRule="auto"/>
              <w:rPr>
                <w:rFonts w:eastAsia="Times New Roman"/>
                <w:b/>
                <w:bCs/>
                <w:sz w:val="20"/>
                <w:szCs w:val="20"/>
              </w:rPr>
            </w:pPr>
          </w:p>
        </w:tc>
        <w:tc>
          <w:tcPr>
            <w:tcW w:w="2292" w:type="dxa"/>
            <w:tcBorders>
              <w:top w:val="nil"/>
              <w:bottom w:val="single" w:sz="4" w:space="0" w:color="auto"/>
            </w:tcBorders>
            <w:shd w:val="clear" w:color="auto" w:fill="auto"/>
            <w:vAlign w:val="center"/>
            <w:hideMark/>
          </w:tcPr>
          <w:p w14:paraId="419742A2"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IV</w:t>
            </w:r>
          </w:p>
        </w:tc>
        <w:tc>
          <w:tcPr>
            <w:tcW w:w="731" w:type="dxa"/>
            <w:tcBorders>
              <w:top w:val="nil"/>
              <w:bottom w:val="single" w:sz="4" w:space="0" w:color="auto"/>
            </w:tcBorders>
            <w:shd w:val="clear" w:color="auto" w:fill="auto"/>
            <w:vAlign w:val="center"/>
            <w:hideMark/>
          </w:tcPr>
          <w:p w14:paraId="62E4201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1.44</w:t>
            </w:r>
          </w:p>
        </w:tc>
        <w:tc>
          <w:tcPr>
            <w:tcW w:w="1842" w:type="dxa"/>
            <w:tcBorders>
              <w:top w:val="nil"/>
              <w:bottom w:val="single" w:sz="4" w:space="0" w:color="auto"/>
            </w:tcBorders>
            <w:shd w:val="clear" w:color="auto" w:fill="auto"/>
            <w:vAlign w:val="center"/>
            <w:hideMark/>
          </w:tcPr>
          <w:p w14:paraId="457EF6F9" w14:textId="5BE0F83E"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1.24 -</w:t>
            </w:r>
            <w:r>
              <w:rPr>
                <w:rFonts w:eastAsia="Times New Roman"/>
                <w:sz w:val="20"/>
                <w:szCs w:val="20"/>
              </w:rPr>
              <w:t xml:space="preserve"> </w:t>
            </w:r>
            <w:r w:rsidRPr="00020438">
              <w:rPr>
                <w:rFonts w:eastAsia="Times New Roman"/>
                <w:sz w:val="20"/>
                <w:szCs w:val="20"/>
              </w:rPr>
              <w:t>1.67</w:t>
            </w:r>
          </w:p>
        </w:tc>
        <w:tc>
          <w:tcPr>
            <w:tcW w:w="993" w:type="dxa"/>
            <w:tcBorders>
              <w:top w:val="nil"/>
              <w:bottom w:val="single" w:sz="4" w:space="0" w:color="auto"/>
            </w:tcBorders>
            <w:shd w:val="clear" w:color="auto" w:fill="auto"/>
            <w:vAlign w:val="center"/>
            <w:hideMark/>
          </w:tcPr>
          <w:p w14:paraId="32D597A8"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2A25A0C7" w14:textId="77777777" w:rsidTr="00F55FBD">
        <w:trPr>
          <w:trHeight w:val="300"/>
        </w:trPr>
        <w:tc>
          <w:tcPr>
            <w:tcW w:w="3640" w:type="dxa"/>
            <w:vMerge w:val="restart"/>
            <w:tcBorders>
              <w:top w:val="single" w:sz="4" w:space="0" w:color="auto"/>
            </w:tcBorders>
            <w:shd w:val="clear" w:color="auto" w:fill="auto"/>
            <w:noWrap/>
            <w:vAlign w:val="center"/>
            <w:hideMark/>
          </w:tcPr>
          <w:p w14:paraId="60337821" w14:textId="77777777" w:rsidR="00020438" w:rsidRPr="00020438" w:rsidRDefault="00020438" w:rsidP="00966E61">
            <w:pPr>
              <w:spacing w:before="0" w:line="240" w:lineRule="auto"/>
              <w:jc w:val="right"/>
              <w:rPr>
                <w:rFonts w:eastAsia="Times New Roman"/>
                <w:b/>
                <w:bCs/>
                <w:sz w:val="20"/>
                <w:szCs w:val="20"/>
              </w:rPr>
            </w:pPr>
            <w:r w:rsidRPr="00020438">
              <w:rPr>
                <w:rFonts w:eastAsia="Times New Roman"/>
                <w:b/>
                <w:bCs/>
                <w:sz w:val="20"/>
                <w:szCs w:val="20"/>
              </w:rPr>
              <w:t>Treatment</w:t>
            </w:r>
          </w:p>
        </w:tc>
        <w:tc>
          <w:tcPr>
            <w:tcW w:w="2292" w:type="dxa"/>
            <w:tcBorders>
              <w:top w:val="single" w:sz="4" w:space="0" w:color="auto"/>
            </w:tcBorders>
            <w:shd w:val="clear" w:color="auto" w:fill="auto"/>
            <w:vAlign w:val="center"/>
            <w:hideMark/>
          </w:tcPr>
          <w:p w14:paraId="31947EA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Active surveillance</w:t>
            </w:r>
          </w:p>
        </w:tc>
        <w:tc>
          <w:tcPr>
            <w:tcW w:w="731" w:type="dxa"/>
            <w:tcBorders>
              <w:top w:val="single" w:sz="4" w:space="0" w:color="auto"/>
            </w:tcBorders>
            <w:shd w:val="clear" w:color="auto" w:fill="auto"/>
            <w:vAlign w:val="center"/>
            <w:hideMark/>
          </w:tcPr>
          <w:p w14:paraId="28CB9F6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w:t>
            </w:r>
          </w:p>
        </w:tc>
        <w:tc>
          <w:tcPr>
            <w:tcW w:w="1842" w:type="dxa"/>
            <w:tcBorders>
              <w:top w:val="single" w:sz="4" w:space="0" w:color="auto"/>
            </w:tcBorders>
            <w:shd w:val="clear" w:color="auto" w:fill="auto"/>
            <w:vAlign w:val="center"/>
            <w:hideMark/>
          </w:tcPr>
          <w:p w14:paraId="1084F756" w14:textId="614FBBD0"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tcBorders>
            <w:shd w:val="clear" w:color="auto" w:fill="auto"/>
            <w:vAlign w:val="center"/>
            <w:hideMark/>
          </w:tcPr>
          <w:p w14:paraId="581148E0" w14:textId="77777777" w:rsidR="00020438" w:rsidRPr="00020438" w:rsidRDefault="00020438" w:rsidP="00966E61">
            <w:pPr>
              <w:spacing w:before="0" w:line="240" w:lineRule="auto"/>
              <w:rPr>
                <w:rFonts w:eastAsia="Times New Roman"/>
                <w:sz w:val="20"/>
                <w:szCs w:val="20"/>
              </w:rPr>
            </w:pPr>
            <w:r w:rsidRPr="00020438">
              <w:rPr>
                <w:rFonts w:eastAsia="Times New Roman"/>
                <w:sz w:val="20"/>
                <w:szCs w:val="20"/>
              </w:rPr>
              <w:t> </w:t>
            </w:r>
          </w:p>
        </w:tc>
      </w:tr>
      <w:tr w:rsidR="00020438" w:rsidRPr="00A90947" w14:paraId="67276AAE" w14:textId="77777777" w:rsidTr="00020438">
        <w:trPr>
          <w:trHeight w:val="300"/>
        </w:trPr>
        <w:tc>
          <w:tcPr>
            <w:tcW w:w="3640" w:type="dxa"/>
            <w:vMerge/>
            <w:tcBorders>
              <w:top w:val="nil"/>
            </w:tcBorders>
            <w:vAlign w:val="center"/>
            <w:hideMark/>
          </w:tcPr>
          <w:p w14:paraId="0095BF40"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0BD69C4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Surgery alone</w:t>
            </w:r>
          </w:p>
        </w:tc>
        <w:tc>
          <w:tcPr>
            <w:tcW w:w="731" w:type="dxa"/>
            <w:tcBorders>
              <w:top w:val="nil"/>
            </w:tcBorders>
            <w:shd w:val="clear" w:color="auto" w:fill="auto"/>
            <w:vAlign w:val="center"/>
            <w:hideMark/>
          </w:tcPr>
          <w:p w14:paraId="4335C86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1.1</w:t>
            </w:r>
          </w:p>
        </w:tc>
        <w:tc>
          <w:tcPr>
            <w:tcW w:w="1842" w:type="dxa"/>
            <w:tcBorders>
              <w:top w:val="nil"/>
            </w:tcBorders>
            <w:shd w:val="clear" w:color="auto" w:fill="auto"/>
            <w:vAlign w:val="center"/>
            <w:hideMark/>
          </w:tcPr>
          <w:p w14:paraId="32AA2D1A" w14:textId="14415589"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0.89 -</w:t>
            </w:r>
            <w:r>
              <w:rPr>
                <w:rFonts w:eastAsia="Times New Roman"/>
                <w:sz w:val="20"/>
                <w:szCs w:val="20"/>
              </w:rPr>
              <w:t xml:space="preserve"> </w:t>
            </w:r>
            <w:r w:rsidRPr="00020438">
              <w:rPr>
                <w:rFonts w:eastAsia="Times New Roman"/>
                <w:sz w:val="20"/>
                <w:szCs w:val="20"/>
              </w:rPr>
              <w:t>1.36</w:t>
            </w:r>
          </w:p>
        </w:tc>
        <w:tc>
          <w:tcPr>
            <w:tcW w:w="993" w:type="dxa"/>
            <w:tcBorders>
              <w:top w:val="nil"/>
            </w:tcBorders>
            <w:shd w:val="clear" w:color="auto" w:fill="auto"/>
            <w:vAlign w:val="center"/>
            <w:hideMark/>
          </w:tcPr>
          <w:p w14:paraId="459102D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0.36</w:t>
            </w:r>
          </w:p>
        </w:tc>
      </w:tr>
      <w:tr w:rsidR="00020438" w:rsidRPr="00A90947" w14:paraId="27F0493D" w14:textId="77777777" w:rsidTr="00020438">
        <w:trPr>
          <w:trHeight w:val="300"/>
        </w:trPr>
        <w:tc>
          <w:tcPr>
            <w:tcW w:w="3640" w:type="dxa"/>
            <w:vMerge/>
            <w:tcBorders>
              <w:top w:val="nil"/>
            </w:tcBorders>
            <w:vAlign w:val="center"/>
            <w:hideMark/>
          </w:tcPr>
          <w:p w14:paraId="6E347292"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6D1C315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EBRT alone</w:t>
            </w:r>
          </w:p>
        </w:tc>
        <w:tc>
          <w:tcPr>
            <w:tcW w:w="731" w:type="dxa"/>
            <w:tcBorders>
              <w:top w:val="nil"/>
            </w:tcBorders>
            <w:shd w:val="clear" w:color="auto" w:fill="auto"/>
            <w:vAlign w:val="center"/>
            <w:hideMark/>
          </w:tcPr>
          <w:p w14:paraId="6D9CC80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1.19</w:t>
            </w:r>
          </w:p>
        </w:tc>
        <w:tc>
          <w:tcPr>
            <w:tcW w:w="1842" w:type="dxa"/>
            <w:tcBorders>
              <w:top w:val="nil"/>
            </w:tcBorders>
            <w:shd w:val="clear" w:color="auto" w:fill="auto"/>
            <w:vAlign w:val="center"/>
            <w:hideMark/>
          </w:tcPr>
          <w:p w14:paraId="77C2077D" w14:textId="23F67AB1"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0.93 -</w:t>
            </w:r>
            <w:r>
              <w:rPr>
                <w:rFonts w:eastAsia="Times New Roman"/>
                <w:sz w:val="20"/>
                <w:szCs w:val="20"/>
              </w:rPr>
              <w:t xml:space="preserve"> </w:t>
            </w:r>
            <w:r w:rsidRPr="00020438">
              <w:rPr>
                <w:rFonts w:eastAsia="Times New Roman"/>
                <w:sz w:val="20"/>
                <w:szCs w:val="20"/>
              </w:rPr>
              <w:t>1.54</w:t>
            </w:r>
          </w:p>
        </w:tc>
        <w:tc>
          <w:tcPr>
            <w:tcW w:w="993" w:type="dxa"/>
            <w:tcBorders>
              <w:top w:val="nil"/>
            </w:tcBorders>
            <w:shd w:val="clear" w:color="auto" w:fill="auto"/>
            <w:vAlign w:val="center"/>
            <w:hideMark/>
          </w:tcPr>
          <w:p w14:paraId="69A6329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0.17</w:t>
            </w:r>
          </w:p>
        </w:tc>
      </w:tr>
      <w:tr w:rsidR="00020438" w:rsidRPr="00A90947" w14:paraId="51E2F924" w14:textId="77777777" w:rsidTr="00020438">
        <w:trPr>
          <w:trHeight w:val="300"/>
        </w:trPr>
        <w:tc>
          <w:tcPr>
            <w:tcW w:w="3640" w:type="dxa"/>
            <w:vMerge/>
            <w:tcBorders>
              <w:top w:val="nil"/>
            </w:tcBorders>
            <w:vAlign w:val="center"/>
            <w:hideMark/>
          </w:tcPr>
          <w:p w14:paraId="48367656"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6C669E8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Brachytherapy alone</w:t>
            </w:r>
          </w:p>
        </w:tc>
        <w:tc>
          <w:tcPr>
            <w:tcW w:w="731" w:type="dxa"/>
            <w:tcBorders>
              <w:top w:val="nil"/>
            </w:tcBorders>
            <w:shd w:val="clear" w:color="auto" w:fill="auto"/>
            <w:vAlign w:val="center"/>
            <w:hideMark/>
          </w:tcPr>
          <w:p w14:paraId="37DC805A"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0.54</w:t>
            </w:r>
          </w:p>
        </w:tc>
        <w:tc>
          <w:tcPr>
            <w:tcW w:w="1842" w:type="dxa"/>
            <w:tcBorders>
              <w:top w:val="nil"/>
            </w:tcBorders>
            <w:shd w:val="clear" w:color="auto" w:fill="auto"/>
            <w:vAlign w:val="center"/>
            <w:hideMark/>
          </w:tcPr>
          <w:p w14:paraId="035C1457" w14:textId="0918F94D"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0.36 -</w:t>
            </w:r>
            <w:r>
              <w:rPr>
                <w:rFonts w:eastAsia="Times New Roman"/>
                <w:sz w:val="20"/>
                <w:szCs w:val="20"/>
              </w:rPr>
              <w:t xml:space="preserve"> </w:t>
            </w:r>
            <w:r w:rsidRPr="00020438">
              <w:rPr>
                <w:rFonts w:eastAsia="Times New Roman"/>
                <w:sz w:val="20"/>
                <w:szCs w:val="20"/>
              </w:rPr>
              <w:t>0.81</w:t>
            </w:r>
          </w:p>
        </w:tc>
        <w:tc>
          <w:tcPr>
            <w:tcW w:w="993" w:type="dxa"/>
            <w:tcBorders>
              <w:top w:val="nil"/>
            </w:tcBorders>
            <w:shd w:val="clear" w:color="auto" w:fill="auto"/>
            <w:vAlign w:val="center"/>
            <w:hideMark/>
          </w:tcPr>
          <w:p w14:paraId="7E8510D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201BAC2D" w14:textId="77777777" w:rsidTr="00020438">
        <w:trPr>
          <w:trHeight w:val="300"/>
        </w:trPr>
        <w:tc>
          <w:tcPr>
            <w:tcW w:w="3640" w:type="dxa"/>
            <w:vMerge/>
            <w:tcBorders>
              <w:top w:val="nil"/>
            </w:tcBorders>
            <w:vAlign w:val="center"/>
            <w:hideMark/>
          </w:tcPr>
          <w:p w14:paraId="0B7CC468"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4C87739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ADT alone</w:t>
            </w:r>
          </w:p>
        </w:tc>
        <w:tc>
          <w:tcPr>
            <w:tcW w:w="731" w:type="dxa"/>
            <w:tcBorders>
              <w:top w:val="nil"/>
            </w:tcBorders>
            <w:shd w:val="clear" w:color="auto" w:fill="auto"/>
            <w:vAlign w:val="center"/>
            <w:hideMark/>
          </w:tcPr>
          <w:p w14:paraId="036A4F5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w:t>
            </w:r>
          </w:p>
        </w:tc>
        <w:tc>
          <w:tcPr>
            <w:tcW w:w="1842" w:type="dxa"/>
            <w:tcBorders>
              <w:top w:val="nil"/>
            </w:tcBorders>
            <w:shd w:val="clear" w:color="auto" w:fill="auto"/>
            <w:vAlign w:val="center"/>
            <w:hideMark/>
          </w:tcPr>
          <w:p w14:paraId="5A9FD3BB" w14:textId="141642EE"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1.58 -</w:t>
            </w:r>
            <w:r>
              <w:rPr>
                <w:rFonts w:eastAsia="Times New Roman"/>
                <w:sz w:val="20"/>
                <w:szCs w:val="20"/>
              </w:rPr>
              <w:t xml:space="preserve"> </w:t>
            </w:r>
            <w:r w:rsidRPr="00020438">
              <w:rPr>
                <w:rFonts w:eastAsia="Times New Roman"/>
                <w:sz w:val="20"/>
                <w:szCs w:val="20"/>
              </w:rPr>
              <w:t>2.53</w:t>
            </w:r>
          </w:p>
        </w:tc>
        <w:tc>
          <w:tcPr>
            <w:tcW w:w="993" w:type="dxa"/>
            <w:tcBorders>
              <w:top w:val="nil"/>
            </w:tcBorders>
            <w:shd w:val="clear" w:color="auto" w:fill="auto"/>
            <w:vAlign w:val="center"/>
            <w:hideMark/>
          </w:tcPr>
          <w:p w14:paraId="408A98F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5BE4B7D2" w14:textId="77777777" w:rsidTr="00020438">
        <w:trPr>
          <w:trHeight w:val="300"/>
        </w:trPr>
        <w:tc>
          <w:tcPr>
            <w:tcW w:w="3640" w:type="dxa"/>
            <w:vMerge/>
            <w:tcBorders>
              <w:top w:val="nil"/>
            </w:tcBorders>
            <w:vAlign w:val="center"/>
            <w:hideMark/>
          </w:tcPr>
          <w:p w14:paraId="60A90FC4"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50CEAEB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Watchful waiting</w:t>
            </w:r>
          </w:p>
        </w:tc>
        <w:tc>
          <w:tcPr>
            <w:tcW w:w="731" w:type="dxa"/>
            <w:tcBorders>
              <w:top w:val="nil"/>
            </w:tcBorders>
            <w:shd w:val="clear" w:color="auto" w:fill="auto"/>
            <w:vAlign w:val="center"/>
            <w:hideMark/>
          </w:tcPr>
          <w:p w14:paraId="24126F0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1.2</w:t>
            </w:r>
          </w:p>
        </w:tc>
        <w:tc>
          <w:tcPr>
            <w:tcW w:w="1842" w:type="dxa"/>
            <w:tcBorders>
              <w:top w:val="nil"/>
            </w:tcBorders>
            <w:shd w:val="clear" w:color="auto" w:fill="auto"/>
            <w:vAlign w:val="center"/>
            <w:hideMark/>
          </w:tcPr>
          <w:p w14:paraId="286B771E" w14:textId="4EF6CAC8"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0.92 -</w:t>
            </w:r>
            <w:r>
              <w:rPr>
                <w:rFonts w:eastAsia="Times New Roman"/>
                <w:sz w:val="20"/>
                <w:szCs w:val="20"/>
              </w:rPr>
              <w:t xml:space="preserve"> </w:t>
            </w:r>
            <w:r w:rsidRPr="00020438">
              <w:rPr>
                <w:rFonts w:eastAsia="Times New Roman"/>
                <w:sz w:val="20"/>
                <w:szCs w:val="20"/>
              </w:rPr>
              <w:t>1.56</w:t>
            </w:r>
          </w:p>
        </w:tc>
        <w:tc>
          <w:tcPr>
            <w:tcW w:w="993" w:type="dxa"/>
            <w:tcBorders>
              <w:top w:val="nil"/>
            </w:tcBorders>
            <w:shd w:val="clear" w:color="auto" w:fill="auto"/>
            <w:vAlign w:val="center"/>
            <w:hideMark/>
          </w:tcPr>
          <w:p w14:paraId="3DC579F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0.17</w:t>
            </w:r>
          </w:p>
        </w:tc>
      </w:tr>
      <w:tr w:rsidR="00020438" w:rsidRPr="00A90947" w14:paraId="7ED45BD5" w14:textId="77777777" w:rsidTr="00020438">
        <w:trPr>
          <w:trHeight w:val="300"/>
        </w:trPr>
        <w:tc>
          <w:tcPr>
            <w:tcW w:w="3640" w:type="dxa"/>
            <w:vMerge/>
            <w:tcBorders>
              <w:top w:val="nil"/>
            </w:tcBorders>
            <w:vAlign w:val="center"/>
            <w:hideMark/>
          </w:tcPr>
          <w:p w14:paraId="706CCAE1"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18B0008B"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EBRT &amp; ADT</w:t>
            </w:r>
          </w:p>
        </w:tc>
        <w:tc>
          <w:tcPr>
            <w:tcW w:w="731" w:type="dxa"/>
            <w:tcBorders>
              <w:top w:val="nil"/>
            </w:tcBorders>
            <w:shd w:val="clear" w:color="auto" w:fill="auto"/>
            <w:vAlign w:val="center"/>
            <w:hideMark/>
          </w:tcPr>
          <w:p w14:paraId="33119011"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1.4</w:t>
            </w:r>
          </w:p>
        </w:tc>
        <w:tc>
          <w:tcPr>
            <w:tcW w:w="1842" w:type="dxa"/>
            <w:tcBorders>
              <w:top w:val="nil"/>
            </w:tcBorders>
            <w:shd w:val="clear" w:color="auto" w:fill="auto"/>
            <w:vAlign w:val="center"/>
            <w:hideMark/>
          </w:tcPr>
          <w:p w14:paraId="3576D092" w14:textId="6424673C"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1.14 -</w:t>
            </w:r>
            <w:r>
              <w:rPr>
                <w:rFonts w:eastAsia="Times New Roman"/>
                <w:sz w:val="20"/>
                <w:szCs w:val="20"/>
              </w:rPr>
              <w:t xml:space="preserve"> </w:t>
            </w:r>
            <w:r w:rsidRPr="00020438">
              <w:rPr>
                <w:rFonts w:eastAsia="Times New Roman"/>
                <w:sz w:val="20"/>
                <w:szCs w:val="20"/>
              </w:rPr>
              <w:t>1.73</w:t>
            </w:r>
          </w:p>
        </w:tc>
        <w:tc>
          <w:tcPr>
            <w:tcW w:w="993" w:type="dxa"/>
            <w:tcBorders>
              <w:top w:val="nil"/>
            </w:tcBorders>
            <w:shd w:val="clear" w:color="auto" w:fill="auto"/>
            <w:vAlign w:val="center"/>
            <w:hideMark/>
          </w:tcPr>
          <w:p w14:paraId="2A2C415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0349A350" w14:textId="77777777" w:rsidTr="00020438">
        <w:trPr>
          <w:trHeight w:val="300"/>
        </w:trPr>
        <w:tc>
          <w:tcPr>
            <w:tcW w:w="3640" w:type="dxa"/>
            <w:vMerge/>
            <w:tcBorders>
              <w:top w:val="nil"/>
            </w:tcBorders>
            <w:vAlign w:val="center"/>
            <w:hideMark/>
          </w:tcPr>
          <w:p w14:paraId="33D3EC6C"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6421B06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Surgery &amp; EBRT/ADT</w:t>
            </w:r>
          </w:p>
        </w:tc>
        <w:tc>
          <w:tcPr>
            <w:tcW w:w="731" w:type="dxa"/>
            <w:tcBorders>
              <w:top w:val="nil"/>
            </w:tcBorders>
            <w:shd w:val="clear" w:color="auto" w:fill="auto"/>
            <w:vAlign w:val="center"/>
            <w:hideMark/>
          </w:tcPr>
          <w:p w14:paraId="7B78DF4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1.83</w:t>
            </w:r>
          </w:p>
        </w:tc>
        <w:tc>
          <w:tcPr>
            <w:tcW w:w="1842" w:type="dxa"/>
            <w:tcBorders>
              <w:top w:val="nil"/>
            </w:tcBorders>
            <w:shd w:val="clear" w:color="auto" w:fill="auto"/>
            <w:vAlign w:val="center"/>
            <w:hideMark/>
          </w:tcPr>
          <w:p w14:paraId="712F7514" w14:textId="7C69D08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1.44 -</w:t>
            </w:r>
            <w:r>
              <w:rPr>
                <w:rFonts w:eastAsia="Times New Roman"/>
                <w:sz w:val="20"/>
                <w:szCs w:val="20"/>
              </w:rPr>
              <w:t xml:space="preserve"> </w:t>
            </w:r>
            <w:r w:rsidRPr="00020438">
              <w:rPr>
                <w:rFonts w:eastAsia="Times New Roman"/>
                <w:sz w:val="20"/>
                <w:szCs w:val="20"/>
              </w:rPr>
              <w:t>2.33</w:t>
            </w:r>
          </w:p>
        </w:tc>
        <w:tc>
          <w:tcPr>
            <w:tcW w:w="993" w:type="dxa"/>
            <w:tcBorders>
              <w:top w:val="nil"/>
            </w:tcBorders>
            <w:shd w:val="clear" w:color="auto" w:fill="auto"/>
            <w:vAlign w:val="center"/>
            <w:hideMark/>
          </w:tcPr>
          <w:p w14:paraId="44AB863D"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4ADA147A" w14:textId="77777777" w:rsidTr="00020438">
        <w:trPr>
          <w:trHeight w:val="300"/>
        </w:trPr>
        <w:tc>
          <w:tcPr>
            <w:tcW w:w="3640" w:type="dxa"/>
            <w:vMerge/>
            <w:tcBorders>
              <w:top w:val="nil"/>
            </w:tcBorders>
            <w:vAlign w:val="center"/>
            <w:hideMark/>
          </w:tcPr>
          <w:p w14:paraId="3B0ADCAD" w14:textId="77777777" w:rsidR="00020438" w:rsidRPr="00020438" w:rsidRDefault="00020438" w:rsidP="00966E61">
            <w:pPr>
              <w:spacing w:before="0" w:line="240" w:lineRule="auto"/>
              <w:rPr>
                <w:rFonts w:eastAsia="Times New Roman"/>
                <w:b/>
                <w:bCs/>
                <w:sz w:val="20"/>
                <w:szCs w:val="20"/>
              </w:rPr>
            </w:pPr>
          </w:p>
        </w:tc>
        <w:tc>
          <w:tcPr>
            <w:tcW w:w="2292" w:type="dxa"/>
            <w:tcBorders>
              <w:top w:val="nil"/>
            </w:tcBorders>
            <w:shd w:val="clear" w:color="auto" w:fill="auto"/>
            <w:vAlign w:val="center"/>
            <w:hideMark/>
          </w:tcPr>
          <w:p w14:paraId="2AC09D9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ADT &amp; systemic</w:t>
            </w:r>
          </w:p>
        </w:tc>
        <w:tc>
          <w:tcPr>
            <w:tcW w:w="731" w:type="dxa"/>
            <w:tcBorders>
              <w:top w:val="nil"/>
            </w:tcBorders>
            <w:shd w:val="clear" w:color="auto" w:fill="auto"/>
            <w:vAlign w:val="center"/>
            <w:hideMark/>
          </w:tcPr>
          <w:p w14:paraId="3A695715"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2.79</w:t>
            </w:r>
          </w:p>
        </w:tc>
        <w:tc>
          <w:tcPr>
            <w:tcW w:w="1842" w:type="dxa"/>
            <w:tcBorders>
              <w:top w:val="nil"/>
            </w:tcBorders>
            <w:shd w:val="clear" w:color="auto" w:fill="auto"/>
            <w:vAlign w:val="center"/>
            <w:hideMark/>
          </w:tcPr>
          <w:p w14:paraId="5AFADC4A" w14:textId="2BB12E57"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2.01 -</w:t>
            </w:r>
            <w:r>
              <w:rPr>
                <w:rFonts w:eastAsia="Times New Roman"/>
                <w:sz w:val="20"/>
                <w:szCs w:val="20"/>
              </w:rPr>
              <w:t xml:space="preserve"> </w:t>
            </w:r>
            <w:r w:rsidRPr="00020438">
              <w:rPr>
                <w:rFonts w:eastAsia="Times New Roman"/>
                <w:sz w:val="20"/>
                <w:szCs w:val="20"/>
              </w:rPr>
              <w:t>3.87</w:t>
            </w:r>
          </w:p>
        </w:tc>
        <w:tc>
          <w:tcPr>
            <w:tcW w:w="993" w:type="dxa"/>
            <w:tcBorders>
              <w:top w:val="nil"/>
            </w:tcBorders>
            <w:shd w:val="clear" w:color="auto" w:fill="auto"/>
            <w:vAlign w:val="center"/>
            <w:hideMark/>
          </w:tcPr>
          <w:p w14:paraId="64E1F0A7"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662A72FE" w14:textId="77777777" w:rsidTr="00F55FBD">
        <w:trPr>
          <w:trHeight w:val="300"/>
        </w:trPr>
        <w:tc>
          <w:tcPr>
            <w:tcW w:w="3640" w:type="dxa"/>
            <w:vMerge/>
            <w:tcBorders>
              <w:top w:val="nil"/>
              <w:bottom w:val="single" w:sz="4" w:space="0" w:color="auto"/>
            </w:tcBorders>
            <w:vAlign w:val="center"/>
            <w:hideMark/>
          </w:tcPr>
          <w:p w14:paraId="2B50760C" w14:textId="77777777" w:rsidR="00020438" w:rsidRPr="00020438" w:rsidRDefault="00020438" w:rsidP="00966E61">
            <w:pPr>
              <w:spacing w:before="0" w:line="240" w:lineRule="auto"/>
              <w:rPr>
                <w:rFonts w:eastAsia="Times New Roman"/>
                <w:b/>
                <w:bCs/>
                <w:sz w:val="20"/>
                <w:szCs w:val="20"/>
              </w:rPr>
            </w:pPr>
          </w:p>
        </w:tc>
        <w:tc>
          <w:tcPr>
            <w:tcW w:w="2292" w:type="dxa"/>
            <w:tcBorders>
              <w:top w:val="nil"/>
              <w:bottom w:val="single" w:sz="4" w:space="0" w:color="auto"/>
            </w:tcBorders>
            <w:shd w:val="clear" w:color="auto" w:fill="auto"/>
            <w:vAlign w:val="center"/>
            <w:hideMark/>
          </w:tcPr>
          <w:p w14:paraId="48CD6926"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EBRT &amp; systemic</w:t>
            </w:r>
          </w:p>
        </w:tc>
        <w:tc>
          <w:tcPr>
            <w:tcW w:w="731" w:type="dxa"/>
            <w:tcBorders>
              <w:top w:val="nil"/>
              <w:bottom w:val="single" w:sz="4" w:space="0" w:color="auto"/>
            </w:tcBorders>
            <w:shd w:val="clear" w:color="auto" w:fill="auto"/>
            <w:vAlign w:val="center"/>
            <w:hideMark/>
          </w:tcPr>
          <w:p w14:paraId="0B47B8E4"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3.59</w:t>
            </w:r>
          </w:p>
        </w:tc>
        <w:tc>
          <w:tcPr>
            <w:tcW w:w="1842" w:type="dxa"/>
            <w:tcBorders>
              <w:top w:val="nil"/>
              <w:bottom w:val="single" w:sz="4" w:space="0" w:color="auto"/>
            </w:tcBorders>
            <w:shd w:val="clear" w:color="auto" w:fill="auto"/>
            <w:vAlign w:val="center"/>
            <w:hideMark/>
          </w:tcPr>
          <w:p w14:paraId="04E48F67" w14:textId="43668803" w:rsidR="00020438" w:rsidRPr="00020438" w:rsidRDefault="00020438" w:rsidP="00020438">
            <w:pPr>
              <w:spacing w:before="0" w:line="240" w:lineRule="auto"/>
              <w:jc w:val="center"/>
              <w:rPr>
                <w:rFonts w:eastAsia="Times New Roman"/>
                <w:sz w:val="20"/>
                <w:szCs w:val="20"/>
              </w:rPr>
            </w:pPr>
            <w:r w:rsidRPr="00020438">
              <w:rPr>
                <w:rFonts w:eastAsia="Times New Roman"/>
                <w:sz w:val="20"/>
                <w:szCs w:val="20"/>
              </w:rPr>
              <w:t>2.58 -</w:t>
            </w:r>
            <w:r>
              <w:rPr>
                <w:rFonts w:eastAsia="Times New Roman"/>
                <w:sz w:val="20"/>
                <w:szCs w:val="20"/>
              </w:rPr>
              <w:t xml:space="preserve"> </w:t>
            </w:r>
            <w:r w:rsidRPr="00020438">
              <w:rPr>
                <w:rFonts w:eastAsia="Times New Roman"/>
                <w:sz w:val="20"/>
                <w:szCs w:val="20"/>
              </w:rPr>
              <w:t>5</w:t>
            </w:r>
          </w:p>
        </w:tc>
        <w:tc>
          <w:tcPr>
            <w:tcW w:w="993" w:type="dxa"/>
            <w:tcBorders>
              <w:top w:val="nil"/>
              <w:bottom w:val="single" w:sz="4" w:space="0" w:color="auto"/>
            </w:tcBorders>
            <w:shd w:val="clear" w:color="auto" w:fill="auto"/>
            <w:vAlign w:val="center"/>
            <w:hideMark/>
          </w:tcPr>
          <w:p w14:paraId="4F5E0D20" w14:textId="77777777" w:rsidR="00020438" w:rsidRPr="00020438" w:rsidRDefault="00020438" w:rsidP="00966E61">
            <w:pPr>
              <w:spacing w:before="0" w:line="240" w:lineRule="auto"/>
              <w:jc w:val="right"/>
              <w:rPr>
                <w:rFonts w:eastAsia="Times New Roman"/>
                <w:sz w:val="20"/>
                <w:szCs w:val="20"/>
              </w:rPr>
            </w:pPr>
            <w:r w:rsidRPr="00020438">
              <w:rPr>
                <w:rFonts w:eastAsia="Times New Roman"/>
                <w:sz w:val="20"/>
                <w:szCs w:val="20"/>
              </w:rPr>
              <w:t>&lt;0.01</w:t>
            </w:r>
          </w:p>
        </w:tc>
      </w:tr>
      <w:tr w:rsidR="00020438" w:rsidRPr="00A90947" w14:paraId="6FD7BB2C" w14:textId="77777777" w:rsidTr="00F55FBD">
        <w:trPr>
          <w:trHeight w:val="300"/>
        </w:trPr>
        <w:tc>
          <w:tcPr>
            <w:tcW w:w="3640" w:type="dxa"/>
            <w:tcBorders>
              <w:top w:val="single" w:sz="4" w:space="0" w:color="auto"/>
              <w:left w:val="nil"/>
              <w:bottom w:val="nil"/>
              <w:right w:val="nil"/>
            </w:tcBorders>
            <w:shd w:val="clear" w:color="auto" w:fill="auto"/>
            <w:noWrap/>
            <w:vAlign w:val="center"/>
            <w:hideMark/>
          </w:tcPr>
          <w:p w14:paraId="058A6979" w14:textId="77777777" w:rsidR="00020438" w:rsidRPr="00020438" w:rsidRDefault="00020438" w:rsidP="00966E61">
            <w:pPr>
              <w:spacing w:before="0" w:line="240" w:lineRule="auto"/>
              <w:jc w:val="right"/>
              <w:rPr>
                <w:rFonts w:eastAsia="Times New Roman"/>
                <w:sz w:val="20"/>
                <w:szCs w:val="20"/>
              </w:rPr>
            </w:pPr>
          </w:p>
        </w:tc>
        <w:tc>
          <w:tcPr>
            <w:tcW w:w="2292" w:type="dxa"/>
            <w:tcBorders>
              <w:top w:val="single" w:sz="4" w:space="0" w:color="auto"/>
              <w:left w:val="nil"/>
              <w:bottom w:val="nil"/>
              <w:right w:val="nil"/>
            </w:tcBorders>
            <w:shd w:val="clear" w:color="auto" w:fill="auto"/>
            <w:noWrap/>
            <w:vAlign w:val="bottom"/>
            <w:hideMark/>
          </w:tcPr>
          <w:p w14:paraId="29FCE95A" w14:textId="77777777" w:rsidR="00020438" w:rsidRPr="00020438" w:rsidRDefault="00020438" w:rsidP="00966E61">
            <w:pPr>
              <w:spacing w:before="0" w:line="240" w:lineRule="auto"/>
              <w:ind w:firstLineChars="200" w:firstLine="400"/>
              <w:rPr>
                <w:rFonts w:eastAsia="Times New Roman"/>
                <w:sz w:val="20"/>
                <w:szCs w:val="20"/>
              </w:rPr>
            </w:pPr>
          </w:p>
        </w:tc>
        <w:tc>
          <w:tcPr>
            <w:tcW w:w="731" w:type="dxa"/>
            <w:tcBorders>
              <w:top w:val="single" w:sz="4" w:space="0" w:color="auto"/>
              <w:left w:val="nil"/>
              <w:bottom w:val="nil"/>
              <w:right w:val="nil"/>
            </w:tcBorders>
            <w:shd w:val="clear" w:color="auto" w:fill="auto"/>
            <w:noWrap/>
            <w:vAlign w:val="bottom"/>
            <w:hideMark/>
          </w:tcPr>
          <w:p w14:paraId="6690E37B" w14:textId="77777777" w:rsidR="00020438" w:rsidRPr="00020438" w:rsidRDefault="00020438" w:rsidP="00966E61">
            <w:pPr>
              <w:spacing w:before="0" w:line="240" w:lineRule="auto"/>
              <w:rPr>
                <w:rFonts w:eastAsia="Times New Roman"/>
                <w:sz w:val="20"/>
                <w:szCs w:val="20"/>
              </w:rPr>
            </w:pPr>
          </w:p>
        </w:tc>
        <w:tc>
          <w:tcPr>
            <w:tcW w:w="1842" w:type="dxa"/>
            <w:tcBorders>
              <w:top w:val="single" w:sz="4" w:space="0" w:color="auto"/>
              <w:left w:val="nil"/>
              <w:bottom w:val="nil"/>
              <w:right w:val="nil"/>
            </w:tcBorders>
            <w:shd w:val="clear" w:color="auto" w:fill="auto"/>
            <w:noWrap/>
            <w:vAlign w:val="bottom"/>
            <w:hideMark/>
          </w:tcPr>
          <w:p w14:paraId="794A6989" w14:textId="77777777" w:rsidR="00020438" w:rsidRPr="00020438" w:rsidRDefault="00020438" w:rsidP="00020438">
            <w:pPr>
              <w:spacing w:before="0" w:line="240" w:lineRule="auto"/>
              <w:jc w:val="center"/>
              <w:rPr>
                <w:rFonts w:eastAsia="Times New Roman"/>
                <w:sz w:val="20"/>
                <w:szCs w:val="20"/>
              </w:rPr>
            </w:pPr>
          </w:p>
        </w:tc>
        <w:tc>
          <w:tcPr>
            <w:tcW w:w="993" w:type="dxa"/>
            <w:tcBorders>
              <w:top w:val="single" w:sz="4" w:space="0" w:color="auto"/>
              <w:left w:val="nil"/>
              <w:bottom w:val="nil"/>
              <w:right w:val="nil"/>
            </w:tcBorders>
            <w:shd w:val="clear" w:color="auto" w:fill="auto"/>
            <w:noWrap/>
            <w:vAlign w:val="bottom"/>
            <w:hideMark/>
          </w:tcPr>
          <w:p w14:paraId="36BF9C30" w14:textId="77777777" w:rsidR="00020438" w:rsidRPr="00020438" w:rsidRDefault="00020438" w:rsidP="00966E61">
            <w:pPr>
              <w:spacing w:before="0" w:line="240" w:lineRule="auto"/>
              <w:rPr>
                <w:rFonts w:eastAsia="Times New Roman"/>
                <w:sz w:val="20"/>
                <w:szCs w:val="20"/>
              </w:rPr>
            </w:pPr>
          </w:p>
        </w:tc>
      </w:tr>
      <w:tr w:rsidR="00020438" w:rsidRPr="00A90947" w14:paraId="6FC96115" w14:textId="77777777" w:rsidTr="00020438">
        <w:trPr>
          <w:trHeight w:val="1695"/>
        </w:trPr>
        <w:tc>
          <w:tcPr>
            <w:tcW w:w="9498" w:type="dxa"/>
            <w:gridSpan w:val="5"/>
            <w:tcBorders>
              <w:top w:val="nil"/>
              <w:left w:val="nil"/>
              <w:bottom w:val="nil"/>
              <w:right w:val="nil"/>
            </w:tcBorders>
            <w:shd w:val="clear" w:color="auto" w:fill="auto"/>
            <w:vAlign w:val="center"/>
            <w:hideMark/>
          </w:tcPr>
          <w:p w14:paraId="497B18E1" w14:textId="259182D0" w:rsidR="000D6EED" w:rsidRPr="00A9635B" w:rsidRDefault="00020438" w:rsidP="000D6EED">
            <w:pPr>
              <w:pStyle w:val="PlainText"/>
              <w:rPr>
                <w:rFonts w:ascii="Arial" w:hAnsi="Arial"/>
                <w:color w:val="auto"/>
                <w:sz w:val="22"/>
                <w:szCs w:val="22"/>
              </w:rPr>
            </w:pPr>
            <w:r w:rsidRPr="000D6EED">
              <w:rPr>
                <w:rFonts w:ascii="Arial" w:eastAsia="Times New Roman" w:hAnsi="Arial"/>
                <w:b/>
                <w:bCs/>
                <w:sz w:val="20"/>
                <w:szCs w:val="20"/>
              </w:rPr>
              <w:t>Key</w:t>
            </w:r>
            <w:r w:rsidRPr="000D6EED">
              <w:rPr>
                <w:rFonts w:ascii="Arial" w:eastAsia="Times New Roman" w:hAnsi="Arial"/>
                <w:sz w:val="20"/>
                <w:szCs w:val="20"/>
              </w:rPr>
              <w:t>: EBRT: External beam radiotherapy. ADT: Androgen deprivation therapy.  Systemic (chemotherapy/Abiraterone/Enzalutamide).  The odds ratios with their 95% confidence intervals were estimated by multivariate logistic regression after controlling for the sociodemographic and clinical variables listed. An odds ratio greater than 1 represents a greater odds than the first group listed (reference category) of reporting social distress.</w:t>
            </w:r>
            <w:r w:rsidRPr="00020438">
              <w:rPr>
                <w:rFonts w:eastAsia="Times New Roman"/>
                <w:sz w:val="20"/>
                <w:szCs w:val="20"/>
              </w:rPr>
              <w:t xml:space="preserve"> </w:t>
            </w:r>
            <w:r w:rsidR="000D6EED" w:rsidRPr="00A9635B">
              <w:rPr>
                <w:rFonts w:ascii="Arial" w:hAnsi="Arial"/>
                <w:color w:val="auto"/>
                <w:sz w:val="22"/>
                <w:szCs w:val="22"/>
              </w:rPr>
              <w:t>To check for multi-collinearity between stage and treatment, two models were run. The first, shown above, included ‘stage at diagnosis’ in the model and the second excluded ‘stage at diagnosis’ from the model. The Odds Ratios for both models changed very little.</w:t>
            </w:r>
          </w:p>
          <w:p w14:paraId="423469BD" w14:textId="77777777" w:rsidR="00020438" w:rsidRPr="00020438" w:rsidRDefault="00020438" w:rsidP="00966E61">
            <w:pPr>
              <w:spacing w:before="0" w:line="240" w:lineRule="auto"/>
              <w:rPr>
                <w:rFonts w:eastAsia="Times New Roman"/>
                <w:b/>
                <w:bCs/>
                <w:sz w:val="20"/>
                <w:szCs w:val="20"/>
              </w:rPr>
            </w:pPr>
          </w:p>
        </w:tc>
      </w:tr>
    </w:tbl>
    <w:p w14:paraId="03C89715" w14:textId="77777777" w:rsidR="00C43F36" w:rsidRDefault="00C43F36">
      <w:pPr>
        <w:pBdr>
          <w:top w:val="none" w:sz="0" w:space="0" w:color="auto"/>
          <w:left w:val="none" w:sz="0" w:space="0" w:color="auto"/>
          <w:bottom w:val="none" w:sz="0" w:space="0" w:color="auto"/>
          <w:right w:val="none" w:sz="0" w:space="0" w:color="auto"/>
          <w:between w:val="none" w:sz="0" w:space="0" w:color="auto"/>
        </w:pBdr>
        <w:spacing w:before="0" w:after="200"/>
        <w:rPr>
          <w:b/>
          <w:noProof/>
          <w:sz w:val="22"/>
          <w:szCs w:val="22"/>
        </w:rPr>
        <w:sectPr w:rsidR="00C43F36" w:rsidSect="00F26077">
          <w:headerReference w:type="even" r:id="rId15"/>
          <w:headerReference w:type="default" r:id="rId16"/>
          <w:footerReference w:type="even" r:id="rId17"/>
          <w:headerReference w:type="first" r:id="rId18"/>
          <w:footerReference w:type="first" r:id="rId19"/>
          <w:pgSz w:w="11906" w:h="16838"/>
          <w:pgMar w:top="1440" w:right="1440" w:bottom="1440" w:left="1440" w:header="708" w:footer="708" w:gutter="0"/>
          <w:cols w:space="708"/>
          <w:docGrid w:linePitch="360"/>
        </w:sectPr>
      </w:pPr>
    </w:p>
    <w:tbl>
      <w:tblPr>
        <w:tblW w:w="13892" w:type="dxa"/>
        <w:tblLook w:val="04A0" w:firstRow="1" w:lastRow="0" w:firstColumn="1" w:lastColumn="0" w:noHBand="0" w:noVBand="1"/>
      </w:tblPr>
      <w:tblGrid>
        <w:gridCol w:w="2386"/>
        <w:gridCol w:w="2105"/>
        <w:gridCol w:w="896"/>
        <w:gridCol w:w="1042"/>
        <w:gridCol w:w="375"/>
        <w:gridCol w:w="851"/>
        <w:gridCol w:w="820"/>
        <w:gridCol w:w="953"/>
        <w:gridCol w:w="495"/>
        <w:gridCol w:w="935"/>
        <w:gridCol w:w="766"/>
        <w:gridCol w:w="1034"/>
        <w:gridCol w:w="577"/>
        <w:gridCol w:w="723"/>
      </w:tblGrid>
      <w:tr w:rsidR="00C43F36" w:rsidRPr="00C43F36" w14:paraId="43268998" w14:textId="77777777" w:rsidTr="00C43F36">
        <w:trPr>
          <w:trHeight w:val="330"/>
        </w:trPr>
        <w:tc>
          <w:tcPr>
            <w:tcW w:w="6804" w:type="dxa"/>
            <w:gridSpan w:val="5"/>
            <w:shd w:val="clear" w:color="auto" w:fill="auto"/>
            <w:noWrap/>
            <w:vAlign w:val="center"/>
            <w:hideMark/>
          </w:tcPr>
          <w:p w14:paraId="7E683B71" w14:textId="77777777" w:rsidR="00C43F36" w:rsidRPr="00C43F36" w:rsidRDefault="00C43F36" w:rsidP="00966E61">
            <w:pPr>
              <w:spacing w:before="0" w:line="240" w:lineRule="auto"/>
              <w:rPr>
                <w:rFonts w:eastAsia="Times New Roman"/>
                <w:b/>
                <w:bCs/>
                <w:sz w:val="20"/>
                <w:szCs w:val="20"/>
              </w:rPr>
            </w:pPr>
            <w:r w:rsidRPr="00C43F36">
              <w:rPr>
                <w:rFonts w:eastAsia="Times New Roman"/>
                <w:b/>
                <w:bCs/>
                <w:sz w:val="20"/>
                <w:szCs w:val="20"/>
              </w:rPr>
              <w:lastRenderedPageBreak/>
              <w:t xml:space="preserve">Table 4 Logistic regression analyses for three SD-16 subscales </w:t>
            </w:r>
          </w:p>
        </w:tc>
        <w:tc>
          <w:tcPr>
            <w:tcW w:w="851" w:type="dxa"/>
            <w:shd w:val="clear" w:color="auto" w:fill="auto"/>
            <w:noWrap/>
            <w:vAlign w:val="bottom"/>
            <w:hideMark/>
          </w:tcPr>
          <w:p w14:paraId="7FBD690A" w14:textId="77777777" w:rsidR="00C43F36" w:rsidRPr="00C43F36" w:rsidRDefault="00C43F36" w:rsidP="00966E61">
            <w:pPr>
              <w:spacing w:before="0" w:line="240" w:lineRule="auto"/>
              <w:rPr>
                <w:rFonts w:eastAsia="Times New Roman"/>
                <w:b/>
                <w:bCs/>
                <w:sz w:val="20"/>
                <w:szCs w:val="20"/>
              </w:rPr>
            </w:pPr>
          </w:p>
        </w:tc>
        <w:tc>
          <w:tcPr>
            <w:tcW w:w="820" w:type="dxa"/>
            <w:shd w:val="clear" w:color="auto" w:fill="auto"/>
            <w:noWrap/>
            <w:vAlign w:val="bottom"/>
            <w:hideMark/>
          </w:tcPr>
          <w:p w14:paraId="2073A2BD" w14:textId="77777777" w:rsidR="00C43F36" w:rsidRPr="00C43F36" w:rsidRDefault="00C43F36" w:rsidP="00966E61">
            <w:pPr>
              <w:spacing w:before="0" w:line="240" w:lineRule="auto"/>
              <w:rPr>
                <w:rFonts w:eastAsia="Times New Roman"/>
                <w:sz w:val="20"/>
                <w:szCs w:val="20"/>
              </w:rPr>
            </w:pPr>
          </w:p>
        </w:tc>
        <w:tc>
          <w:tcPr>
            <w:tcW w:w="953" w:type="dxa"/>
            <w:shd w:val="clear" w:color="auto" w:fill="auto"/>
            <w:noWrap/>
            <w:vAlign w:val="bottom"/>
            <w:hideMark/>
          </w:tcPr>
          <w:p w14:paraId="0F36FB1D" w14:textId="77777777" w:rsidR="00C43F36" w:rsidRPr="00C43F36" w:rsidRDefault="00C43F36" w:rsidP="00966E61">
            <w:pPr>
              <w:spacing w:before="0" w:line="240" w:lineRule="auto"/>
              <w:rPr>
                <w:rFonts w:eastAsia="Times New Roman"/>
                <w:sz w:val="20"/>
                <w:szCs w:val="20"/>
              </w:rPr>
            </w:pPr>
          </w:p>
        </w:tc>
        <w:tc>
          <w:tcPr>
            <w:tcW w:w="495" w:type="dxa"/>
            <w:shd w:val="clear" w:color="auto" w:fill="auto"/>
            <w:noWrap/>
            <w:vAlign w:val="bottom"/>
            <w:hideMark/>
          </w:tcPr>
          <w:p w14:paraId="4B4C41D4" w14:textId="77777777" w:rsidR="00C43F36" w:rsidRPr="00C43F36" w:rsidRDefault="00C43F36" w:rsidP="00966E61">
            <w:pPr>
              <w:spacing w:before="0" w:line="240" w:lineRule="auto"/>
              <w:rPr>
                <w:rFonts w:eastAsia="Times New Roman"/>
                <w:sz w:val="20"/>
                <w:szCs w:val="20"/>
              </w:rPr>
            </w:pPr>
          </w:p>
        </w:tc>
        <w:tc>
          <w:tcPr>
            <w:tcW w:w="935" w:type="dxa"/>
            <w:shd w:val="clear" w:color="auto" w:fill="auto"/>
            <w:noWrap/>
            <w:vAlign w:val="bottom"/>
            <w:hideMark/>
          </w:tcPr>
          <w:p w14:paraId="478647FE" w14:textId="77777777" w:rsidR="00C43F36" w:rsidRPr="00C43F36" w:rsidRDefault="00C43F36" w:rsidP="00966E61">
            <w:pPr>
              <w:spacing w:before="0" w:line="240" w:lineRule="auto"/>
              <w:rPr>
                <w:rFonts w:eastAsia="Times New Roman"/>
                <w:sz w:val="20"/>
                <w:szCs w:val="20"/>
              </w:rPr>
            </w:pPr>
          </w:p>
        </w:tc>
        <w:tc>
          <w:tcPr>
            <w:tcW w:w="766" w:type="dxa"/>
            <w:shd w:val="clear" w:color="auto" w:fill="auto"/>
            <w:noWrap/>
            <w:vAlign w:val="bottom"/>
            <w:hideMark/>
          </w:tcPr>
          <w:p w14:paraId="0584BD49" w14:textId="77777777" w:rsidR="00C43F36" w:rsidRPr="00C43F36" w:rsidRDefault="00C43F36" w:rsidP="00966E61">
            <w:pPr>
              <w:spacing w:before="0" w:line="240" w:lineRule="auto"/>
              <w:rPr>
                <w:rFonts w:eastAsia="Times New Roman"/>
                <w:sz w:val="20"/>
                <w:szCs w:val="20"/>
              </w:rPr>
            </w:pPr>
          </w:p>
        </w:tc>
        <w:tc>
          <w:tcPr>
            <w:tcW w:w="1034" w:type="dxa"/>
            <w:shd w:val="clear" w:color="auto" w:fill="auto"/>
            <w:noWrap/>
            <w:vAlign w:val="bottom"/>
            <w:hideMark/>
          </w:tcPr>
          <w:p w14:paraId="505E3D1C" w14:textId="77777777" w:rsidR="00C43F36" w:rsidRPr="00C43F36" w:rsidRDefault="00C43F36" w:rsidP="00966E61">
            <w:pPr>
              <w:spacing w:before="0" w:line="240" w:lineRule="auto"/>
              <w:rPr>
                <w:rFonts w:eastAsia="Times New Roman"/>
                <w:sz w:val="20"/>
                <w:szCs w:val="20"/>
              </w:rPr>
            </w:pPr>
          </w:p>
        </w:tc>
        <w:tc>
          <w:tcPr>
            <w:tcW w:w="577" w:type="dxa"/>
            <w:shd w:val="clear" w:color="auto" w:fill="auto"/>
            <w:noWrap/>
            <w:vAlign w:val="bottom"/>
            <w:hideMark/>
          </w:tcPr>
          <w:p w14:paraId="4A5B3FBA" w14:textId="77777777" w:rsidR="00C43F36" w:rsidRPr="00C43F36" w:rsidRDefault="00C43F36" w:rsidP="00966E61">
            <w:pPr>
              <w:spacing w:before="0" w:line="240" w:lineRule="auto"/>
              <w:rPr>
                <w:rFonts w:eastAsia="Times New Roman"/>
                <w:sz w:val="20"/>
                <w:szCs w:val="20"/>
              </w:rPr>
            </w:pPr>
          </w:p>
        </w:tc>
        <w:tc>
          <w:tcPr>
            <w:tcW w:w="657" w:type="dxa"/>
            <w:shd w:val="clear" w:color="auto" w:fill="auto"/>
            <w:noWrap/>
            <w:vAlign w:val="bottom"/>
            <w:hideMark/>
          </w:tcPr>
          <w:p w14:paraId="29A89345" w14:textId="77777777" w:rsidR="00C43F36" w:rsidRPr="00C43F36" w:rsidRDefault="00C43F36" w:rsidP="00966E61">
            <w:pPr>
              <w:spacing w:before="0" w:line="240" w:lineRule="auto"/>
              <w:rPr>
                <w:rFonts w:eastAsia="Times New Roman"/>
                <w:sz w:val="20"/>
                <w:szCs w:val="20"/>
              </w:rPr>
            </w:pPr>
          </w:p>
        </w:tc>
      </w:tr>
      <w:tr w:rsidR="00C43F36" w:rsidRPr="00C43F36" w14:paraId="0D110067" w14:textId="77777777" w:rsidTr="00C43F36">
        <w:trPr>
          <w:trHeight w:val="300"/>
        </w:trPr>
        <w:tc>
          <w:tcPr>
            <w:tcW w:w="2386" w:type="dxa"/>
            <w:tcBorders>
              <w:bottom w:val="single" w:sz="4" w:space="0" w:color="auto"/>
            </w:tcBorders>
            <w:shd w:val="clear" w:color="000000" w:fill="FFFFFF"/>
            <w:vAlign w:val="center"/>
            <w:hideMark/>
          </w:tcPr>
          <w:p w14:paraId="387969A8"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Subscale</w:t>
            </w:r>
          </w:p>
        </w:tc>
        <w:tc>
          <w:tcPr>
            <w:tcW w:w="2105" w:type="dxa"/>
            <w:tcBorders>
              <w:bottom w:val="single" w:sz="4" w:space="0" w:color="auto"/>
            </w:tcBorders>
            <w:shd w:val="clear" w:color="000000" w:fill="FFFFFF"/>
            <w:noWrap/>
            <w:vAlign w:val="center"/>
            <w:hideMark/>
          </w:tcPr>
          <w:p w14:paraId="24D718E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3164" w:type="dxa"/>
            <w:gridSpan w:val="4"/>
            <w:tcBorders>
              <w:bottom w:val="single" w:sz="4" w:space="0" w:color="auto"/>
            </w:tcBorders>
            <w:shd w:val="clear" w:color="000000" w:fill="FFFFFF"/>
            <w:vAlign w:val="center"/>
            <w:hideMark/>
          </w:tcPr>
          <w:p w14:paraId="6AE39C67"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Everyday living</w:t>
            </w:r>
          </w:p>
        </w:tc>
        <w:tc>
          <w:tcPr>
            <w:tcW w:w="3203" w:type="dxa"/>
            <w:gridSpan w:val="4"/>
            <w:tcBorders>
              <w:bottom w:val="single" w:sz="4" w:space="0" w:color="auto"/>
            </w:tcBorders>
            <w:shd w:val="clear" w:color="000000" w:fill="FFFFFF"/>
            <w:vAlign w:val="center"/>
            <w:hideMark/>
          </w:tcPr>
          <w:p w14:paraId="38F3FBA0"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Money Matters</w:t>
            </w:r>
          </w:p>
        </w:tc>
        <w:tc>
          <w:tcPr>
            <w:tcW w:w="3034" w:type="dxa"/>
            <w:gridSpan w:val="4"/>
            <w:tcBorders>
              <w:bottom w:val="single" w:sz="4" w:space="0" w:color="auto"/>
            </w:tcBorders>
            <w:shd w:val="clear" w:color="000000" w:fill="FFFFFF"/>
            <w:vAlign w:val="center"/>
            <w:hideMark/>
          </w:tcPr>
          <w:p w14:paraId="03090BA9"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Self and others</w:t>
            </w:r>
          </w:p>
        </w:tc>
      </w:tr>
      <w:tr w:rsidR="00C43F36" w:rsidRPr="00C43F36" w14:paraId="5AE91BC0" w14:textId="77777777" w:rsidTr="00C43F36">
        <w:trPr>
          <w:trHeight w:val="615"/>
        </w:trPr>
        <w:tc>
          <w:tcPr>
            <w:tcW w:w="2386" w:type="dxa"/>
            <w:tcBorders>
              <w:top w:val="single" w:sz="4" w:space="0" w:color="auto"/>
              <w:bottom w:val="single" w:sz="4" w:space="0" w:color="auto"/>
            </w:tcBorders>
            <w:shd w:val="clear" w:color="auto" w:fill="auto"/>
            <w:vAlign w:val="center"/>
            <w:hideMark/>
          </w:tcPr>
          <w:p w14:paraId="60493720"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 </w:t>
            </w:r>
          </w:p>
        </w:tc>
        <w:tc>
          <w:tcPr>
            <w:tcW w:w="2105" w:type="dxa"/>
            <w:tcBorders>
              <w:top w:val="single" w:sz="4" w:space="0" w:color="auto"/>
              <w:bottom w:val="single" w:sz="4" w:space="0" w:color="auto"/>
            </w:tcBorders>
            <w:shd w:val="clear" w:color="auto" w:fill="auto"/>
            <w:vAlign w:val="center"/>
            <w:hideMark/>
          </w:tcPr>
          <w:p w14:paraId="73D4B0F0"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Characteristics</w:t>
            </w:r>
          </w:p>
        </w:tc>
        <w:tc>
          <w:tcPr>
            <w:tcW w:w="896" w:type="dxa"/>
            <w:tcBorders>
              <w:top w:val="single" w:sz="4" w:space="0" w:color="auto"/>
              <w:bottom w:val="single" w:sz="4" w:space="0" w:color="auto"/>
            </w:tcBorders>
            <w:shd w:val="clear" w:color="auto" w:fill="auto"/>
            <w:vAlign w:val="center"/>
            <w:hideMark/>
          </w:tcPr>
          <w:p w14:paraId="4194CE70"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Odds Ratio</w:t>
            </w:r>
          </w:p>
        </w:tc>
        <w:tc>
          <w:tcPr>
            <w:tcW w:w="1417" w:type="dxa"/>
            <w:gridSpan w:val="2"/>
            <w:tcBorders>
              <w:top w:val="single" w:sz="4" w:space="0" w:color="auto"/>
              <w:bottom w:val="single" w:sz="4" w:space="0" w:color="auto"/>
            </w:tcBorders>
            <w:shd w:val="clear" w:color="auto" w:fill="auto"/>
            <w:vAlign w:val="center"/>
            <w:hideMark/>
          </w:tcPr>
          <w:p w14:paraId="04C08438"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95% Confidence interval</w:t>
            </w:r>
          </w:p>
        </w:tc>
        <w:tc>
          <w:tcPr>
            <w:tcW w:w="851" w:type="dxa"/>
            <w:tcBorders>
              <w:top w:val="single" w:sz="4" w:space="0" w:color="auto"/>
              <w:bottom w:val="single" w:sz="4" w:space="0" w:color="auto"/>
            </w:tcBorders>
            <w:shd w:val="clear" w:color="auto" w:fill="auto"/>
            <w:vAlign w:val="center"/>
            <w:hideMark/>
          </w:tcPr>
          <w:p w14:paraId="689D108A"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p</w:t>
            </w:r>
          </w:p>
        </w:tc>
        <w:tc>
          <w:tcPr>
            <w:tcW w:w="820" w:type="dxa"/>
            <w:tcBorders>
              <w:top w:val="single" w:sz="4" w:space="0" w:color="auto"/>
              <w:bottom w:val="single" w:sz="4" w:space="0" w:color="auto"/>
            </w:tcBorders>
            <w:shd w:val="clear" w:color="auto" w:fill="auto"/>
            <w:vAlign w:val="center"/>
            <w:hideMark/>
          </w:tcPr>
          <w:p w14:paraId="6C9060D0"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Odds Ratio</w:t>
            </w:r>
          </w:p>
        </w:tc>
        <w:tc>
          <w:tcPr>
            <w:tcW w:w="1448" w:type="dxa"/>
            <w:gridSpan w:val="2"/>
            <w:tcBorders>
              <w:top w:val="single" w:sz="4" w:space="0" w:color="auto"/>
              <w:bottom w:val="single" w:sz="4" w:space="0" w:color="auto"/>
            </w:tcBorders>
            <w:shd w:val="clear" w:color="auto" w:fill="auto"/>
            <w:vAlign w:val="center"/>
            <w:hideMark/>
          </w:tcPr>
          <w:p w14:paraId="79DEEDDD"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95% Confidence interval</w:t>
            </w:r>
          </w:p>
        </w:tc>
        <w:tc>
          <w:tcPr>
            <w:tcW w:w="935" w:type="dxa"/>
            <w:tcBorders>
              <w:top w:val="single" w:sz="4" w:space="0" w:color="auto"/>
              <w:bottom w:val="single" w:sz="4" w:space="0" w:color="auto"/>
            </w:tcBorders>
            <w:shd w:val="clear" w:color="auto" w:fill="auto"/>
            <w:vAlign w:val="center"/>
            <w:hideMark/>
          </w:tcPr>
          <w:p w14:paraId="78584379"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p</w:t>
            </w:r>
          </w:p>
        </w:tc>
        <w:tc>
          <w:tcPr>
            <w:tcW w:w="766" w:type="dxa"/>
            <w:tcBorders>
              <w:top w:val="single" w:sz="4" w:space="0" w:color="auto"/>
              <w:bottom w:val="single" w:sz="4" w:space="0" w:color="auto"/>
            </w:tcBorders>
            <w:shd w:val="clear" w:color="auto" w:fill="auto"/>
            <w:vAlign w:val="center"/>
            <w:hideMark/>
          </w:tcPr>
          <w:p w14:paraId="6D217376"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Odds Ratio</w:t>
            </w:r>
          </w:p>
        </w:tc>
        <w:tc>
          <w:tcPr>
            <w:tcW w:w="1611" w:type="dxa"/>
            <w:gridSpan w:val="2"/>
            <w:tcBorders>
              <w:top w:val="single" w:sz="4" w:space="0" w:color="auto"/>
              <w:bottom w:val="single" w:sz="4" w:space="0" w:color="auto"/>
            </w:tcBorders>
            <w:shd w:val="clear" w:color="auto" w:fill="auto"/>
            <w:vAlign w:val="center"/>
            <w:hideMark/>
          </w:tcPr>
          <w:p w14:paraId="37577579" w14:textId="77777777" w:rsidR="00C43F36" w:rsidRPr="00C43F36" w:rsidRDefault="00C43F36" w:rsidP="00966E61">
            <w:pPr>
              <w:spacing w:before="0" w:line="240" w:lineRule="auto"/>
              <w:jc w:val="center"/>
              <w:rPr>
                <w:rFonts w:eastAsia="Times New Roman"/>
                <w:b/>
                <w:bCs/>
                <w:sz w:val="20"/>
                <w:szCs w:val="20"/>
              </w:rPr>
            </w:pPr>
            <w:r w:rsidRPr="00C43F36">
              <w:rPr>
                <w:rFonts w:eastAsia="Times New Roman"/>
                <w:b/>
                <w:bCs/>
                <w:sz w:val="20"/>
                <w:szCs w:val="20"/>
              </w:rPr>
              <w:t>95% Confidence interval</w:t>
            </w:r>
          </w:p>
        </w:tc>
        <w:tc>
          <w:tcPr>
            <w:tcW w:w="657" w:type="dxa"/>
            <w:tcBorders>
              <w:top w:val="single" w:sz="4" w:space="0" w:color="auto"/>
              <w:bottom w:val="single" w:sz="4" w:space="0" w:color="auto"/>
            </w:tcBorders>
            <w:shd w:val="clear" w:color="auto" w:fill="auto"/>
            <w:vAlign w:val="center"/>
            <w:hideMark/>
          </w:tcPr>
          <w:p w14:paraId="31426352"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p</w:t>
            </w:r>
          </w:p>
        </w:tc>
      </w:tr>
      <w:tr w:rsidR="00C43F36" w:rsidRPr="00C43F36" w14:paraId="3D5FB731" w14:textId="77777777" w:rsidTr="00C43F36">
        <w:trPr>
          <w:trHeight w:val="300"/>
        </w:trPr>
        <w:tc>
          <w:tcPr>
            <w:tcW w:w="2386" w:type="dxa"/>
            <w:vMerge w:val="restart"/>
            <w:tcBorders>
              <w:top w:val="single" w:sz="4" w:space="0" w:color="auto"/>
            </w:tcBorders>
            <w:shd w:val="clear" w:color="auto" w:fill="auto"/>
            <w:vAlign w:val="center"/>
            <w:hideMark/>
          </w:tcPr>
          <w:p w14:paraId="3BDA8239"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Age</w:t>
            </w:r>
          </w:p>
        </w:tc>
        <w:tc>
          <w:tcPr>
            <w:tcW w:w="2105" w:type="dxa"/>
            <w:tcBorders>
              <w:top w:val="single" w:sz="4" w:space="0" w:color="auto"/>
            </w:tcBorders>
            <w:shd w:val="clear" w:color="auto" w:fill="auto"/>
            <w:vAlign w:val="center"/>
            <w:hideMark/>
          </w:tcPr>
          <w:p w14:paraId="48C286A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&lt;60 years</w:t>
            </w:r>
          </w:p>
        </w:tc>
        <w:tc>
          <w:tcPr>
            <w:tcW w:w="896" w:type="dxa"/>
            <w:tcBorders>
              <w:top w:val="single" w:sz="4" w:space="0" w:color="auto"/>
            </w:tcBorders>
            <w:shd w:val="clear" w:color="auto" w:fill="auto"/>
            <w:vAlign w:val="center"/>
            <w:hideMark/>
          </w:tcPr>
          <w:p w14:paraId="69B43BC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426671A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6F23C3A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4A15B44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3DB22D7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7786D2A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0A4BE86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1D20410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796BF33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729AE2D6" w14:textId="77777777" w:rsidTr="00C43F36">
        <w:trPr>
          <w:trHeight w:val="300"/>
        </w:trPr>
        <w:tc>
          <w:tcPr>
            <w:tcW w:w="2386" w:type="dxa"/>
            <w:vMerge/>
            <w:vAlign w:val="center"/>
            <w:hideMark/>
          </w:tcPr>
          <w:p w14:paraId="1C039DA8"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51C3FB1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60-69 years</w:t>
            </w:r>
          </w:p>
        </w:tc>
        <w:tc>
          <w:tcPr>
            <w:tcW w:w="896" w:type="dxa"/>
            <w:shd w:val="clear" w:color="auto" w:fill="auto"/>
            <w:vAlign w:val="center"/>
            <w:hideMark/>
          </w:tcPr>
          <w:p w14:paraId="6685738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0.87</w:t>
            </w:r>
          </w:p>
        </w:tc>
        <w:tc>
          <w:tcPr>
            <w:tcW w:w="1417" w:type="dxa"/>
            <w:gridSpan w:val="2"/>
            <w:shd w:val="clear" w:color="auto" w:fill="auto"/>
            <w:vAlign w:val="center"/>
            <w:hideMark/>
          </w:tcPr>
          <w:p w14:paraId="28AD124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0.70 - 1.08</w:t>
            </w:r>
          </w:p>
        </w:tc>
        <w:tc>
          <w:tcPr>
            <w:tcW w:w="851" w:type="dxa"/>
            <w:shd w:val="clear" w:color="auto" w:fill="auto"/>
            <w:vAlign w:val="center"/>
            <w:hideMark/>
          </w:tcPr>
          <w:p w14:paraId="12A1FAC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0.2</w:t>
            </w:r>
          </w:p>
        </w:tc>
        <w:tc>
          <w:tcPr>
            <w:tcW w:w="820" w:type="dxa"/>
            <w:shd w:val="clear" w:color="auto" w:fill="auto"/>
            <w:vAlign w:val="center"/>
            <w:hideMark/>
          </w:tcPr>
          <w:p w14:paraId="6B1EF38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0.61</w:t>
            </w:r>
          </w:p>
        </w:tc>
        <w:tc>
          <w:tcPr>
            <w:tcW w:w="1448" w:type="dxa"/>
            <w:gridSpan w:val="2"/>
            <w:shd w:val="clear" w:color="auto" w:fill="auto"/>
            <w:vAlign w:val="center"/>
            <w:hideMark/>
          </w:tcPr>
          <w:p w14:paraId="1D72055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0.53 - 0.71</w:t>
            </w:r>
          </w:p>
        </w:tc>
        <w:tc>
          <w:tcPr>
            <w:tcW w:w="935" w:type="dxa"/>
            <w:shd w:val="clear" w:color="auto" w:fill="auto"/>
            <w:vAlign w:val="center"/>
            <w:hideMark/>
          </w:tcPr>
          <w:p w14:paraId="3A44DA5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7E780FD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0.49</w:t>
            </w:r>
          </w:p>
        </w:tc>
        <w:tc>
          <w:tcPr>
            <w:tcW w:w="1611" w:type="dxa"/>
            <w:gridSpan w:val="2"/>
            <w:shd w:val="clear" w:color="auto" w:fill="auto"/>
            <w:vAlign w:val="center"/>
            <w:hideMark/>
          </w:tcPr>
          <w:p w14:paraId="5F05AB9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0.42 - 0.57</w:t>
            </w:r>
          </w:p>
        </w:tc>
        <w:tc>
          <w:tcPr>
            <w:tcW w:w="657" w:type="dxa"/>
            <w:shd w:val="clear" w:color="auto" w:fill="auto"/>
            <w:vAlign w:val="center"/>
            <w:hideMark/>
          </w:tcPr>
          <w:p w14:paraId="77938D2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2B971711" w14:textId="77777777" w:rsidTr="00C43F36">
        <w:trPr>
          <w:trHeight w:val="300"/>
        </w:trPr>
        <w:tc>
          <w:tcPr>
            <w:tcW w:w="2386" w:type="dxa"/>
            <w:vMerge/>
            <w:vAlign w:val="center"/>
            <w:hideMark/>
          </w:tcPr>
          <w:p w14:paraId="3AFD2BA5"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1D80352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70-79 years</w:t>
            </w:r>
          </w:p>
        </w:tc>
        <w:tc>
          <w:tcPr>
            <w:tcW w:w="896" w:type="dxa"/>
            <w:shd w:val="clear" w:color="auto" w:fill="auto"/>
            <w:vAlign w:val="center"/>
            <w:hideMark/>
          </w:tcPr>
          <w:p w14:paraId="5A84F03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1.04</w:t>
            </w:r>
          </w:p>
        </w:tc>
        <w:tc>
          <w:tcPr>
            <w:tcW w:w="1417" w:type="dxa"/>
            <w:gridSpan w:val="2"/>
            <w:shd w:val="clear" w:color="auto" w:fill="auto"/>
            <w:vAlign w:val="center"/>
            <w:hideMark/>
          </w:tcPr>
          <w:p w14:paraId="38FF506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0.82 - 1.31</w:t>
            </w:r>
          </w:p>
        </w:tc>
        <w:tc>
          <w:tcPr>
            <w:tcW w:w="851" w:type="dxa"/>
            <w:shd w:val="clear" w:color="auto" w:fill="auto"/>
            <w:vAlign w:val="center"/>
            <w:hideMark/>
          </w:tcPr>
          <w:p w14:paraId="35BC7FF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0.75</w:t>
            </w:r>
          </w:p>
        </w:tc>
        <w:tc>
          <w:tcPr>
            <w:tcW w:w="820" w:type="dxa"/>
            <w:shd w:val="clear" w:color="auto" w:fill="auto"/>
            <w:vAlign w:val="center"/>
            <w:hideMark/>
          </w:tcPr>
          <w:p w14:paraId="1B8727C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0.44</w:t>
            </w:r>
          </w:p>
        </w:tc>
        <w:tc>
          <w:tcPr>
            <w:tcW w:w="1448" w:type="dxa"/>
            <w:gridSpan w:val="2"/>
            <w:shd w:val="clear" w:color="auto" w:fill="auto"/>
            <w:vAlign w:val="center"/>
            <w:hideMark/>
          </w:tcPr>
          <w:p w14:paraId="2B0E352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0.37 - 0.51</w:t>
            </w:r>
          </w:p>
        </w:tc>
        <w:tc>
          <w:tcPr>
            <w:tcW w:w="935" w:type="dxa"/>
            <w:shd w:val="clear" w:color="auto" w:fill="auto"/>
            <w:vAlign w:val="center"/>
            <w:hideMark/>
          </w:tcPr>
          <w:p w14:paraId="5B1A82B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2315AD5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0.34</w:t>
            </w:r>
          </w:p>
        </w:tc>
        <w:tc>
          <w:tcPr>
            <w:tcW w:w="1611" w:type="dxa"/>
            <w:gridSpan w:val="2"/>
            <w:shd w:val="clear" w:color="auto" w:fill="auto"/>
            <w:vAlign w:val="center"/>
            <w:hideMark/>
          </w:tcPr>
          <w:p w14:paraId="11A82DB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0.29 - 0.4</w:t>
            </w:r>
          </w:p>
        </w:tc>
        <w:tc>
          <w:tcPr>
            <w:tcW w:w="657" w:type="dxa"/>
            <w:shd w:val="clear" w:color="auto" w:fill="auto"/>
            <w:vAlign w:val="center"/>
            <w:hideMark/>
          </w:tcPr>
          <w:p w14:paraId="7BEF6F8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36E795EB" w14:textId="77777777" w:rsidTr="00C43F36">
        <w:trPr>
          <w:trHeight w:val="300"/>
        </w:trPr>
        <w:tc>
          <w:tcPr>
            <w:tcW w:w="2386" w:type="dxa"/>
            <w:vMerge/>
            <w:tcBorders>
              <w:bottom w:val="single" w:sz="4" w:space="0" w:color="auto"/>
            </w:tcBorders>
            <w:vAlign w:val="center"/>
            <w:hideMark/>
          </w:tcPr>
          <w:p w14:paraId="5E5CAC7C"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2451EB9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80+ years</w:t>
            </w:r>
          </w:p>
        </w:tc>
        <w:tc>
          <w:tcPr>
            <w:tcW w:w="896" w:type="dxa"/>
            <w:tcBorders>
              <w:bottom w:val="single" w:sz="4" w:space="0" w:color="auto"/>
            </w:tcBorders>
            <w:shd w:val="clear" w:color="auto" w:fill="auto"/>
            <w:vAlign w:val="center"/>
            <w:hideMark/>
          </w:tcPr>
          <w:p w14:paraId="75C6B6F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1.98</w:t>
            </w:r>
          </w:p>
        </w:tc>
        <w:tc>
          <w:tcPr>
            <w:tcW w:w="1417" w:type="dxa"/>
            <w:gridSpan w:val="2"/>
            <w:tcBorders>
              <w:bottom w:val="single" w:sz="4" w:space="0" w:color="auto"/>
            </w:tcBorders>
            <w:shd w:val="clear" w:color="auto" w:fill="auto"/>
            <w:vAlign w:val="center"/>
            <w:hideMark/>
          </w:tcPr>
          <w:p w14:paraId="6366491E"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1.55 - 2.53</w:t>
            </w:r>
          </w:p>
        </w:tc>
        <w:tc>
          <w:tcPr>
            <w:tcW w:w="851" w:type="dxa"/>
            <w:tcBorders>
              <w:bottom w:val="single" w:sz="4" w:space="0" w:color="auto"/>
            </w:tcBorders>
            <w:shd w:val="clear" w:color="auto" w:fill="auto"/>
            <w:vAlign w:val="center"/>
            <w:hideMark/>
          </w:tcPr>
          <w:p w14:paraId="660FFC0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0E43B91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0.49</w:t>
            </w:r>
          </w:p>
        </w:tc>
        <w:tc>
          <w:tcPr>
            <w:tcW w:w="1448" w:type="dxa"/>
            <w:gridSpan w:val="2"/>
            <w:tcBorders>
              <w:bottom w:val="single" w:sz="4" w:space="0" w:color="auto"/>
            </w:tcBorders>
            <w:shd w:val="clear" w:color="auto" w:fill="auto"/>
            <w:vAlign w:val="center"/>
            <w:hideMark/>
          </w:tcPr>
          <w:p w14:paraId="57204B1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0.40 - 0.6</w:t>
            </w:r>
          </w:p>
        </w:tc>
        <w:tc>
          <w:tcPr>
            <w:tcW w:w="935" w:type="dxa"/>
            <w:tcBorders>
              <w:bottom w:val="single" w:sz="4" w:space="0" w:color="auto"/>
            </w:tcBorders>
            <w:shd w:val="clear" w:color="auto" w:fill="auto"/>
            <w:vAlign w:val="center"/>
            <w:hideMark/>
          </w:tcPr>
          <w:p w14:paraId="0CEDCA3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1973421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0.44</w:t>
            </w:r>
          </w:p>
        </w:tc>
        <w:tc>
          <w:tcPr>
            <w:tcW w:w="1611" w:type="dxa"/>
            <w:gridSpan w:val="2"/>
            <w:tcBorders>
              <w:bottom w:val="single" w:sz="4" w:space="0" w:color="auto"/>
            </w:tcBorders>
            <w:shd w:val="clear" w:color="auto" w:fill="auto"/>
            <w:vAlign w:val="center"/>
            <w:hideMark/>
          </w:tcPr>
          <w:p w14:paraId="75BA9F2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0.36 - 0.54</w:t>
            </w:r>
          </w:p>
        </w:tc>
        <w:tc>
          <w:tcPr>
            <w:tcW w:w="657" w:type="dxa"/>
            <w:tcBorders>
              <w:bottom w:val="single" w:sz="4" w:space="0" w:color="auto"/>
            </w:tcBorders>
            <w:shd w:val="clear" w:color="auto" w:fill="auto"/>
            <w:vAlign w:val="center"/>
            <w:hideMark/>
          </w:tcPr>
          <w:p w14:paraId="13797E1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6E14F8B7" w14:textId="77777777" w:rsidTr="00C43F36">
        <w:trPr>
          <w:trHeight w:val="300"/>
        </w:trPr>
        <w:tc>
          <w:tcPr>
            <w:tcW w:w="2386" w:type="dxa"/>
            <w:vMerge w:val="restart"/>
            <w:tcBorders>
              <w:top w:val="single" w:sz="4" w:space="0" w:color="auto"/>
            </w:tcBorders>
            <w:shd w:val="clear" w:color="auto" w:fill="auto"/>
            <w:vAlign w:val="center"/>
            <w:hideMark/>
          </w:tcPr>
          <w:p w14:paraId="6D6F367B"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Deprivation        (Quintile of socio-economic deprivation)</w:t>
            </w:r>
          </w:p>
        </w:tc>
        <w:tc>
          <w:tcPr>
            <w:tcW w:w="2105" w:type="dxa"/>
            <w:tcBorders>
              <w:top w:val="single" w:sz="4" w:space="0" w:color="auto"/>
            </w:tcBorders>
            <w:shd w:val="clear" w:color="auto" w:fill="auto"/>
            <w:vAlign w:val="center"/>
            <w:hideMark/>
          </w:tcPr>
          <w:p w14:paraId="5E89EBE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Most affluent   1</w:t>
            </w:r>
          </w:p>
        </w:tc>
        <w:tc>
          <w:tcPr>
            <w:tcW w:w="896" w:type="dxa"/>
            <w:tcBorders>
              <w:top w:val="single" w:sz="4" w:space="0" w:color="auto"/>
            </w:tcBorders>
            <w:shd w:val="clear" w:color="auto" w:fill="auto"/>
            <w:vAlign w:val="center"/>
            <w:hideMark/>
          </w:tcPr>
          <w:p w14:paraId="6C2C6B1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7F16221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0F2664D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4EF80EA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1D58235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5950C3A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0A6ED1F6" w14:textId="77777777" w:rsidR="00C43F36" w:rsidRPr="00C43F36" w:rsidRDefault="00C43F36" w:rsidP="00966E61">
            <w:pPr>
              <w:spacing w:before="0" w:line="240" w:lineRule="auto"/>
              <w:rPr>
                <w:rFonts w:eastAsia="Times New Roman"/>
                <w:sz w:val="20"/>
                <w:szCs w:val="20"/>
              </w:rPr>
            </w:pPr>
            <w:r w:rsidRPr="00C43F36">
              <w:rPr>
                <w:rFonts w:eastAsia="Times New Roman"/>
                <w:sz w:val="20"/>
                <w:szCs w:val="20"/>
              </w:rPr>
              <w:t> </w:t>
            </w:r>
          </w:p>
        </w:tc>
        <w:tc>
          <w:tcPr>
            <w:tcW w:w="1611" w:type="dxa"/>
            <w:gridSpan w:val="2"/>
            <w:tcBorders>
              <w:top w:val="single" w:sz="4" w:space="0" w:color="auto"/>
            </w:tcBorders>
            <w:shd w:val="clear" w:color="auto" w:fill="auto"/>
            <w:vAlign w:val="center"/>
            <w:hideMark/>
          </w:tcPr>
          <w:p w14:paraId="58797A3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47539F5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1A09214C" w14:textId="77777777" w:rsidTr="00C43F36">
        <w:trPr>
          <w:trHeight w:val="300"/>
        </w:trPr>
        <w:tc>
          <w:tcPr>
            <w:tcW w:w="2386" w:type="dxa"/>
            <w:vMerge/>
            <w:vAlign w:val="center"/>
            <w:hideMark/>
          </w:tcPr>
          <w:p w14:paraId="35966716"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65FD925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w:t>
            </w:r>
          </w:p>
        </w:tc>
        <w:tc>
          <w:tcPr>
            <w:tcW w:w="896" w:type="dxa"/>
            <w:shd w:val="clear" w:color="auto" w:fill="auto"/>
            <w:vAlign w:val="center"/>
            <w:hideMark/>
          </w:tcPr>
          <w:p w14:paraId="4BE38A7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1.27</w:t>
            </w:r>
          </w:p>
        </w:tc>
        <w:tc>
          <w:tcPr>
            <w:tcW w:w="1417" w:type="dxa"/>
            <w:gridSpan w:val="2"/>
            <w:shd w:val="clear" w:color="auto" w:fill="auto"/>
            <w:vAlign w:val="center"/>
            <w:hideMark/>
          </w:tcPr>
          <w:p w14:paraId="7343CAE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1.12 - 1.43</w:t>
            </w:r>
          </w:p>
        </w:tc>
        <w:tc>
          <w:tcPr>
            <w:tcW w:w="851" w:type="dxa"/>
            <w:shd w:val="clear" w:color="auto" w:fill="auto"/>
            <w:vAlign w:val="center"/>
            <w:hideMark/>
          </w:tcPr>
          <w:p w14:paraId="0ACCBBD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6B4E12F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1.31</w:t>
            </w:r>
          </w:p>
        </w:tc>
        <w:tc>
          <w:tcPr>
            <w:tcW w:w="1448" w:type="dxa"/>
            <w:gridSpan w:val="2"/>
            <w:shd w:val="clear" w:color="auto" w:fill="auto"/>
            <w:vAlign w:val="center"/>
            <w:hideMark/>
          </w:tcPr>
          <w:p w14:paraId="3F8B4049" w14:textId="5766A023" w:rsidR="00C43F36" w:rsidRPr="00C43F36" w:rsidRDefault="00C43F36" w:rsidP="00C43F36">
            <w:pPr>
              <w:spacing w:before="0" w:line="240" w:lineRule="auto"/>
              <w:jc w:val="center"/>
              <w:rPr>
                <w:rFonts w:eastAsia="Times New Roman"/>
                <w:sz w:val="20"/>
                <w:szCs w:val="20"/>
              </w:rPr>
            </w:pPr>
            <w:r w:rsidRPr="00C43F36">
              <w:rPr>
                <w:rFonts w:eastAsia="Times New Roman"/>
                <w:sz w:val="20"/>
                <w:szCs w:val="20"/>
              </w:rPr>
              <w:t>1.15 -</w:t>
            </w:r>
            <w:r>
              <w:rPr>
                <w:rFonts w:eastAsia="Times New Roman"/>
                <w:sz w:val="20"/>
                <w:szCs w:val="20"/>
              </w:rPr>
              <w:t xml:space="preserve"> </w:t>
            </w:r>
            <w:r w:rsidRPr="00C43F36">
              <w:rPr>
                <w:rFonts w:eastAsia="Times New Roman"/>
                <w:sz w:val="20"/>
                <w:szCs w:val="20"/>
              </w:rPr>
              <w:t>1.48</w:t>
            </w:r>
          </w:p>
        </w:tc>
        <w:tc>
          <w:tcPr>
            <w:tcW w:w="935" w:type="dxa"/>
            <w:shd w:val="clear" w:color="auto" w:fill="auto"/>
            <w:vAlign w:val="center"/>
            <w:hideMark/>
          </w:tcPr>
          <w:p w14:paraId="5C2E0C1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6D925A1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1.14</w:t>
            </w:r>
          </w:p>
        </w:tc>
        <w:tc>
          <w:tcPr>
            <w:tcW w:w="1611" w:type="dxa"/>
            <w:gridSpan w:val="2"/>
            <w:shd w:val="clear" w:color="auto" w:fill="auto"/>
            <w:vAlign w:val="center"/>
            <w:hideMark/>
          </w:tcPr>
          <w:p w14:paraId="22981E9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1.01 - 1.28</w:t>
            </w:r>
          </w:p>
        </w:tc>
        <w:tc>
          <w:tcPr>
            <w:tcW w:w="657" w:type="dxa"/>
            <w:shd w:val="clear" w:color="auto" w:fill="auto"/>
            <w:vAlign w:val="center"/>
            <w:hideMark/>
          </w:tcPr>
          <w:p w14:paraId="40DA841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r>
      <w:tr w:rsidR="00C43F36" w:rsidRPr="00C43F36" w14:paraId="17EAC12A" w14:textId="77777777" w:rsidTr="00C43F36">
        <w:trPr>
          <w:trHeight w:val="300"/>
        </w:trPr>
        <w:tc>
          <w:tcPr>
            <w:tcW w:w="2386" w:type="dxa"/>
            <w:vMerge/>
            <w:vAlign w:val="center"/>
            <w:hideMark/>
          </w:tcPr>
          <w:p w14:paraId="6B4F1F06"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55660EC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3</w:t>
            </w:r>
          </w:p>
        </w:tc>
        <w:tc>
          <w:tcPr>
            <w:tcW w:w="896" w:type="dxa"/>
            <w:shd w:val="clear" w:color="auto" w:fill="auto"/>
            <w:vAlign w:val="center"/>
            <w:hideMark/>
          </w:tcPr>
          <w:p w14:paraId="4751F42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1.36</w:t>
            </w:r>
          </w:p>
        </w:tc>
        <w:tc>
          <w:tcPr>
            <w:tcW w:w="1417" w:type="dxa"/>
            <w:gridSpan w:val="2"/>
            <w:shd w:val="clear" w:color="auto" w:fill="auto"/>
            <w:vAlign w:val="center"/>
            <w:hideMark/>
          </w:tcPr>
          <w:p w14:paraId="2E118DA3"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1.20 - 1.55</w:t>
            </w:r>
          </w:p>
        </w:tc>
        <w:tc>
          <w:tcPr>
            <w:tcW w:w="851" w:type="dxa"/>
            <w:shd w:val="clear" w:color="auto" w:fill="auto"/>
            <w:vAlign w:val="center"/>
            <w:hideMark/>
          </w:tcPr>
          <w:p w14:paraId="7273628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4F97DDB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1.36</w:t>
            </w:r>
          </w:p>
        </w:tc>
        <w:tc>
          <w:tcPr>
            <w:tcW w:w="1448" w:type="dxa"/>
            <w:gridSpan w:val="2"/>
            <w:shd w:val="clear" w:color="auto" w:fill="auto"/>
            <w:vAlign w:val="center"/>
            <w:hideMark/>
          </w:tcPr>
          <w:p w14:paraId="6E903BFB" w14:textId="45130386" w:rsidR="00C43F36" w:rsidRPr="00C43F36" w:rsidRDefault="00C43F36" w:rsidP="00C43F36">
            <w:pPr>
              <w:spacing w:before="0" w:line="240" w:lineRule="auto"/>
              <w:jc w:val="center"/>
              <w:rPr>
                <w:rFonts w:eastAsia="Times New Roman"/>
                <w:sz w:val="20"/>
                <w:szCs w:val="20"/>
              </w:rPr>
            </w:pPr>
            <w:r w:rsidRPr="00C43F36">
              <w:rPr>
                <w:rFonts w:eastAsia="Times New Roman"/>
                <w:sz w:val="20"/>
                <w:szCs w:val="20"/>
              </w:rPr>
              <w:t>1.20 -</w:t>
            </w:r>
            <w:r>
              <w:rPr>
                <w:rFonts w:eastAsia="Times New Roman"/>
                <w:sz w:val="20"/>
                <w:szCs w:val="20"/>
              </w:rPr>
              <w:t xml:space="preserve"> </w:t>
            </w:r>
            <w:r w:rsidRPr="00C43F36">
              <w:rPr>
                <w:rFonts w:eastAsia="Times New Roman"/>
                <w:sz w:val="20"/>
                <w:szCs w:val="20"/>
              </w:rPr>
              <w:t>1.55</w:t>
            </w:r>
          </w:p>
        </w:tc>
        <w:tc>
          <w:tcPr>
            <w:tcW w:w="935" w:type="dxa"/>
            <w:shd w:val="clear" w:color="auto" w:fill="auto"/>
            <w:vAlign w:val="center"/>
            <w:hideMark/>
          </w:tcPr>
          <w:p w14:paraId="2E5A04B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4E74D0E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1.08</w:t>
            </w:r>
          </w:p>
        </w:tc>
        <w:tc>
          <w:tcPr>
            <w:tcW w:w="1611" w:type="dxa"/>
            <w:gridSpan w:val="2"/>
            <w:shd w:val="clear" w:color="auto" w:fill="auto"/>
            <w:vAlign w:val="center"/>
            <w:hideMark/>
          </w:tcPr>
          <w:p w14:paraId="727F0CA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0.95 - 1.23</w:t>
            </w:r>
          </w:p>
        </w:tc>
        <w:tc>
          <w:tcPr>
            <w:tcW w:w="657" w:type="dxa"/>
            <w:shd w:val="clear" w:color="auto" w:fill="auto"/>
            <w:vAlign w:val="center"/>
            <w:hideMark/>
          </w:tcPr>
          <w:p w14:paraId="0F1446B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0.23</w:t>
            </w:r>
          </w:p>
        </w:tc>
      </w:tr>
      <w:tr w:rsidR="00C43F36" w:rsidRPr="00C43F36" w14:paraId="46874727" w14:textId="77777777" w:rsidTr="00C43F36">
        <w:trPr>
          <w:trHeight w:val="300"/>
        </w:trPr>
        <w:tc>
          <w:tcPr>
            <w:tcW w:w="2386" w:type="dxa"/>
            <w:vMerge/>
            <w:vAlign w:val="center"/>
            <w:hideMark/>
          </w:tcPr>
          <w:p w14:paraId="24012F71"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5C85CAF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4</w:t>
            </w:r>
          </w:p>
        </w:tc>
        <w:tc>
          <w:tcPr>
            <w:tcW w:w="896" w:type="dxa"/>
            <w:shd w:val="clear" w:color="auto" w:fill="auto"/>
            <w:vAlign w:val="center"/>
            <w:hideMark/>
          </w:tcPr>
          <w:p w14:paraId="13C7E8B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1.56</w:t>
            </w:r>
          </w:p>
        </w:tc>
        <w:tc>
          <w:tcPr>
            <w:tcW w:w="1417" w:type="dxa"/>
            <w:gridSpan w:val="2"/>
            <w:shd w:val="clear" w:color="auto" w:fill="auto"/>
            <w:vAlign w:val="center"/>
            <w:hideMark/>
          </w:tcPr>
          <w:p w14:paraId="77380B9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1.36 - 1.79</w:t>
            </w:r>
          </w:p>
        </w:tc>
        <w:tc>
          <w:tcPr>
            <w:tcW w:w="851" w:type="dxa"/>
            <w:shd w:val="clear" w:color="auto" w:fill="auto"/>
            <w:vAlign w:val="center"/>
            <w:hideMark/>
          </w:tcPr>
          <w:p w14:paraId="3C21D93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79976E9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1.69</w:t>
            </w:r>
          </w:p>
        </w:tc>
        <w:tc>
          <w:tcPr>
            <w:tcW w:w="1448" w:type="dxa"/>
            <w:gridSpan w:val="2"/>
            <w:shd w:val="clear" w:color="auto" w:fill="auto"/>
            <w:vAlign w:val="center"/>
            <w:hideMark/>
          </w:tcPr>
          <w:p w14:paraId="193DF28A" w14:textId="41FCDACD" w:rsidR="00C43F36" w:rsidRPr="00C43F36" w:rsidRDefault="00C43F36" w:rsidP="00C43F36">
            <w:pPr>
              <w:spacing w:before="0" w:line="240" w:lineRule="auto"/>
              <w:jc w:val="center"/>
              <w:rPr>
                <w:rFonts w:eastAsia="Times New Roman"/>
                <w:sz w:val="20"/>
                <w:szCs w:val="20"/>
              </w:rPr>
            </w:pPr>
            <w:r w:rsidRPr="00C43F36">
              <w:rPr>
                <w:rFonts w:eastAsia="Times New Roman"/>
                <w:sz w:val="20"/>
                <w:szCs w:val="20"/>
              </w:rPr>
              <w:t>1.48 -</w:t>
            </w:r>
            <w:r>
              <w:rPr>
                <w:rFonts w:eastAsia="Times New Roman"/>
                <w:sz w:val="20"/>
                <w:szCs w:val="20"/>
              </w:rPr>
              <w:t xml:space="preserve"> </w:t>
            </w:r>
            <w:r w:rsidRPr="00C43F36">
              <w:rPr>
                <w:rFonts w:eastAsia="Times New Roman"/>
                <w:sz w:val="20"/>
                <w:szCs w:val="20"/>
              </w:rPr>
              <w:t>1.94</w:t>
            </w:r>
          </w:p>
        </w:tc>
        <w:tc>
          <w:tcPr>
            <w:tcW w:w="935" w:type="dxa"/>
            <w:shd w:val="clear" w:color="auto" w:fill="auto"/>
            <w:vAlign w:val="center"/>
            <w:hideMark/>
          </w:tcPr>
          <w:p w14:paraId="788E4AA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05D2130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1.36</w:t>
            </w:r>
          </w:p>
        </w:tc>
        <w:tc>
          <w:tcPr>
            <w:tcW w:w="1611" w:type="dxa"/>
            <w:gridSpan w:val="2"/>
            <w:shd w:val="clear" w:color="auto" w:fill="auto"/>
            <w:vAlign w:val="center"/>
            <w:hideMark/>
          </w:tcPr>
          <w:p w14:paraId="6730B5DA"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1.19 - 1.56</w:t>
            </w:r>
          </w:p>
        </w:tc>
        <w:tc>
          <w:tcPr>
            <w:tcW w:w="657" w:type="dxa"/>
            <w:shd w:val="clear" w:color="auto" w:fill="auto"/>
            <w:vAlign w:val="center"/>
            <w:hideMark/>
          </w:tcPr>
          <w:p w14:paraId="52BD62E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33FE504F" w14:textId="77777777" w:rsidTr="00C43F36">
        <w:trPr>
          <w:trHeight w:val="300"/>
        </w:trPr>
        <w:tc>
          <w:tcPr>
            <w:tcW w:w="2386" w:type="dxa"/>
            <w:vMerge/>
            <w:tcBorders>
              <w:bottom w:val="single" w:sz="4" w:space="0" w:color="auto"/>
            </w:tcBorders>
            <w:vAlign w:val="center"/>
            <w:hideMark/>
          </w:tcPr>
          <w:p w14:paraId="4EC16ED8"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6DC63FD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xml:space="preserve"> Least affluent   5</w:t>
            </w:r>
          </w:p>
        </w:tc>
        <w:tc>
          <w:tcPr>
            <w:tcW w:w="896" w:type="dxa"/>
            <w:tcBorders>
              <w:bottom w:val="single" w:sz="4" w:space="0" w:color="auto"/>
            </w:tcBorders>
            <w:shd w:val="clear" w:color="auto" w:fill="auto"/>
            <w:vAlign w:val="center"/>
            <w:hideMark/>
          </w:tcPr>
          <w:p w14:paraId="698C001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2.26</w:t>
            </w:r>
          </w:p>
        </w:tc>
        <w:tc>
          <w:tcPr>
            <w:tcW w:w="1417" w:type="dxa"/>
            <w:gridSpan w:val="2"/>
            <w:tcBorders>
              <w:bottom w:val="single" w:sz="4" w:space="0" w:color="auto"/>
            </w:tcBorders>
            <w:shd w:val="clear" w:color="auto" w:fill="auto"/>
            <w:vAlign w:val="center"/>
            <w:hideMark/>
          </w:tcPr>
          <w:p w14:paraId="3AED065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1.96 - 2.61</w:t>
            </w:r>
          </w:p>
        </w:tc>
        <w:tc>
          <w:tcPr>
            <w:tcW w:w="851" w:type="dxa"/>
            <w:tcBorders>
              <w:bottom w:val="single" w:sz="4" w:space="0" w:color="auto"/>
            </w:tcBorders>
            <w:shd w:val="clear" w:color="auto" w:fill="auto"/>
            <w:vAlign w:val="center"/>
            <w:hideMark/>
          </w:tcPr>
          <w:p w14:paraId="32182A9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6426C28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2.19</w:t>
            </w:r>
          </w:p>
        </w:tc>
        <w:tc>
          <w:tcPr>
            <w:tcW w:w="1448" w:type="dxa"/>
            <w:gridSpan w:val="2"/>
            <w:tcBorders>
              <w:bottom w:val="single" w:sz="4" w:space="0" w:color="auto"/>
            </w:tcBorders>
            <w:shd w:val="clear" w:color="auto" w:fill="auto"/>
            <w:vAlign w:val="center"/>
            <w:hideMark/>
          </w:tcPr>
          <w:p w14:paraId="6DD0621A" w14:textId="199E60E5" w:rsidR="00C43F36" w:rsidRPr="00C43F36" w:rsidRDefault="00C43F36" w:rsidP="00C43F36">
            <w:pPr>
              <w:spacing w:before="0" w:line="240" w:lineRule="auto"/>
              <w:jc w:val="center"/>
              <w:rPr>
                <w:rFonts w:eastAsia="Times New Roman"/>
                <w:sz w:val="20"/>
                <w:szCs w:val="20"/>
              </w:rPr>
            </w:pPr>
            <w:r w:rsidRPr="00C43F36">
              <w:rPr>
                <w:rFonts w:eastAsia="Times New Roman"/>
                <w:sz w:val="20"/>
                <w:szCs w:val="20"/>
              </w:rPr>
              <w:t>1.89 -</w:t>
            </w:r>
            <w:r>
              <w:rPr>
                <w:rFonts w:eastAsia="Times New Roman"/>
                <w:sz w:val="20"/>
                <w:szCs w:val="20"/>
              </w:rPr>
              <w:t xml:space="preserve"> </w:t>
            </w:r>
            <w:r w:rsidRPr="00C43F36">
              <w:rPr>
                <w:rFonts w:eastAsia="Times New Roman"/>
                <w:sz w:val="20"/>
                <w:szCs w:val="20"/>
              </w:rPr>
              <w:t>2.53</w:t>
            </w:r>
          </w:p>
        </w:tc>
        <w:tc>
          <w:tcPr>
            <w:tcW w:w="935" w:type="dxa"/>
            <w:tcBorders>
              <w:bottom w:val="single" w:sz="4" w:space="0" w:color="auto"/>
            </w:tcBorders>
            <w:shd w:val="clear" w:color="auto" w:fill="auto"/>
            <w:vAlign w:val="center"/>
            <w:hideMark/>
          </w:tcPr>
          <w:p w14:paraId="6E506AE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1E2198F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w:t>
            </w:r>
          </w:p>
        </w:tc>
        <w:tc>
          <w:tcPr>
            <w:tcW w:w="1611" w:type="dxa"/>
            <w:gridSpan w:val="2"/>
            <w:tcBorders>
              <w:bottom w:val="single" w:sz="4" w:space="0" w:color="auto"/>
            </w:tcBorders>
            <w:shd w:val="clear" w:color="auto" w:fill="auto"/>
            <w:vAlign w:val="center"/>
            <w:hideMark/>
          </w:tcPr>
          <w:p w14:paraId="09F5805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1.38 - 1.85</w:t>
            </w:r>
          </w:p>
        </w:tc>
        <w:tc>
          <w:tcPr>
            <w:tcW w:w="657" w:type="dxa"/>
            <w:tcBorders>
              <w:bottom w:val="single" w:sz="4" w:space="0" w:color="auto"/>
            </w:tcBorders>
            <w:shd w:val="clear" w:color="auto" w:fill="auto"/>
            <w:vAlign w:val="center"/>
            <w:hideMark/>
          </w:tcPr>
          <w:p w14:paraId="2A48555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1C424641" w14:textId="77777777" w:rsidTr="00C43F36">
        <w:trPr>
          <w:trHeight w:val="300"/>
        </w:trPr>
        <w:tc>
          <w:tcPr>
            <w:tcW w:w="2386" w:type="dxa"/>
            <w:vMerge w:val="restart"/>
            <w:tcBorders>
              <w:top w:val="single" w:sz="4" w:space="0" w:color="auto"/>
            </w:tcBorders>
            <w:shd w:val="clear" w:color="auto" w:fill="auto"/>
            <w:vAlign w:val="center"/>
            <w:hideMark/>
          </w:tcPr>
          <w:p w14:paraId="3E5BA38B"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Ethnicity</w:t>
            </w:r>
          </w:p>
        </w:tc>
        <w:tc>
          <w:tcPr>
            <w:tcW w:w="2105" w:type="dxa"/>
            <w:tcBorders>
              <w:top w:val="single" w:sz="4" w:space="0" w:color="auto"/>
            </w:tcBorders>
            <w:shd w:val="clear" w:color="auto" w:fill="auto"/>
            <w:vAlign w:val="center"/>
            <w:hideMark/>
          </w:tcPr>
          <w:p w14:paraId="5C9DD1D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White</w:t>
            </w:r>
          </w:p>
        </w:tc>
        <w:tc>
          <w:tcPr>
            <w:tcW w:w="896" w:type="dxa"/>
            <w:tcBorders>
              <w:top w:val="single" w:sz="4" w:space="0" w:color="auto"/>
            </w:tcBorders>
            <w:shd w:val="clear" w:color="auto" w:fill="auto"/>
            <w:vAlign w:val="center"/>
            <w:hideMark/>
          </w:tcPr>
          <w:p w14:paraId="2D88878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69C48FD3"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34CE719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6EE767F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3E8C79F3" w14:textId="19F97E68" w:rsidR="00C43F36" w:rsidRPr="00C43F36" w:rsidRDefault="00C43F36" w:rsidP="00C43F36">
            <w:pPr>
              <w:spacing w:before="0" w:line="240" w:lineRule="auto"/>
              <w:jc w:val="center"/>
              <w:rPr>
                <w:rFonts w:eastAsia="Times New Roman"/>
                <w:sz w:val="20"/>
                <w:szCs w:val="20"/>
              </w:rPr>
            </w:pPr>
          </w:p>
        </w:tc>
        <w:tc>
          <w:tcPr>
            <w:tcW w:w="935" w:type="dxa"/>
            <w:tcBorders>
              <w:top w:val="single" w:sz="4" w:space="0" w:color="auto"/>
            </w:tcBorders>
            <w:shd w:val="clear" w:color="auto" w:fill="auto"/>
            <w:vAlign w:val="center"/>
            <w:hideMark/>
          </w:tcPr>
          <w:p w14:paraId="2E2F25A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61C3A73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29F1FFD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43F1547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01D1C851" w14:textId="77777777" w:rsidTr="00C43F36">
        <w:trPr>
          <w:trHeight w:val="300"/>
        </w:trPr>
        <w:tc>
          <w:tcPr>
            <w:tcW w:w="2386" w:type="dxa"/>
            <w:vMerge/>
            <w:tcBorders>
              <w:bottom w:val="single" w:sz="4" w:space="0" w:color="auto"/>
            </w:tcBorders>
            <w:vAlign w:val="center"/>
            <w:hideMark/>
          </w:tcPr>
          <w:p w14:paraId="358DEA1B"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205AD40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Non-White</w:t>
            </w:r>
          </w:p>
        </w:tc>
        <w:tc>
          <w:tcPr>
            <w:tcW w:w="896" w:type="dxa"/>
            <w:tcBorders>
              <w:bottom w:val="single" w:sz="4" w:space="0" w:color="auto"/>
            </w:tcBorders>
            <w:shd w:val="clear" w:color="auto" w:fill="auto"/>
            <w:vAlign w:val="center"/>
            <w:hideMark/>
          </w:tcPr>
          <w:p w14:paraId="57847ED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1.04</w:t>
            </w:r>
          </w:p>
        </w:tc>
        <w:tc>
          <w:tcPr>
            <w:tcW w:w="1417" w:type="dxa"/>
            <w:gridSpan w:val="2"/>
            <w:tcBorders>
              <w:bottom w:val="single" w:sz="4" w:space="0" w:color="auto"/>
            </w:tcBorders>
            <w:shd w:val="clear" w:color="auto" w:fill="auto"/>
            <w:vAlign w:val="center"/>
            <w:hideMark/>
          </w:tcPr>
          <w:p w14:paraId="11039CD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0.81 - 1.33</w:t>
            </w:r>
          </w:p>
        </w:tc>
        <w:tc>
          <w:tcPr>
            <w:tcW w:w="851" w:type="dxa"/>
            <w:tcBorders>
              <w:bottom w:val="single" w:sz="4" w:space="0" w:color="auto"/>
            </w:tcBorders>
            <w:shd w:val="clear" w:color="auto" w:fill="auto"/>
            <w:vAlign w:val="center"/>
            <w:hideMark/>
          </w:tcPr>
          <w:p w14:paraId="52A55CB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0.79</w:t>
            </w:r>
          </w:p>
        </w:tc>
        <w:tc>
          <w:tcPr>
            <w:tcW w:w="820" w:type="dxa"/>
            <w:tcBorders>
              <w:bottom w:val="single" w:sz="4" w:space="0" w:color="auto"/>
            </w:tcBorders>
            <w:shd w:val="clear" w:color="auto" w:fill="auto"/>
            <w:vAlign w:val="center"/>
            <w:hideMark/>
          </w:tcPr>
          <w:p w14:paraId="2CE2CC8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1.79</w:t>
            </w:r>
          </w:p>
        </w:tc>
        <w:tc>
          <w:tcPr>
            <w:tcW w:w="1448" w:type="dxa"/>
            <w:gridSpan w:val="2"/>
            <w:tcBorders>
              <w:bottom w:val="single" w:sz="4" w:space="0" w:color="auto"/>
            </w:tcBorders>
            <w:shd w:val="clear" w:color="auto" w:fill="auto"/>
            <w:vAlign w:val="center"/>
            <w:hideMark/>
          </w:tcPr>
          <w:p w14:paraId="13CDD833" w14:textId="77777777" w:rsidR="00C43F36" w:rsidRPr="00C43F36" w:rsidRDefault="00C43F36" w:rsidP="00C43F36">
            <w:pPr>
              <w:spacing w:before="0" w:line="240" w:lineRule="auto"/>
              <w:jc w:val="center"/>
              <w:rPr>
                <w:rFonts w:eastAsia="Times New Roman"/>
                <w:sz w:val="20"/>
                <w:szCs w:val="20"/>
              </w:rPr>
            </w:pPr>
            <w:r w:rsidRPr="00C43F36">
              <w:rPr>
                <w:rFonts w:eastAsia="Times New Roman"/>
                <w:sz w:val="20"/>
                <w:szCs w:val="20"/>
              </w:rPr>
              <w:t>1.46 - 2.19</w:t>
            </w:r>
          </w:p>
        </w:tc>
        <w:tc>
          <w:tcPr>
            <w:tcW w:w="935" w:type="dxa"/>
            <w:tcBorders>
              <w:bottom w:val="single" w:sz="4" w:space="0" w:color="auto"/>
            </w:tcBorders>
            <w:shd w:val="clear" w:color="auto" w:fill="auto"/>
            <w:vAlign w:val="center"/>
            <w:hideMark/>
          </w:tcPr>
          <w:p w14:paraId="5AEBDEF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25D66E2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1.08</w:t>
            </w:r>
          </w:p>
        </w:tc>
        <w:tc>
          <w:tcPr>
            <w:tcW w:w="1611" w:type="dxa"/>
            <w:gridSpan w:val="2"/>
            <w:tcBorders>
              <w:bottom w:val="single" w:sz="4" w:space="0" w:color="auto"/>
            </w:tcBorders>
            <w:shd w:val="clear" w:color="auto" w:fill="auto"/>
            <w:vAlign w:val="center"/>
            <w:hideMark/>
          </w:tcPr>
          <w:p w14:paraId="2E4D54C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0.85 - 1.36</w:t>
            </w:r>
          </w:p>
        </w:tc>
        <w:tc>
          <w:tcPr>
            <w:tcW w:w="657" w:type="dxa"/>
            <w:tcBorders>
              <w:bottom w:val="single" w:sz="4" w:space="0" w:color="auto"/>
            </w:tcBorders>
            <w:shd w:val="clear" w:color="auto" w:fill="auto"/>
            <w:vAlign w:val="center"/>
            <w:hideMark/>
          </w:tcPr>
          <w:p w14:paraId="67BABC2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0.53</w:t>
            </w:r>
          </w:p>
        </w:tc>
      </w:tr>
      <w:tr w:rsidR="00C43F36" w:rsidRPr="00C43F36" w14:paraId="0434AE78" w14:textId="77777777" w:rsidTr="00C43F36">
        <w:trPr>
          <w:trHeight w:val="300"/>
        </w:trPr>
        <w:tc>
          <w:tcPr>
            <w:tcW w:w="2386" w:type="dxa"/>
            <w:vMerge w:val="restart"/>
            <w:tcBorders>
              <w:top w:val="single" w:sz="4" w:space="0" w:color="auto"/>
            </w:tcBorders>
            <w:shd w:val="clear" w:color="auto" w:fill="auto"/>
            <w:noWrap/>
            <w:vAlign w:val="center"/>
            <w:hideMark/>
          </w:tcPr>
          <w:p w14:paraId="67FE8737"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Long term conditions</w:t>
            </w:r>
          </w:p>
        </w:tc>
        <w:tc>
          <w:tcPr>
            <w:tcW w:w="2105" w:type="dxa"/>
            <w:tcBorders>
              <w:top w:val="single" w:sz="4" w:space="0" w:color="auto"/>
            </w:tcBorders>
            <w:shd w:val="clear" w:color="auto" w:fill="auto"/>
            <w:vAlign w:val="center"/>
            <w:hideMark/>
          </w:tcPr>
          <w:p w14:paraId="2A96473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w:t>
            </w:r>
          </w:p>
        </w:tc>
        <w:tc>
          <w:tcPr>
            <w:tcW w:w="896" w:type="dxa"/>
            <w:tcBorders>
              <w:top w:val="single" w:sz="4" w:space="0" w:color="auto"/>
            </w:tcBorders>
            <w:shd w:val="clear" w:color="auto" w:fill="auto"/>
            <w:vAlign w:val="center"/>
            <w:hideMark/>
          </w:tcPr>
          <w:p w14:paraId="6237BC1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0F386CE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02B738A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4A0645B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6DADB43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3BE82D1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5517070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6F7657E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2A18605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20F45A95" w14:textId="77777777" w:rsidTr="00C43F36">
        <w:trPr>
          <w:trHeight w:val="300"/>
        </w:trPr>
        <w:tc>
          <w:tcPr>
            <w:tcW w:w="2386" w:type="dxa"/>
            <w:vMerge/>
            <w:vAlign w:val="center"/>
            <w:hideMark/>
          </w:tcPr>
          <w:p w14:paraId="7415E24B"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06975A0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896" w:type="dxa"/>
            <w:shd w:val="clear" w:color="auto" w:fill="auto"/>
            <w:vAlign w:val="center"/>
            <w:hideMark/>
          </w:tcPr>
          <w:p w14:paraId="7764642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1.55</w:t>
            </w:r>
          </w:p>
        </w:tc>
        <w:tc>
          <w:tcPr>
            <w:tcW w:w="1417" w:type="dxa"/>
            <w:gridSpan w:val="2"/>
            <w:shd w:val="clear" w:color="auto" w:fill="auto"/>
            <w:vAlign w:val="center"/>
            <w:hideMark/>
          </w:tcPr>
          <w:p w14:paraId="61620D5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1.35 - 1.77</w:t>
            </w:r>
          </w:p>
        </w:tc>
        <w:tc>
          <w:tcPr>
            <w:tcW w:w="851" w:type="dxa"/>
            <w:shd w:val="clear" w:color="auto" w:fill="auto"/>
            <w:vAlign w:val="center"/>
            <w:hideMark/>
          </w:tcPr>
          <w:p w14:paraId="09A5D9A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3A9AE35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w:t>
            </w:r>
          </w:p>
        </w:tc>
        <w:tc>
          <w:tcPr>
            <w:tcW w:w="1448" w:type="dxa"/>
            <w:gridSpan w:val="2"/>
            <w:shd w:val="clear" w:color="auto" w:fill="auto"/>
            <w:vAlign w:val="center"/>
            <w:hideMark/>
          </w:tcPr>
          <w:p w14:paraId="631018A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1.07 - 1.34</w:t>
            </w:r>
          </w:p>
        </w:tc>
        <w:tc>
          <w:tcPr>
            <w:tcW w:w="935" w:type="dxa"/>
            <w:shd w:val="clear" w:color="auto" w:fill="auto"/>
            <w:vAlign w:val="center"/>
            <w:hideMark/>
          </w:tcPr>
          <w:p w14:paraId="7B8ECAA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30008E6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1.14</w:t>
            </w:r>
          </w:p>
        </w:tc>
        <w:tc>
          <w:tcPr>
            <w:tcW w:w="1611" w:type="dxa"/>
            <w:gridSpan w:val="2"/>
            <w:shd w:val="clear" w:color="auto" w:fill="auto"/>
            <w:vAlign w:val="center"/>
            <w:hideMark/>
          </w:tcPr>
          <w:p w14:paraId="2062FDE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1.01 - 1.27</w:t>
            </w:r>
          </w:p>
        </w:tc>
        <w:tc>
          <w:tcPr>
            <w:tcW w:w="657" w:type="dxa"/>
            <w:shd w:val="clear" w:color="auto" w:fill="auto"/>
            <w:vAlign w:val="center"/>
            <w:hideMark/>
          </w:tcPr>
          <w:p w14:paraId="10B23DA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r>
      <w:tr w:rsidR="00C43F36" w:rsidRPr="00C43F36" w14:paraId="59B362A0" w14:textId="77777777" w:rsidTr="00C43F36">
        <w:trPr>
          <w:trHeight w:val="300"/>
        </w:trPr>
        <w:tc>
          <w:tcPr>
            <w:tcW w:w="2386" w:type="dxa"/>
            <w:vMerge/>
            <w:vAlign w:val="center"/>
            <w:hideMark/>
          </w:tcPr>
          <w:p w14:paraId="5943C5F7"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180E8BA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w:t>
            </w:r>
          </w:p>
        </w:tc>
        <w:tc>
          <w:tcPr>
            <w:tcW w:w="896" w:type="dxa"/>
            <w:shd w:val="clear" w:color="auto" w:fill="auto"/>
            <w:vAlign w:val="center"/>
            <w:hideMark/>
          </w:tcPr>
          <w:p w14:paraId="010FF68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2.77</w:t>
            </w:r>
          </w:p>
        </w:tc>
        <w:tc>
          <w:tcPr>
            <w:tcW w:w="1417" w:type="dxa"/>
            <w:gridSpan w:val="2"/>
            <w:shd w:val="clear" w:color="auto" w:fill="auto"/>
            <w:vAlign w:val="center"/>
            <w:hideMark/>
          </w:tcPr>
          <w:p w14:paraId="5C71A51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2.42 - 3.18</w:t>
            </w:r>
          </w:p>
        </w:tc>
        <w:tc>
          <w:tcPr>
            <w:tcW w:w="851" w:type="dxa"/>
            <w:shd w:val="clear" w:color="auto" w:fill="auto"/>
            <w:vAlign w:val="center"/>
            <w:hideMark/>
          </w:tcPr>
          <w:p w14:paraId="0ED7032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699FC88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w:t>
            </w:r>
          </w:p>
        </w:tc>
        <w:tc>
          <w:tcPr>
            <w:tcW w:w="1448" w:type="dxa"/>
            <w:gridSpan w:val="2"/>
            <w:shd w:val="clear" w:color="auto" w:fill="auto"/>
            <w:vAlign w:val="center"/>
            <w:hideMark/>
          </w:tcPr>
          <w:p w14:paraId="31DCBE1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1.50 - 1.92</w:t>
            </w:r>
          </w:p>
        </w:tc>
        <w:tc>
          <w:tcPr>
            <w:tcW w:w="935" w:type="dxa"/>
            <w:shd w:val="clear" w:color="auto" w:fill="auto"/>
            <w:vAlign w:val="center"/>
            <w:hideMark/>
          </w:tcPr>
          <w:p w14:paraId="7C74F9B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2E9C529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1.78</w:t>
            </w:r>
          </w:p>
        </w:tc>
        <w:tc>
          <w:tcPr>
            <w:tcW w:w="1611" w:type="dxa"/>
            <w:gridSpan w:val="2"/>
            <w:shd w:val="clear" w:color="auto" w:fill="auto"/>
            <w:vAlign w:val="center"/>
            <w:hideMark/>
          </w:tcPr>
          <w:p w14:paraId="3E187F5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1.57 - 2.01</w:t>
            </w:r>
          </w:p>
        </w:tc>
        <w:tc>
          <w:tcPr>
            <w:tcW w:w="657" w:type="dxa"/>
            <w:shd w:val="clear" w:color="auto" w:fill="auto"/>
            <w:vAlign w:val="center"/>
            <w:hideMark/>
          </w:tcPr>
          <w:p w14:paraId="4CD9C6F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126BB43A" w14:textId="77777777" w:rsidTr="00C43F36">
        <w:trPr>
          <w:trHeight w:val="300"/>
        </w:trPr>
        <w:tc>
          <w:tcPr>
            <w:tcW w:w="2386" w:type="dxa"/>
            <w:vMerge/>
            <w:tcBorders>
              <w:bottom w:val="single" w:sz="4" w:space="0" w:color="auto"/>
            </w:tcBorders>
            <w:vAlign w:val="center"/>
            <w:hideMark/>
          </w:tcPr>
          <w:p w14:paraId="51DB6CFD"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69F1101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3+</w:t>
            </w:r>
          </w:p>
        </w:tc>
        <w:tc>
          <w:tcPr>
            <w:tcW w:w="896" w:type="dxa"/>
            <w:tcBorders>
              <w:bottom w:val="single" w:sz="4" w:space="0" w:color="auto"/>
            </w:tcBorders>
            <w:shd w:val="clear" w:color="auto" w:fill="auto"/>
            <w:vAlign w:val="center"/>
            <w:hideMark/>
          </w:tcPr>
          <w:p w14:paraId="6002DE3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6.29</w:t>
            </w:r>
          </w:p>
        </w:tc>
        <w:tc>
          <w:tcPr>
            <w:tcW w:w="1417" w:type="dxa"/>
            <w:gridSpan w:val="2"/>
            <w:tcBorders>
              <w:bottom w:val="single" w:sz="4" w:space="0" w:color="auto"/>
            </w:tcBorders>
            <w:shd w:val="clear" w:color="auto" w:fill="auto"/>
            <w:vAlign w:val="center"/>
            <w:hideMark/>
          </w:tcPr>
          <w:p w14:paraId="691446C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5.50 - 7.2</w:t>
            </w:r>
          </w:p>
        </w:tc>
        <w:tc>
          <w:tcPr>
            <w:tcW w:w="851" w:type="dxa"/>
            <w:tcBorders>
              <w:bottom w:val="single" w:sz="4" w:space="0" w:color="auto"/>
            </w:tcBorders>
            <w:shd w:val="clear" w:color="auto" w:fill="auto"/>
            <w:vAlign w:val="center"/>
            <w:hideMark/>
          </w:tcPr>
          <w:p w14:paraId="49EC868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11F2C0E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2.34</w:t>
            </w:r>
          </w:p>
        </w:tc>
        <w:tc>
          <w:tcPr>
            <w:tcW w:w="1448" w:type="dxa"/>
            <w:gridSpan w:val="2"/>
            <w:tcBorders>
              <w:bottom w:val="single" w:sz="4" w:space="0" w:color="auto"/>
            </w:tcBorders>
            <w:shd w:val="clear" w:color="auto" w:fill="auto"/>
            <w:vAlign w:val="center"/>
            <w:hideMark/>
          </w:tcPr>
          <w:p w14:paraId="28DEB35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2.06 - 2.67</w:t>
            </w:r>
          </w:p>
        </w:tc>
        <w:tc>
          <w:tcPr>
            <w:tcW w:w="935" w:type="dxa"/>
            <w:tcBorders>
              <w:bottom w:val="single" w:sz="4" w:space="0" w:color="auto"/>
            </w:tcBorders>
            <w:shd w:val="clear" w:color="auto" w:fill="auto"/>
            <w:vAlign w:val="center"/>
            <w:hideMark/>
          </w:tcPr>
          <w:p w14:paraId="0293A3A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74FAA96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2.44</w:t>
            </w:r>
          </w:p>
        </w:tc>
        <w:tc>
          <w:tcPr>
            <w:tcW w:w="1611" w:type="dxa"/>
            <w:gridSpan w:val="2"/>
            <w:tcBorders>
              <w:bottom w:val="single" w:sz="4" w:space="0" w:color="auto"/>
            </w:tcBorders>
            <w:shd w:val="clear" w:color="auto" w:fill="auto"/>
            <w:vAlign w:val="center"/>
            <w:hideMark/>
          </w:tcPr>
          <w:p w14:paraId="4F414C1A"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2.15 - 2.78</w:t>
            </w:r>
          </w:p>
        </w:tc>
        <w:tc>
          <w:tcPr>
            <w:tcW w:w="657" w:type="dxa"/>
            <w:tcBorders>
              <w:bottom w:val="single" w:sz="4" w:space="0" w:color="auto"/>
            </w:tcBorders>
            <w:shd w:val="clear" w:color="auto" w:fill="auto"/>
            <w:vAlign w:val="center"/>
            <w:hideMark/>
          </w:tcPr>
          <w:p w14:paraId="17116C1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4A4541AD" w14:textId="77777777" w:rsidTr="00C43F36">
        <w:trPr>
          <w:trHeight w:val="300"/>
        </w:trPr>
        <w:tc>
          <w:tcPr>
            <w:tcW w:w="2386" w:type="dxa"/>
            <w:vMerge w:val="restart"/>
            <w:tcBorders>
              <w:top w:val="single" w:sz="4" w:space="0" w:color="auto"/>
            </w:tcBorders>
            <w:shd w:val="clear" w:color="auto" w:fill="auto"/>
            <w:vAlign w:val="center"/>
            <w:hideMark/>
          </w:tcPr>
          <w:p w14:paraId="48EDC5B3"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Consulted for mental  health related problem</w:t>
            </w:r>
          </w:p>
        </w:tc>
        <w:tc>
          <w:tcPr>
            <w:tcW w:w="2105" w:type="dxa"/>
            <w:tcBorders>
              <w:top w:val="single" w:sz="4" w:space="0" w:color="auto"/>
            </w:tcBorders>
            <w:shd w:val="clear" w:color="auto" w:fill="auto"/>
            <w:vAlign w:val="center"/>
            <w:hideMark/>
          </w:tcPr>
          <w:p w14:paraId="64C6397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No</w:t>
            </w:r>
          </w:p>
        </w:tc>
        <w:tc>
          <w:tcPr>
            <w:tcW w:w="896" w:type="dxa"/>
            <w:tcBorders>
              <w:top w:val="single" w:sz="4" w:space="0" w:color="auto"/>
            </w:tcBorders>
            <w:shd w:val="clear" w:color="auto" w:fill="auto"/>
            <w:vAlign w:val="center"/>
            <w:hideMark/>
          </w:tcPr>
          <w:p w14:paraId="2396A6F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658F9EA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51C564F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1CBF802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79A4D80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440129D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7BADE84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59B5C6B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2D950DF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23426F2C" w14:textId="77777777" w:rsidTr="00C43F36">
        <w:trPr>
          <w:trHeight w:val="300"/>
        </w:trPr>
        <w:tc>
          <w:tcPr>
            <w:tcW w:w="2386" w:type="dxa"/>
            <w:vMerge/>
            <w:tcBorders>
              <w:bottom w:val="single" w:sz="4" w:space="0" w:color="auto"/>
            </w:tcBorders>
            <w:vAlign w:val="center"/>
            <w:hideMark/>
          </w:tcPr>
          <w:p w14:paraId="5DF5633C"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29ECE96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Yes</w:t>
            </w:r>
          </w:p>
        </w:tc>
        <w:tc>
          <w:tcPr>
            <w:tcW w:w="896" w:type="dxa"/>
            <w:tcBorders>
              <w:bottom w:val="single" w:sz="4" w:space="0" w:color="auto"/>
            </w:tcBorders>
            <w:shd w:val="clear" w:color="auto" w:fill="auto"/>
            <w:vAlign w:val="center"/>
            <w:hideMark/>
          </w:tcPr>
          <w:p w14:paraId="00C246B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1.77</w:t>
            </w:r>
          </w:p>
        </w:tc>
        <w:tc>
          <w:tcPr>
            <w:tcW w:w="1417" w:type="dxa"/>
            <w:gridSpan w:val="2"/>
            <w:tcBorders>
              <w:bottom w:val="single" w:sz="4" w:space="0" w:color="auto"/>
            </w:tcBorders>
            <w:shd w:val="clear" w:color="auto" w:fill="auto"/>
            <w:vAlign w:val="center"/>
            <w:hideMark/>
          </w:tcPr>
          <w:p w14:paraId="381FCCD2"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1.60 - 1.95</w:t>
            </w:r>
          </w:p>
        </w:tc>
        <w:tc>
          <w:tcPr>
            <w:tcW w:w="851" w:type="dxa"/>
            <w:tcBorders>
              <w:bottom w:val="single" w:sz="4" w:space="0" w:color="auto"/>
            </w:tcBorders>
            <w:shd w:val="clear" w:color="auto" w:fill="auto"/>
            <w:vAlign w:val="center"/>
            <w:hideMark/>
          </w:tcPr>
          <w:p w14:paraId="3701752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4DF8F8F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1.66</w:t>
            </w:r>
          </w:p>
        </w:tc>
        <w:tc>
          <w:tcPr>
            <w:tcW w:w="1448" w:type="dxa"/>
            <w:gridSpan w:val="2"/>
            <w:tcBorders>
              <w:bottom w:val="single" w:sz="4" w:space="0" w:color="auto"/>
            </w:tcBorders>
            <w:shd w:val="clear" w:color="auto" w:fill="auto"/>
            <w:vAlign w:val="center"/>
            <w:hideMark/>
          </w:tcPr>
          <w:p w14:paraId="63740FB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1.51 - 1.83</w:t>
            </w:r>
          </w:p>
        </w:tc>
        <w:tc>
          <w:tcPr>
            <w:tcW w:w="935" w:type="dxa"/>
            <w:tcBorders>
              <w:bottom w:val="single" w:sz="4" w:space="0" w:color="auto"/>
            </w:tcBorders>
            <w:shd w:val="clear" w:color="auto" w:fill="auto"/>
            <w:vAlign w:val="center"/>
            <w:hideMark/>
          </w:tcPr>
          <w:p w14:paraId="768BE69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7019825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2.5</w:t>
            </w:r>
          </w:p>
        </w:tc>
        <w:tc>
          <w:tcPr>
            <w:tcW w:w="1611" w:type="dxa"/>
            <w:gridSpan w:val="2"/>
            <w:tcBorders>
              <w:bottom w:val="single" w:sz="4" w:space="0" w:color="auto"/>
            </w:tcBorders>
            <w:shd w:val="clear" w:color="auto" w:fill="auto"/>
            <w:vAlign w:val="center"/>
            <w:hideMark/>
          </w:tcPr>
          <w:p w14:paraId="1DAA6E5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2.28 - 2.74</w:t>
            </w:r>
          </w:p>
        </w:tc>
        <w:tc>
          <w:tcPr>
            <w:tcW w:w="657" w:type="dxa"/>
            <w:tcBorders>
              <w:bottom w:val="single" w:sz="4" w:space="0" w:color="auto"/>
            </w:tcBorders>
            <w:shd w:val="clear" w:color="auto" w:fill="auto"/>
            <w:vAlign w:val="center"/>
            <w:hideMark/>
          </w:tcPr>
          <w:p w14:paraId="2E58E47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33FB6C8D" w14:textId="77777777" w:rsidTr="00C43F36">
        <w:trPr>
          <w:trHeight w:val="300"/>
        </w:trPr>
        <w:tc>
          <w:tcPr>
            <w:tcW w:w="2386" w:type="dxa"/>
            <w:vMerge w:val="restart"/>
            <w:tcBorders>
              <w:top w:val="single" w:sz="4" w:space="0" w:color="auto"/>
            </w:tcBorders>
            <w:shd w:val="clear" w:color="auto" w:fill="auto"/>
            <w:vAlign w:val="center"/>
            <w:hideMark/>
          </w:tcPr>
          <w:p w14:paraId="46AFA3B4"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Carer status</w:t>
            </w:r>
          </w:p>
        </w:tc>
        <w:tc>
          <w:tcPr>
            <w:tcW w:w="2105" w:type="dxa"/>
            <w:tcBorders>
              <w:top w:val="single" w:sz="4" w:space="0" w:color="auto"/>
            </w:tcBorders>
            <w:shd w:val="clear" w:color="auto" w:fill="auto"/>
            <w:vAlign w:val="center"/>
            <w:hideMark/>
          </w:tcPr>
          <w:p w14:paraId="5B281D7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No</w:t>
            </w:r>
          </w:p>
        </w:tc>
        <w:tc>
          <w:tcPr>
            <w:tcW w:w="896" w:type="dxa"/>
            <w:tcBorders>
              <w:top w:val="single" w:sz="4" w:space="0" w:color="auto"/>
            </w:tcBorders>
            <w:shd w:val="clear" w:color="auto" w:fill="auto"/>
            <w:vAlign w:val="center"/>
            <w:hideMark/>
          </w:tcPr>
          <w:p w14:paraId="2D0009D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7587721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68310AD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3C7A9BC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46B6CC7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6DCE499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1DEA22B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3A41851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7E9BA44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519B20D6" w14:textId="77777777" w:rsidTr="00C43F36">
        <w:trPr>
          <w:trHeight w:val="300"/>
        </w:trPr>
        <w:tc>
          <w:tcPr>
            <w:tcW w:w="2386" w:type="dxa"/>
            <w:vMerge/>
            <w:tcBorders>
              <w:bottom w:val="single" w:sz="4" w:space="0" w:color="auto"/>
            </w:tcBorders>
            <w:vAlign w:val="center"/>
            <w:hideMark/>
          </w:tcPr>
          <w:p w14:paraId="4F802ED2"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039100B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Yes</w:t>
            </w:r>
          </w:p>
        </w:tc>
        <w:tc>
          <w:tcPr>
            <w:tcW w:w="896" w:type="dxa"/>
            <w:tcBorders>
              <w:bottom w:val="single" w:sz="4" w:space="0" w:color="auto"/>
            </w:tcBorders>
            <w:shd w:val="clear" w:color="auto" w:fill="auto"/>
            <w:vAlign w:val="center"/>
            <w:hideMark/>
          </w:tcPr>
          <w:p w14:paraId="6CD5187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1.16</w:t>
            </w:r>
          </w:p>
        </w:tc>
        <w:tc>
          <w:tcPr>
            <w:tcW w:w="1417" w:type="dxa"/>
            <w:gridSpan w:val="2"/>
            <w:tcBorders>
              <w:bottom w:val="single" w:sz="4" w:space="0" w:color="auto"/>
            </w:tcBorders>
            <w:shd w:val="clear" w:color="auto" w:fill="auto"/>
            <w:vAlign w:val="center"/>
            <w:hideMark/>
          </w:tcPr>
          <w:p w14:paraId="4618589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1.06 - 1.28</w:t>
            </w:r>
          </w:p>
        </w:tc>
        <w:tc>
          <w:tcPr>
            <w:tcW w:w="851" w:type="dxa"/>
            <w:tcBorders>
              <w:bottom w:val="single" w:sz="4" w:space="0" w:color="auto"/>
            </w:tcBorders>
            <w:shd w:val="clear" w:color="auto" w:fill="auto"/>
            <w:vAlign w:val="center"/>
            <w:hideMark/>
          </w:tcPr>
          <w:p w14:paraId="2F0C285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0073AED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1.53</w:t>
            </w:r>
          </w:p>
        </w:tc>
        <w:tc>
          <w:tcPr>
            <w:tcW w:w="1448" w:type="dxa"/>
            <w:gridSpan w:val="2"/>
            <w:tcBorders>
              <w:bottom w:val="single" w:sz="4" w:space="0" w:color="auto"/>
            </w:tcBorders>
            <w:shd w:val="clear" w:color="auto" w:fill="auto"/>
            <w:vAlign w:val="center"/>
            <w:hideMark/>
          </w:tcPr>
          <w:p w14:paraId="7107AB9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1.39 - 1.67</w:t>
            </w:r>
          </w:p>
        </w:tc>
        <w:tc>
          <w:tcPr>
            <w:tcW w:w="935" w:type="dxa"/>
            <w:tcBorders>
              <w:bottom w:val="single" w:sz="4" w:space="0" w:color="auto"/>
            </w:tcBorders>
            <w:shd w:val="clear" w:color="auto" w:fill="auto"/>
            <w:vAlign w:val="center"/>
            <w:hideMark/>
          </w:tcPr>
          <w:p w14:paraId="4E4EF49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4609E20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1.48</w:t>
            </w:r>
          </w:p>
        </w:tc>
        <w:tc>
          <w:tcPr>
            <w:tcW w:w="1611" w:type="dxa"/>
            <w:gridSpan w:val="2"/>
            <w:tcBorders>
              <w:bottom w:val="single" w:sz="4" w:space="0" w:color="auto"/>
            </w:tcBorders>
            <w:shd w:val="clear" w:color="auto" w:fill="auto"/>
            <w:vAlign w:val="center"/>
            <w:hideMark/>
          </w:tcPr>
          <w:p w14:paraId="04300D1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1.35 - 1.62</w:t>
            </w:r>
          </w:p>
        </w:tc>
        <w:tc>
          <w:tcPr>
            <w:tcW w:w="657" w:type="dxa"/>
            <w:tcBorders>
              <w:bottom w:val="single" w:sz="4" w:space="0" w:color="auto"/>
            </w:tcBorders>
            <w:shd w:val="clear" w:color="auto" w:fill="auto"/>
            <w:vAlign w:val="center"/>
            <w:hideMark/>
          </w:tcPr>
          <w:p w14:paraId="4273053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61DD570E" w14:textId="77777777" w:rsidTr="00C43F36">
        <w:trPr>
          <w:trHeight w:val="300"/>
        </w:trPr>
        <w:tc>
          <w:tcPr>
            <w:tcW w:w="2386" w:type="dxa"/>
            <w:vMerge w:val="restart"/>
            <w:tcBorders>
              <w:top w:val="single" w:sz="4" w:space="0" w:color="auto"/>
            </w:tcBorders>
            <w:shd w:val="clear" w:color="auto" w:fill="auto"/>
            <w:vAlign w:val="center"/>
            <w:hideMark/>
          </w:tcPr>
          <w:p w14:paraId="47478B22"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Legal marital status</w:t>
            </w:r>
          </w:p>
        </w:tc>
        <w:tc>
          <w:tcPr>
            <w:tcW w:w="2105" w:type="dxa"/>
            <w:tcBorders>
              <w:top w:val="single" w:sz="4" w:space="0" w:color="auto"/>
            </w:tcBorders>
            <w:shd w:val="clear" w:color="auto" w:fill="auto"/>
            <w:vAlign w:val="center"/>
            <w:hideMark/>
          </w:tcPr>
          <w:p w14:paraId="1EB1659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Married/Civil Partner</w:t>
            </w:r>
          </w:p>
        </w:tc>
        <w:tc>
          <w:tcPr>
            <w:tcW w:w="896" w:type="dxa"/>
            <w:tcBorders>
              <w:top w:val="single" w:sz="4" w:space="0" w:color="auto"/>
            </w:tcBorders>
            <w:shd w:val="clear" w:color="auto" w:fill="auto"/>
            <w:vAlign w:val="center"/>
            <w:hideMark/>
          </w:tcPr>
          <w:p w14:paraId="1692AA8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13A47C4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28412A2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66FA088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212538D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2C038E1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1F6EE25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7BEE2993"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7ABDE3E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57408E49" w14:textId="77777777" w:rsidTr="00C43F36">
        <w:trPr>
          <w:trHeight w:val="300"/>
        </w:trPr>
        <w:tc>
          <w:tcPr>
            <w:tcW w:w="2386" w:type="dxa"/>
            <w:vMerge/>
            <w:vAlign w:val="center"/>
            <w:hideMark/>
          </w:tcPr>
          <w:p w14:paraId="0361A635"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5431E4D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Separated/Divorced</w:t>
            </w:r>
          </w:p>
        </w:tc>
        <w:tc>
          <w:tcPr>
            <w:tcW w:w="896" w:type="dxa"/>
            <w:shd w:val="clear" w:color="auto" w:fill="auto"/>
            <w:vAlign w:val="center"/>
            <w:hideMark/>
          </w:tcPr>
          <w:p w14:paraId="1925F98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1.21</w:t>
            </w:r>
          </w:p>
        </w:tc>
        <w:tc>
          <w:tcPr>
            <w:tcW w:w="1417" w:type="dxa"/>
            <w:gridSpan w:val="2"/>
            <w:shd w:val="clear" w:color="auto" w:fill="auto"/>
            <w:vAlign w:val="center"/>
            <w:hideMark/>
          </w:tcPr>
          <w:p w14:paraId="60E2AAE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1.04 - 1.41</w:t>
            </w:r>
          </w:p>
        </w:tc>
        <w:tc>
          <w:tcPr>
            <w:tcW w:w="851" w:type="dxa"/>
            <w:shd w:val="clear" w:color="auto" w:fill="auto"/>
            <w:vAlign w:val="center"/>
            <w:hideMark/>
          </w:tcPr>
          <w:p w14:paraId="72C41BB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0.02</w:t>
            </w:r>
          </w:p>
        </w:tc>
        <w:tc>
          <w:tcPr>
            <w:tcW w:w="820" w:type="dxa"/>
            <w:shd w:val="clear" w:color="auto" w:fill="auto"/>
            <w:vAlign w:val="center"/>
            <w:hideMark/>
          </w:tcPr>
          <w:p w14:paraId="6869131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1.64</w:t>
            </w:r>
          </w:p>
        </w:tc>
        <w:tc>
          <w:tcPr>
            <w:tcW w:w="1448" w:type="dxa"/>
            <w:gridSpan w:val="2"/>
            <w:shd w:val="clear" w:color="auto" w:fill="auto"/>
            <w:vAlign w:val="center"/>
            <w:hideMark/>
          </w:tcPr>
          <w:p w14:paraId="220EA69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1.43 - 1.88</w:t>
            </w:r>
          </w:p>
        </w:tc>
        <w:tc>
          <w:tcPr>
            <w:tcW w:w="935" w:type="dxa"/>
            <w:shd w:val="clear" w:color="auto" w:fill="auto"/>
            <w:vAlign w:val="center"/>
            <w:hideMark/>
          </w:tcPr>
          <w:p w14:paraId="27198FA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1AA9A8C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1.45</w:t>
            </w:r>
          </w:p>
        </w:tc>
        <w:tc>
          <w:tcPr>
            <w:tcW w:w="1611" w:type="dxa"/>
            <w:gridSpan w:val="2"/>
            <w:shd w:val="clear" w:color="auto" w:fill="auto"/>
            <w:vAlign w:val="center"/>
            <w:hideMark/>
          </w:tcPr>
          <w:p w14:paraId="79BBC3D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1.26 - 1.67</w:t>
            </w:r>
          </w:p>
        </w:tc>
        <w:tc>
          <w:tcPr>
            <w:tcW w:w="657" w:type="dxa"/>
            <w:shd w:val="clear" w:color="auto" w:fill="auto"/>
            <w:vAlign w:val="center"/>
            <w:hideMark/>
          </w:tcPr>
          <w:p w14:paraId="3354CCC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6302BEB4" w14:textId="77777777" w:rsidTr="00C43F36">
        <w:trPr>
          <w:trHeight w:val="300"/>
        </w:trPr>
        <w:tc>
          <w:tcPr>
            <w:tcW w:w="2386" w:type="dxa"/>
            <w:vMerge/>
            <w:vAlign w:val="center"/>
            <w:hideMark/>
          </w:tcPr>
          <w:p w14:paraId="629F75DC"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1A7975F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Widowed</w:t>
            </w:r>
          </w:p>
        </w:tc>
        <w:tc>
          <w:tcPr>
            <w:tcW w:w="896" w:type="dxa"/>
            <w:shd w:val="clear" w:color="auto" w:fill="auto"/>
            <w:vAlign w:val="center"/>
            <w:hideMark/>
          </w:tcPr>
          <w:p w14:paraId="40AFD7B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1.12</w:t>
            </w:r>
          </w:p>
        </w:tc>
        <w:tc>
          <w:tcPr>
            <w:tcW w:w="1417" w:type="dxa"/>
            <w:gridSpan w:val="2"/>
            <w:shd w:val="clear" w:color="auto" w:fill="auto"/>
            <w:vAlign w:val="center"/>
            <w:hideMark/>
          </w:tcPr>
          <w:p w14:paraId="34F3E79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0.97 - 1.29</w:t>
            </w:r>
          </w:p>
        </w:tc>
        <w:tc>
          <w:tcPr>
            <w:tcW w:w="851" w:type="dxa"/>
            <w:shd w:val="clear" w:color="auto" w:fill="auto"/>
            <w:vAlign w:val="center"/>
            <w:hideMark/>
          </w:tcPr>
          <w:p w14:paraId="0C0870B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0.14</w:t>
            </w:r>
          </w:p>
        </w:tc>
        <w:tc>
          <w:tcPr>
            <w:tcW w:w="820" w:type="dxa"/>
            <w:shd w:val="clear" w:color="auto" w:fill="auto"/>
            <w:vAlign w:val="center"/>
            <w:hideMark/>
          </w:tcPr>
          <w:p w14:paraId="3AD8BC5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1.24</w:t>
            </w:r>
          </w:p>
        </w:tc>
        <w:tc>
          <w:tcPr>
            <w:tcW w:w="1448" w:type="dxa"/>
            <w:gridSpan w:val="2"/>
            <w:shd w:val="clear" w:color="auto" w:fill="auto"/>
            <w:vAlign w:val="center"/>
            <w:hideMark/>
          </w:tcPr>
          <w:p w14:paraId="27BD9D9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1.05 - 1.47</w:t>
            </w:r>
          </w:p>
        </w:tc>
        <w:tc>
          <w:tcPr>
            <w:tcW w:w="935" w:type="dxa"/>
            <w:shd w:val="clear" w:color="auto" w:fill="auto"/>
            <w:vAlign w:val="center"/>
            <w:hideMark/>
          </w:tcPr>
          <w:p w14:paraId="305255E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0.01</w:t>
            </w:r>
          </w:p>
        </w:tc>
        <w:tc>
          <w:tcPr>
            <w:tcW w:w="766" w:type="dxa"/>
            <w:shd w:val="clear" w:color="auto" w:fill="auto"/>
            <w:vAlign w:val="center"/>
            <w:hideMark/>
          </w:tcPr>
          <w:p w14:paraId="61B59E4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1.38</w:t>
            </w:r>
          </w:p>
        </w:tc>
        <w:tc>
          <w:tcPr>
            <w:tcW w:w="1611" w:type="dxa"/>
            <w:gridSpan w:val="2"/>
            <w:shd w:val="clear" w:color="auto" w:fill="auto"/>
            <w:vAlign w:val="center"/>
            <w:hideMark/>
          </w:tcPr>
          <w:p w14:paraId="0F853E0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1.18 - 1.62</w:t>
            </w:r>
          </w:p>
        </w:tc>
        <w:tc>
          <w:tcPr>
            <w:tcW w:w="657" w:type="dxa"/>
            <w:shd w:val="clear" w:color="auto" w:fill="auto"/>
            <w:vAlign w:val="center"/>
            <w:hideMark/>
          </w:tcPr>
          <w:p w14:paraId="05A9ED5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7C1FF3CF" w14:textId="77777777" w:rsidTr="00C43F36">
        <w:trPr>
          <w:trHeight w:val="300"/>
        </w:trPr>
        <w:tc>
          <w:tcPr>
            <w:tcW w:w="2386" w:type="dxa"/>
            <w:vMerge/>
            <w:vAlign w:val="center"/>
            <w:hideMark/>
          </w:tcPr>
          <w:p w14:paraId="7B5ADDA6"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67F6167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Single</w:t>
            </w:r>
          </w:p>
        </w:tc>
        <w:tc>
          <w:tcPr>
            <w:tcW w:w="896" w:type="dxa"/>
            <w:shd w:val="clear" w:color="auto" w:fill="auto"/>
            <w:vAlign w:val="center"/>
            <w:hideMark/>
          </w:tcPr>
          <w:p w14:paraId="66C912D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1.05</w:t>
            </w:r>
          </w:p>
        </w:tc>
        <w:tc>
          <w:tcPr>
            <w:tcW w:w="1417" w:type="dxa"/>
            <w:gridSpan w:val="2"/>
            <w:shd w:val="clear" w:color="auto" w:fill="auto"/>
            <w:vAlign w:val="center"/>
            <w:hideMark/>
          </w:tcPr>
          <w:p w14:paraId="4AE3ED9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0.85 - 1.3</w:t>
            </w:r>
          </w:p>
        </w:tc>
        <w:tc>
          <w:tcPr>
            <w:tcW w:w="851" w:type="dxa"/>
            <w:shd w:val="clear" w:color="auto" w:fill="auto"/>
            <w:vAlign w:val="center"/>
            <w:hideMark/>
          </w:tcPr>
          <w:p w14:paraId="251E718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0.64</w:t>
            </w:r>
          </w:p>
        </w:tc>
        <w:tc>
          <w:tcPr>
            <w:tcW w:w="820" w:type="dxa"/>
            <w:shd w:val="clear" w:color="auto" w:fill="auto"/>
            <w:vAlign w:val="center"/>
            <w:hideMark/>
          </w:tcPr>
          <w:p w14:paraId="1BF6205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0.99</w:t>
            </w:r>
          </w:p>
        </w:tc>
        <w:tc>
          <w:tcPr>
            <w:tcW w:w="1448" w:type="dxa"/>
            <w:gridSpan w:val="2"/>
            <w:shd w:val="clear" w:color="auto" w:fill="auto"/>
            <w:vAlign w:val="center"/>
            <w:hideMark/>
          </w:tcPr>
          <w:p w14:paraId="4C424F7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0.81 - 1.22</w:t>
            </w:r>
          </w:p>
        </w:tc>
        <w:tc>
          <w:tcPr>
            <w:tcW w:w="935" w:type="dxa"/>
            <w:shd w:val="clear" w:color="auto" w:fill="auto"/>
            <w:vAlign w:val="center"/>
            <w:hideMark/>
          </w:tcPr>
          <w:p w14:paraId="26F0519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0.94</w:t>
            </w:r>
          </w:p>
        </w:tc>
        <w:tc>
          <w:tcPr>
            <w:tcW w:w="766" w:type="dxa"/>
            <w:shd w:val="clear" w:color="auto" w:fill="auto"/>
            <w:vAlign w:val="center"/>
            <w:hideMark/>
          </w:tcPr>
          <w:p w14:paraId="6C77E0C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1.15</w:t>
            </w:r>
          </w:p>
        </w:tc>
        <w:tc>
          <w:tcPr>
            <w:tcW w:w="1611" w:type="dxa"/>
            <w:gridSpan w:val="2"/>
            <w:shd w:val="clear" w:color="auto" w:fill="auto"/>
            <w:vAlign w:val="center"/>
            <w:hideMark/>
          </w:tcPr>
          <w:p w14:paraId="4DF63B7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0.94 - 1.4</w:t>
            </w:r>
          </w:p>
        </w:tc>
        <w:tc>
          <w:tcPr>
            <w:tcW w:w="657" w:type="dxa"/>
            <w:shd w:val="clear" w:color="auto" w:fill="auto"/>
            <w:vAlign w:val="center"/>
            <w:hideMark/>
          </w:tcPr>
          <w:p w14:paraId="7A53CE5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0.18</w:t>
            </w:r>
          </w:p>
        </w:tc>
      </w:tr>
      <w:tr w:rsidR="00C43F36" w:rsidRPr="00C43F36" w14:paraId="6C34B612" w14:textId="77777777" w:rsidTr="00C43F36">
        <w:trPr>
          <w:trHeight w:val="300"/>
        </w:trPr>
        <w:tc>
          <w:tcPr>
            <w:tcW w:w="2386" w:type="dxa"/>
            <w:vMerge/>
            <w:tcBorders>
              <w:bottom w:val="single" w:sz="4" w:space="0" w:color="auto"/>
            </w:tcBorders>
            <w:vAlign w:val="center"/>
            <w:hideMark/>
          </w:tcPr>
          <w:p w14:paraId="70D9577D"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5CFE4A0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Other</w:t>
            </w:r>
          </w:p>
        </w:tc>
        <w:tc>
          <w:tcPr>
            <w:tcW w:w="896" w:type="dxa"/>
            <w:tcBorders>
              <w:bottom w:val="single" w:sz="4" w:space="0" w:color="auto"/>
            </w:tcBorders>
            <w:shd w:val="clear" w:color="auto" w:fill="auto"/>
            <w:vAlign w:val="center"/>
            <w:hideMark/>
          </w:tcPr>
          <w:p w14:paraId="226AAC8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1.34</w:t>
            </w:r>
          </w:p>
        </w:tc>
        <w:tc>
          <w:tcPr>
            <w:tcW w:w="1417" w:type="dxa"/>
            <w:gridSpan w:val="2"/>
            <w:tcBorders>
              <w:bottom w:val="single" w:sz="4" w:space="0" w:color="auto"/>
            </w:tcBorders>
            <w:shd w:val="clear" w:color="auto" w:fill="auto"/>
            <w:vAlign w:val="center"/>
            <w:hideMark/>
          </w:tcPr>
          <w:p w14:paraId="7168D96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0.96 - 1.88</w:t>
            </w:r>
          </w:p>
        </w:tc>
        <w:tc>
          <w:tcPr>
            <w:tcW w:w="851" w:type="dxa"/>
            <w:tcBorders>
              <w:bottom w:val="single" w:sz="4" w:space="0" w:color="auto"/>
            </w:tcBorders>
            <w:shd w:val="clear" w:color="auto" w:fill="auto"/>
            <w:vAlign w:val="center"/>
            <w:hideMark/>
          </w:tcPr>
          <w:p w14:paraId="5E685C7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0.09</w:t>
            </w:r>
          </w:p>
        </w:tc>
        <w:tc>
          <w:tcPr>
            <w:tcW w:w="820" w:type="dxa"/>
            <w:tcBorders>
              <w:bottom w:val="single" w:sz="4" w:space="0" w:color="auto"/>
            </w:tcBorders>
            <w:shd w:val="clear" w:color="auto" w:fill="auto"/>
            <w:vAlign w:val="center"/>
            <w:hideMark/>
          </w:tcPr>
          <w:p w14:paraId="64B12A2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1.42</w:t>
            </w:r>
          </w:p>
        </w:tc>
        <w:tc>
          <w:tcPr>
            <w:tcW w:w="1448" w:type="dxa"/>
            <w:gridSpan w:val="2"/>
            <w:tcBorders>
              <w:bottom w:val="single" w:sz="4" w:space="0" w:color="auto"/>
            </w:tcBorders>
            <w:shd w:val="clear" w:color="auto" w:fill="auto"/>
            <w:vAlign w:val="center"/>
            <w:hideMark/>
          </w:tcPr>
          <w:p w14:paraId="7BAB3F4E"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1.04 - 1.94</w:t>
            </w:r>
          </w:p>
        </w:tc>
        <w:tc>
          <w:tcPr>
            <w:tcW w:w="935" w:type="dxa"/>
            <w:tcBorders>
              <w:bottom w:val="single" w:sz="4" w:space="0" w:color="auto"/>
            </w:tcBorders>
            <w:shd w:val="clear" w:color="auto" w:fill="auto"/>
            <w:vAlign w:val="center"/>
            <w:hideMark/>
          </w:tcPr>
          <w:p w14:paraId="73A8A06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c>
          <w:tcPr>
            <w:tcW w:w="766" w:type="dxa"/>
            <w:tcBorders>
              <w:bottom w:val="single" w:sz="4" w:space="0" w:color="auto"/>
            </w:tcBorders>
            <w:shd w:val="clear" w:color="auto" w:fill="auto"/>
            <w:vAlign w:val="center"/>
            <w:hideMark/>
          </w:tcPr>
          <w:p w14:paraId="271F50A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1.44</w:t>
            </w:r>
          </w:p>
        </w:tc>
        <w:tc>
          <w:tcPr>
            <w:tcW w:w="1611" w:type="dxa"/>
            <w:gridSpan w:val="2"/>
            <w:tcBorders>
              <w:bottom w:val="single" w:sz="4" w:space="0" w:color="auto"/>
            </w:tcBorders>
            <w:shd w:val="clear" w:color="auto" w:fill="auto"/>
            <w:vAlign w:val="center"/>
            <w:hideMark/>
          </w:tcPr>
          <w:p w14:paraId="77654B5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1.05 - 1.96</w:t>
            </w:r>
          </w:p>
        </w:tc>
        <w:tc>
          <w:tcPr>
            <w:tcW w:w="657" w:type="dxa"/>
            <w:tcBorders>
              <w:bottom w:val="single" w:sz="4" w:space="0" w:color="auto"/>
            </w:tcBorders>
            <w:shd w:val="clear" w:color="auto" w:fill="auto"/>
            <w:vAlign w:val="center"/>
            <w:hideMark/>
          </w:tcPr>
          <w:p w14:paraId="040919F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0.02</w:t>
            </w:r>
          </w:p>
        </w:tc>
      </w:tr>
      <w:tr w:rsidR="00C43F36" w:rsidRPr="00C43F36" w14:paraId="2A8C7B40" w14:textId="77777777" w:rsidTr="00C43F36">
        <w:trPr>
          <w:trHeight w:val="300"/>
        </w:trPr>
        <w:tc>
          <w:tcPr>
            <w:tcW w:w="2386" w:type="dxa"/>
            <w:vMerge w:val="restart"/>
            <w:tcBorders>
              <w:top w:val="single" w:sz="4" w:space="0" w:color="auto"/>
            </w:tcBorders>
            <w:shd w:val="clear" w:color="auto" w:fill="auto"/>
            <w:vAlign w:val="center"/>
            <w:hideMark/>
          </w:tcPr>
          <w:p w14:paraId="3D39BEFC"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Employment status</w:t>
            </w:r>
          </w:p>
        </w:tc>
        <w:tc>
          <w:tcPr>
            <w:tcW w:w="2105" w:type="dxa"/>
            <w:tcBorders>
              <w:top w:val="single" w:sz="4" w:space="0" w:color="auto"/>
            </w:tcBorders>
            <w:shd w:val="clear" w:color="auto" w:fill="auto"/>
            <w:vAlign w:val="center"/>
            <w:hideMark/>
          </w:tcPr>
          <w:p w14:paraId="6B60997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Employed</w:t>
            </w:r>
          </w:p>
        </w:tc>
        <w:tc>
          <w:tcPr>
            <w:tcW w:w="896" w:type="dxa"/>
            <w:tcBorders>
              <w:top w:val="single" w:sz="4" w:space="0" w:color="auto"/>
            </w:tcBorders>
            <w:shd w:val="clear" w:color="auto" w:fill="auto"/>
            <w:vAlign w:val="center"/>
            <w:hideMark/>
          </w:tcPr>
          <w:p w14:paraId="73ED6FB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76E3532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09FB299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03772E8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0E41562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7B93C15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6E6DA50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7F622AF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7416D23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39023AA5" w14:textId="77777777" w:rsidTr="00C43F36">
        <w:trPr>
          <w:trHeight w:val="300"/>
        </w:trPr>
        <w:tc>
          <w:tcPr>
            <w:tcW w:w="2386" w:type="dxa"/>
            <w:vMerge/>
            <w:vAlign w:val="center"/>
            <w:hideMark/>
          </w:tcPr>
          <w:p w14:paraId="6A612149"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2B46E1F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Unemployed</w:t>
            </w:r>
          </w:p>
        </w:tc>
        <w:tc>
          <w:tcPr>
            <w:tcW w:w="896" w:type="dxa"/>
            <w:shd w:val="clear" w:color="auto" w:fill="auto"/>
            <w:vAlign w:val="center"/>
            <w:hideMark/>
          </w:tcPr>
          <w:p w14:paraId="5957582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13.18</w:t>
            </w:r>
          </w:p>
        </w:tc>
        <w:tc>
          <w:tcPr>
            <w:tcW w:w="1417" w:type="dxa"/>
            <w:gridSpan w:val="2"/>
            <w:shd w:val="clear" w:color="auto" w:fill="auto"/>
            <w:vAlign w:val="center"/>
            <w:hideMark/>
          </w:tcPr>
          <w:p w14:paraId="06DED74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10.36 - 16.75</w:t>
            </w:r>
          </w:p>
        </w:tc>
        <w:tc>
          <w:tcPr>
            <w:tcW w:w="851" w:type="dxa"/>
            <w:shd w:val="clear" w:color="auto" w:fill="auto"/>
            <w:vAlign w:val="center"/>
            <w:hideMark/>
          </w:tcPr>
          <w:p w14:paraId="2DF6386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59DDBCC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5.81</w:t>
            </w:r>
          </w:p>
        </w:tc>
        <w:tc>
          <w:tcPr>
            <w:tcW w:w="1448" w:type="dxa"/>
            <w:gridSpan w:val="2"/>
            <w:shd w:val="clear" w:color="auto" w:fill="auto"/>
            <w:vAlign w:val="center"/>
            <w:hideMark/>
          </w:tcPr>
          <w:p w14:paraId="2AA0DCF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4.69 - 7.19</w:t>
            </w:r>
          </w:p>
        </w:tc>
        <w:tc>
          <w:tcPr>
            <w:tcW w:w="935" w:type="dxa"/>
            <w:shd w:val="clear" w:color="auto" w:fill="auto"/>
            <w:vAlign w:val="center"/>
            <w:hideMark/>
          </w:tcPr>
          <w:p w14:paraId="7849B70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3F00B7A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4.55</w:t>
            </w:r>
          </w:p>
        </w:tc>
        <w:tc>
          <w:tcPr>
            <w:tcW w:w="1611" w:type="dxa"/>
            <w:gridSpan w:val="2"/>
            <w:shd w:val="clear" w:color="auto" w:fill="auto"/>
            <w:vAlign w:val="center"/>
            <w:hideMark/>
          </w:tcPr>
          <w:p w14:paraId="19926F9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3.68 - 5.63</w:t>
            </w:r>
          </w:p>
        </w:tc>
        <w:tc>
          <w:tcPr>
            <w:tcW w:w="657" w:type="dxa"/>
            <w:shd w:val="clear" w:color="auto" w:fill="auto"/>
            <w:vAlign w:val="center"/>
            <w:hideMark/>
          </w:tcPr>
          <w:p w14:paraId="21CFB93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4099E2E5" w14:textId="77777777" w:rsidTr="00C43F36">
        <w:trPr>
          <w:trHeight w:val="300"/>
        </w:trPr>
        <w:tc>
          <w:tcPr>
            <w:tcW w:w="2386" w:type="dxa"/>
            <w:vMerge/>
            <w:vAlign w:val="center"/>
            <w:hideMark/>
          </w:tcPr>
          <w:p w14:paraId="25908B7C"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3543C8B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Retired</w:t>
            </w:r>
          </w:p>
        </w:tc>
        <w:tc>
          <w:tcPr>
            <w:tcW w:w="896" w:type="dxa"/>
            <w:shd w:val="clear" w:color="auto" w:fill="auto"/>
            <w:vAlign w:val="center"/>
            <w:hideMark/>
          </w:tcPr>
          <w:p w14:paraId="04782F4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2.12</w:t>
            </w:r>
          </w:p>
        </w:tc>
        <w:tc>
          <w:tcPr>
            <w:tcW w:w="1417" w:type="dxa"/>
            <w:gridSpan w:val="2"/>
            <w:shd w:val="clear" w:color="auto" w:fill="auto"/>
            <w:vAlign w:val="center"/>
            <w:hideMark/>
          </w:tcPr>
          <w:p w14:paraId="11BAC15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1.81 - 2.49</w:t>
            </w:r>
          </w:p>
        </w:tc>
        <w:tc>
          <w:tcPr>
            <w:tcW w:w="851" w:type="dxa"/>
            <w:shd w:val="clear" w:color="auto" w:fill="auto"/>
            <w:vAlign w:val="center"/>
            <w:hideMark/>
          </w:tcPr>
          <w:p w14:paraId="4497D47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0FBE930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0.57</w:t>
            </w:r>
          </w:p>
        </w:tc>
        <w:tc>
          <w:tcPr>
            <w:tcW w:w="1448" w:type="dxa"/>
            <w:gridSpan w:val="2"/>
            <w:shd w:val="clear" w:color="auto" w:fill="auto"/>
            <w:vAlign w:val="center"/>
            <w:hideMark/>
          </w:tcPr>
          <w:p w14:paraId="1D1A429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0.51 - 0.63</w:t>
            </w:r>
          </w:p>
        </w:tc>
        <w:tc>
          <w:tcPr>
            <w:tcW w:w="935" w:type="dxa"/>
            <w:shd w:val="clear" w:color="auto" w:fill="auto"/>
            <w:vAlign w:val="center"/>
            <w:hideMark/>
          </w:tcPr>
          <w:p w14:paraId="137866C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0D0CB42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1.02</w:t>
            </w:r>
          </w:p>
        </w:tc>
        <w:tc>
          <w:tcPr>
            <w:tcW w:w="1611" w:type="dxa"/>
            <w:gridSpan w:val="2"/>
            <w:shd w:val="clear" w:color="auto" w:fill="auto"/>
            <w:vAlign w:val="center"/>
            <w:hideMark/>
          </w:tcPr>
          <w:p w14:paraId="3B68AC7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0.90 - 1.15</w:t>
            </w:r>
          </w:p>
        </w:tc>
        <w:tc>
          <w:tcPr>
            <w:tcW w:w="657" w:type="dxa"/>
            <w:shd w:val="clear" w:color="auto" w:fill="auto"/>
            <w:vAlign w:val="center"/>
            <w:hideMark/>
          </w:tcPr>
          <w:p w14:paraId="39AD18B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0.77</w:t>
            </w:r>
          </w:p>
        </w:tc>
      </w:tr>
      <w:tr w:rsidR="00C43F36" w:rsidRPr="00C43F36" w14:paraId="45A73E48" w14:textId="77777777" w:rsidTr="00C43F36">
        <w:trPr>
          <w:trHeight w:val="300"/>
        </w:trPr>
        <w:tc>
          <w:tcPr>
            <w:tcW w:w="2386" w:type="dxa"/>
            <w:vMerge/>
            <w:tcBorders>
              <w:bottom w:val="single" w:sz="4" w:space="0" w:color="auto"/>
            </w:tcBorders>
            <w:vAlign w:val="center"/>
            <w:hideMark/>
          </w:tcPr>
          <w:p w14:paraId="6AA250CB"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7002614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Other</w:t>
            </w:r>
          </w:p>
        </w:tc>
        <w:tc>
          <w:tcPr>
            <w:tcW w:w="896" w:type="dxa"/>
            <w:tcBorders>
              <w:bottom w:val="single" w:sz="4" w:space="0" w:color="auto"/>
            </w:tcBorders>
            <w:shd w:val="clear" w:color="auto" w:fill="auto"/>
            <w:vAlign w:val="center"/>
            <w:hideMark/>
          </w:tcPr>
          <w:p w14:paraId="265A98F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3.1</w:t>
            </w:r>
          </w:p>
        </w:tc>
        <w:tc>
          <w:tcPr>
            <w:tcW w:w="1417" w:type="dxa"/>
            <w:gridSpan w:val="2"/>
            <w:tcBorders>
              <w:bottom w:val="single" w:sz="4" w:space="0" w:color="auto"/>
            </w:tcBorders>
            <w:shd w:val="clear" w:color="auto" w:fill="auto"/>
            <w:vAlign w:val="center"/>
            <w:hideMark/>
          </w:tcPr>
          <w:p w14:paraId="7CAC04B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1.99 - 4.83</w:t>
            </w:r>
          </w:p>
        </w:tc>
        <w:tc>
          <w:tcPr>
            <w:tcW w:w="851" w:type="dxa"/>
            <w:tcBorders>
              <w:bottom w:val="single" w:sz="4" w:space="0" w:color="auto"/>
            </w:tcBorders>
            <w:shd w:val="clear" w:color="auto" w:fill="auto"/>
            <w:vAlign w:val="center"/>
            <w:hideMark/>
          </w:tcPr>
          <w:p w14:paraId="6E3EB6E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76FB99A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1.98</w:t>
            </w:r>
          </w:p>
        </w:tc>
        <w:tc>
          <w:tcPr>
            <w:tcW w:w="1448" w:type="dxa"/>
            <w:gridSpan w:val="2"/>
            <w:tcBorders>
              <w:bottom w:val="single" w:sz="4" w:space="0" w:color="auto"/>
            </w:tcBorders>
            <w:shd w:val="clear" w:color="auto" w:fill="auto"/>
            <w:vAlign w:val="center"/>
            <w:hideMark/>
          </w:tcPr>
          <w:p w14:paraId="2D427E8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1.40 - 2.8</w:t>
            </w:r>
          </w:p>
        </w:tc>
        <w:tc>
          <w:tcPr>
            <w:tcW w:w="935" w:type="dxa"/>
            <w:tcBorders>
              <w:bottom w:val="single" w:sz="4" w:space="0" w:color="auto"/>
            </w:tcBorders>
            <w:shd w:val="clear" w:color="auto" w:fill="auto"/>
            <w:vAlign w:val="center"/>
            <w:hideMark/>
          </w:tcPr>
          <w:p w14:paraId="6AFBBE7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56C64CB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1.79</w:t>
            </w:r>
          </w:p>
        </w:tc>
        <w:tc>
          <w:tcPr>
            <w:tcW w:w="1611" w:type="dxa"/>
            <w:gridSpan w:val="2"/>
            <w:tcBorders>
              <w:bottom w:val="single" w:sz="4" w:space="0" w:color="auto"/>
            </w:tcBorders>
            <w:shd w:val="clear" w:color="auto" w:fill="auto"/>
            <w:vAlign w:val="center"/>
            <w:hideMark/>
          </w:tcPr>
          <w:p w14:paraId="1079198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1.22 - 2.62</w:t>
            </w:r>
          </w:p>
        </w:tc>
        <w:tc>
          <w:tcPr>
            <w:tcW w:w="657" w:type="dxa"/>
            <w:tcBorders>
              <w:bottom w:val="single" w:sz="4" w:space="0" w:color="auto"/>
            </w:tcBorders>
            <w:shd w:val="clear" w:color="auto" w:fill="auto"/>
            <w:vAlign w:val="center"/>
            <w:hideMark/>
          </w:tcPr>
          <w:p w14:paraId="10D4900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6D6FAC33" w14:textId="77777777" w:rsidTr="00C43F36">
        <w:trPr>
          <w:trHeight w:val="300"/>
        </w:trPr>
        <w:tc>
          <w:tcPr>
            <w:tcW w:w="2386" w:type="dxa"/>
            <w:vMerge w:val="restart"/>
            <w:tcBorders>
              <w:top w:val="single" w:sz="4" w:space="0" w:color="auto"/>
            </w:tcBorders>
            <w:shd w:val="clear" w:color="auto" w:fill="auto"/>
            <w:vAlign w:val="center"/>
            <w:hideMark/>
          </w:tcPr>
          <w:p w14:paraId="3C0D17CA"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Body Mass Index</w:t>
            </w:r>
          </w:p>
        </w:tc>
        <w:tc>
          <w:tcPr>
            <w:tcW w:w="2105" w:type="dxa"/>
            <w:tcBorders>
              <w:top w:val="single" w:sz="4" w:space="0" w:color="auto"/>
            </w:tcBorders>
            <w:shd w:val="clear" w:color="auto" w:fill="auto"/>
            <w:vAlign w:val="center"/>
            <w:hideMark/>
          </w:tcPr>
          <w:p w14:paraId="5D566CB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&lt;25</w:t>
            </w:r>
          </w:p>
        </w:tc>
        <w:tc>
          <w:tcPr>
            <w:tcW w:w="896" w:type="dxa"/>
            <w:tcBorders>
              <w:top w:val="single" w:sz="4" w:space="0" w:color="auto"/>
            </w:tcBorders>
            <w:shd w:val="clear" w:color="auto" w:fill="auto"/>
            <w:vAlign w:val="center"/>
            <w:hideMark/>
          </w:tcPr>
          <w:p w14:paraId="579645A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3AFB244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4FACC23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31A397D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6C03EC9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6D992C0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283A350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1611" w:type="dxa"/>
            <w:gridSpan w:val="2"/>
            <w:tcBorders>
              <w:top w:val="single" w:sz="4" w:space="0" w:color="auto"/>
            </w:tcBorders>
            <w:shd w:val="clear" w:color="auto" w:fill="auto"/>
            <w:vAlign w:val="center"/>
            <w:hideMark/>
          </w:tcPr>
          <w:p w14:paraId="5C10069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6DDA5EB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6B4F0F03" w14:textId="77777777" w:rsidTr="00C43F36">
        <w:trPr>
          <w:trHeight w:val="300"/>
        </w:trPr>
        <w:tc>
          <w:tcPr>
            <w:tcW w:w="2386" w:type="dxa"/>
            <w:vMerge/>
            <w:vAlign w:val="center"/>
            <w:hideMark/>
          </w:tcPr>
          <w:p w14:paraId="702E2320"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3506738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25-30</w:t>
            </w:r>
          </w:p>
        </w:tc>
        <w:tc>
          <w:tcPr>
            <w:tcW w:w="896" w:type="dxa"/>
            <w:shd w:val="clear" w:color="auto" w:fill="auto"/>
            <w:vAlign w:val="center"/>
            <w:hideMark/>
          </w:tcPr>
          <w:p w14:paraId="538B6B2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0.98</w:t>
            </w:r>
          </w:p>
        </w:tc>
        <w:tc>
          <w:tcPr>
            <w:tcW w:w="1417" w:type="dxa"/>
            <w:gridSpan w:val="2"/>
            <w:shd w:val="clear" w:color="auto" w:fill="auto"/>
            <w:vAlign w:val="center"/>
            <w:hideMark/>
          </w:tcPr>
          <w:p w14:paraId="269A478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0.88 - 1.09</w:t>
            </w:r>
          </w:p>
        </w:tc>
        <w:tc>
          <w:tcPr>
            <w:tcW w:w="851" w:type="dxa"/>
            <w:shd w:val="clear" w:color="auto" w:fill="auto"/>
            <w:vAlign w:val="center"/>
            <w:hideMark/>
          </w:tcPr>
          <w:p w14:paraId="07B5EA4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0.67</w:t>
            </w:r>
          </w:p>
        </w:tc>
        <w:tc>
          <w:tcPr>
            <w:tcW w:w="820" w:type="dxa"/>
            <w:shd w:val="clear" w:color="auto" w:fill="auto"/>
            <w:vAlign w:val="center"/>
            <w:hideMark/>
          </w:tcPr>
          <w:p w14:paraId="68E91AB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1.01</w:t>
            </w:r>
          </w:p>
        </w:tc>
        <w:tc>
          <w:tcPr>
            <w:tcW w:w="1448" w:type="dxa"/>
            <w:gridSpan w:val="2"/>
            <w:shd w:val="clear" w:color="auto" w:fill="auto"/>
            <w:vAlign w:val="center"/>
            <w:hideMark/>
          </w:tcPr>
          <w:p w14:paraId="51B249B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0.91 - 1.12</w:t>
            </w:r>
          </w:p>
        </w:tc>
        <w:tc>
          <w:tcPr>
            <w:tcW w:w="935" w:type="dxa"/>
            <w:shd w:val="clear" w:color="auto" w:fill="auto"/>
            <w:vAlign w:val="center"/>
            <w:hideMark/>
          </w:tcPr>
          <w:p w14:paraId="3FC3325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0.86</w:t>
            </w:r>
          </w:p>
        </w:tc>
        <w:tc>
          <w:tcPr>
            <w:tcW w:w="766" w:type="dxa"/>
            <w:shd w:val="clear" w:color="auto" w:fill="auto"/>
            <w:vAlign w:val="center"/>
            <w:hideMark/>
          </w:tcPr>
          <w:p w14:paraId="3E6F48A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1.01</w:t>
            </w:r>
          </w:p>
        </w:tc>
        <w:tc>
          <w:tcPr>
            <w:tcW w:w="1611" w:type="dxa"/>
            <w:gridSpan w:val="2"/>
            <w:shd w:val="clear" w:color="auto" w:fill="auto"/>
            <w:vAlign w:val="center"/>
            <w:hideMark/>
          </w:tcPr>
          <w:p w14:paraId="4E4279E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0.91 - 1.12</w:t>
            </w:r>
          </w:p>
        </w:tc>
        <w:tc>
          <w:tcPr>
            <w:tcW w:w="657" w:type="dxa"/>
            <w:shd w:val="clear" w:color="auto" w:fill="auto"/>
            <w:vAlign w:val="center"/>
            <w:hideMark/>
          </w:tcPr>
          <w:p w14:paraId="674C0B0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0.82</w:t>
            </w:r>
          </w:p>
        </w:tc>
      </w:tr>
      <w:tr w:rsidR="00C43F36" w:rsidRPr="00C43F36" w14:paraId="7693A027" w14:textId="77777777" w:rsidTr="00C43F36">
        <w:trPr>
          <w:trHeight w:val="300"/>
        </w:trPr>
        <w:tc>
          <w:tcPr>
            <w:tcW w:w="2386" w:type="dxa"/>
            <w:vMerge/>
            <w:tcBorders>
              <w:bottom w:val="single" w:sz="4" w:space="0" w:color="auto"/>
            </w:tcBorders>
            <w:vAlign w:val="center"/>
            <w:hideMark/>
          </w:tcPr>
          <w:p w14:paraId="52FFC446"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391997B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&gt;30</w:t>
            </w:r>
          </w:p>
        </w:tc>
        <w:tc>
          <w:tcPr>
            <w:tcW w:w="896" w:type="dxa"/>
            <w:tcBorders>
              <w:bottom w:val="single" w:sz="4" w:space="0" w:color="auto"/>
            </w:tcBorders>
            <w:shd w:val="clear" w:color="auto" w:fill="auto"/>
            <w:vAlign w:val="center"/>
            <w:hideMark/>
          </w:tcPr>
          <w:p w14:paraId="25DDD24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1.65</w:t>
            </w:r>
          </w:p>
        </w:tc>
        <w:tc>
          <w:tcPr>
            <w:tcW w:w="1417" w:type="dxa"/>
            <w:gridSpan w:val="2"/>
            <w:tcBorders>
              <w:bottom w:val="single" w:sz="4" w:space="0" w:color="auto"/>
            </w:tcBorders>
            <w:shd w:val="clear" w:color="auto" w:fill="auto"/>
            <w:vAlign w:val="center"/>
            <w:hideMark/>
          </w:tcPr>
          <w:p w14:paraId="49D880E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1.47 - 1.85</w:t>
            </w:r>
          </w:p>
        </w:tc>
        <w:tc>
          <w:tcPr>
            <w:tcW w:w="851" w:type="dxa"/>
            <w:tcBorders>
              <w:bottom w:val="single" w:sz="4" w:space="0" w:color="auto"/>
            </w:tcBorders>
            <w:shd w:val="clear" w:color="auto" w:fill="auto"/>
            <w:vAlign w:val="center"/>
            <w:hideMark/>
          </w:tcPr>
          <w:p w14:paraId="11D5DD9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54A36C4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1.29</w:t>
            </w:r>
          </w:p>
        </w:tc>
        <w:tc>
          <w:tcPr>
            <w:tcW w:w="1448" w:type="dxa"/>
            <w:gridSpan w:val="2"/>
            <w:tcBorders>
              <w:bottom w:val="single" w:sz="4" w:space="0" w:color="auto"/>
            </w:tcBorders>
            <w:shd w:val="clear" w:color="auto" w:fill="auto"/>
            <w:vAlign w:val="center"/>
            <w:hideMark/>
          </w:tcPr>
          <w:p w14:paraId="1C7DF25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1.15 - 1.46</w:t>
            </w:r>
          </w:p>
        </w:tc>
        <w:tc>
          <w:tcPr>
            <w:tcW w:w="935" w:type="dxa"/>
            <w:tcBorders>
              <w:bottom w:val="single" w:sz="4" w:space="0" w:color="auto"/>
            </w:tcBorders>
            <w:shd w:val="clear" w:color="auto" w:fill="auto"/>
            <w:vAlign w:val="center"/>
            <w:hideMark/>
          </w:tcPr>
          <w:p w14:paraId="26C74BA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46AD064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w:t>
            </w:r>
          </w:p>
        </w:tc>
        <w:tc>
          <w:tcPr>
            <w:tcW w:w="1611" w:type="dxa"/>
            <w:gridSpan w:val="2"/>
            <w:tcBorders>
              <w:bottom w:val="single" w:sz="4" w:space="0" w:color="auto"/>
            </w:tcBorders>
            <w:shd w:val="clear" w:color="auto" w:fill="auto"/>
            <w:vAlign w:val="center"/>
            <w:hideMark/>
          </w:tcPr>
          <w:p w14:paraId="76D7954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1.24 - 1.58</w:t>
            </w:r>
          </w:p>
        </w:tc>
        <w:tc>
          <w:tcPr>
            <w:tcW w:w="657" w:type="dxa"/>
            <w:tcBorders>
              <w:bottom w:val="single" w:sz="4" w:space="0" w:color="auto"/>
            </w:tcBorders>
            <w:shd w:val="clear" w:color="auto" w:fill="auto"/>
            <w:vAlign w:val="center"/>
            <w:hideMark/>
          </w:tcPr>
          <w:p w14:paraId="4785E44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73851AE3" w14:textId="77777777" w:rsidTr="00C43F36">
        <w:trPr>
          <w:trHeight w:val="300"/>
        </w:trPr>
        <w:tc>
          <w:tcPr>
            <w:tcW w:w="2386" w:type="dxa"/>
            <w:vMerge w:val="restart"/>
            <w:tcBorders>
              <w:top w:val="single" w:sz="4" w:space="0" w:color="auto"/>
            </w:tcBorders>
            <w:shd w:val="clear" w:color="auto" w:fill="auto"/>
            <w:vAlign w:val="center"/>
            <w:hideMark/>
          </w:tcPr>
          <w:p w14:paraId="1873FDFE"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Stage</w:t>
            </w:r>
          </w:p>
        </w:tc>
        <w:tc>
          <w:tcPr>
            <w:tcW w:w="2105" w:type="dxa"/>
            <w:tcBorders>
              <w:top w:val="single" w:sz="4" w:space="0" w:color="auto"/>
            </w:tcBorders>
            <w:shd w:val="clear" w:color="auto" w:fill="auto"/>
            <w:vAlign w:val="center"/>
            <w:hideMark/>
          </w:tcPr>
          <w:p w14:paraId="34E3BCA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I /II</w:t>
            </w:r>
          </w:p>
        </w:tc>
        <w:tc>
          <w:tcPr>
            <w:tcW w:w="896" w:type="dxa"/>
            <w:tcBorders>
              <w:top w:val="single" w:sz="4" w:space="0" w:color="auto"/>
            </w:tcBorders>
            <w:shd w:val="clear" w:color="auto" w:fill="auto"/>
            <w:vAlign w:val="center"/>
            <w:hideMark/>
          </w:tcPr>
          <w:p w14:paraId="1FC8780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68B0A07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5B08065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5DE7F1A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262F4AE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7F5A07B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3BE7CCD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46AAB65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1E21033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49702507" w14:textId="77777777" w:rsidTr="00C43F36">
        <w:trPr>
          <w:trHeight w:val="300"/>
        </w:trPr>
        <w:tc>
          <w:tcPr>
            <w:tcW w:w="2386" w:type="dxa"/>
            <w:vMerge/>
            <w:vAlign w:val="center"/>
            <w:hideMark/>
          </w:tcPr>
          <w:p w14:paraId="5465625C"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507B52D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III</w:t>
            </w:r>
          </w:p>
        </w:tc>
        <w:tc>
          <w:tcPr>
            <w:tcW w:w="896" w:type="dxa"/>
            <w:shd w:val="clear" w:color="auto" w:fill="auto"/>
            <w:vAlign w:val="center"/>
            <w:hideMark/>
          </w:tcPr>
          <w:p w14:paraId="2625DFC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1.13</w:t>
            </w:r>
          </w:p>
        </w:tc>
        <w:tc>
          <w:tcPr>
            <w:tcW w:w="1417" w:type="dxa"/>
            <w:gridSpan w:val="2"/>
            <w:shd w:val="clear" w:color="auto" w:fill="auto"/>
            <w:vAlign w:val="center"/>
            <w:hideMark/>
          </w:tcPr>
          <w:p w14:paraId="16063DFE"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1.02 - 1.25</w:t>
            </w:r>
          </w:p>
        </w:tc>
        <w:tc>
          <w:tcPr>
            <w:tcW w:w="851" w:type="dxa"/>
            <w:shd w:val="clear" w:color="auto" w:fill="auto"/>
            <w:vAlign w:val="center"/>
            <w:hideMark/>
          </w:tcPr>
          <w:p w14:paraId="0885004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0.02</w:t>
            </w:r>
          </w:p>
        </w:tc>
        <w:tc>
          <w:tcPr>
            <w:tcW w:w="820" w:type="dxa"/>
            <w:shd w:val="clear" w:color="auto" w:fill="auto"/>
            <w:vAlign w:val="center"/>
            <w:hideMark/>
          </w:tcPr>
          <w:p w14:paraId="716991A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1.08</w:t>
            </w:r>
          </w:p>
        </w:tc>
        <w:tc>
          <w:tcPr>
            <w:tcW w:w="1448" w:type="dxa"/>
            <w:gridSpan w:val="2"/>
            <w:shd w:val="clear" w:color="auto" w:fill="auto"/>
            <w:vAlign w:val="center"/>
            <w:hideMark/>
          </w:tcPr>
          <w:p w14:paraId="7A06251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0.97 - 1.2</w:t>
            </w:r>
          </w:p>
        </w:tc>
        <w:tc>
          <w:tcPr>
            <w:tcW w:w="935" w:type="dxa"/>
            <w:shd w:val="clear" w:color="auto" w:fill="auto"/>
            <w:vAlign w:val="center"/>
            <w:hideMark/>
          </w:tcPr>
          <w:p w14:paraId="58C9A06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0.14</w:t>
            </w:r>
          </w:p>
        </w:tc>
        <w:tc>
          <w:tcPr>
            <w:tcW w:w="766" w:type="dxa"/>
            <w:shd w:val="clear" w:color="auto" w:fill="auto"/>
            <w:vAlign w:val="center"/>
            <w:hideMark/>
          </w:tcPr>
          <w:p w14:paraId="4A1C2A9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1.12</w:t>
            </w:r>
          </w:p>
        </w:tc>
        <w:tc>
          <w:tcPr>
            <w:tcW w:w="1611" w:type="dxa"/>
            <w:gridSpan w:val="2"/>
            <w:shd w:val="clear" w:color="auto" w:fill="auto"/>
            <w:vAlign w:val="center"/>
            <w:hideMark/>
          </w:tcPr>
          <w:p w14:paraId="359A0CF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1.01 - 1.25</w:t>
            </w:r>
          </w:p>
        </w:tc>
        <w:tc>
          <w:tcPr>
            <w:tcW w:w="657" w:type="dxa"/>
            <w:shd w:val="clear" w:color="auto" w:fill="auto"/>
            <w:vAlign w:val="center"/>
            <w:hideMark/>
          </w:tcPr>
          <w:p w14:paraId="71F1199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r>
      <w:tr w:rsidR="00C43F36" w:rsidRPr="00C43F36" w14:paraId="163C743C" w14:textId="77777777" w:rsidTr="00C43F36">
        <w:trPr>
          <w:trHeight w:val="300"/>
        </w:trPr>
        <w:tc>
          <w:tcPr>
            <w:tcW w:w="2386" w:type="dxa"/>
            <w:vMerge/>
            <w:tcBorders>
              <w:bottom w:val="single" w:sz="4" w:space="0" w:color="auto"/>
            </w:tcBorders>
            <w:vAlign w:val="center"/>
            <w:hideMark/>
          </w:tcPr>
          <w:p w14:paraId="6E494F96"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0D7F29B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IV</w:t>
            </w:r>
          </w:p>
        </w:tc>
        <w:tc>
          <w:tcPr>
            <w:tcW w:w="896" w:type="dxa"/>
            <w:tcBorders>
              <w:bottom w:val="single" w:sz="4" w:space="0" w:color="auto"/>
            </w:tcBorders>
            <w:shd w:val="clear" w:color="auto" w:fill="auto"/>
            <w:vAlign w:val="center"/>
            <w:hideMark/>
          </w:tcPr>
          <w:p w14:paraId="62707E5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1.44</w:t>
            </w:r>
          </w:p>
        </w:tc>
        <w:tc>
          <w:tcPr>
            <w:tcW w:w="1417" w:type="dxa"/>
            <w:gridSpan w:val="2"/>
            <w:tcBorders>
              <w:bottom w:val="single" w:sz="4" w:space="0" w:color="auto"/>
            </w:tcBorders>
            <w:shd w:val="clear" w:color="auto" w:fill="auto"/>
            <w:vAlign w:val="center"/>
            <w:hideMark/>
          </w:tcPr>
          <w:p w14:paraId="10ABAB2C"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1.27 - 1.63</w:t>
            </w:r>
          </w:p>
        </w:tc>
        <w:tc>
          <w:tcPr>
            <w:tcW w:w="851" w:type="dxa"/>
            <w:tcBorders>
              <w:bottom w:val="single" w:sz="4" w:space="0" w:color="auto"/>
            </w:tcBorders>
            <w:shd w:val="clear" w:color="auto" w:fill="auto"/>
            <w:vAlign w:val="center"/>
            <w:hideMark/>
          </w:tcPr>
          <w:p w14:paraId="24D2691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371744D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1.47</w:t>
            </w:r>
          </w:p>
        </w:tc>
        <w:tc>
          <w:tcPr>
            <w:tcW w:w="1448" w:type="dxa"/>
            <w:gridSpan w:val="2"/>
            <w:tcBorders>
              <w:bottom w:val="single" w:sz="4" w:space="0" w:color="auto"/>
            </w:tcBorders>
            <w:shd w:val="clear" w:color="auto" w:fill="auto"/>
            <w:vAlign w:val="center"/>
            <w:hideMark/>
          </w:tcPr>
          <w:p w14:paraId="12B9CF7E"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1.28 - 1.68</w:t>
            </w:r>
          </w:p>
        </w:tc>
        <w:tc>
          <w:tcPr>
            <w:tcW w:w="935" w:type="dxa"/>
            <w:tcBorders>
              <w:bottom w:val="single" w:sz="4" w:space="0" w:color="auto"/>
            </w:tcBorders>
            <w:shd w:val="clear" w:color="auto" w:fill="auto"/>
            <w:vAlign w:val="center"/>
            <w:hideMark/>
          </w:tcPr>
          <w:p w14:paraId="7D59DC4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7B638E6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1.26</w:t>
            </w:r>
          </w:p>
        </w:tc>
        <w:tc>
          <w:tcPr>
            <w:tcW w:w="1611" w:type="dxa"/>
            <w:gridSpan w:val="2"/>
            <w:tcBorders>
              <w:bottom w:val="single" w:sz="4" w:space="0" w:color="auto"/>
            </w:tcBorders>
            <w:shd w:val="clear" w:color="auto" w:fill="auto"/>
            <w:vAlign w:val="center"/>
            <w:hideMark/>
          </w:tcPr>
          <w:p w14:paraId="355A7802"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1.10 - 1.45</w:t>
            </w:r>
          </w:p>
        </w:tc>
        <w:tc>
          <w:tcPr>
            <w:tcW w:w="657" w:type="dxa"/>
            <w:tcBorders>
              <w:bottom w:val="single" w:sz="4" w:space="0" w:color="auto"/>
            </w:tcBorders>
            <w:shd w:val="clear" w:color="auto" w:fill="auto"/>
            <w:vAlign w:val="center"/>
            <w:hideMark/>
          </w:tcPr>
          <w:p w14:paraId="6ABAAAE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003C399E" w14:textId="77777777" w:rsidTr="00C43F36">
        <w:trPr>
          <w:trHeight w:val="300"/>
        </w:trPr>
        <w:tc>
          <w:tcPr>
            <w:tcW w:w="2386" w:type="dxa"/>
            <w:vMerge w:val="restart"/>
            <w:tcBorders>
              <w:top w:val="single" w:sz="4" w:space="0" w:color="auto"/>
            </w:tcBorders>
            <w:shd w:val="clear" w:color="auto" w:fill="auto"/>
            <w:vAlign w:val="center"/>
            <w:hideMark/>
          </w:tcPr>
          <w:p w14:paraId="2843DA5F" w14:textId="77777777" w:rsidR="00C43F36" w:rsidRPr="00C43F36" w:rsidRDefault="00C43F36" w:rsidP="00966E61">
            <w:pPr>
              <w:spacing w:before="0" w:line="240" w:lineRule="auto"/>
              <w:jc w:val="right"/>
              <w:rPr>
                <w:rFonts w:eastAsia="Times New Roman"/>
                <w:b/>
                <w:bCs/>
                <w:sz w:val="20"/>
                <w:szCs w:val="20"/>
              </w:rPr>
            </w:pPr>
            <w:r w:rsidRPr="00C43F36">
              <w:rPr>
                <w:rFonts w:eastAsia="Times New Roman"/>
                <w:b/>
                <w:bCs/>
                <w:sz w:val="20"/>
                <w:szCs w:val="20"/>
              </w:rPr>
              <w:t>Treatment</w:t>
            </w:r>
          </w:p>
        </w:tc>
        <w:tc>
          <w:tcPr>
            <w:tcW w:w="2105" w:type="dxa"/>
            <w:tcBorders>
              <w:top w:val="single" w:sz="4" w:space="0" w:color="auto"/>
            </w:tcBorders>
            <w:shd w:val="clear" w:color="auto" w:fill="auto"/>
            <w:vAlign w:val="center"/>
            <w:hideMark/>
          </w:tcPr>
          <w:p w14:paraId="4E1D274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Active surveillance</w:t>
            </w:r>
          </w:p>
        </w:tc>
        <w:tc>
          <w:tcPr>
            <w:tcW w:w="896" w:type="dxa"/>
            <w:tcBorders>
              <w:top w:val="single" w:sz="4" w:space="0" w:color="auto"/>
            </w:tcBorders>
            <w:shd w:val="clear" w:color="auto" w:fill="auto"/>
            <w:vAlign w:val="center"/>
            <w:hideMark/>
          </w:tcPr>
          <w:p w14:paraId="4F79CF6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17" w:type="dxa"/>
            <w:gridSpan w:val="2"/>
            <w:tcBorders>
              <w:top w:val="single" w:sz="4" w:space="0" w:color="auto"/>
            </w:tcBorders>
            <w:shd w:val="clear" w:color="auto" w:fill="auto"/>
            <w:vAlign w:val="center"/>
            <w:hideMark/>
          </w:tcPr>
          <w:p w14:paraId="0F1663C2"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851" w:type="dxa"/>
            <w:tcBorders>
              <w:top w:val="single" w:sz="4" w:space="0" w:color="auto"/>
            </w:tcBorders>
            <w:shd w:val="clear" w:color="auto" w:fill="auto"/>
            <w:vAlign w:val="center"/>
            <w:hideMark/>
          </w:tcPr>
          <w:p w14:paraId="68FDCBF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820" w:type="dxa"/>
            <w:tcBorders>
              <w:top w:val="single" w:sz="4" w:space="0" w:color="auto"/>
            </w:tcBorders>
            <w:shd w:val="clear" w:color="auto" w:fill="auto"/>
            <w:vAlign w:val="center"/>
            <w:hideMark/>
          </w:tcPr>
          <w:p w14:paraId="6B85947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448" w:type="dxa"/>
            <w:gridSpan w:val="2"/>
            <w:tcBorders>
              <w:top w:val="single" w:sz="4" w:space="0" w:color="auto"/>
            </w:tcBorders>
            <w:shd w:val="clear" w:color="auto" w:fill="auto"/>
            <w:vAlign w:val="center"/>
            <w:hideMark/>
          </w:tcPr>
          <w:p w14:paraId="7E9CC69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935" w:type="dxa"/>
            <w:tcBorders>
              <w:top w:val="single" w:sz="4" w:space="0" w:color="auto"/>
            </w:tcBorders>
            <w:shd w:val="clear" w:color="auto" w:fill="auto"/>
            <w:vAlign w:val="center"/>
            <w:hideMark/>
          </w:tcPr>
          <w:p w14:paraId="5F7B34F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c>
          <w:tcPr>
            <w:tcW w:w="766" w:type="dxa"/>
            <w:tcBorders>
              <w:top w:val="single" w:sz="4" w:space="0" w:color="auto"/>
            </w:tcBorders>
            <w:shd w:val="clear" w:color="auto" w:fill="auto"/>
            <w:vAlign w:val="center"/>
            <w:hideMark/>
          </w:tcPr>
          <w:p w14:paraId="14ACDFA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w:t>
            </w:r>
          </w:p>
        </w:tc>
        <w:tc>
          <w:tcPr>
            <w:tcW w:w="1611" w:type="dxa"/>
            <w:gridSpan w:val="2"/>
            <w:tcBorders>
              <w:top w:val="single" w:sz="4" w:space="0" w:color="auto"/>
            </w:tcBorders>
            <w:shd w:val="clear" w:color="auto" w:fill="auto"/>
            <w:vAlign w:val="center"/>
            <w:hideMark/>
          </w:tcPr>
          <w:p w14:paraId="470CA1F2"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 </w:t>
            </w:r>
          </w:p>
        </w:tc>
        <w:tc>
          <w:tcPr>
            <w:tcW w:w="657" w:type="dxa"/>
            <w:tcBorders>
              <w:top w:val="single" w:sz="4" w:space="0" w:color="auto"/>
            </w:tcBorders>
            <w:shd w:val="clear" w:color="auto" w:fill="auto"/>
            <w:vAlign w:val="center"/>
            <w:hideMark/>
          </w:tcPr>
          <w:p w14:paraId="4AAD950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 </w:t>
            </w:r>
          </w:p>
        </w:tc>
      </w:tr>
      <w:tr w:rsidR="00C43F36" w:rsidRPr="00C43F36" w14:paraId="6DA23EC0" w14:textId="77777777" w:rsidTr="00C43F36">
        <w:trPr>
          <w:trHeight w:val="300"/>
        </w:trPr>
        <w:tc>
          <w:tcPr>
            <w:tcW w:w="2386" w:type="dxa"/>
            <w:vMerge/>
            <w:vAlign w:val="center"/>
            <w:hideMark/>
          </w:tcPr>
          <w:p w14:paraId="217B1BB9"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0AE339F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Surgery alone</w:t>
            </w:r>
          </w:p>
        </w:tc>
        <w:tc>
          <w:tcPr>
            <w:tcW w:w="896" w:type="dxa"/>
            <w:shd w:val="clear" w:color="auto" w:fill="auto"/>
            <w:vAlign w:val="center"/>
            <w:hideMark/>
          </w:tcPr>
          <w:p w14:paraId="4A336B9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1.24</w:t>
            </w:r>
          </w:p>
        </w:tc>
        <w:tc>
          <w:tcPr>
            <w:tcW w:w="1417" w:type="dxa"/>
            <w:gridSpan w:val="2"/>
            <w:shd w:val="clear" w:color="auto" w:fill="auto"/>
            <w:vAlign w:val="center"/>
            <w:hideMark/>
          </w:tcPr>
          <w:p w14:paraId="31B3FFF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1.02 - 1.5</w:t>
            </w:r>
          </w:p>
        </w:tc>
        <w:tc>
          <w:tcPr>
            <w:tcW w:w="851" w:type="dxa"/>
            <w:shd w:val="clear" w:color="auto" w:fill="auto"/>
            <w:vAlign w:val="center"/>
            <w:hideMark/>
          </w:tcPr>
          <w:p w14:paraId="616F545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c>
          <w:tcPr>
            <w:tcW w:w="820" w:type="dxa"/>
            <w:shd w:val="clear" w:color="auto" w:fill="auto"/>
            <w:vAlign w:val="center"/>
            <w:hideMark/>
          </w:tcPr>
          <w:p w14:paraId="07043F0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1.21</w:t>
            </w:r>
          </w:p>
        </w:tc>
        <w:tc>
          <w:tcPr>
            <w:tcW w:w="1448" w:type="dxa"/>
            <w:gridSpan w:val="2"/>
            <w:shd w:val="clear" w:color="auto" w:fill="auto"/>
            <w:vAlign w:val="center"/>
            <w:hideMark/>
          </w:tcPr>
          <w:p w14:paraId="48F23E0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1.02 - 1.43</w:t>
            </w:r>
          </w:p>
        </w:tc>
        <w:tc>
          <w:tcPr>
            <w:tcW w:w="935" w:type="dxa"/>
            <w:shd w:val="clear" w:color="auto" w:fill="auto"/>
            <w:vAlign w:val="center"/>
            <w:hideMark/>
          </w:tcPr>
          <w:p w14:paraId="1041F6D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0.03</w:t>
            </w:r>
          </w:p>
        </w:tc>
        <w:tc>
          <w:tcPr>
            <w:tcW w:w="766" w:type="dxa"/>
            <w:shd w:val="clear" w:color="auto" w:fill="auto"/>
            <w:vAlign w:val="center"/>
            <w:hideMark/>
          </w:tcPr>
          <w:p w14:paraId="4DA6A82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1.36</w:t>
            </w:r>
          </w:p>
        </w:tc>
        <w:tc>
          <w:tcPr>
            <w:tcW w:w="1611" w:type="dxa"/>
            <w:gridSpan w:val="2"/>
            <w:shd w:val="clear" w:color="auto" w:fill="auto"/>
            <w:vAlign w:val="center"/>
            <w:hideMark/>
          </w:tcPr>
          <w:p w14:paraId="0D8F015F"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1.14 - 1.62</w:t>
            </w:r>
          </w:p>
        </w:tc>
        <w:tc>
          <w:tcPr>
            <w:tcW w:w="657" w:type="dxa"/>
            <w:shd w:val="clear" w:color="auto" w:fill="auto"/>
            <w:vAlign w:val="center"/>
            <w:hideMark/>
          </w:tcPr>
          <w:p w14:paraId="42345B6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7666D510" w14:textId="77777777" w:rsidTr="00C43F36">
        <w:trPr>
          <w:trHeight w:val="300"/>
        </w:trPr>
        <w:tc>
          <w:tcPr>
            <w:tcW w:w="2386" w:type="dxa"/>
            <w:vMerge/>
            <w:vAlign w:val="center"/>
            <w:hideMark/>
          </w:tcPr>
          <w:p w14:paraId="044E3388"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471B8B8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EBRT alone</w:t>
            </w:r>
          </w:p>
        </w:tc>
        <w:tc>
          <w:tcPr>
            <w:tcW w:w="896" w:type="dxa"/>
            <w:shd w:val="clear" w:color="auto" w:fill="auto"/>
            <w:vAlign w:val="center"/>
            <w:hideMark/>
          </w:tcPr>
          <w:p w14:paraId="06C55AF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1.29</w:t>
            </w:r>
          </w:p>
        </w:tc>
        <w:tc>
          <w:tcPr>
            <w:tcW w:w="1417" w:type="dxa"/>
            <w:gridSpan w:val="2"/>
            <w:shd w:val="clear" w:color="auto" w:fill="auto"/>
            <w:vAlign w:val="center"/>
            <w:hideMark/>
          </w:tcPr>
          <w:p w14:paraId="5C3F9F2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1.04 - 1.61</w:t>
            </w:r>
          </w:p>
        </w:tc>
        <w:tc>
          <w:tcPr>
            <w:tcW w:w="851" w:type="dxa"/>
            <w:shd w:val="clear" w:color="auto" w:fill="auto"/>
            <w:vAlign w:val="center"/>
            <w:hideMark/>
          </w:tcPr>
          <w:p w14:paraId="0FC98AD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0.02</w:t>
            </w:r>
          </w:p>
        </w:tc>
        <w:tc>
          <w:tcPr>
            <w:tcW w:w="820" w:type="dxa"/>
            <w:shd w:val="clear" w:color="auto" w:fill="auto"/>
            <w:vAlign w:val="center"/>
            <w:hideMark/>
          </w:tcPr>
          <w:p w14:paraId="41DF19C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1.41</w:t>
            </w:r>
          </w:p>
        </w:tc>
        <w:tc>
          <w:tcPr>
            <w:tcW w:w="1448" w:type="dxa"/>
            <w:gridSpan w:val="2"/>
            <w:shd w:val="clear" w:color="auto" w:fill="auto"/>
            <w:vAlign w:val="center"/>
            <w:hideMark/>
          </w:tcPr>
          <w:p w14:paraId="26EC43A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1.14 - 1.73</w:t>
            </w:r>
          </w:p>
        </w:tc>
        <w:tc>
          <w:tcPr>
            <w:tcW w:w="935" w:type="dxa"/>
            <w:shd w:val="clear" w:color="auto" w:fill="auto"/>
            <w:vAlign w:val="center"/>
            <w:hideMark/>
          </w:tcPr>
          <w:p w14:paraId="50EB3FA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6BF573B5"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1.33</w:t>
            </w:r>
          </w:p>
        </w:tc>
        <w:tc>
          <w:tcPr>
            <w:tcW w:w="1611" w:type="dxa"/>
            <w:gridSpan w:val="2"/>
            <w:shd w:val="clear" w:color="auto" w:fill="auto"/>
            <w:vAlign w:val="center"/>
            <w:hideMark/>
          </w:tcPr>
          <w:p w14:paraId="4264CDA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1.07 -  1.65</w:t>
            </w:r>
          </w:p>
        </w:tc>
        <w:tc>
          <w:tcPr>
            <w:tcW w:w="657" w:type="dxa"/>
            <w:shd w:val="clear" w:color="auto" w:fill="auto"/>
            <w:vAlign w:val="center"/>
            <w:hideMark/>
          </w:tcPr>
          <w:p w14:paraId="3031827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0.01</w:t>
            </w:r>
          </w:p>
        </w:tc>
      </w:tr>
      <w:tr w:rsidR="00C43F36" w:rsidRPr="00C43F36" w14:paraId="56054D4E" w14:textId="77777777" w:rsidTr="00C43F36">
        <w:trPr>
          <w:trHeight w:val="300"/>
        </w:trPr>
        <w:tc>
          <w:tcPr>
            <w:tcW w:w="2386" w:type="dxa"/>
            <w:vMerge/>
            <w:vAlign w:val="center"/>
            <w:hideMark/>
          </w:tcPr>
          <w:p w14:paraId="6208ABBD"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01B1654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Brachytherapy alone</w:t>
            </w:r>
          </w:p>
        </w:tc>
        <w:tc>
          <w:tcPr>
            <w:tcW w:w="896" w:type="dxa"/>
            <w:shd w:val="clear" w:color="auto" w:fill="auto"/>
            <w:vAlign w:val="center"/>
            <w:hideMark/>
          </w:tcPr>
          <w:p w14:paraId="0D8712B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0.8</w:t>
            </w:r>
          </w:p>
        </w:tc>
        <w:tc>
          <w:tcPr>
            <w:tcW w:w="1417" w:type="dxa"/>
            <w:gridSpan w:val="2"/>
            <w:shd w:val="clear" w:color="auto" w:fill="auto"/>
            <w:vAlign w:val="center"/>
            <w:hideMark/>
          </w:tcPr>
          <w:p w14:paraId="11E49EC4"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0.57 - 1.12</w:t>
            </w:r>
          </w:p>
        </w:tc>
        <w:tc>
          <w:tcPr>
            <w:tcW w:w="851" w:type="dxa"/>
            <w:shd w:val="clear" w:color="auto" w:fill="auto"/>
            <w:vAlign w:val="center"/>
            <w:hideMark/>
          </w:tcPr>
          <w:p w14:paraId="0AAB91D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0.19</w:t>
            </w:r>
          </w:p>
        </w:tc>
        <w:tc>
          <w:tcPr>
            <w:tcW w:w="820" w:type="dxa"/>
            <w:shd w:val="clear" w:color="auto" w:fill="auto"/>
            <w:vAlign w:val="center"/>
            <w:hideMark/>
          </w:tcPr>
          <w:p w14:paraId="7307516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0.85</w:t>
            </w:r>
          </w:p>
        </w:tc>
        <w:tc>
          <w:tcPr>
            <w:tcW w:w="1448" w:type="dxa"/>
            <w:gridSpan w:val="2"/>
            <w:shd w:val="clear" w:color="auto" w:fill="auto"/>
            <w:vAlign w:val="center"/>
            <w:hideMark/>
          </w:tcPr>
          <w:p w14:paraId="7ACBBEC0"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0.64 - 1.13</w:t>
            </w:r>
          </w:p>
        </w:tc>
        <w:tc>
          <w:tcPr>
            <w:tcW w:w="935" w:type="dxa"/>
            <w:shd w:val="clear" w:color="auto" w:fill="auto"/>
            <w:vAlign w:val="center"/>
            <w:hideMark/>
          </w:tcPr>
          <w:p w14:paraId="7561CB3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0.27</w:t>
            </w:r>
          </w:p>
        </w:tc>
        <w:tc>
          <w:tcPr>
            <w:tcW w:w="766" w:type="dxa"/>
            <w:shd w:val="clear" w:color="auto" w:fill="auto"/>
            <w:vAlign w:val="center"/>
            <w:hideMark/>
          </w:tcPr>
          <w:p w14:paraId="43BD62A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0.9</w:t>
            </w:r>
          </w:p>
        </w:tc>
        <w:tc>
          <w:tcPr>
            <w:tcW w:w="1611" w:type="dxa"/>
            <w:gridSpan w:val="2"/>
            <w:shd w:val="clear" w:color="auto" w:fill="auto"/>
            <w:vAlign w:val="center"/>
            <w:hideMark/>
          </w:tcPr>
          <w:p w14:paraId="537F907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0.67 - 1.21</w:t>
            </w:r>
          </w:p>
        </w:tc>
        <w:tc>
          <w:tcPr>
            <w:tcW w:w="657" w:type="dxa"/>
            <w:shd w:val="clear" w:color="auto" w:fill="auto"/>
            <w:vAlign w:val="center"/>
            <w:hideMark/>
          </w:tcPr>
          <w:p w14:paraId="5FD6FF1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0.48</w:t>
            </w:r>
          </w:p>
        </w:tc>
      </w:tr>
      <w:tr w:rsidR="00C43F36" w:rsidRPr="00C43F36" w14:paraId="3287230C" w14:textId="77777777" w:rsidTr="00C43F36">
        <w:trPr>
          <w:trHeight w:val="300"/>
        </w:trPr>
        <w:tc>
          <w:tcPr>
            <w:tcW w:w="2386" w:type="dxa"/>
            <w:vMerge/>
            <w:vAlign w:val="center"/>
            <w:hideMark/>
          </w:tcPr>
          <w:p w14:paraId="24738068"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7E11CBC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ADT alone</w:t>
            </w:r>
          </w:p>
        </w:tc>
        <w:tc>
          <w:tcPr>
            <w:tcW w:w="896" w:type="dxa"/>
            <w:shd w:val="clear" w:color="auto" w:fill="auto"/>
            <w:vAlign w:val="center"/>
            <w:hideMark/>
          </w:tcPr>
          <w:p w14:paraId="0BC4764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2.15</w:t>
            </w:r>
          </w:p>
        </w:tc>
        <w:tc>
          <w:tcPr>
            <w:tcW w:w="1417" w:type="dxa"/>
            <w:gridSpan w:val="2"/>
            <w:shd w:val="clear" w:color="auto" w:fill="auto"/>
            <w:vAlign w:val="center"/>
            <w:hideMark/>
          </w:tcPr>
          <w:p w14:paraId="0AF95BFB"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1.75 - 2.63</w:t>
            </w:r>
          </w:p>
        </w:tc>
        <w:tc>
          <w:tcPr>
            <w:tcW w:w="851" w:type="dxa"/>
            <w:shd w:val="clear" w:color="auto" w:fill="auto"/>
            <w:vAlign w:val="center"/>
            <w:hideMark/>
          </w:tcPr>
          <w:p w14:paraId="1B4A60C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0F6FC62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1.55</w:t>
            </w:r>
          </w:p>
        </w:tc>
        <w:tc>
          <w:tcPr>
            <w:tcW w:w="1448" w:type="dxa"/>
            <w:gridSpan w:val="2"/>
            <w:shd w:val="clear" w:color="auto" w:fill="auto"/>
            <w:vAlign w:val="center"/>
            <w:hideMark/>
          </w:tcPr>
          <w:p w14:paraId="4E10A1ED"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1.25 - 1.91</w:t>
            </w:r>
          </w:p>
        </w:tc>
        <w:tc>
          <w:tcPr>
            <w:tcW w:w="935" w:type="dxa"/>
            <w:shd w:val="clear" w:color="auto" w:fill="auto"/>
            <w:vAlign w:val="center"/>
            <w:hideMark/>
          </w:tcPr>
          <w:p w14:paraId="6F20D4F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5996053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1.74</w:t>
            </w:r>
          </w:p>
        </w:tc>
        <w:tc>
          <w:tcPr>
            <w:tcW w:w="1611" w:type="dxa"/>
            <w:gridSpan w:val="2"/>
            <w:shd w:val="clear" w:color="auto" w:fill="auto"/>
            <w:vAlign w:val="center"/>
            <w:hideMark/>
          </w:tcPr>
          <w:p w14:paraId="6B528C3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1.41 - 2.15</w:t>
            </w:r>
          </w:p>
        </w:tc>
        <w:tc>
          <w:tcPr>
            <w:tcW w:w="657" w:type="dxa"/>
            <w:shd w:val="clear" w:color="auto" w:fill="auto"/>
            <w:vAlign w:val="center"/>
            <w:hideMark/>
          </w:tcPr>
          <w:p w14:paraId="58D9B1C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65E0510A" w14:textId="77777777" w:rsidTr="00C43F36">
        <w:trPr>
          <w:trHeight w:val="300"/>
        </w:trPr>
        <w:tc>
          <w:tcPr>
            <w:tcW w:w="2386" w:type="dxa"/>
            <w:vMerge/>
            <w:vAlign w:val="center"/>
            <w:hideMark/>
          </w:tcPr>
          <w:p w14:paraId="05585CD4"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29EDDFD9"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Watchful waiting</w:t>
            </w:r>
          </w:p>
        </w:tc>
        <w:tc>
          <w:tcPr>
            <w:tcW w:w="896" w:type="dxa"/>
            <w:shd w:val="clear" w:color="auto" w:fill="auto"/>
            <w:vAlign w:val="center"/>
            <w:hideMark/>
          </w:tcPr>
          <w:p w14:paraId="25B14F7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1.34</w:t>
            </w:r>
          </w:p>
        </w:tc>
        <w:tc>
          <w:tcPr>
            <w:tcW w:w="1417" w:type="dxa"/>
            <w:gridSpan w:val="2"/>
            <w:shd w:val="clear" w:color="auto" w:fill="auto"/>
            <w:vAlign w:val="center"/>
            <w:hideMark/>
          </w:tcPr>
          <w:p w14:paraId="1E42549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1.07 - 1.67</w:t>
            </w:r>
          </w:p>
        </w:tc>
        <w:tc>
          <w:tcPr>
            <w:tcW w:w="851" w:type="dxa"/>
            <w:shd w:val="clear" w:color="auto" w:fill="auto"/>
            <w:vAlign w:val="center"/>
            <w:hideMark/>
          </w:tcPr>
          <w:p w14:paraId="71B3B57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0.01</w:t>
            </w:r>
          </w:p>
        </w:tc>
        <w:tc>
          <w:tcPr>
            <w:tcW w:w="820" w:type="dxa"/>
            <w:shd w:val="clear" w:color="auto" w:fill="auto"/>
            <w:vAlign w:val="center"/>
            <w:hideMark/>
          </w:tcPr>
          <w:p w14:paraId="164662B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1.17</w:t>
            </w:r>
          </w:p>
        </w:tc>
        <w:tc>
          <w:tcPr>
            <w:tcW w:w="1448" w:type="dxa"/>
            <w:gridSpan w:val="2"/>
            <w:shd w:val="clear" w:color="auto" w:fill="auto"/>
            <w:vAlign w:val="center"/>
            <w:hideMark/>
          </w:tcPr>
          <w:p w14:paraId="2544D188"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0.93 - 1.47</w:t>
            </w:r>
          </w:p>
        </w:tc>
        <w:tc>
          <w:tcPr>
            <w:tcW w:w="935" w:type="dxa"/>
            <w:shd w:val="clear" w:color="auto" w:fill="auto"/>
            <w:vAlign w:val="center"/>
            <w:hideMark/>
          </w:tcPr>
          <w:p w14:paraId="5C270ED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0.17</w:t>
            </w:r>
          </w:p>
        </w:tc>
        <w:tc>
          <w:tcPr>
            <w:tcW w:w="766" w:type="dxa"/>
            <w:shd w:val="clear" w:color="auto" w:fill="auto"/>
            <w:vAlign w:val="center"/>
            <w:hideMark/>
          </w:tcPr>
          <w:p w14:paraId="6171566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1.32</w:t>
            </w:r>
          </w:p>
        </w:tc>
        <w:tc>
          <w:tcPr>
            <w:tcW w:w="1611" w:type="dxa"/>
            <w:gridSpan w:val="2"/>
            <w:shd w:val="clear" w:color="auto" w:fill="auto"/>
            <w:vAlign w:val="center"/>
            <w:hideMark/>
          </w:tcPr>
          <w:p w14:paraId="540C706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1.05 - 1.66</w:t>
            </w:r>
          </w:p>
        </w:tc>
        <w:tc>
          <w:tcPr>
            <w:tcW w:w="657" w:type="dxa"/>
            <w:shd w:val="clear" w:color="auto" w:fill="auto"/>
            <w:vAlign w:val="center"/>
            <w:hideMark/>
          </w:tcPr>
          <w:p w14:paraId="7C41081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0.02</w:t>
            </w:r>
          </w:p>
        </w:tc>
      </w:tr>
      <w:tr w:rsidR="00C43F36" w:rsidRPr="00C43F36" w14:paraId="2EF82AC3" w14:textId="77777777" w:rsidTr="00C43F36">
        <w:trPr>
          <w:trHeight w:val="300"/>
        </w:trPr>
        <w:tc>
          <w:tcPr>
            <w:tcW w:w="2386" w:type="dxa"/>
            <w:vMerge/>
            <w:vAlign w:val="center"/>
            <w:hideMark/>
          </w:tcPr>
          <w:p w14:paraId="6991E20B"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1C99B20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EBRT &amp; ADT</w:t>
            </w:r>
          </w:p>
        </w:tc>
        <w:tc>
          <w:tcPr>
            <w:tcW w:w="896" w:type="dxa"/>
            <w:shd w:val="clear" w:color="auto" w:fill="auto"/>
            <w:vAlign w:val="center"/>
            <w:hideMark/>
          </w:tcPr>
          <w:p w14:paraId="4F4FEEA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1.53</w:t>
            </w:r>
          </w:p>
        </w:tc>
        <w:tc>
          <w:tcPr>
            <w:tcW w:w="1417" w:type="dxa"/>
            <w:gridSpan w:val="2"/>
            <w:shd w:val="clear" w:color="auto" w:fill="auto"/>
            <w:vAlign w:val="center"/>
            <w:hideMark/>
          </w:tcPr>
          <w:p w14:paraId="4882EE9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1.27 - 1.84</w:t>
            </w:r>
          </w:p>
        </w:tc>
        <w:tc>
          <w:tcPr>
            <w:tcW w:w="851" w:type="dxa"/>
            <w:shd w:val="clear" w:color="auto" w:fill="auto"/>
            <w:vAlign w:val="center"/>
            <w:hideMark/>
          </w:tcPr>
          <w:p w14:paraId="62079E4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594FBC9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1.37</w:t>
            </w:r>
          </w:p>
        </w:tc>
        <w:tc>
          <w:tcPr>
            <w:tcW w:w="1448" w:type="dxa"/>
            <w:gridSpan w:val="2"/>
            <w:shd w:val="clear" w:color="auto" w:fill="auto"/>
            <w:vAlign w:val="center"/>
            <w:hideMark/>
          </w:tcPr>
          <w:p w14:paraId="6302F2E6"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1.15 - 1.63</w:t>
            </w:r>
          </w:p>
        </w:tc>
        <w:tc>
          <w:tcPr>
            <w:tcW w:w="935" w:type="dxa"/>
            <w:shd w:val="clear" w:color="auto" w:fill="auto"/>
            <w:vAlign w:val="center"/>
            <w:hideMark/>
          </w:tcPr>
          <w:p w14:paraId="032D600A"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7ECA041F"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1.65</w:t>
            </w:r>
          </w:p>
        </w:tc>
        <w:tc>
          <w:tcPr>
            <w:tcW w:w="1611" w:type="dxa"/>
            <w:gridSpan w:val="2"/>
            <w:shd w:val="clear" w:color="auto" w:fill="auto"/>
            <w:vAlign w:val="center"/>
            <w:hideMark/>
          </w:tcPr>
          <w:p w14:paraId="270D04B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1.38 - 1.97</w:t>
            </w:r>
          </w:p>
        </w:tc>
        <w:tc>
          <w:tcPr>
            <w:tcW w:w="657" w:type="dxa"/>
            <w:shd w:val="clear" w:color="auto" w:fill="auto"/>
            <w:vAlign w:val="center"/>
            <w:hideMark/>
          </w:tcPr>
          <w:p w14:paraId="397A96C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3F12826E" w14:textId="77777777" w:rsidTr="00C43F36">
        <w:trPr>
          <w:trHeight w:val="300"/>
        </w:trPr>
        <w:tc>
          <w:tcPr>
            <w:tcW w:w="2386" w:type="dxa"/>
            <w:vMerge/>
            <w:vAlign w:val="center"/>
            <w:hideMark/>
          </w:tcPr>
          <w:p w14:paraId="018D5116"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256C6F1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Surgery &amp; EBRT/ADT</w:t>
            </w:r>
          </w:p>
        </w:tc>
        <w:tc>
          <w:tcPr>
            <w:tcW w:w="896" w:type="dxa"/>
            <w:shd w:val="clear" w:color="auto" w:fill="auto"/>
            <w:vAlign w:val="center"/>
            <w:hideMark/>
          </w:tcPr>
          <w:p w14:paraId="4BEEA4BD"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1.58</w:t>
            </w:r>
          </w:p>
        </w:tc>
        <w:tc>
          <w:tcPr>
            <w:tcW w:w="1417" w:type="dxa"/>
            <w:gridSpan w:val="2"/>
            <w:shd w:val="clear" w:color="auto" w:fill="auto"/>
            <w:vAlign w:val="center"/>
            <w:hideMark/>
          </w:tcPr>
          <w:p w14:paraId="1D32D4C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1.27 - 1.98</w:t>
            </w:r>
          </w:p>
        </w:tc>
        <w:tc>
          <w:tcPr>
            <w:tcW w:w="851" w:type="dxa"/>
            <w:shd w:val="clear" w:color="auto" w:fill="auto"/>
            <w:vAlign w:val="center"/>
            <w:hideMark/>
          </w:tcPr>
          <w:p w14:paraId="42194D2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5FB1A4D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1.8</w:t>
            </w:r>
          </w:p>
        </w:tc>
        <w:tc>
          <w:tcPr>
            <w:tcW w:w="1448" w:type="dxa"/>
            <w:gridSpan w:val="2"/>
            <w:shd w:val="clear" w:color="auto" w:fill="auto"/>
            <w:vAlign w:val="center"/>
            <w:hideMark/>
          </w:tcPr>
          <w:p w14:paraId="3D0E880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1.47 - 2.21</w:t>
            </w:r>
          </w:p>
        </w:tc>
        <w:tc>
          <w:tcPr>
            <w:tcW w:w="935" w:type="dxa"/>
            <w:shd w:val="clear" w:color="auto" w:fill="auto"/>
            <w:vAlign w:val="center"/>
            <w:hideMark/>
          </w:tcPr>
          <w:p w14:paraId="71846068"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7E73720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1.96</w:t>
            </w:r>
          </w:p>
        </w:tc>
        <w:tc>
          <w:tcPr>
            <w:tcW w:w="1611" w:type="dxa"/>
            <w:gridSpan w:val="2"/>
            <w:shd w:val="clear" w:color="auto" w:fill="auto"/>
            <w:vAlign w:val="center"/>
            <w:hideMark/>
          </w:tcPr>
          <w:p w14:paraId="2DE9BD3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1.59 - 2.41</w:t>
            </w:r>
          </w:p>
        </w:tc>
        <w:tc>
          <w:tcPr>
            <w:tcW w:w="657" w:type="dxa"/>
            <w:shd w:val="clear" w:color="auto" w:fill="auto"/>
            <w:vAlign w:val="center"/>
            <w:hideMark/>
          </w:tcPr>
          <w:p w14:paraId="7B0D0F5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77CFE080" w14:textId="77777777" w:rsidTr="00C43F36">
        <w:trPr>
          <w:trHeight w:val="300"/>
        </w:trPr>
        <w:tc>
          <w:tcPr>
            <w:tcW w:w="2386" w:type="dxa"/>
            <w:vMerge/>
            <w:vAlign w:val="center"/>
            <w:hideMark/>
          </w:tcPr>
          <w:p w14:paraId="44227952" w14:textId="77777777" w:rsidR="00C43F36" w:rsidRPr="00C43F36" w:rsidRDefault="00C43F36" w:rsidP="00966E61">
            <w:pPr>
              <w:spacing w:before="0" w:line="240" w:lineRule="auto"/>
              <w:rPr>
                <w:rFonts w:eastAsia="Times New Roman"/>
                <w:b/>
                <w:bCs/>
                <w:sz w:val="20"/>
                <w:szCs w:val="20"/>
              </w:rPr>
            </w:pPr>
          </w:p>
        </w:tc>
        <w:tc>
          <w:tcPr>
            <w:tcW w:w="2105" w:type="dxa"/>
            <w:shd w:val="clear" w:color="auto" w:fill="auto"/>
            <w:vAlign w:val="center"/>
            <w:hideMark/>
          </w:tcPr>
          <w:p w14:paraId="799523F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ADT &amp; systemic</w:t>
            </w:r>
          </w:p>
        </w:tc>
        <w:tc>
          <w:tcPr>
            <w:tcW w:w="896" w:type="dxa"/>
            <w:shd w:val="clear" w:color="auto" w:fill="auto"/>
            <w:vAlign w:val="center"/>
            <w:hideMark/>
          </w:tcPr>
          <w:p w14:paraId="6990B6A1"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3.31</w:t>
            </w:r>
          </w:p>
        </w:tc>
        <w:tc>
          <w:tcPr>
            <w:tcW w:w="1417" w:type="dxa"/>
            <w:gridSpan w:val="2"/>
            <w:shd w:val="clear" w:color="auto" w:fill="auto"/>
            <w:vAlign w:val="center"/>
            <w:hideMark/>
          </w:tcPr>
          <w:p w14:paraId="6FBB35D9"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2.49 - 4.4</w:t>
            </w:r>
          </w:p>
        </w:tc>
        <w:tc>
          <w:tcPr>
            <w:tcW w:w="851" w:type="dxa"/>
            <w:shd w:val="clear" w:color="auto" w:fill="auto"/>
            <w:vAlign w:val="center"/>
            <w:hideMark/>
          </w:tcPr>
          <w:p w14:paraId="7C0DAD3B"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shd w:val="clear" w:color="auto" w:fill="auto"/>
            <w:vAlign w:val="center"/>
            <w:hideMark/>
          </w:tcPr>
          <w:p w14:paraId="33BBA3C0"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1.8</w:t>
            </w:r>
          </w:p>
        </w:tc>
        <w:tc>
          <w:tcPr>
            <w:tcW w:w="1448" w:type="dxa"/>
            <w:gridSpan w:val="2"/>
            <w:shd w:val="clear" w:color="auto" w:fill="auto"/>
            <w:vAlign w:val="center"/>
            <w:hideMark/>
          </w:tcPr>
          <w:p w14:paraId="4085C535"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1.33 - 2.45</w:t>
            </w:r>
          </w:p>
        </w:tc>
        <w:tc>
          <w:tcPr>
            <w:tcW w:w="935" w:type="dxa"/>
            <w:shd w:val="clear" w:color="auto" w:fill="auto"/>
            <w:vAlign w:val="center"/>
            <w:hideMark/>
          </w:tcPr>
          <w:p w14:paraId="66EB4E87"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shd w:val="clear" w:color="auto" w:fill="auto"/>
            <w:vAlign w:val="center"/>
            <w:hideMark/>
          </w:tcPr>
          <w:p w14:paraId="6C308DCC"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2.71</w:t>
            </w:r>
          </w:p>
        </w:tc>
        <w:tc>
          <w:tcPr>
            <w:tcW w:w="1611" w:type="dxa"/>
            <w:gridSpan w:val="2"/>
            <w:shd w:val="clear" w:color="auto" w:fill="auto"/>
            <w:vAlign w:val="center"/>
            <w:hideMark/>
          </w:tcPr>
          <w:p w14:paraId="1DBCB583"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2.01 - 3.64</w:t>
            </w:r>
          </w:p>
        </w:tc>
        <w:tc>
          <w:tcPr>
            <w:tcW w:w="657" w:type="dxa"/>
            <w:shd w:val="clear" w:color="auto" w:fill="auto"/>
            <w:vAlign w:val="center"/>
            <w:hideMark/>
          </w:tcPr>
          <w:p w14:paraId="6B8C135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465C3FE5" w14:textId="77777777" w:rsidTr="00C43F36">
        <w:trPr>
          <w:trHeight w:val="300"/>
        </w:trPr>
        <w:tc>
          <w:tcPr>
            <w:tcW w:w="2386" w:type="dxa"/>
            <w:vMerge/>
            <w:tcBorders>
              <w:bottom w:val="single" w:sz="4" w:space="0" w:color="auto"/>
            </w:tcBorders>
            <w:vAlign w:val="center"/>
            <w:hideMark/>
          </w:tcPr>
          <w:p w14:paraId="7CE4894E" w14:textId="77777777" w:rsidR="00C43F36" w:rsidRPr="00C43F36" w:rsidRDefault="00C43F36" w:rsidP="00966E61">
            <w:pPr>
              <w:spacing w:before="0" w:line="240" w:lineRule="auto"/>
              <w:rPr>
                <w:rFonts w:eastAsia="Times New Roman"/>
                <w:b/>
                <w:bCs/>
                <w:sz w:val="20"/>
                <w:szCs w:val="20"/>
              </w:rPr>
            </w:pPr>
          </w:p>
        </w:tc>
        <w:tc>
          <w:tcPr>
            <w:tcW w:w="2105" w:type="dxa"/>
            <w:tcBorders>
              <w:bottom w:val="single" w:sz="4" w:space="0" w:color="auto"/>
            </w:tcBorders>
            <w:shd w:val="clear" w:color="auto" w:fill="auto"/>
            <w:vAlign w:val="center"/>
            <w:hideMark/>
          </w:tcPr>
          <w:p w14:paraId="66746A72"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EBRT &amp; systemic</w:t>
            </w:r>
          </w:p>
        </w:tc>
        <w:tc>
          <w:tcPr>
            <w:tcW w:w="896" w:type="dxa"/>
            <w:tcBorders>
              <w:bottom w:val="single" w:sz="4" w:space="0" w:color="auto"/>
            </w:tcBorders>
            <w:shd w:val="clear" w:color="auto" w:fill="auto"/>
            <w:vAlign w:val="center"/>
            <w:hideMark/>
          </w:tcPr>
          <w:p w14:paraId="1B249406"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4.63</w:t>
            </w:r>
          </w:p>
        </w:tc>
        <w:tc>
          <w:tcPr>
            <w:tcW w:w="1417" w:type="dxa"/>
            <w:gridSpan w:val="2"/>
            <w:tcBorders>
              <w:bottom w:val="single" w:sz="4" w:space="0" w:color="auto"/>
            </w:tcBorders>
            <w:shd w:val="clear" w:color="auto" w:fill="auto"/>
            <w:vAlign w:val="center"/>
            <w:hideMark/>
          </w:tcPr>
          <w:p w14:paraId="654F6047"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3.46 - 6.19</w:t>
            </w:r>
          </w:p>
        </w:tc>
        <w:tc>
          <w:tcPr>
            <w:tcW w:w="851" w:type="dxa"/>
            <w:tcBorders>
              <w:bottom w:val="single" w:sz="4" w:space="0" w:color="auto"/>
            </w:tcBorders>
            <w:shd w:val="clear" w:color="auto" w:fill="auto"/>
            <w:vAlign w:val="center"/>
            <w:hideMark/>
          </w:tcPr>
          <w:p w14:paraId="312D632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820" w:type="dxa"/>
            <w:tcBorders>
              <w:bottom w:val="single" w:sz="4" w:space="0" w:color="auto"/>
            </w:tcBorders>
            <w:shd w:val="clear" w:color="auto" w:fill="auto"/>
            <w:vAlign w:val="center"/>
            <w:hideMark/>
          </w:tcPr>
          <w:p w14:paraId="354297F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2.07</w:t>
            </w:r>
          </w:p>
        </w:tc>
        <w:tc>
          <w:tcPr>
            <w:tcW w:w="1448" w:type="dxa"/>
            <w:gridSpan w:val="2"/>
            <w:tcBorders>
              <w:bottom w:val="single" w:sz="4" w:space="0" w:color="auto"/>
            </w:tcBorders>
            <w:shd w:val="clear" w:color="auto" w:fill="auto"/>
            <w:vAlign w:val="center"/>
            <w:hideMark/>
          </w:tcPr>
          <w:p w14:paraId="56CC46FA"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1.51 - 2.83</w:t>
            </w:r>
          </w:p>
        </w:tc>
        <w:tc>
          <w:tcPr>
            <w:tcW w:w="935" w:type="dxa"/>
            <w:tcBorders>
              <w:bottom w:val="single" w:sz="4" w:space="0" w:color="auto"/>
            </w:tcBorders>
            <w:shd w:val="clear" w:color="auto" w:fill="auto"/>
            <w:vAlign w:val="center"/>
            <w:hideMark/>
          </w:tcPr>
          <w:p w14:paraId="75CBCEC4"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c>
          <w:tcPr>
            <w:tcW w:w="766" w:type="dxa"/>
            <w:tcBorders>
              <w:bottom w:val="single" w:sz="4" w:space="0" w:color="auto"/>
            </w:tcBorders>
            <w:shd w:val="clear" w:color="auto" w:fill="auto"/>
            <w:vAlign w:val="center"/>
            <w:hideMark/>
          </w:tcPr>
          <w:p w14:paraId="26C82F43"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2.65</w:t>
            </w:r>
          </w:p>
        </w:tc>
        <w:tc>
          <w:tcPr>
            <w:tcW w:w="1611" w:type="dxa"/>
            <w:gridSpan w:val="2"/>
            <w:tcBorders>
              <w:bottom w:val="single" w:sz="4" w:space="0" w:color="auto"/>
            </w:tcBorders>
            <w:shd w:val="clear" w:color="auto" w:fill="auto"/>
            <w:vAlign w:val="center"/>
            <w:hideMark/>
          </w:tcPr>
          <w:p w14:paraId="68C9F321" w14:textId="77777777" w:rsidR="00C43F36" w:rsidRPr="00C43F36" w:rsidRDefault="00C43F36" w:rsidP="00966E61">
            <w:pPr>
              <w:spacing w:before="0" w:line="240" w:lineRule="auto"/>
              <w:jc w:val="center"/>
              <w:rPr>
                <w:rFonts w:eastAsia="Times New Roman"/>
                <w:sz w:val="20"/>
                <w:szCs w:val="20"/>
              </w:rPr>
            </w:pPr>
            <w:r w:rsidRPr="00C43F36">
              <w:rPr>
                <w:rFonts w:eastAsia="Times New Roman"/>
                <w:sz w:val="20"/>
                <w:szCs w:val="20"/>
              </w:rPr>
              <w:t>1.95 - 3.6</w:t>
            </w:r>
          </w:p>
        </w:tc>
        <w:tc>
          <w:tcPr>
            <w:tcW w:w="657" w:type="dxa"/>
            <w:tcBorders>
              <w:bottom w:val="single" w:sz="4" w:space="0" w:color="auto"/>
            </w:tcBorders>
            <w:shd w:val="clear" w:color="auto" w:fill="auto"/>
            <w:vAlign w:val="center"/>
            <w:hideMark/>
          </w:tcPr>
          <w:p w14:paraId="2681385E" w14:textId="77777777" w:rsidR="00C43F36" w:rsidRPr="00C43F36" w:rsidRDefault="00C43F36" w:rsidP="00966E61">
            <w:pPr>
              <w:spacing w:before="0" w:line="240" w:lineRule="auto"/>
              <w:jc w:val="right"/>
              <w:rPr>
                <w:rFonts w:eastAsia="Times New Roman"/>
                <w:sz w:val="20"/>
                <w:szCs w:val="20"/>
              </w:rPr>
            </w:pPr>
            <w:r w:rsidRPr="00C43F36">
              <w:rPr>
                <w:rFonts w:eastAsia="Times New Roman"/>
                <w:sz w:val="20"/>
                <w:szCs w:val="20"/>
              </w:rPr>
              <w:t>&lt;0.01</w:t>
            </w:r>
          </w:p>
        </w:tc>
      </w:tr>
      <w:tr w:rsidR="00C43F36" w:rsidRPr="00C43F36" w14:paraId="1FDE7DB7" w14:textId="77777777" w:rsidTr="00C43F36">
        <w:trPr>
          <w:trHeight w:val="300"/>
        </w:trPr>
        <w:tc>
          <w:tcPr>
            <w:tcW w:w="2386" w:type="dxa"/>
            <w:tcBorders>
              <w:top w:val="single" w:sz="4" w:space="0" w:color="auto"/>
            </w:tcBorders>
            <w:shd w:val="clear" w:color="auto" w:fill="auto"/>
            <w:vAlign w:val="center"/>
            <w:hideMark/>
          </w:tcPr>
          <w:p w14:paraId="5C0C148C" w14:textId="77777777" w:rsidR="00C43F36" w:rsidRPr="00C43F36" w:rsidRDefault="00C43F36" w:rsidP="00966E61">
            <w:pPr>
              <w:spacing w:before="0" w:line="240" w:lineRule="auto"/>
              <w:jc w:val="right"/>
              <w:rPr>
                <w:rFonts w:eastAsia="Times New Roman"/>
                <w:sz w:val="20"/>
                <w:szCs w:val="20"/>
              </w:rPr>
            </w:pPr>
          </w:p>
        </w:tc>
        <w:tc>
          <w:tcPr>
            <w:tcW w:w="2105" w:type="dxa"/>
            <w:tcBorders>
              <w:top w:val="single" w:sz="4" w:space="0" w:color="auto"/>
            </w:tcBorders>
            <w:shd w:val="clear" w:color="auto" w:fill="auto"/>
            <w:vAlign w:val="center"/>
            <w:hideMark/>
          </w:tcPr>
          <w:p w14:paraId="567D2F53" w14:textId="77777777" w:rsidR="00C43F36" w:rsidRPr="00C43F36" w:rsidRDefault="00C43F36" w:rsidP="00966E61">
            <w:pPr>
              <w:spacing w:before="0" w:line="240" w:lineRule="auto"/>
              <w:rPr>
                <w:rFonts w:eastAsia="Times New Roman"/>
                <w:sz w:val="20"/>
                <w:szCs w:val="20"/>
              </w:rPr>
            </w:pPr>
          </w:p>
        </w:tc>
        <w:tc>
          <w:tcPr>
            <w:tcW w:w="896" w:type="dxa"/>
            <w:tcBorders>
              <w:top w:val="single" w:sz="4" w:space="0" w:color="auto"/>
            </w:tcBorders>
            <w:shd w:val="clear" w:color="auto" w:fill="auto"/>
            <w:vAlign w:val="center"/>
            <w:hideMark/>
          </w:tcPr>
          <w:p w14:paraId="1B8D75A5" w14:textId="77777777" w:rsidR="00C43F36" w:rsidRPr="00C43F36" w:rsidRDefault="00C43F36" w:rsidP="00966E61">
            <w:pPr>
              <w:spacing w:before="0" w:line="240" w:lineRule="auto"/>
              <w:rPr>
                <w:rFonts w:eastAsia="Times New Roman"/>
                <w:sz w:val="20"/>
                <w:szCs w:val="20"/>
              </w:rPr>
            </w:pPr>
          </w:p>
        </w:tc>
        <w:tc>
          <w:tcPr>
            <w:tcW w:w="1042" w:type="dxa"/>
            <w:tcBorders>
              <w:top w:val="single" w:sz="4" w:space="0" w:color="auto"/>
            </w:tcBorders>
            <w:shd w:val="clear" w:color="auto" w:fill="auto"/>
            <w:vAlign w:val="center"/>
            <w:hideMark/>
          </w:tcPr>
          <w:p w14:paraId="1CE70366" w14:textId="77777777" w:rsidR="00C43F36" w:rsidRPr="00C43F36" w:rsidRDefault="00C43F36" w:rsidP="00966E61">
            <w:pPr>
              <w:spacing w:before="0" w:line="240" w:lineRule="auto"/>
              <w:rPr>
                <w:rFonts w:eastAsia="Times New Roman"/>
                <w:sz w:val="20"/>
                <w:szCs w:val="20"/>
              </w:rPr>
            </w:pPr>
          </w:p>
        </w:tc>
        <w:tc>
          <w:tcPr>
            <w:tcW w:w="375" w:type="dxa"/>
            <w:tcBorders>
              <w:top w:val="single" w:sz="4" w:space="0" w:color="auto"/>
            </w:tcBorders>
            <w:shd w:val="clear" w:color="auto" w:fill="auto"/>
            <w:vAlign w:val="center"/>
            <w:hideMark/>
          </w:tcPr>
          <w:p w14:paraId="657A2C54" w14:textId="77777777" w:rsidR="00C43F36" w:rsidRPr="00C43F36" w:rsidRDefault="00C43F36" w:rsidP="00966E61">
            <w:pPr>
              <w:spacing w:before="0" w:line="240" w:lineRule="auto"/>
              <w:rPr>
                <w:rFonts w:eastAsia="Times New Roman"/>
                <w:sz w:val="20"/>
                <w:szCs w:val="20"/>
              </w:rPr>
            </w:pPr>
          </w:p>
        </w:tc>
        <w:tc>
          <w:tcPr>
            <w:tcW w:w="851" w:type="dxa"/>
            <w:tcBorders>
              <w:top w:val="single" w:sz="4" w:space="0" w:color="auto"/>
            </w:tcBorders>
            <w:shd w:val="clear" w:color="auto" w:fill="auto"/>
            <w:vAlign w:val="center"/>
            <w:hideMark/>
          </w:tcPr>
          <w:p w14:paraId="1B038F46" w14:textId="77777777" w:rsidR="00C43F36" w:rsidRPr="00C43F36" w:rsidRDefault="00C43F36" w:rsidP="00966E61">
            <w:pPr>
              <w:spacing w:before="0" w:line="240" w:lineRule="auto"/>
              <w:rPr>
                <w:rFonts w:eastAsia="Times New Roman"/>
                <w:sz w:val="20"/>
                <w:szCs w:val="20"/>
              </w:rPr>
            </w:pPr>
          </w:p>
        </w:tc>
        <w:tc>
          <w:tcPr>
            <w:tcW w:w="820" w:type="dxa"/>
            <w:tcBorders>
              <w:top w:val="single" w:sz="4" w:space="0" w:color="auto"/>
            </w:tcBorders>
            <w:shd w:val="clear" w:color="auto" w:fill="auto"/>
            <w:vAlign w:val="center"/>
            <w:hideMark/>
          </w:tcPr>
          <w:p w14:paraId="729C3476" w14:textId="77777777" w:rsidR="00C43F36" w:rsidRPr="00C43F36" w:rsidRDefault="00C43F36" w:rsidP="00966E61">
            <w:pPr>
              <w:spacing w:before="0" w:line="240" w:lineRule="auto"/>
              <w:rPr>
                <w:rFonts w:eastAsia="Times New Roman"/>
                <w:sz w:val="20"/>
                <w:szCs w:val="20"/>
              </w:rPr>
            </w:pPr>
          </w:p>
        </w:tc>
        <w:tc>
          <w:tcPr>
            <w:tcW w:w="953" w:type="dxa"/>
            <w:tcBorders>
              <w:top w:val="single" w:sz="4" w:space="0" w:color="auto"/>
            </w:tcBorders>
            <w:shd w:val="clear" w:color="auto" w:fill="auto"/>
            <w:vAlign w:val="center"/>
            <w:hideMark/>
          </w:tcPr>
          <w:p w14:paraId="6D95905F" w14:textId="77777777" w:rsidR="00C43F36" w:rsidRPr="00C43F36" w:rsidRDefault="00C43F36" w:rsidP="00966E61">
            <w:pPr>
              <w:spacing w:before="0" w:line="240" w:lineRule="auto"/>
              <w:rPr>
                <w:rFonts w:eastAsia="Times New Roman"/>
                <w:sz w:val="20"/>
                <w:szCs w:val="20"/>
              </w:rPr>
            </w:pPr>
          </w:p>
        </w:tc>
        <w:tc>
          <w:tcPr>
            <w:tcW w:w="495" w:type="dxa"/>
            <w:tcBorders>
              <w:top w:val="single" w:sz="4" w:space="0" w:color="auto"/>
            </w:tcBorders>
            <w:shd w:val="clear" w:color="auto" w:fill="auto"/>
            <w:vAlign w:val="center"/>
            <w:hideMark/>
          </w:tcPr>
          <w:p w14:paraId="1DD06FF2" w14:textId="77777777" w:rsidR="00C43F36" w:rsidRPr="00C43F36" w:rsidRDefault="00C43F36" w:rsidP="00966E61">
            <w:pPr>
              <w:spacing w:before="0" w:line="240" w:lineRule="auto"/>
              <w:rPr>
                <w:rFonts w:eastAsia="Times New Roman"/>
                <w:sz w:val="20"/>
                <w:szCs w:val="20"/>
              </w:rPr>
            </w:pPr>
          </w:p>
        </w:tc>
        <w:tc>
          <w:tcPr>
            <w:tcW w:w="935" w:type="dxa"/>
            <w:tcBorders>
              <w:top w:val="single" w:sz="4" w:space="0" w:color="auto"/>
            </w:tcBorders>
            <w:shd w:val="clear" w:color="auto" w:fill="auto"/>
            <w:vAlign w:val="center"/>
            <w:hideMark/>
          </w:tcPr>
          <w:p w14:paraId="60634BE3" w14:textId="77777777" w:rsidR="00C43F36" w:rsidRPr="00C43F36" w:rsidRDefault="00C43F36" w:rsidP="00966E61">
            <w:pPr>
              <w:spacing w:before="0" w:line="240" w:lineRule="auto"/>
              <w:rPr>
                <w:rFonts w:eastAsia="Times New Roman"/>
                <w:sz w:val="20"/>
                <w:szCs w:val="20"/>
              </w:rPr>
            </w:pPr>
          </w:p>
        </w:tc>
        <w:tc>
          <w:tcPr>
            <w:tcW w:w="766" w:type="dxa"/>
            <w:tcBorders>
              <w:top w:val="single" w:sz="4" w:space="0" w:color="auto"/>
            </w:tcBorders>
            <w:shd w:val="clear" w:color="auto" w:fill="auto"/>
            <w:vAlign w:val="center"/>
            <w:hideMark/>
          </w:tcPr>
          <w:p w14:paraId="5C632D69" w14:textId="77777777" w:rsidR="00C43F36" w:rsidRPr="00C43F36" w:rsidRDefault="00C43F36" w:rsidP="00966E61">
            <w:pPr>
              <w:spacing w:before="0" w:line="240" w:lineRule="auto"/>
              <w:rPr>
                <w:rFonts w:eastAsia="Times New Roman"/>
                <w:sz w:val="20"/>
                <w:szCs w:val="20"/>
              </w:rPr>
            </w:pPr>
          </w:p>
        </w:tc>
        <w:tc>
          <w:tcPr>
            <w:tcW w:w="1034" w:type="dxa"/>
            <w:tcBorders>
              <w:top w:val="single" w:sz="4" w:space="0" w:color="auto"/>
            </w:tcBorders>
            <w:shd w:val="clear" w:color="auto" w:fill="auto"/>
            <w:vAlign w:val="center"/>
            <w:hideMark/>
          </w:tcPr>
          <w:p w14:paraId="63D20F33" w14:textId="77777777" w:rsidR="00C43F36" w:rsidRPr="00C43F36" w:rsidRDefault="00C43F36" w:rsidP="00966E61">
            <w:pPr>
              <w:spacing w:before="0" w:line="240" w:lineRule="auto"/>
              <w:rPr>
                <w:rFonts w:eastAsia="Times New Roman"/>
                <w:sz w:val="20"/>
                <w:szCs w:val="20"/>
              </w:rPr>
            </w:pPr>
          </w:p>
        </w:tc>
        <w:tc>
          <w:tcPr>
            <w:tcW w:w="577" w:type="dxa"/>
            <w:tcBorders>
              <w:top w:val="single" w:sz="4" w:space="0" w:color="auto"/>
            </w:tcBorders>
            <w:shd w:val="clear" w:color="auto" w:fill="auto"/>
            <w:vAlign w:val="center"/>
            <w:hideMark/>
          </w:tcPr>
          <w:p w14:paraId="0C9E139D" w14:textId="77777777" w:rsidR="00C43F36" w:rsidRPr="00C43F36" w:rsidRDefault="00C43F36" w:rsidP="00966E61">
            <w:pPr>
              <w:spacing w:before="0" w:line="240" w:lineRule="auto"/>
              <w:rPr>
                <w:rFonts w:eastAsia="Times New Roman"/>
                <w:sz w:val="20"/>
                <w:szCs w:val="20"/>
              </w:rPr>
            </w:pPr>
          </w:p>
        </w:tc>
        <w:tc>
          <w:tcPr>
            <w:tcW w:w="657" w:type="dxa"/>
            <w:tcBorders>
              <w:top w:val="single" w:sz="4" w:space="0" w:color="auto"/>
            </w:tcBorders>
            <w:shd w:val="clear" w:color="auto" w:fill="auto"/>
            <w:vAlign w:val="center"/>
            <w:hideMark/>
          </w:tcPr>
          <w:p w14:paraId="276319B8" w14:textId="77777777" w:rsidR="00C43F36" w:rsidRPr="00C43F36" w:rsidRDefault="00C43F36" w:rsidP="00966E61">
            <w:pPr>
              <w:spacing w:before="0" w:line="240" w:lineRule="auto"/>
              <w:rPr>
                <w:rFonts w:eastAsia="Times New Roman"/>
                <w:sz w:val="20"/>
                <w:szCs w:val="20"/>
              </w:rPr>
            </w:pPr>
          </w:p>
        </w:tc>
      </w:tr>
      <w:tr w:rsidR="00C43F36" w:rsidRPr="00C43F36" w14:paraId="206F423E" w14:textId="77777777" w:rsidTr="00C43F36">
        <w:trPr>
          <w:trHeight w:val="300"/>
        </w:trPr>
        <w:tc>
          <w:tcPr>
            <w:tcW w:w="2386" w:type="dxa"/>
            <w:shd w:val="clear" w:color="auto" w:fill="auto"/>
            <w:noWrap/>
            <w:vAlign w:val="center"/>
            <w:hideMark/>
          </w:tcPr>
          <w:p w14:paraId="35898F1A" w14:textId="77777777" w:rsidR="00C43F36" w:rsidRPr="00C43F36" w:rsidRDefault="00C43F36" w:rsidP="00966E61">
            <w:pPr>
              <w:spacing w:before="0" w:line="240" w:lineRule="auto"/>
              <w:rPr>
                <w:rFonts w:eastAsia="Times New Roman"/>
                <w:sz w:val="20"/>
                <w:szCs w:val="20"/>
              </w:rPr>
            </w:pPr>
          </w:p>
        </w:tc>
        <w:tc>
          <w:tcPr>
            <w:tcW w:w="2105" w:type="dxa"/>
            <w:shd w:val="clear" w:color="auto" w:fill="auto"/>
            <w:noWrap/>
            <w:vAlign w:val="bottom"/>
            <w:hideMark/>
          </w:tcPr>
          <w:p w14:paraId="7943A611" w14:textId="77777777" w:rsidR="00C43F36" w:rsidRPr="00C43F36" w:rsidRDefault="00C43F36" w:rsidP="00966E61">
            <w:pPr>
              <w:spacing w:before="0" w:line="240" w:lineRule="auto"/>
              <w:rPr>
                <w:rFonts w:eastAsia="Times New Roman"/>
                <w:sz w:val="20"/>
                <w:szCs w:val="20"/>
              </w:rPr>
            </w:pPr>
          </w:p>
        </w:tc>
        <w:tc>
          <w:tcPr>
            <w:tcW w:w="896" w:type="dxa"/>
            <w:shd w:val="clear" w:color="auto" w:fill="auto"/>
            <w:noWrap/>
            <w:vAlign w:val="bottom"/>
            <w:hideMark/>
          </w:tcPr>
          <w:p w14:paraId="3346E146" w14:textId="77777777" w:rsidR="00C43F36" w:rsidRPr="00C43F36" w:rsidRDefault="00C43F36" w:rsidP="00966E61">
            <w:pPr>
              <w:spacing w:before="0" w:line="240" w:lineRule="auto"/>
              <w:rPr>
                <w:rFonts w:eastAsia="Times New Roman"/>
                <w:sz w:val="20"/>
                <w:szCs w:val="20"/>
              </w:rPr>
            </w:pPr>
          </w:p>
        </w:tc>
        <w:tc>
          <w:tcPr>
            <w:tcW w:w="1042" w:type="dxa"/>
            <w:shd w:val="clear" w:color="auto" w:fill="auto"/>
            <w:noWrap/>
            <w:vAlign w:val="bottom"/>
            <w:hideMark/>
          </w:tcPr>
          <w:p w14:paraId="413D0116" w14:textId="77777777" w:rsidR="00C43F36" w:rsidRPr="00C43F36" w:rsidRDefault="00C43F36" w:rsidP="00966E61">
            <w:pPr>
              <w:spacing w:before="0" w:line="240" w:lineRule="auto"/>
              <w:rPr>
                <w:rFonts w:eastAsia="Times New Roman"/>
                <w:sz w:val="20"/>
                <w:szCs w:val="20"/>
              </w:rPr>
            </w:pPr>
          </w:p>
        </w:tc>
        <w:tc>
          <w:tcPr>
            <w:tcW w:w="375" w:type="dxa"/>
            <w:shd w:val="clear" w:color="auto" w:fill="auto"/>
            <w:noWrap/>
            <w:vAlign w:val="bottom"/>
            <w:hideMark/>
          </w:tcPr>
          <w:p w14:paraId="5C5F8DD8" w14:textId="77777777" w:rsidR="00C43F36" w:rsidRPr="00C43F36" w:rsidRDefault="00C43F36" w:rsidP="00966E61">
            <w:pPr>
              <w:spacing w:before="0" w:line="240" w:lineRule="auto"/>
              <w:rPr>
                <w:rFonts w:eastAsia="Times New Roman"/>
                <w:sz w:val="20"/>
                <w:szCs w:val="20"/>
              </w:rPr>
            </w:pPr>
          </w:p>
        </w:tc>
        <w:tc>
          <w:tcPr>
            <w:tcW w:w="851" w:type="dxa"/>
            <w:shd w:val="clear" w:color="auto" w:fill="auto"/>
            <w:noWrap/>
            <w:vAlign w:val="bottom"/>
            <w:hideMark/>
          </w:tcPr>
          <w:p w14:paraId="58D1840A" w14:textId="77777777" w:rsidR="00C43F36" w:rsidRPr="00C43F36" w:rsidRDefault="00C43F36" w:rsidP="00966E61">
            <w:pPr>
              <w:spacing w:before="0" w:line="240" w:lineRule="auto"/>
              <w:rPr>
                <w:rFonts w:eastAsia="Times New Roman"/>
                <w:sz w:val="20"/>
                <w:szCs w:val="20"/>
              </w:rPr>
            </w:pPr>
          </w:p>
        </w:tc>
        <w:tc>
          <w:tcPr>
            <w:tcW w:w="820" w:type="dxa"/>
            <w:shd w:val="clear" w:color="auto" w:fill="auto"/>
            <w:noWrap/>
            <w:vAlign w:val="bottom"/>
            <w:hideMark/>
          </w:tcPr>
          <w:p w14:paraId="78C35509" w14:textId="77777777" w:rsidR="00C43F36" w:rsidRPr="00C43F36" w:rsidRDefault="00C43F36" w:rsidP="00966E61">
            <w:pPr>
              <w:spacing w:before="0" w:line="240" w:lineRule="auto"/>
              <w:rPr>
                <w:rFonts w:eastAsia="Times New Roman"/>
                <w:sz w:val="20"/>
                <w:szCs w:val="20"/>
              </w:rPr>
            </w:pPr>
          </w:p>
        </w:tc>
        <w:tc>
          <w:tcPr>
            <w:tcW w:w="953" w:type="dxa"/>
            <w:shd w:val="clear" w:color="auto" w:fill="auto"/>
            <w:noWrap/>
            <w:vAlign w:val="bottom"/>
            <w:hideMark/>
          </w:tcPr>
          <w:p w14:paraId="78A23F90" w14:textId="77777777" w:rsidR="00C43F36" w:rsidRPr="00C43F36" w:rsidRDefault="00C43F36" w:rsidP="00966E61">
            <w:pPr>
              <w:spacing w:before="0" w:line="240" w:lineRule="auto"/>
              <w:rPr>
                <w:rFonts w:eastAsia="Times New Roman"/>
                <w:sz w:val="20"/>
                <w:szCs w:val="20"/>
              </w:rPr>
            </w:pPr>
          </w:p>
        </w:tc>
        <w:tc>
          <w:tcPr>
            <w:tcW w:w="495" w:type="dxa"/>
            <w:shd w:val="clear" w:color="auto" w:fill="auto"/>
            <w:noWrap/>
            <w:vAlign w:val="bottom"/>
            <w:hideMark/>
          </w:tcPr>
          <w:p w14:paraId="036D7CEA" w14:textId="77777777" w:rsidR="00C43F36" w:rsidRPr="00C43F36" w:rsidRDefault="00C43F36" w:rsidP="00966E61">
            <w:pPr>
              <w:spacing w:before="0" w:line="240" w:lineRule="auto"/>
              <w:rPr>
                <w:rFonts w:eastAsia="Times New Roman"/>
                <w:sz w:val="20"/>
                <w:szCs w:val="20"/>
              </w:rPr>
            </w:pPr>
          </w:p>
        </w:tc>
        <w:tc>
          <w:tcPr>
            <w:tcW w:w="935" w:type="dxa"/>
            <w:shd w:val="clear" w:color="auto" w:fill="auto"/>
            <w:noWrap/>
            <w:vAlign w:val="bottom"/>
            <w:hideMark/>
          </w:tcPr>
          <w:p w14:paraId="1A5DCB64" w14:textId="77777777" w:rsidR="00C43F36" w:rsidRPr="00C43F36" w:rsidRDefault="00C43F36" w:rsidP="00966E61">
            <w:pPr>
              <w:spacing w:before="0" w:line="240" w:lineRule="auto"/>
              <w:rPr>
                <w:rFonts w:eastAsia="Times New Roman"/>
                <w:sz w:val="20"/>
                <w:szCs w:val="20"/>
              </w:rPr>
            </w:pPr>
          </w:p>
        </w:tc>
        <w:tc>
          <w:tcPr>
            <w:tcW w:w="766" w:type="dxa"/>
            <w:shd w:val="clear" w:color="auto" w:fill="auto"/>
            <w:noWrap/>
            <w:vAlign w:val="bottom"/>
            <w:hideMark/>
          </w:tcPr>
          <w:p w14:paraId="1B507F84" w14:textId="77777777" w:rsidR="00C43F36" w:rsidRPr="00C43F36" w:rsidRDefault="00C43F36" w:rsidP="00966E61">
            <w:pPr>
              <w:spacing w:before="0" w:line="240" w:lineRule="auto"/>
              <w:rPr>
                <w:rFonts w:eastAsia="Times New Roman"/>
                <w:sz w:val="20"/>
                <w:szCs w:val="20"/>
              </w:rPr>
            </w:pPr>
          </w:p>
        </w:tc>
        <w:tc>
          <w:tcPr>
            <w:tcW w:w="1034" w:type="dxa"/>
            <w:shd w:val="clear" w:color="auto" w:fill="auto"/>
            <w:noWrap/>
            <w:vAlign w:val="bottom"/>
            <w:hideMark/>
          </w:tcPr>
          <w:p w14:paraId="7A38A9AA" w14:textId="77777777" w:rsidR="00C43F36" w:rsidRPr="00C43F36" w:rsidRDefault="00C43F36" w:rsidP="00966E61">
            <w:pPr>
              <w:spacing w:before="0" w:line="240" w:lineRule="auto"/>
              <w:rPr>
                <w:rFonts w:eastAsia="Times New Roman"/>
                <w:sz w:val="20"/>
                <w:szCs w:val="20"/>
              </w:rPr>
            </w:pPr>
          </w:p>
        </w:tc>
        <w:tc>
          <w:tcPr>
            <w:tcW w:w="577" w:type="dxa"/>
            <w:shd w:val="clear" w:color="auto" w:fill="auto"/>
            <w:noWrap/>
            <w:vAlign w:val="bottom"/>
            <w:hideMark/>
          </w:tcPr>
          <w:p w14:paraId="6AD1E03B" w14:textId="77777777" w:rsidR="00C43F36" w:rsidRPr="00C43F36" w:rsidRDefault="00C43F36" w:rsidP="00966E61">
            <w:pPr>
              <w:spacing w:before="0" w:line="240" w:lineRule="auto"/>
              <w:rPr>
                <w:rFonts w:eastAsia="Times New Roman"/>
                <w:sz w:val="20"/>
                <w:szCs w:val="20"/>
              </w:rPr>
            </w:pPr>
          </w:p>
        </w:tc>
        <w:tc>
          <w:tcPr>
            <w:tcW w:w="657" w:type="dxa"/>
            <w:shd w:val="clear" w:color="auto" w:fill="auto"/>
            <w:noWrap/>
            <w:vAlign w:val="bottom"/>
            <w:hideMark/>
          </w:tcPr>
          <w:p w14:paraId="109432D8" w14:textId="77777777" w:rsidR="00C43F36" w:rsidRPr="00C43F36" w:rsidRDefault="00C43F36" w:rsidP="00966E61">
            <w:pPr>
              <w:spacing w:before="0" w:line="240" w:lineRule="auto"/>
              <w:rPr>
                <w:rFonts w:eastAsia="Times New Roman"/>
                <w:sz w:val="20"/>
                <w:szCs w:val="20"/>
              </w:rPr>
            </w:pPr>
          </w:p>
        </w:tc>
      </w:tr>
      <w:tr w:rsidR="00C43F36" w:rsidRPr="00C43F36" w14:paraId="0F1506B3" w14:textId="77777777" w:rsidTr="00C43F36">
        <w:trPr>
          <w:trHeight w:val="300"/>
        </w:trPr>
        <w:tc>
          <w:tcPr>
            <w:tcW w:w="13892" w:type="dxa"/>
            <w:gridSpan w:val="14"/>
            <w:shd w:val="clear" w:color="auto" w:fill="auto"/>
            <w:noWrap/>
            <w:vAlign w:val="center"/>
            <w:hideMark/>
          </w:tcPr>
          <w:p w14:paraId="674CF9B8" w14:textId="77777777" w:rsidR="00C43F36" w:rsidRPr="00C43F36" w:rsidRDefault="00C43F36" w:rsidP="00966E61">
            <w:pPr>
              <w:spacing w:before="0" w:line="240" w:lineRule="auto"/>
              <w:rPr>
                <w:rFonts w:eastAsia="Times New Roman"/>
                <w:b/>
                <w:bCs/>
                <w:sz w:val="20"/>
                <w:szCs w:val="20"/>
              </w:rPr>
            </w:pPr>
            <w:r w:rsidRPr="00C43F36">
              <w:rPr>
                <w:rFonts w:eastAsia="Times New Roman"/>
                <w:b/>
                <w:bCs/>
                <w:sz w:val="20"/>
                <w:szCs w:val="20"/>
              </w:rPr>
              <w:t>Key</w:t>
            </w:r>
            <w:r w:rsidRPr="00C43F36">
              <w:rPr>
                <w:rFonts w:eastAsia="Times New Roman"/>
                <w:sz w:val="20"/>
                <w:szCs w:val="20"/>
              </w:rPr>
              <w:t xml:space="preserve">: SD-16: Social Distress scale. EBRT: External beam radiotherapy. ADT: Androgen deprivation therapy.  Systemic (chemotherapy/Abiraterone/Enzalutamide). </w:t>
            </w:r>
          </w:p>
        </w:tc>
      </w:tr>
    </w:tbl>
    <w:p w14:paraId="34AEC85C" w14:textId="77777777" w:rsidR="00C43F36" w:rsidRPr="00C43F36" w:rsidRDefault="00C43F36" w:rsidP="00C43F36">
      <w:pPr>
        <w:rPr>
          <w:sz w:val="20"/>
          <w:szCs w:val="20"/>
        </w:rPr>
      </w:pPr>
    </w:p>
    <w:p w14:paraId="7094949F" w14:textId="6771DA5B" w:rsidR="00541505" w:rsidRDefault="00541505">
      <w:pPr>
        <w:pBdr>
          <w:top w:val="none" w:sz="0" w:space="0" w:color="auto"/>
          <w:left w:val="none" w:sz="0" w:space="0" w:color="auto"/>
          <w:bottom w:val="none" w:sz="0" w:space="0" w:color="auto"/>
          <w:right w:val="none" w:sz="0" w:space="0" w:color="auto"/>
          <w:between w:val="none" w:sz="0" w:space="0" w:color="auto"/>
        </w:pBdr>
        <w:spacing w:before="0" w:after="200"/>
        <w:rPr>
          <w:b/>
          <w:noProof/>
          <w:sz w:val="20"/>
          <w:szCs w:val="20"/>
        </w:rPr>
      </w:pPr>
      <w:r>
        <w:rPr>
          <w:b/>
          <w:noProof/>
          <w:sz w:val="20"/>
          <w:szCs w:val="20"/>
        </w:rPr>
        <w:br w:type="page"/>
      </w:r>
    </w:p>
    <w:tbl>
      <w:tblPr>
        <w:tblW w:w="10000" w:type="dxa"/>
        <w:tblLook w:val="04A0" w:firstRow="1" w:lastRow="0" w:firstColumn="1" w:lastColumn="0" w:noHBand="0" w:noVBand="1"/>
      </w:tblPr>
      <w:tblGrid>
        <w:gridCol w:w="10000"/>
      </w:tblGrid>
      <w:tr w:rsidR="00541505" w:rsidRPr="00474248" w14:paraId="4B1009D7" w14:textId="77777777" w:rsidTr="00966E61">
        <w:trPr>
          <w:trHeight w:val="330"/>
        </w:trPr>
        <w:tc>
          <w:tcPr>
            <w:tcW w:w="10000" w:type="dxa"/>
            <w:tcBorders>
              <w:top w:val="nil"/>
              <w:left w:val="nil"/>
              <w:bottom w:val="nil"/>
              <w:right w:val="nil"/>
            </w:tcBorders>
            <w:shd w:val="clear" w:color="auto" w:fill="auto"/>
            <w:noWrap/>
            <w:vAlign w:val="center"/>
            <w:hideMark/>
          </w:tcPr>
          <w:p w14:paraId="36328473" w14:textId="77777777" w:rsidR="00541505" w:rsidRPr="00474248" w:rsidRDefault="00541505" w:rsidP="00966E61">
            <w:pPr>
              <w:spacing w:before="0" w:line="240" w:lineRule="auto"/>
              <w:rPr>
                <w:rFonts w:eastAsia="Times New Roman"/>
                <w:b/>
                <w:bCs/>
              </w:rPr>
            </w:pPr>
            <w:r w:rsidRPr="00474248">
              <w:rPr>
                <w:rFonts w:eastAsia="Times New Roman"/>
                <w:b/>
                <w:bCs/>
              </w:rPr>
              <w:lastRenderedPageBreak/>
              <w:t xml:space="preserve">Box 1 Social distress checklist for men with prostate cancer  </w:t>
            </w:r>
          </w:p>
        </w:tc>
      </w:tr>
      <w:tr w:rsidR="00541505" w:rsidRPr="00474248" w14:paraId="2A3AFD9A" w14:textId="77777777" w:rsidTr="00966E61">
        <w:trPr>
          <w:trHeight w:val="300"/>
        </w:trPr>
        <w:tc>
          <w:tcPr>
            <w:tcW w:w="10000" w:type="dxa"/>
            <w:tcBorders>
              <w:top w:val="single" w:sz="8" w:space="0" w:color="auto"/>
              <w:left w:val="single" w:sz="8" w:space="0" w:color="auto"/>
              <w:bottom w:val="nil"/>
              <w:right w:val="single" w:sz="8" w:space="0" w:color="auto"/>
            </w:tcBorders>
            <w:shd w:val="clear" w:color="auto" w:fill="auto"/>
            <w:vAlign w:val="center"/>
            <w:hideMark/>
          </w:tcPr>
          <w:p w14:paraId="415663AF" w14:textId="77777777" w:rsidR="00541505" w:rsidRPr="00474248" w:rsidRDefault="00541505" w:rsidP="00966E61">
            <w:pPr>
              <w:spacing w:before="0" w:line="240" w:lineRule="auto"/>
              <w:rPr>
                <w:rFonts w:eastAsia="Times New Roman"/>
                <w:b/>
                <w:bCs/>
                <w:sz w:val="22"/>
                <w:szCs w:val="22"/>
              </w:rPr>
            </w:pPr>
            <w:r w:rsidRPr="00474248">
              <w:rPr>
                <w:rFonts w:eastAsia="Times New Roman"/>
                <w:b/>
                <w:bCs/>
                <w:sz w:val="22"/>
                <w:szCs w:val="22"/>
              </w:rPr>
              <w:t>Sociodemographic risk factors</w:t>
            </w:r>
          </w:p>
        </w:tc>
      </w:tr>
      <w:tr w:rsidR="00541505" w:rsidRPr="00474248" w14:paraId="42ED40CC"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341FCC4C"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Unemployed</w:t>
            </w:r>
          </w:p>
        </w:tc>
      </w:tr>
      <w:tr w:rsidR="00541505" w:rsidRPr="00474248" w14:paraId="60889923"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22DBAD00"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Under 60 years old</w:t>
            </w:r>
          </w:p>
        </w:tc>
      </w:tr>
      <w:tr w:rsidR="00541505" w:rsidRPr="00474248" w14:paraId="6E42D22F"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7367C022"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Living in an area of socio-economic</w:t>
            </w:r>
            <w:r w:rsidRPr="00474248">
              <w:rPr>
                <w:rFonts w:eastAsia="Times New Roman"/>
                <w:b/>
                <w:bCs/>
                <w:sz w:val="22"/>
                <w:szCs w:val="22"/>
              </w:rPr>
              <w:t xml:space="preserve"> </w:t>
            </w:r>
            <w:r w:rsidRPr="00474248">
              <w:rPr>
                <w:rFonts w:eastAsia="Times New Roman"/>
                <w:sz w:val="22"/>
                <w:szCs w:val="22"/>
              </w:rPr>
              <w:t>deprivation</w:t>
            </w:r>
          </w:p>
        </w:tc>
      </w:tr>
      <w:tr w:rsidR="00541505" w:rsidRPr="00474248" w14:paraId="7CC80179"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14863C67"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Separated or divorced</w:t>
            </w:r>
          </w:p>
        </w:tc>
      </w:tr>
      <w:tr w:rsidR="00541505" w:rsidRPr="00474248" w14:paraId="743FC4B5"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1FED78CB"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Caring responsibilities</w:t>
            </w:r>
          </w:p>
        </w:tc>
      </w:tr>
      <w:tr w:rsidR="00541505" w:rsidRPr="00474248" w14:paraId="0029F21A" w14:textId="77777777" w:rsidTr="00966E61">
        <w:trPr>
          <w:trHeight w:val="330"/>
        </w:trPr>
        <w:tc>
          <w:tcPr>
            <w:tcW w:w="10000" w:type="dxa"/>
            <w:tcBorders>
              <w:top w:val="nil"/>
              <w:left w:val="single" w:sz="8" w:space="0" w:color="auto"/>
              <w:bottom w:val="nil"/>
              <w:right w:val="single" w:sz="8" w:space="0" w:color="auto"/>
            </w:tcBorders>
            <w:shd w:val="clear" w:color="auto" w:fill="auto"/>
            <w:vAlign w:val="center"/>
            <w:hideMark/>
          </w:tcPr>
          <w:p w14:paraId="4D6A401A"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Non-White ethnicity</w:t>
            </w:r>
          </w:p>
        </w:tc>
      </w:tr>
      <w:tr w:rsidR="00541505" w:rsidRPr="00474248" w14:paraId="0C551570"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64397BF3" w14:textId="77777777" w:rsidR="00541505" w:rsidRPr="00474248" w:rsidRDefault="00541505" w:rsidP="00966E61">
            <w:pPr>
              <w:spacing w:before="0" w:line="240" w:lineRule="auto"/>
              <w:rPr>
                <w:rFonts w:eastAsia="Times New Roman"/>
                <w:b/>
                <w:bCs/>
                <w:sz w:val="22"/>
                <w:szCs w:val="22"/>
              </w:rPr>
            </w:pPr>
            <w:r w:rsidRPr="00474248">
              <w:rPr>
                <w:rFonts w:eastAsia="Times New Roman"/>
                <w:b/>
                <w:bCs/>
                <w:sz w:val="22"/>
                <w:szCs w:val="22"/>
              </w:rPr>
              <w:t xml:space="preserve">Clinical risk factors </w:t>
            </w:r>
          </w:p>
        </w:tc>
      </w:tr>
      <w:tr w:rsidR="00541505" w:rsidRPr="00474248" w14:paraId="0187EE87"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37242ABA"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Multiple co-morbidities</w:t>
            </w:r>
          </w:p>
        </w:tc>
      </w:tr>
      <w:tr w:rsidR="00541505" w:rsidRPr="00474248" w14:paraId="773D521F"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56D6530F"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Has consulted a health/social care professional for a mental health, alcohol or drug related problem</w:t>
            </w:r>
          </w:p>
        </w:tc>
      </w:tr>
      <w:tr w:rsidR="00541505" w:rsidRPr="00474248" w14:paraId="1DC6E73E"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0684553E"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Body Mass Index &gt;30</w:t>
            </w:r>
          </w:p>
        </w:tc>
      </w:tr>
      <w:tr w:rsidR="00541505" w:rsidRPr="00474248" w14:paraId="4CDE23D9"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72A20671" w14:textId="77777777" w:rsidR="00541505" w:rsidRPr="00474248" w:rsidRDefault="00541505" w:rsidP="00966E61">
            <w:pPr>
              <w:spacing w:before="0" w:line="240" w:lineRule="auto"/>
              <w:rPr>
                <w:rFonts w:eastAsia="Times New Roman"/>
                <w:b/>
                <w:bCs/>
                <w:sz w:val="22"/>
                <w:szCs w:val="22"/>
              </w:rPr>
            </w:pPr>
            <w:r w:rsidRPr="00474248">
              <w:rPr>
                <w:rFonts w:eastAsia="Times New Roman"/>
                <w:b/>
                <w:bCs/>
                <w:sz w:val="22"/>
                <w:szCs w:val="22"/>
              </w:rPr>
              <w:t>Prostate cancer related risk factors</w:t>
            </w:r>
          </w:p>
        </w:tc>
      </w:tr>
      <w:tr w:rsidR="00541505" w:rsidRPr="00474248" w14:paraId="2C88C829"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01120CFC"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Combination therapies</w:t>
            </w:r>
          </w:p>
        </w:tc>
      </w:tr>
      <w:tr w:rsidR="00541505" w:rsidRPr="00474248" w14:paraId="6AA5BBF0" w14:textId="77777777" w:rsidTr="00966E61">
        <w:trPr>
          <w:trHeight w:val="300"/>
        </w:trPr>
        <w:tc>
          <w:tcPr>
            <w:tcW w:w="10000" w:type="dxa"/>
            <w:tcBorders>
              <w:top w:val="nil"/>
              <w:left w:val="single" w:sz="8" w:space="0" w:color="auto"/>
              <w:bottom w:val="nil"/>
              <w:right w:val="single" w:sz="8" w:space="0" w:color="auto"/>
            </w:tcBorders>
            <w:shd w:val="clear" w:color="auto" w:fill="auto"/>
            <w:vAlign w:val="center"/>
            <w:hideMark/>
          </w:tcPr>
          <w:p w14:paraId="1673919C"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Androgen deprivation therapy</w:t>
            </w:r>
          </w:p>
        </w:tc>
      </w:tr>
      <w:tr w:rsidR="00541505" w:rsidRPr="00474248" w14:paraId="5ACE8258" w14:textId="77777777" w:rsidTr="00966E61">
        <w:trPr>
          <w:trHeight w:val="300"/>
        </w:trPr>
        <w:tc>
          <w:tcPr>
            <w:tcW w:w="10000" w:type="dxa"/>
            <w:tcBorders>
              <w:top w:val="nil"/>
              <w:left w:val="single" w:sz="8" w:space="0" w:color="auto"/>
              <w:bottom w:val="single" w:sz="8" w:space="0" w:color="auto"/>
              <w:right w:val="single" w:sz="8" w:space="0" w:color="auto"/>
            </w:tcBorders>
            <w:shd w:val="clear" w:color="auto" w:fill="auto"/>
            <w:vAlign w:val="center"/>
            <w:hideMark/>
          </w:tcPr>
          <w:p w14:paraId="7327D976" w14:textId="77777777" w:rsidR="00541505" w:rsidRPr="00474248" w:rsidRDefault="00541505" w:rsidP="00966E61">
            <w:pPr>
              <w:spacing w:before="0" w:line="240" w:lineRule="auto"/>
              <w:rPr>
                <w:rFonts w:eastAsia="Times New Roman"/>
                <w:sz w:val="22"/>
                <w:szCs w:val="22"/>
              </w:rPr>
            </w:pPr>
            <w:r w:rsidRPr="00474248">
              <w:rPr>
                <w:rFonts w:eastAsia="Times New Roman"/>
                <w:sz w:val="22"/>
                <w:szCs w:val="22"/>
              </w:rPr>
              <w:t>Advanced disease</w:t>
            </w:r>
          </w:p>
        </w:tc>
      </w:tr>
    </w:tbl>
    <w:p w14:paraId="15D2D0D8" w14:textId="77777777" w:rsidR="006D26F0" w:rsidRPr="00C43F36" w:rsidRDefault="006D26F0">
      <w:pPr>
        <w:pBdr>
          <w:top w:val="none" w:sz="0" w:space="0" w:color="auto"/>
          <w:left w:val="none" w:sz="0" w:space="0" w:color="auto"/>
          <w:bottom w:val="none" w:sz="0" w:space="0" w:color="auto"/>
          <w:right w:val="none" w:sz="0" w:space="0" w:color="auto"/>
          <w:between w:val="none" w:sz="0" w:space="0" w:color="auto"/>
        </w:pBdr>
        <w:spacing w:before="0" w:after="200"/>
        <w:rPr>
          <w:b/>
          <w:noProof/>
          <w:sz w:val="20"/>
          <w:szCs w:val="20"/>
        </w:rPr>
      </w:pPr>
    </w:p>
    <w:sectPr w:rsidR="006D26F0" w:rsidRPr="00C43F36" w:rsidSect="00966E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3EEF" w14:textId="77777777" w:rsidR="000E1E81" w:rsidRDefault="000E1E81" w:rsidP="00E961C8">
      <w:pPr>
        <w:spacing w:before="0" w:line="240" w:lineRule="auto"/>
      </w:pPr>
      <w:r>
        <w:separator/>
      </w:r>
    </w:p>
  </w:endnote>
  <w:endnote w:type="continuationSeparator" w:id="0">
    <w:p w14:paraId="616F4762" w14:textId="77777777" w:rsidR="000E1E81" w:rsidRDefault="000E1E81" w:rsidP="00E961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F214" w14:textId="77777777" w:rsidR="000E1E81" w:rsidRDefault="000E1E81">
    <w:pPr>
      <w:tabs>
        <w:tab w:val="center" w:pos="4513"/>
        <w:tab w:val="right" w:pos="9026"/>
      </w:tabs>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0D7D" w14:textId="77777777" w:rsidR="000E1E81" w:rsidRDefault="000E1E81">
    <w:pPr>
      <w:tabs>
        <w:tab w:val="center" w:pos="4513"/>
        <w:tab w:val="right" w:pos="9026"/>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2B66" w14:textId="77777777" w:rsidR="000E1E81" w:rsidRDefault="000E1E81" w:rsidP="00E961C8">
      <w:pPr>
        <w:spacing w:before="0" w:line="240" w:lineRule="auto"/>
      </w:pPr>
      <w:r>
        <w:separator/>
      </w:r>
    </w:p>
  </w:footnote>
  <w:footnote w:type="continuationSeparator" w:id="0">
    <w:p w14:paraId="539B4A44" w14:textId="77777777" w:rsidR="000E1E81" w:rsidRDefault="000E1E81" w:rsidP="00E961C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8E5A" w14:textId="77777777" w:rsidR="000E1E81" w:rsidRDefault="000E1E81">
    <w:pPr>
      <w:tabs>
        <w:tab w:val="center" w:pos="4513"/>
        <w:tab w:val="right" w:pos="9026"/>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5CE2" w14:textId="0D63F479" w:rsidR="000E1E81" w:rsidRDefault="000E1E81">
    <w:pPr>
      <w:tabs>
        <w:tab w:val="center" w:pos="4513"/>
        <w:tab w:val="right" w:pos="9026"/>
      </w:tabs>
      <w:spacing w:before="0" w:line="240" w:lineRule="auto"/>
      <w:jc w:val="right"/>
    </w:pPr>
    <w:r>
      <w:fldChar w:fldCharType="begin"/>
    </w:r>
    <w:r>
      <w:instrText>PAGE</w:instrText>
    </w:r>
    <w:r>
      <w:fldChar w:fldCharType="separate"/>
    </w:r>
    <w:r w:rsidR="00EC2AC3">
      <w:rPr>
        <w:noProof/>
      </w:rPr>
      <w:t>1</w:t>
    </w:r>
    <w:r>
      <w:fldChar w:fldCharType="end"/>
    </w:r>
  </w:p>
  <w:p w14:paraId="7D9640C9" w14:textId="77777777" w:rsidR="000E1E81" w:rsidRDefault="000E1E81">
    <w:pPr>
      <w:tabs>
        <w:tab w:val="center" w:pos="4513"/>
        <w:tab w:val="right" w:pos="9026"/>
      </w:tabs>
      <w:spacing w:before="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EC69" w14:textId="77777777" w:rsidR="000E1E81" w:rsidRDefault="000E1E81">
    <w:pPr>
      <w:tabs>
        <w:tab w:val="center" w:pos="4513"/>
        <w:tab w:val="right" w:pos="9026"/>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CE4D84"/>
    <w:multiLevelType w:val="hybridMultilevel"/>
    <w:tmpl w:val="262A6774"/>
    <w:lvl w:ilvl="0" w:tplc="E72C1C3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D84590"/>
    <w:multiLevelType w:val="hybridMultilevel"/>
    <w:tmpl w:val="4C723ECA"/>
    <w:lvl w:ilvl="0" w:tplc="52864682">
      <w:numFmt w:val="bullet"/>
      <w:lvlText w:val=""/>
      <w:lvlJc w:val="left"/>
      <w:pPr>
        <w:ind w:left="720" w:hanging="360"/>
      </w:pPr>
      <w:rPr>
        <w:rFonts w:ascii="Symbol" w:eastAsia="Arial"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E233B"/>
    <w:multiLevelType w:val="hybridMultilevel"/>
    <w:tmpl w:val="FAE26AF8"/>
    <w:lvl w:ilvl="0" w:tplc="0EB0D2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C35AD"/>
    <w:multiLevelType w:val="hybridMultilevel"/>
    <w:tmpl w:val="0CB8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A7BB7"/>
    <w:multiLevelType w:val="hybridMultilevel"/>
    <w:tmpl w:val="E504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D6952"/>
    <w:multiLevelType w:val="hybridMultilevel"/>
    <w:tmpl w:val="626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84DA0"/>
    <w:multiLevelType w:val="multilevel"/>
    <w:tmpl w:val="686A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45B6C"/>
    <w:multiLevelType w:val="hybridMultilevel"/>
    <w:tmpl w:val="0B7CD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06B27"/>
    <w:multiLevelType w:val="hybridMultilevel"/>
    <w:tmpl w:val="AEC07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B59CD"/>
    <w:multiLevelType w:val="hybridMultilevel"/>
    <w:tmpl w:val="78F61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66329"/>
    <w:multiLevelType w:val="hybridMultilevel"/>
    <w:tmpl w:val="8E607502"/>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3EFC"/>
    <w:multiLevelType w:val="hybridMultilevel"/>
    <w:tmpl w:val="50D6AA86"/>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19"/>
  </w:num>
  <w:num w:numId="15">
    <w:abstractNumId w:val="13"/>
  </w:num>
  <w:num w:numId="16">
    <w:abstractNumId w:val="18"/>
  </w:num>
  <w:num w:numId="17">
    <w:abstractNumId w:val="15"/>
  </w:num>
  <w:num w:numId="18">
    <w:abstractNumId w:val="17"/>
  </w:num>
  <w:num w:numId="19">
    <w:abstractNumId w:val="20"/>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2673F"/>
    <w:rsid w:val="0000336E"/>
    <w:rsid w:val="00020438"/>
    <w:rsid w:val="00024E58"/>
    <w:rsid w:val="0005732B"/>
    <w:rsid w:val="0008752E"/>
    <w:rsid w:val="0009490C"/>
    <w:rsid w:val="00097E87"/>
    <w:rsid w:val="000A2D5C"/>
    <w:rsid w:val="000A395C"/>
    <w:rsid w:val="000B02A5"/>
    <w:rsid w:val="000C5DAB"/>
    <w:rsid w:val="000D1F05"/>
    <w:rsid w:val="000D6EED"/>
    <w:rsid w:val="000E1944"/>
    <w:rsid w:val="000E1E81"/>
    <w:rsid w:val="000F14C4"/>
    <w:rsid w:val="00122C9F"/>
    <w:rsid w:val="0012666A"/>
    <w:rsid w:val="0014733C"/>
    <w:rsid w:val="0016134C"/>
    <w:rsid w:val="00165F6A"/>
    <w:rsid w:val="001663B2"/>
    <w:rsid w:val="00170BBC"/>
    <w:rsid w:val="00177972"/>
    <w:rsid w:val="00186A60"/>
    <w:rsid w:val="00196578"/>
    <w:rsid w:val="001C2F45"/>
    <w:rsid w:val="001C4245"/>
    <w:rsid w:val="001E1E02"/>
    <w:rsid w:val="001E2462"/>
    <w:rsid w:val="001E4252"/>
    <w:rsid w:val="001F0ADC"/>
    <w:rsid w:val="001F555F"/>
    <w:rsid w:val="00212CEA"/>
    <w:rsid w:val="00225F3F"/>
    <w:rsid w:val="002341AF"/>
    <w:rsid w:val="00252BFB"/>
    <w:rsid w:val="002661AE"/>
    <w:rsid w:val="00273123"/>
    <w:rsid w:val="002735BB"/>
    <w:rsid w:val="00277A07"/>
    <w:rsid w:val="002A237B"/>
    <w:rsid w:val="002D0AC4"/>
    <w:rsid w:val="002E225B"/>
    <w:rsid w:val="002F4981"/>
    <w:rsid w:val="00304885"/>
    <w:rsid w:val="00305451"/>
    <w:rsid w:val="00314FC6"/>
    <w:rsid w:val="00330467"/>
    <w:rsid w:val="0033720E"/>
    <w:rsid w:val="003400F1"/>
    <w:rsid w:val="00381998"/>
    <w:rsid w:val="00382500"/>
    <w:rsid w:val="00382F4B"/>
    <w:rsid w:val="003D60F1"/>
    <w:rsid w:val="003E37D1"/>
    <w:rsid w:val="003F132B"/>
    <w:rsid w:val="003F26FF"/>
    <w:rsid w:val="003F72D8"/>
    <w:rsid w:val="00416AA0"/>
    <w:rsid w:val="00424A21"/>
    <w:rsid w:val="00432B6F"/>
    <w:rsid w:val="004453F7"/>
    <w:rsid w:val="00487633"/>
    <w:rsid w:val="00493457"/>
    <w:rsid w:val="004B26CA"/>
    <w:rsid w:val="004F144E"/>
    <w:rsid w:val="00501092"/>
    <w:rsid w:val="00502E32"/>
    <w:rsid w:val="00510544"/>
    <w:rsid w:val="00510CCC"/>
    <w:rsid w:val="00514401"/>
    <w:rsid w:val="00524BBC"/>
    <w:rsid w:val="00530758"/>
    <w:rsid w:val="00533549"/>
    <w:rsid w:val="00537465"/>
    <w:rsid w:val="00541505"/>
    <w:rsid w:val="00552897"/>
    <w:rsid w:val="0056264E"/>
    <w:rsid w:val="0057175E"/>
    <w:rsid w:val="005729BA"/>
    <w:rsid w:val="00590107"/>
    <w:rsid w:val="005A6402"/>
    <w:rsid w:val="005B0D14"/>
    <w:rsid w:val="005C161B"/>
    <w:rsid w:val="005D7881"/>
    <w:rsid w:val="005E3C24"/>
    <w:rsid w:val="005F3FD0"/>
    <w:rsid w:val="005F6886"/>
    <w:rsid w:val="00600FFF"/>
    <w:rsid w:val="006024D3"/>
    <w:rsid w:val="006041F2"/>
    <w:rsid w:val="00604201"/>
    <w:rsid w:val="00615403"/>
    <w:rsid w:val="00627DB3"/>
    <w:rsid w:val="00631916"/>
    <w:rsid w:val="006422C8"/>
    <w:rsid w:val="0064642C"/>
    <w:rsid w:val="006532CE"/>
    <w:rsid w:val="00667971"/>
    <w:rsid w:val="006918C9"/>
    <w:rsid w:val="00696AE8"/>
    <w:rsid w:val="006D26F0"/>
    <w:rsid w:val="006F163E"/>
    <w:rsid w:val="006F3003"/>
    <w:rsid w:val="006F684E"/>
    <w:rsid w:val="006F7FE6"/>
    <w:rsid w:val="007029CA"/>
    <w:rsid w:val="00707B05"/>
    <w:rsid w:val="00711EBA"/>
    <w:rsid w:val="00732056"/>
    <w:rsid w:val="00766EA5"/>
    <w:rsid w:val="00793C8C"/>
    <w:rsid w:val="00797813"/>
    <w:rsid w:val="007C12BD"/>
    <w:rsid w:val="007D1274"/>
    <w:rsid w:val="007E49AA"/>
    <w:rsid w:val="008134C7"/>
    <w:rsid w:val="0083446F"/>
    <w:rsid w:val="008455C8"/>
    <w:rsid w:val="00856B40"/>
    <w:rsid w:val="00873D7B"/>
    <w:rsid w:val="008740BD"/>
    <w:rsid w:val="00880119"/>
    <w:rsid w:val="0088711D"/>
    <w:rsid w:val="00890E90"/>
    <w:rsid w:val="008964E4"/>
    <w:rsid w:val="008C01C4"/>
    <w:rsid w:val="008C05D0"/>
    <w:rsid w:val="008D434B"/>
    <w:rsid w:val="008D74EB"/>
    <w:rsid w:val="008E1813"/>
    <w:rsid w:val="0091059B"/>
    <w:rsid w:val="00912B36"/>
    <w:rsid w:val="009135DB"/>
    <w:rsid w:val="00930117"/>
    <w:rsid w:val="009359B5"/>
    <w:rsid w:val="0096418A"/>
    <w:rsid w:val="00966E61"/>
    <w:rsid w:val="0097725E"/>
    <w:rsid w:val="00980A4B"/>
    <w:rsid w:val="00985F88"/>
    <w:rsid w:val="00990BA6"/>
    <w:rsid w:val="00994AB1"/>
    <w:rsid w:val="009B5B6D"/>
    <w:rsid w:val="009C3A5E"/>
    <w:rsid w:val="009D032F"/>
    <w:rsid w:val="009D3401"/>
    <w:rsid w:val="009E08AE"/>
    <w:rsid w:val="009F40C7"/>
    <w:rsid w:val="00A00C40"/>
    <w:rsid w:val="00A049DE"/>
    <w:rsid w:val="00A13987"/>
    <w:rsid w:val="00A262E5"/>
    <w:rsid w:val="00A27411"/>
    <w:rsid w:val="00A36CF5"/>
    <w:rsid w:val="00A511EC"/>
    <w:rsid w:val="00A82ABF"/>
    <w:rsid w:val="00A90361"/>
    <w:rsid w:val="00A9635B"/>
    <w:rsid w:val="00AB1960"/>
    <w:rsid w:val="00AB3549"/>
    <w:rsid w:val="00AB777A"/>
    <w:rsid w:val="00AC7987"/>
    <w:rsid w:val="00AD1B4C"/>
    <w:rsid w:val="00AD3173"/>
    <w:rsid w:val="00AD5F4C"/>
    <w:rsid w:val="00AE1735"/>
    <w:rsid w:val="00AE22F4"/>
    <w:rsid w:val="00AE6DF1"/>
    <w:rsid w:val="00B23E4E"/>
    <w:rsid w:val="00B32CF5"/>
    <w:rsid w:val="00B3772F"/>
    <w:rsid w:val="00B41600"/>
    <w:rsid w:val="00B41CE3"/>
    <w:rsid w:val="00B437EC"/>
    <w:rsid w:val="00B4383C"/>
    <w:rsid w:val="00B50E9E"/>
    <w:rsid w:val="00B533F2"/>
    <w:rsid w:val="00B714D9"/>
    <w:rsid w:val="00B71591"/>
    <w:rsid w:val="00B726C1"/>
    <w:rsid w:val="00B73992"/>
    <w:rsid w:val="00B7564E"/>
    <w:rsid w:val="00B807A0"/>
    <w:rsid w:val="00B958BF"/>
    <w:rsid w:val="00BB66F3"/>
    <w:rsid w:val="00BC63CD"/>
    <w:rsid w:val="00BD3A68"/>
    <w:rsid w:val="00BE2CE4"/>
    <w:rsid w:val="00BF19B6"/>
    <w:rsid w:val="00BF7C01"/>
    <w:rsid w:val="00C05A25"/>
    <w:rsid w:val="00C12DB6"/>
    <w:rsid w:val="00C165AE"/>
    <w:rsid w:val="00C23E3F"/>
    <w:rsid w:val="00C33137"/>
    <w:rsid w:val="00C36010"/>
    <w:rsid w:val="00C37462"/>
    <w:rsid w:val="00C43089"/>
    <w:rsid w:val="00C43F36"/>
    <w:rsid w:val="00C55CBA"/>
    <w:rsid w:val="00C62A4A"/>
    <w:rsid w:val="00C84B11"/>
    <w:rsid w:val="00C85894"/>
    <w:rsid w:val="00CA19CD"/>
    <w:rsid w:val="00CD05E9"/>
    <w:rsid w:val="00CD350A"/>
    <w:rsid w:val="00CD3E27"/>
    <w:rsid w:val="00CF724E"/>
    <w:rsid w:val="00D00D33"/>
    <w:rsid w:val="00D01A6C"/>
    <w:rsid w:val="00D11C61"/>
    <w:rsid w:val="00D21389"/>
    <w:rsid w:val="00D2343D"/>
    <w:rsid w:val="00D24B93"/>
    <w:rsid w:val="00D36596"/>
    <w:rsid w:val="00D46F80"/>
    <w:rsid w:val="00D555F2"/>
    <w:rsid w:val="00D644AD"/>
    <w:rsid w:val="00D8054A"/>
    <w:rsid w:val="00D8294D"/>
    <w:rsid w:val="00D85486"/>
    <w:rsid w:val="00D962BF"/>
    <w:rsid w:val="00DA2887"/>
    <w:rsid w:val="00DA6F9F"/>
    <w:rsid w:val="00DD4299"/>
    <w:rsid w:val="00DE22E2"/>
    <w:rsid w:val="00DE5096"/>
    <w:rsid w:val="00E057DF"/>
    <w:rsid w:val="00E07DE6"/>
    <w:rsid w:val="00E209F2"/>
    <w:rsid w:val="00E2259D"/>
    <w:rsid w:val="00E7281F"/>
    <w:rsid w:val="00E861B4"/>
    <w:rsid w:val="00E961C8"/>
    <w:rsid w:val="00EB66B1"/>
    <w:rsid w:val="00EC1DBF"/>
    <w:rsid w:val="00EC2AC3"/>
    <w:rsid w:val="00EC599B"/>
    <w:rsid w:val="00EC75F8"/>
    <w:rsid w:val="00EE05C7"/>
    <w:rsid w:val="00EE0808"/>
    <w:rsid w:val="00EE7D2D"/>
    <w:rsid w:val="00EF1C7E"/>
    <w:rsid w:val="00EF4CC9"/>
    <w:rsid w:val="00F15CB6"/>
    <w:rsid w:val="00F26077"/>
    <w:rsid w:val="00F2673F"/>
    <w:rsid w:val="00F367F1"/>
    <w:rsid w:val="00F419B2"/>
    <w:rsid w:val="00F42B85"/>
    <w:rsid w:val="00F55FBD"/>
    <w:rsid w:val="00F62A9B"/>
    <w:rsid w:val="00F71C51"/>
    <w:rsid w:val="00F76702"/>
    <w:rsid w:val="00F77315"/>
    <w:rsid w:val="00F83B78"/>
    <w:rsid w:val="00FB0D07"/>
    <w:rsid w:val="00FB7B82"/>
    <w:rsid w:val="00FD6E45"/>
    <w:rsid w:val="00FF078C"/>
    <w:rsid w:val="00FF2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CFC1"/>
  <w15:docId w15:val="{54D074BE-7AF4-47F9-8F0A-095C90BC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73F"/>
    <w:pPr>
      <w:pBdr>
        <w:top w:val="nil"/>
        <w:left w:val="nil"/>
        <w:bottom w:val="nil"/>
        <w:right w:val="nil"/>
        <w:between w:val="nil"/>
      </w:pBdr>
      <w:spacing w:before="120" w:after="0"/>
    </w:pPr>
    <w:rPr>
      <w:rFonts w:eastAsia="Arial"/>
      <w:color w:val="000000"/>
      <w:lang w:eastAsia="en-GB"/>
    </w:rPr>
  </w:style>
  <w:style w:type="paragraph" w:styleId="Heading1">
    <w:name w:val="heading 1"/>
    <w:basedOn w:val="Normal"/>
    <w:next w:val="Normal"/>
    <w:link w:val="Heading1Char"/>
    <w:rsid w:val="00F2673F"/>
    <w:pPr>
      <w:keepNext/>
      <w:keepLines/>
      <w:outlineLvl w:val="0"/>
    </w:pPr>
    <w:rPr>
      <w:b/>
      <w:sz w:val="36"/>
      <w:szCs w:val="36"/>
    </w:rPr>
  </w:style>
  <w:style w:type="paragraph" w:styleId="Heading2">
    <w:name w:val="heading 2"/>
    <w:basedOn w:val="Normal"/>
    <w:next w:val="Normal"/>
    <w:link w:val="Heading2Char"/>
    <w:rsid w:val="00F2673F"/>
    <w:pPr>
      <w:keepNext/>
      <w:keepLines/>
      <w:spacing w:before="240" w:after="120"/>
      <w:outlineLvl w:val="1"/>
    </w:pPr>
    <w:rPr>
      <w:b/>
      <w:sz w:val="28"/>
      <w:szCs w:val="28"/>
    </w:rPr>
  </w:style>
  <w:style w:type="paragraph" w:styleId="Heading3">
    <w:name w:val="heading 3"/>
    <w:basedOn w:val="Normal"/>
    <w:next w:val="Normal"/>
    <w:link w:val="Heading3Char"/>
    <w:rsid w:val="00F2673F"/>
    <w:pPr>
      <w:keepNext/>
      <w:keepLines/>
      <w:spacing w:before="240" w:after="120"/>
      <w:outlineLvl w:val="2"/>
    </w:pPr>
    <w:rPr>
      <w:b/>
    </w:rPr>
  </w:style>
  <w:style w:type="paragraph" w:styleId="Heading4">
    <w:name w:val="heading 4"/>
    <w:basedOn w:val="Normal"/>
    <w:next w:val="Normal"/>
    <w:link w:val="Heading4Char"/>
    <w:rsid w:val="00F2673F"/>
    <w:pPr>
      <w:keepNext/>
      <w:keepLines/>
      <w:spacing w:before="240" w:after="120"/>
      <w:outlineLvl w:val="3"/>
    </w:pPr>
    <w:rPr>
      <w:b/>
    </w:rPr>
  </w:style>
  <w:style w:type="paragraph" w:styleId="Heading5">
    <w:name w:val="heading 5"/>
    <w:basedOn w:val="Normal"/>
    <w:next w:val="Normal"/>
    <w:link w:val="Heading5Char"/>
    <w:rsid w:val="00F2673F"/>
    <w:pPr>
      <w:keepNext/>
      <w:keepLines/>
      <w:spacing w:before="240" w:after="120"/>
      <w:outlineLvl w:val="4"/>
    </w:pPr>
    <w:rPr>
      <w:b/>
    </w:rPr>
  </w:style>
  <w:style w:type="paragraph" w:styleId="Heading6">
    <w:name w:val="heading 6"/>
    <w:basedOn w:val="Normal"/>
    <w:next w:val="Normal"/>
    <w:link w:val="Heading6Char"/>
    <w:rsid w:val="00F2673F"/>
    <w:pPr>
      <w:keepNext/>
      <w:keepLines/>
      <w:spacing w:before="240" w:after="120"/>
      <w:outlineLvl w:val="5"/>
    </w:pPr>
    <w:rPr>
      <w:b/>
    </w:rPr>
  </w:style>
  <w:style w:type="paragraph" w:styleId="Heading7">
    <w:name w:val="heading 7"/>
    <w:basedOn w:val="Normal"/>
    <w:next w:val="Normal"/>
    <w:link w:val="Heading7Char"/>
    <w:uiPriority w:val="9"/>
    <w:unhideWhenUsed/>
    <w:qFormat/>
    <w:rsid w:val="00F2673F"/>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F2673F"/>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F2673F"/>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F2673F"/>
    <w:pPr>
      <w:keepNext/>
    </w:pPr>
    <w:rPr>
      <w:b/>
    </w:rPr>
  </w:style>
  <w:style w:type="character" w:customStyle="1" w:styleId="SubheadingChar">
    <w:name w:val="Subheading Char"/>
    <w:basedOn w:val="DefaultParagraphFont"/>
    <w:link w:val="Subheading"/>
    <w:rsid w:val="00F2673F"/>
    <w:rPr>
      <w:rFonts w:eastAsia="Arial"/>
      <w:b/>
      <w:color w:val="000000"/>
      <w:lang w:eastAsia="en-GB"/>
    </w:rPr>
  </w:style>
  <w:style w:type="paragraph" w:styleId="Caption">
    <w:name w:val="caption"/>
    <w:basedOn w:val="Normal"/>
    <w:next w:val="Normal"/>
    <w:uiPriority w:val="35"/>
    <w:unhideWhenUsed/>
    <w:qFormat/>
    <w:rsid w:val="00F2673F"/>
    <w:pPr>
      <w:spacing w:line="240" w:lineRule="auto"/>
    </w:pPr>
    <w:rPr>
      <w:b/>
      <w:bCs/>
      <w:szCs w:val="18"/>
    </w:rPr>
  </w:style>
  <w:style w:type="paragraph" w:styleId="Title">
    <w:name w:val="Title"/>
    <w:basedOn w:val="Normal"/>
    <w:next w:val="Normal"/>
    <w:link w:val="TitleChar"/>
    <w:rsid w:val="00F2673F"/>
    <w:pPr>
      <w:keepNext/>
      <w:pBdr>
        <w:bottom w:val="single" w:sz="8" w:space="4" w:color="000000"/>
      </w:pBdr>
      <w:spacing w:before="240" w:after="120" w:line="240" w:lineRule="auto"/>
      <w:contextualSpacing/>
    </w:pPr>
    <w:rPr>
      <w:b/>
      <w:sz w:val="36"/>
      <w:szCs w:val="36"/>
    </w:rPr>
  </w:style>
  <w:style w:type="character" w:customStyle="1" w:styleId="TitleChar">
    <w:name w:val="Title Char"/>
    <w:basedOn w:val="DefaultParagraphFont"/>
    <w:link w:val="Title"/>
    <w:rsid w:val="00F2673F"/>
    <w:rPr>
      <w:rFonts w:eastAsia="Arial"/>
      <w:b/>
      <w:color w:val="000000"/>
      <w:sz w:val="36"/>
      <w:szCs w:val="36"/>
      <w:lang w:eastAsia="en-GB"/>
    </w:rPr>
  </w:style>
  <w:style w:type="paragraph" w:styleId="Subtitle">
    <w:name w:val="Subtitle"/>
    <w:basedOn w:val="Normal"/>
    <w:next w:val="Normal"/>
    <w:link w:val="SubtitleChar"/>
    <w:rsid w:val="00F2673F"/>
    <w:pPr>
      <w:keepNext/>
    </w:pPr>
    <w:rPr>
      <w:sz w:val="28"/>
      <w:szCs w:val="28"/>
    </w:rPr>
  </w:style>
  <w:style w:type="character" w:customStyle="1" w:styleId="SubtitleChar">
    <w:name w:val="Subtitle Char"/>
    <w:basedOn w:val="DefaultParagraphFont"/>
    <w:link w:val="Subtitle"/>
    <w:rsid w:val="00F2673F"/>
    <w:rPr>
      <w:rFonts w:eastAsia="Arial"/>
      <w:color w:val="000000"/>
      <w:sz w:val="28"/>
      <w:szCs w:val="28"/>
      <w:lang w:eastAsia="en-GB"/>
    </w:rPr>
  </w:style>
  <w:style w:type="character" w:customStyle="1" w:styleId="Heading1Char">
    <w:name w:val="Heading 1 Char"/>
    <w:basedOn w:val="DefaultParagraphFont"/>
    <w:link w:val="Heading1"/>
    <w:rsid w:val="00F2673F"/>
    <w:rPr>
      <w:rFonts w:eastAsia="Arial"/>
      <w:b/>
      <w:color w:val="000000"/>
      <w:sz w:val="36"/>
      <w:szCs w:val="36"/>
      <w:lang w:eastAsia="en-GB"/>
    </w:rPr>
  </w:style>
  <w:style w:type="character" w:customStyle="1" w:styleId="Heading2Char">
    <w:name w:val="Heading 2 Char"/>
    <w:basedOn w:val="DefaultParagraphFont"/>
    <w:link w:val="Heading2"/>
    <w:rsid w:val="00F2673F"/>
    <w:rPr>
      <w:rFonts w:eastAsia="Arial"/>
      <w:b/>
      <w:color w:val="000000"/>
      <w:sz w:val="28"/>
      <w:szCs w:val="28"/>
      <w:lang w:eastAsia="en-GB"/>
    </w:rPr>
  </w:style>
  <w:style w:type="character" w:customStyle="1" w:styleId="Heading3Char">
    <w:name w:val="Heading 3 Char"/>
    <w:basedOn w:val="DefaultParagraphFont"/>
    <w:link w:val="Heading3"/>
    <w:rsid w:val="00F2673F"/>
    <w:rPr>
      <w:rFonts w:eastAsia="Arial"/>
      <w:b/>
      <w:color w:val="000000"/>
      <w:lang w:eastAsia="en-GB"/>
    </w:rPr>
  </w:style>
  <w:style w:type="character" w:customStyle="1" w:styleId="Heading4Char">
    <w:name w:val="Heading 4 Char"/>
    <w:basedOn w:val="DefaultParagraphFont"/>
    <w:link w:val="Heading4"/>
    <w:rsid w:val="00F2673F"/>
    <w:rPr>
      <w:rFonts w:eastAsia="Arial"/>
      <w:b/>
      <w:color w:val="000000"/>
      <w:lang w:eastAsia="en-GB"/>
    </w:rPr>
  </w:style>
  <w:style w:type="character" w:customStyle="1" w:styleId="Heading5Char">
    <w:name w:val="Heading 5 Char"/>
    <w:basedOn w:val="DefaultParagraphFont"/>
    <w:link w:val="Heading5"/>
    <w:rsid w:val="00F2673F"/>
    <w:rPr>
      <w:rFonts w:eastAsia="Arial"/>
      <w:b/>
      <w:color w:val="000000"/>
      <w:lang w:eastAsia="en-GB"/>
    </w:rPr>
  </w:style>
  <w:style w:type="character" w:customStyle="1" w:styleId="Heading6Char">
    <w:name w:val="Heading 6 Char"/>
    <w:basedOn w:val="DefaultParagraphFont"/>
    <w:link w:val="Heading6"/>
    <w:rsid w:val="00F2673F"/>
    <w:rPr>
      <w:rFonts w:eastAsia="Arial"/>
      <w:b/>
      <w:color w:val="000000"/>
      <w:lang w:eastAsia="en-GB"/>
    </w:rPr>
  </w:style>
  <w:style w:type="paragraph" w:styleId="Quote">
    <w:name w:val="Quote"/>
    <w:basedOn w:val="Normal"/>
    <w:next w:val="Normal"/>
    <w:link w:val="QuoteChar1"/>
    <w:uiPriority w:val="29"/>
    <w:qFormat/>
    <w:rsid w:val="00F2673F"/>
    <w:pPr>
      <w:ind w:left="794" w:right="794"/>
    </w:pPr>
    <w:rPr>
      <w:i/>
      <w:iCs/>
    </w:rPr>
  </w:style>
  <w:style w:type="character" w:customStyle="1" w:styleId="QuoteChar">
    <w:name w:val="Quote Char"/>
    <w:basedOn w:val="DefaultParagraphFont"/>
    <w:uiPriority w:val="29"/>
    <w:rsid w:val="00F2673F"/>
    <w:rPr>
      <w:rFonts w:ascii="Arial" w:hAnsi="Arial" w:cs="Arial"/>
      <w:i/>
      <w:iCs/>
      <w:color w:val="000000" w:themeColor="text1"/>
      <w:sz w:val="28"/>
    </w:rPr>
  </w:style>
  <w:style w:type="character" w:customStyle="1" w:styleId="QuoteChar1">
    <w:name w:val="Quote Char1"/>
    <w:basedOn w:val="DefaultParagraphFont"/>
    <w:link w:val="Quote"/>
    <w:uiPriority w:val="29"/>
    <w:rsid w:val="00F2673F"/>
    <w:rPr>
      <w:rFonts w:eastAsia="Arial"/>
      <w:i/>
      <w:iCs/>
      <w:color w:val="000000"/>
      <w:lang w:eastAsia="en-GB"/>
    </w:rPr>
  </w:style>
  <w:style w:type="paragraph" w:styleId="ListBullet">
    <w:name w:val="List Bullet"/>
    <w:basedOn w:val="Normal"/>
    <w:uiPriority w:val="99"/>
    <w:semiHidden/>
    <w:unhideWhenUsed/>
    <w:rsid w:val="00F2673F"/>
    <w:pPr>
      <w:numPr>
        <w:numId w:val="1"/>
      </w:numPr>
      <w:contextualSpacing/>
    </w:pPr>
  </w:style>
  <w:style w:type="paragraph" w:styleId="ListNumber">
    <w:name w:val="List Number"/>
    <w:basedOn w:val="Normal"/>
    <w:uiPriority w:val="99"/>
    <w:semiHidden/>
    <w:unhideWhenUsed/>
    <w:rsid w:val="00F2673F"/>
    <w:pPr>
      <w:numPr>
        <w:numId w:val="2"/>
      </w:numPr>
      <w:contextualSpacing/>
    </w:pPr>
  </w:style>
  <w:style w:type="paragraph" w:styleId="TableofFigures">
    <w:name w:val="table of figures"/>
    <w:basedOn w:val="Normal"/>
    <w:next w:val="Normal"/>
    <w:uiPriority w:val="99"/>
    <w:semiHidden/>
    <w:unhideWhenUsed/>
    <w:rsid w:val="00F2673F"/>
  </w:style>
  <w:style w:type="character" w:styleId="IntenseEmphasis">
    <w:name w:val="Intense Emphasis"/>
    <w:basedOn w:val="DefaultParagraphFont"/>
    <w:uiPriority w:val="21"/>
    <w:qFormat/>
    <w:rsid w:val="00F2673F"/>
    <w:rPr>
      <w:b/>
      <w:bCs/>
      <w:i/>
      <w:iCs/>
      <w:color w:val="auto"/>
    </w:rPr>
  </w:style>
  <w:style w:type="paragraph" w:styleId="IntenseQuote">
    <w:name w:val="Intense Quote"/>
    <w:basedOn w:val="Normal"/>
    <w:next w:val="Normal"/>
    <w:link w:val="IntenseQuoteChar"/>
    <w:uiPriority w:val="30"/>
    <w:qFormat/>
    <w:rsid w:val="00F2673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F2673F"/>
    <w:rPr>
      <w:rFonts w:eastAsia="Arial"/>
      <w:b/>
      <w:bCs/>
      <w:i/>
      <w:iCs/>
      <w:color w:val="000000"/>
      <w:lang w:eastAsia="en-GB"/>
    </w:rPr>
  </w:style>
  <w:style w:type="character" w:styleId="SubtleReference">
    <w:name w:val="Subtle Reference"/>
    <w:basedOn w:val="DefaultParagraphFont"/>
    <w:uiPriority w:val="31"/>
    <w:qFormat/>
    <w:rsid w:val="00F2673F"/>
    <w:rPr>
      <w:smallCaps/>
      <w:color w:val="auto"/>
      <w:u w:val="single"/>
    </w:rPr>
  </w:style>
  <w:style w:type="character" w:customStyle="1" w:styleId="Heading7Char">
    <w:name w:val="Heading 7 Char"/>
    <w:basedOn w:val="DefaultParagraphFont"/>
    <w:link w:val="Heading7"/>
    <w:uiPriority w:val="9"/>
    <w:rsid w:val="00F2673F"/>
    <w:rPr>
      <w:rFonts w:eastAsiaTheme="majorEastAsia" w:cstheme="majorBidi"/>
      <w:b/>
      <w:i/>
      <w:iCs/>
      <w:color w:val="000000"/>
      <w:lang w:eastAsia="en-GB"/>
    </w:rPr>
  </w:style>
  <w:style w:type="character" w:customStyle="1" w:styleId="Heading8Char">
    <w:name w:val="Heading 8 Char"/>
    <w:basedOn w:val="DefaultParagraphFont"/>
    <w:link w:val="Heading8"/>
    <w:uiPriority w:val="9"/>
    <w:rsid w:val="00F2673F"/>
    <w:rPr>
      <w:rFonts w:eastAsiaTheme="majorEastAsia" w:cstheme="majorBidi"/>
      <w:color w:val="000000"/>
      <w:szCs w:val="20"/>
      <w:lang w:eastAsia="en-GB"/>
    </w:rPr>
  </w:style>
  <w:style w:type="character" w:customStyle="1" w:styleId="Heading9Char">
    <w:name w:val="Heading 9 Char"/>
    <w:basedOn w:val="DefaultParagraphFont"/>
    <w:link w:val="Heading9"/>
    <w:uiPriority w:val="9"/>
    <w:rsid w:val="00F2673F"/>
    <w:rPr>
      <w:rFonts w:eastAsiaTheme="majorEastAsia" w:cstheme="majorBidi"/>
      <w:i/>
      <w:iCs/>
      <w:color w:val="000000"/>
      <w:szCs w:val="20"/>
      <w:lang w:eastAsia="en-GB"/>
    </w:rPr>
  </w:style>
  <w:style w:type="character" w:styleId="IntenseReference">
    <w:name w:val="Intense Reference"/>
    <w:basedOn w:val="DefaultParagraphFont"/>
    <w:uiPriority w:val="32"/>
    <w:qFormat/>
    <w:rsid w:val="00F2673F"/>
    <w:rPr>
      <w:b/>
      <w:bCs/>
      <w:smallCaps/>
      <w:color w:val="auto"/>
      <w:spacing w:val="5"/>
      <w:u w:val="single"/>
    </w:rPr>
  </w:style>
  <w:style w:type="paragraph" w:styleId="TOCHeading">
    <w:name w:val="TOC Heading"/>
    <w:basedOn w:val="Heading1"/>
    <w:next w:val="Normal"/>
    <w:uiPriority w:val="39"/>
    <w:semiHidden/>
    <w:unhideWhenUsed/>
    <w:qFormat/>
    <w:rsid w:val="00F2673F"/>
    <w:pPr>
      <w:spacing w:before="480"/>
      <w:outlineLvl w:val="9"/>
    </w:pPr>
    <w:rPr>
      <w:rFonts w:cstheme="majorBidi"/>
      <w:sz w:val="28"/>
    </w:rPr>
  </w:style>
  <w:style w:type="paragraph" w:styleId="BlockText">
    <w:name w:val="Block Text"/>
    <w:basedOn w:val="Normal"/>
    <w:uiPriority w:val="99"/>
    <w:semiHidden/>
    <w:unhideWhenUsed/>
    <w:rsid w:val="00F2673F"/>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F2673F"/>
    <w:rPr>
      <w:color w:val="auto"/>
    </w:rPr>
  </w:style>
  <w:style w:type="paragraph" w:styleId="TOAHeading">
    <w:name w:val="toa heading"/>
    <w:basedOn w:val="Normal"/>
    <w:next w:val="Normal"/>
    <w:uiPriority w:val="99"/>
    <w:semiHidden/>
    <w:unhideWhenUsed/>
    <w:rsid w:val="00F2673F"/>
    <w:rPr>
      <w:rFonts w:eastAsiaTheme="majorEastAsia" w:cstheme="majorBidi"/>
      <w:b/>
      <w:bCs/>
      <w:sz w:val="28"/>
    </w:rPr>
  </w:style>
  <w:style w:type="paragraph" w:styleId="PlainText">
    <w:name w:val="Plain Text"/>
    <w:basedOn w:val="Normal"/>
    <w:link w:val="PlainTextChar"/>
    <w:uiPriority w:val="99"/>
    <w:unhideWhenUsed/>
    <w:rsid w:val="00F2673F"/>
    <w:pPr>
      <w:spacing w:before="0" w:line="240" w:lineRule="auto"/>
    </w:pPr>
    <w:rPr>
      <w:rFonts w:ascii="Consolas" w:hAnsi="Consolas"/>
      <w:szCs w:val="21"/>
    </w:rPr>
  </w:style>
  <w:style w:type="character" w:customStyle="1" w:styleId="PlainTextChar">
    <w:name w:val="Plain Text Char"/>
    <w:basedOn w:val="DefaultParagraphFont"/>
    <w:link w:val="PlainText"/>
    <w:uiPriority w:val="99"/>
    <w:rsid w:val="00F2673F"/>
    <w:rPr>
      <w:rFonts w:ascii="Consolas" w:eastAsia="Arial" w:hAnsi="Consolas"/>
      <w:color w:val="000000"/>
      <w:szCs w:val="21"/>
      <w:lang w:eastAsia="en-GB"/>
    </w:rPr>
  </w:style>
  <w:style w:type="paragraph" w:styleId="BodyText3">
    <w:name w:val="Body Text 3"/>
    <w:basedOn w:val="Normal"/>
    <w:link w:val="BodyText3Char"/>
    <w:uiPriority w:val="99"/>
    <w:semiHidden/>
    <w:unhideWhenUsed/>
    <w:rsid w:val="00F2673F"/>
    <w:pPr>
      <w:spacing w:after="120"/>
    </w:pPr>
    <w:rPr>
      <w:sz w:val="20"/>
      <w:szCs w:val="16"/>
    </w:rPr>
  </w:style>
  <w:style w:type="character" w:customStyle="1" w:styleId="BodyText3Char">
    <w:name w:val="Body Text 3 Char"/>
    <w:basedOn w:val="DefaultParagraphFont"/>
    <w:link w:val="BodyText3"/>
    <w:uiPriority w:val="99"/>
    <w:semiHidden/>
    <w:rsid w:val="00F2673F"/>
    <w:rPr>
      <w:rFonts w:eastAsia="Arial"/>
      <w:color w:val="000000"/>
      <w:sz w:val="20"/>
      <w:szCs w:val="16"/>
      <w:lang w:eastAsia="en-GB"/>
    </w:rPr>
  </w:style>
  <w:style w:type="paragraph" w:styleId="BodyText">
    <w:name w:val="Body Text"/>
    <w:basedOn w:val="Normal"/>
    <w:link w:val="BodyTextChar"/>
    <w:uiPriority w:val="99"/>
    <w:semiHidden/>
    <w:unhideWhenUsed/>
    <w:rsid w:val="00F2673F"/>
    <w:pPr>
      <w:spacing w:after="120"/>
    </w:pPr>
  </w:style>
  <w:style w:type="character" w:customStyle="1" w:styleId="BodyTextChar">
    <w:name w:val="Body Text Char"/>
    <w:basedOn w:val="DefaultParagraphFont"/>
    <w:link w:val="BodyText"/>
    <w:uiPriority w:val="99"/>
    <w:semiHidden/>
    <w:rsid w:val="00F2673F"/>
    <w:rPr>
      <w:rFonts w:eastAsia="Arial"/>
      <w:color w:val="000000"/>
      <w:lang w:eastAsia="en-GB"/>
    </w:rPr>
  </w:style>
  <w:style w:type="paragraph" w:styleId="BodyTextFirstIndent">
    <w:name w:val="Body Text First Indent"/>
    <w:basedOn w:val="BodyText"/>
    <w:link w:val="BodyTextFirstIndentChar"/>
    <w:uiPriority w:val="99"/>
    <w:unhideWhenUsed/>
    <w:rsid w:val="00F2673F"/>
    <w:pPr>
      <w:spacing w:after="320"/>
      <w:ind w:firstLine="360"/>
    </w:pPr>
  </w:style>
  <w:style w:type="character" w:customStyle="1" w:styleId="BodyTextFirstIndentChar">
    <w:name w:val="Body Text First Indent Char"/>
    <w:basedOn w:val="BodyTextChar"/>
    <w:link w:val="BodyTextFirstIndent"/>
    <w:uiPriority w:val="99"/>
    <w:rsid w:val="00F2673F"/>
    <w:rPr>
      <w:rFonts w:eastAsia="Arial"/>
      <w:color w:val="000000"/>
      <w:lang w:eastAsia="en-GB"/>
    </w:rPr>
  </w:style>
  <w:style w:type="paragraph" w:styleId="BodyTextIndent3">
    <w:name w:val="Body Text Indent 3"/>
    <w:basedOn w:val="Normal"/>
    <w:link w:val="BodyTextIndent3Char"/>
    <w:uiPriority w:val="99"/>
    <w:unhideWhenUsed/>
    <w:rsid w:val="00F2673F"/>
    <w:pPr>
      <w:spacing w:after="120"/>
      <w:ind w:left="283"/>
    </w:pPr>
    <w:rPr>
      <w:sz w:val="20"/>
      <w:szCs w:val="16"/>
    </w:rPr>
  </w:style>
  <w:style w:type="character" w:customStyle="1" w:styleId="BodyTextIndent3Char">
    <w:name w:val="Body Text Indent 3 Char"/>
    <w:basedOn w:val="DefaultParagraphFont"/>
    <w:link w:val="BodyTextIndent3"/>
    <w:uiPriority w:val="99"/>
    <w:rsid w:val="00F2673F"/>
    <w:rPr>
      <w:rFonts w:eastAsia="Arial"/>
      <w:color w:val="000000"/>
      <w:sz w:val="20"/>
      <w:szCs w:val="16"/>
      <w:lang w:eastAsia="en-GB"/>
    </w:rPr>
  </w:style>
  <w:style w:type="paragraph" w:styleId="DocumentMap">
    <w:name w:val="Document Map"/>
    <w:basedOn w:val="Normal"/>
    <w:link w:val="DocumentMapChar"/>
    <w:uiPriority w:val="99"/>
    <w:semiHidden/>
    <w:unhideWhenUsed/>
    <w:rsid w:val="00F2673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F2673F"/>
    <w:rPr>
      <w:rFonts w:eastAsia="Arial" w:cs="Tahoma"/>
      <w:color w:val="000000"/>
      <w:szCs w:val="16"/>
      <w:lang w:eastAsia="en-GB"/>
    </w:rPr>
  </w:style>
  <w:style w:type="paragraph" w:styleId="EndnoteText">
    <w:name w:val="endnote text"/>
    <w:basedOn w:val="Normal"/>
    <w:link w:val="EndnoteTextChar"/>
    <w:uiPriority w:val="99"/>
    <w:unhideWhenUsed/>
    <w:rsid w:val="00F2673F"/>
    <w:pPr>
      <w:spacing w:before="0" w:line="240" w:lineRule="auto"/>
    </w:pPr>
    <w:rPr>
      <w:szCs w:val="20"/>
    </w:rPr>
  </w:style>
  <w:style w:type="character" w:customStyle="1" w:styleId="EndnoteTextChar">
    <w:name w:val="Endnote Text Char"/>
    <w:basedOn w:val="DefaultParagraphFont"/>
    <w:link w:val="EndnoteText"/>
    <w:uiPriority w:val="99"/>
    <w:rsid w:val="00F2673F"/>
    <w:rPr>
      <w:rFonts w:eastAsia="Arial"/>
      <w:color w:val="000000"/>
      <w:szCs w:val="20"/>
      <w:lang w:eastAsia="en-GB"/>
    </w:rPr>
  </w:style>
  <w:style w:type="character" w:styleId="Emphasis">
    <w:name w:val="Emphasis"/>
    <w:basedOn w:val="DefaultParagraphFont"/>
    <w:uiPriority w:val="20"/>
    <w:qFormat/>
    <w:rsid w:val="00F2673F"/>
    <w:rPr>
      <w:i/>
      <w:iCs/>
    </w:rPr>
  </w:style>
  <w:style w:type="paragraph" w:styleId="EnvelopeReturn">
    <w:name w:val="envelope return"/>
    <w:basedOn w:val="Normal"/>
    <w:uiPriority w:val="99"/>
    <w:semiHidden/>
    <w:unhideWhenUsed/>
    <w:rsid w:val="00F2673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F2673F"/>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F2673F"/>
    <w:rPr>
      <w:rFonts w:eastAsiaTheme="majorEastAsia" w:cstheme="majorBidi"/>
      <w:color w:val="000000"/>
      <w:shd w:val="pct20" w:color="auto" w:fill="auto"/>
      <w:lang w:eastAsia="en-GB"/>
    </w:rPr>
  </w:style>
  <w:style w:type="paragraph" w:styleId="NoSpacing">
    <w:name w:val="No Spacing"/>
    <w:uiPriority w:val="1"/>
    <w:qFormat/>
    <w:rsid w:val="00F2673F"/>
    <w:pPr>
      <w:spacing w:after="0" w:line="240" w:lineRule="auto"/>
    </w:pPr>
  </w:style>
  <w:style w:type="paragraph" w:styleId="NormalWeb">
    <w:name w:val="Normal (Web)"/>
    <w:basedOn w:val="Normal"/>
    <w:uiPriority w:val="99"/>
    <w:unhideWhenUsed/>
    <w:rsid w:val="00F267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paragraph" w:styleId="Index1">
    <w:name w:val="index 1"/>
    <w:basedOn w:val="Normal"/>
    <w:next w:val="Normal"/>
    <w:autoRedefine/>
    <w:uiPriority w:val="99"/>
    <w:semiHidden/>
    <w:unhideWhenUsed/>
    <w:rsid w:val="00F2673F"/>
    <w:pPr>
      <w:spacing w:before="0" w:line="240" w:lineRule="auto"/>
      <w:ind w:left="240" w:hanging="240"/>
    </w:pPr>
  </w:style>
  <w:style w:type="paragraph" w:styleId="IndexHeading">
    <w:name w:val="index heading"/>
    <w:basedOn w:val="Normal"/>
    <w:next w:val="Index1"/>
    <w:uiPriority w:val="99"/>
    <w:semiHidden/>
    <w:unhideWhenUsed/>
    <w:rsid w:val="00F2673F"/>
    <w:rPr>
      <w:rFonts w:eastAsiaTheme="majorEastAsia" w:cstheme="majorBidi"/>
      <w:b/>
      <w:bCs/>
    </w:rPr>
  </w:style>
  <w:style w:type="paragraph" w:styleId="CommentText">
    <w:name w:val="annotation text"/>
    <w:basedOn w:val="Normal"/>
    <w:link w:val="CommentTextChar"/>
    <w:uiPriority w:val="99"/>
    <w:semiHidden/>
    <w:unhideWhenUsed/>
    <w:rsid w:val="00F2673F"/>
    <w:pPr>
      <w:spacing w:line="240" w:lineRule="auto"/>
    </w:pPr>
    <w:rPr>
      <w:sz w:val="20"/>
      <w:szCs w:val="20"/>
    </w:rPr>
  </w:style>
  <w:style w:type="character" w:customStyle="1" w:styleId="CommentTextChar">
    <w:name w:val="Comment Text Char"/>
    <w:basedOn w:val="DefaultParagraphFont"/>
    <w:link w:val="CommentText"/>
    <w:uiPriority w:val="99"/>
    <w:semiHidden/>
    <w:rsid w:val="00F2673F"/>
    <w:rPr>
      <w:rFonts w:eastAsia="Arial"/>
      <w:color w:val="000000"/>
      <w:sz w:val="20"/>
      <w:szCs w:val="20"/>
      <w:lang w:eastAsia="en-GB"/>
    </w:rPr>
  </w:style>
  <w:style w:type="character" w:styleId="CommentReference">
    <w:name w:val="annotation reference"/>
    <w:basedOn w:val="DefaultParagraphFont"/>
    <w:uiPriority w:val="99"/>
    <w:semiHidden/>
    <w:unhideWhenUsed/>
    <w:rsid w:val="00F2673F"/>
    <w:rPr>
      <w:sz w:val="16"/>
      <w:szCs w:val="16"/>
    </w:rPr>
  </w:style>
  <w:style w:type="paragraph" w:styleId="BalloonText">
    <w:name w:val="Balloon Text"/>
    <w:basedOn w:val="Normal"/>
    <w:link w:val="BalloonTextChar"/>
    <w:uiPriority w:val="99"/>
    <w:semiHidden/>
    <w:unhideWhenUsed/>
    <w:rsid w:val="00F267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3F"/>
    <w:rPr>
      <w:rFonts w:ascii="Segoe UI" w:eastAsia="Arial" w:hAnsi="Segoe UI" w:cs="Segoe UI"/>
      <w:color w:val="000000"/>
      <w:sz w:val="18"/>
      <w:szCs w:val="18"/>
      <w:lang w:eastAsia="en-GB"/>
    </w:rPr>
  </w:style>
  <w:style w:type="paragraph" w:styleId="ListParagraph">
    <w:name w:val="List Paragraph"/>
    <w:basedOn w:val="Normal"/>
    <w:uiPriority w:val="34"/>
    <w:qFormat/>
    <w:rsid w:val="00F2673F"/>
    <w:pPr>
      <w:ind w:left="720"/>
      <w:contextualSpacing/>
    </w:pPr>
  </w:style>
  <w:style w:type="paragraph" w:styleId="CommentSubject">
    <w:name w:val="annotation subject"/>
    <w:basedOn w:val="CommentText"/>
    <w:next w:val="CommentText"/>
    <w:link w:val="CommentSubjectChar"/>
    <w:uiPriority w:val="99"/>
    <w:semiHidden/>
    <w:unhideWhenUsed/>
    <w:rsid w:val="00F2673F"/>
    <w:rPr>
      <w:b/>
      <w:bCs/>
    </w:rPr>
  </w:style>
  <w:style w:type="character" w:customStyle="1" w:styleId="CommentSubjectChar">
    <w:name w:val="Comment Subject Char"/>
    <w:basedOn w:val="CommentTextChar"/>
    <w:link w:val="CommentSubject"/>
    <w:uiPriority w:val="99"/>
    <w:semiHidden/>
    <w:rsid w:val="00F2673F"/>
    <w:rPr>
      <w:rFonts w:eastAsia="Arial"/>
      <w:b/>
      <w:bCs/>
      <w:color w:val="000000"/>
      <w:sz w:val="20"/>
      <w:szCs w:val="20"/>
      <w:lang w:eastAsia="en-GB"/>
    </w:rPr>
  </w:style>
  <w:style w:type="paragraph" w:customStyle="1" w:styleId="EndNoteBibliographyTitle">
    <w:name w:val="EndNote Bibliography Title"/>
    <w:basedOn w:val="Normal"/>
    <w:link w:val="EndNoteBibliographyTitleChar"/>
    <w:rsid w:val="00F2673F"/>
    <w:pPr>
      <w:jc w:val="center"/>
    </w:pPr>
    <w:rPr>
      <w:noProof/>
    </w:rPr>
  </w:style>
  <w:style w:type="character" w:customStyle="1" w:styleId="EndNoteBibliographyTitleChar">
    <w:name w:val="EndNote Bibliography Title Char"/>
    <w:basedOn w:val="DefaultParagraphFont"/>
    <w:link w:val="EndNoteBibliographyTitle"/>
    <w:rsid w:val="00F2673F"/>
    <w:rPr>
      <w:rFonts w:eastAsia="Arial"/>
      <w:noProof/>
      <w:color w:val="000000"/>
      <w:lang w:eastAsia="en-GB"/>
    </w:rPr>
  </w:style>
  <w:style w:type="paragraph" w:customStyle="1" w:styleId="EndNoteBibliography">
    <w:name w:val="EndNote Bibliography"/>
    <w:basedOn w:val="Normal"/>
    <w:link w:val="EndNoteBibliographyChar"/>
    <w:rsid w:val="00F2673F"/>
    <w:pPr>
      <w:spacing w:line="240" w:lineRule="auto"/>
    </w:pPr>
    <w:rPr>
      <w:noProof/>
    </w:rPr>
  </w:style>
  <w:style w:type="character" w:customStyle="1" w:styleId="EndNoteBibliographyChar">
    <w:name w:val="EndNote Bibliography Char"/>
    <w:basedOn w:val="DefaultParagraphFont"/>
    <w:link w:val="EndNoteBibliography"/>
    <w:rsid w:val="00F2673F"/>
    <w:rPr>
      <w:rFonts w:eastAsia="Arial"/>
      <w:noProof/>
      <w:color w:val="000000"/>
      <w:lang w:eastAsia="en-GB"/>
    </w:rPr>
  </w:style>
  <w:style w:type="character" w:styleId="Hyperlink">
    <w:name w:val="Hyperlink"/>
    <w:basedOn w:val="DefaultParagraphFont"/>
    <w:uiPriority w:val="99"/>
    <w:unhideWhenUsed/>
    <w:rsid w:val="00F2673F"/>
    <w:rPr>
      <w:color w:val="0000FF" w:themeColor="hyperlink"/>
      <w:u w:val="single"/>
    </w:rPr>
  </w:style>
  <w:style w:type="character" w:customStyle="1" w:styleId="current-selection">
    <w:name w:val="current-selection"/>
    <w:basedOn w:val="DefaultParagraphFont"/>
    <w:rsid w:val="00F2673F"/>
  </w:style>
  <w:style w:type="character" w:customStyle="1" w:styleId="st">
    <w:name w:val="st"/>
    <w:basedOn w:val="DefaultParagraphFont"/>
    <w:rsid w:val="00F2673F"/>
  </w:style>
  <w:style w:type="paragraph" w:styleId="Footer">
    <w:name w:val="footer"/>
    <w:basedOn w:val="Normal"/>
    <w:link w:val="FooterChar"/>
    <w:uiPriority w:val="99"/>
    <w:unhideWhenUsed/>
    <w:rsid w:val="00F2673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673F"/>
    <w:rPr>
      <w:rFonts w:eastAsia="Arial"/>
      <w:color w:val="000000"/>
      <w:lang w:eastAsia="en-GB"/>
    </w:rPr>
  </w:style>
  <w:style w:type="character" w:customStyle="1" w:styleId="a">
    <w:name w:val="_"/>
    <w:basedOn w:val="DefaultParagraphFont"/>
    <w:rsid w:val="00F2673F"/>
  </w:style>
  <w:style w:type="character" w:customStyle="1" w:styleId="ffe">
    <w:name w:val="ffe"/>
    <w:basedOn w:val="DefaultParagraphFont"/>
    <w:rsid w:val="00F2673F"/>
  </w:style>
  <w:style w:type="character" w:customStyle="1" w:styleId="rphighlightallclass">
    <w:name w:val="rphighlightallclass"/>
    <w:basedOn w:val="DefaultParagraphFont"/>
    <w:rsid w:val="00F2673F"/>
  </w:style>
  <w:style w:type="character" w:customStyle="1" w:styleId="currenthithighlight">
    <w:name w:val="currenthithighlight"/>
    <w:basedOn w:val="DefaultParagraphFont"/>
    <w:rsid w:val="00F2673F"/>
  </w:style>
  <w:style w:type="character" w:customStyle="1" w:styleId="highlight">
    <w:name w:val="highlight"/>
    <w:basedOn w:val="DefaultParagraphFont"/>
    <w:rsid w:val="00F2673F"/>
  </w:style>
  <w:style w:type="character" w:customStyle="1" w:styleId="jrnl">
    <w:name w:val="jrnl"/>
    <w:rsid w:val="00F2673F"/>
  </w:style>
  <w:style w:type="paragraph" w:customStyle="1" w:styleId="Title1">
    <w:name w:val="Title1"/>
    <w:basedOn w:val="Normal"/>
    <w:rsid w:val="00F267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paragraph" w:customStyle="1" w:styleId="details">
    <w:name w:val="details"/>
    <w:basedOn w:val="Normal"/>
    <w:rsid w:val="00F267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customStyle="1" w:styleId="apple-converted-space">
    <w:name w:val="apple-converted-space"/>
    <w:rsid w:val="00F2673F"/>
  </w:style>
  <w:style w:type="paragraph" w:customStyle="1" w:styleId="Default">
    <w:name w:val="Default"/>
    <w:rsid w:val="00F2673F"/>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eastAsia="en-GB"/>
    </w:rPr>
  </w:style>
  <w:style w:type="character" w:customStyle="1" w:styleId="institution">
    <w:name w:val="institution"/>
    <w:basedOn w:val="DefaultParagraphFont"/>
    <w:rsid w:val="00CD3E27"/>
  </w:style>
  <w:style w:type="character" w:styleId="Strong">
    <w:name w:val="Strong"/>
    <w:basedOn w:val="DefaultParagraphFont"/>
    <w:uiPriority w:val="22"/>
    <w:qFormat/>
    <w:rsid w:val="00D555F2"/>
    <w:rPr>
      <w:b/>
      <w:bCs/>
    </w:rPr>
  </w:style>
  <w:style w:type="paragraph" w:styleId="Revision">
    <w:name w:val="Revision"/>
    <w:hidden/>
    <w:uiPriority w:val="99"/>
    <w:semiHidden/>
    <w:rsid w:val="00EC599B"/>
    <w:pPr>
      <w:spacing w:after="0" w:line="240" w:lineRule="auto"/>
    </w:pPr>
    <w:rPr>
      <w:rFonts w:eastAsia="Arial"/>
      <w:color w:val="000000"/>
      <w:lang w:eastAsia="en-GB"/>
    </w:rPr>
  </w:style>
  <w:style w:type="character" w:styleId="LineNumber">
    <w:name w:val="line number"/>
    <w:basedOn w:val="DefaultParagraphFont"/>
    <w:uiPriority w:val="99"/>
    <w:semiHidden/>
    <w:unhideWhenUsed/>
    <w:rsid w:val="00C3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01643">
      <w:bodyDiv w:val="1"/>
      <w:marLeft w:val="0"/>
      <w:marRight w:val="0"/>
      <w:marTop w:val="0"/>
      <w:marBottom w:val="0"/>
      <w:divBdr>
        <w:top w:val="none" w:sz="0" w:space="0" w:color="auto"/>
        <w:left w:val="none" w:sz="0" w:space="0" w:color="auto"/>
        <w:bottom w:val="none" w:sz="0" w:space="0" w:color="auto"/>
        <w:right w:val="none" w:sz="0" w:space="0" w:color="auto"/>
      </w:divBdr>
      <w:divsChild>
        <w:div w:id="1463577538">
          <w:marLeft w:val="0"/>
          <w:marRight w:val="0"/>
          <w:marTop w:val="0"/>
          <w:marBottom w:val="0"/>
          <w:divBdr>
            <w:top w:val="none" w:sz="0" w:space="0" w:color="auto"/>
            <w:left w:val="none" w:sz="0" w:space="0" w:color="auto"/>
            <w:bottom w:val="none" w:sz="0" w:space="0" w:color="auto"/>
            <w:right w:val="none" w:sz="0" w:space="0" w:color="auto"/>
          </w:divBdr>
        </w:div>
        <w:div w:id="469135993">
          <w:marLeft w:val="0"/>
          <w:marRight w:val="0"/>
          <w:marTop w:val="0"/>
          <w:marBottom w:val="0"/>
          <w:divBdr>
            <w:top w:val="none" w:sz="0" w:space="0" w:color="auto"/>
            <w:left w:val="none" w:sz="0" w:space="0" w:color="auto"/>
            <w:bottom w:val="none" w:sz="0" w:space="0" w:color="auto"/>
            <w:right w:val="none" w:sz="0" w:space="0" w:color="auto"/>
          </w:divBdr>
        </w:div>
        <w:div w:id="1148983426">
          <w:marLeft w:val="0"/>
          <w:marRight w:val="0"/>
          <w:marTop w:val="0"/>
          <w:marBottom w:val="0"/>
          <w:divBdr>
            <w:top w:val="none" w:sz="0" w:space="0" w:color="auto"/>
            <w:left w:val="none" w:sz="0" w:space="0" w:color="auto"/>
            <w:bottom w:val="none" w:sz="0" w:space="0" w:color="auto"/>
            <w:right w:val="none" w:sz="0" w:space="0" w:color="auto"/>
          </w:divBdr>
        </w:div>
        <w:div w:id="1004211210">
          <w:marLeft w:val="0"/>
          <w:marRight w:val="0"/>
          <w:marTop w:val="0"/>
          <w:marBottom w:val="0"/>
          <w:divBdr>
            <w:top w:val="none" w:sz="0" w:space="0" w:color="auto"/>
            <w:left w:val="none" w:sz="0" w:space="0" w:color="auto"/>
            <w:bottom w:val="none" w:sz="0" w:space="0" w:color="auto"/>
            <w:right w:val="none" w:sz="0" w:space="0" w:color="auto"/>
          </w:divBdr>
        </w:div>
        <w:div w:id="1574700487">
          <w:marLeft w:val="0"/>
          <w:marRight w:val="0"/>
          <w:marTop w:val="0"/>
          <w:marBottom w:val="0"/>
          <w:divBdr>
            <w:top w:val="none" w:sz="0" w:space="0" w:color="auto"/>
            <w:left w:val="none" w:sz="0" w:space="0" w:color="auto"/>
            <w:bottom w:val="none" w:sz="0" w:space="0" w:color="auto"/>
            <w:right w:val="none" w:sz="0" w:space="0" w:color="auto"/>
          </w:divBdr>
        </w:div>
        <w:div w:id="600114663">
          <w:marLeft w:val="0"/>
          <w:marRight w:val="0"/>
          <w:marTop w:val="0"/>
          <w:marBottom w:val="0"/>
          <w:divBdr>
            <w:top w:val="none" w:sz="0" w:space="0" w:color="auto"/>
            <w:left w:val="none" w:sz="0" w:space="0" w:color="auto"/>
            <w:bottom w:val="none" w:sz="0" w:space="0" w:color="auto"/>
            <w:right w:val="none" w:sz="0" w:space="0" w:color="auto"/>
          </w:divBdr>
        </w:div>
        <w:div w:id="1736513560">
          <w:marLeft w:val="0"/>
          <w:marRight w:val="0"/>
          <w:marTop w:val="0"/>
          <w:marBottom w:val="0"/>
          <w:divBdr>
            <w:top w:val="none" w:sz="0" w:space="0" w:color="auto"/>
            <w:left w:val="none" w:sz="0" w:space="0" w:color="auto"/>
            <w:bottom w:val="none" w:sz="0" w:space="0" w:color="auto"/>
            <w:right w:val="none" w:sz="0" w:space="0" w:color="auto"/>
          </w:divBdr>
        </w:div>
        <w:div w:id="1609849116">
          <w:marLeft w:val="0"/>
          <w:marRight w:val="0"/>
          <w:marTop w:val="0"/>
          <w:marBottom w:val="0"/>
          <w:divBdr>
            <w:top w:val="none" w:sz="0" w:space="0" w:color="auto"/>
            <w:left w:val="none" w:sz="0" w:space="0" w:color="auto"/>
            <w:bottom w:val="none" w:sz="0" w:space="0" w:color="auto"/>
            <w:right w:val="none" w:sz="0" w:space="0" w:color="auto"/>
          </w:divBdr>
        </w:div>
        <w:div w:id="551842536">
          <w:marLeft w:val="0"/>
          <w:marRight w:val="0"/>
          <w:marTop w:val="0"/>
          <w:marBottom w:val="0"/>
          <w:divBdr>
            <w:top w:val="none" w:sz="0" w:space="0" w:color="auto"/>
            <w:left w:val="none" w:sz="0" w:space="0" w:color="auto"/>
            <w:bottom w:val="none" w:sz="0" w:space="0" w:color="auto"/>
            <w:right w:val="none" w:sz="0" w:space="0" w:color="auto"/>
          </w:divBdr>
        </w:div>
        <w:div w:id="1530222905">
          <w:marLeft w:val="0"/>
          <w:marRight w:val="0"/>
          <w:marTop w:val="0"/>
          <w:marBottom w:val="0"/>
          <w:divBdr>
            <w:top w:val="none" w:sz="0" w:space="0" w:color="auto"/>
            <w:left w:val="none" w:sz="0" w:space="0" w:color="auto"/>
            <w:bottom w:val="none" w:sz="0" w:space="0" w:color="auto"/>
            <w:right w:val="none" w:sz="0" w:space="0" w:color="auto"/>
          </w:divBdr>
        </w:div>
        <w:div w:id="103891284">
          <w:marLeft w:val="0"/>
          <w:marRight w:val="0"/>
          <w:marTop w:val="0"/>
          <w:marBottom w:val="0"/>
          <w:divBdr>
            <w:top w:val="none" w:sz="0" w:space="0" w:color="auto"/>
            <w:left w:val="none" w:sz="0" w:space="0" w:color="auto"/>
            <w:bottom w:val="none" w:sz="0" w:space="0" w:color="auto"/>
            <w:right w:val="none" w:sz="0" w:space="0" w:color="auto"/>
          </w:divBdr>
        </w:div>
        <w:div w:id="1503666540">
          <w:marLeft w:val="0"/>
          <w:marRight w:val="0"/>
          <w:marTop w:val="0"/>
          <w:marBottom w:val="0"/>
          <w:divBdr>
            <w:top w:val="none" w:sz="0" w:space="0" w:color="auto"/>
            <w:left w:val="none" w:sz="0" w:space="0" w:color="auto"/>
            <w:bottom w:val="none" w:sz="0" w:space="0" w:color="auto"/>
            <w:right w:val="none" w:sz="0" w:space="0" w:color="auto"/>
          </w:divBdr>
        </w:div>
        <w:div w:id="1008992357">
          <w:marLeft w:val="0"/>
          <w:marRight w:val="0"/>
          <w:marTop w:val="0"/>
          <w:marBottom w:val="0"/>
          <w:divBdr>
            <w:top w:val="none" w:sz="0" w:space="0" w:color="auto"/>
            <w:left w:val="none" w:sz="0" w:space="0" w:color="auto"/>
            <w:bottom w:val="none" w:sz="0" w:space="0" w:color="auto"/>
            <w:right w:val="none" w:sz="0" w:space="0" w:color="auto"/>
          </w:divBdr>
        </w:div>
        <w:div w:id="489490731">
          <w:marLeft w:val="0"/>
          <w:marRight w:val="0"/>
          <w:marTop w:val="0"/>
          <w:marBottom w:val="0"/>
          <w:divBdr>
            <w:top w:val="none" w:sz="0" w:space="0" w:color="auto"/>
            <w:left w:val="none" w:sz="0" w:space="0" w:color="auto"/>
            <w:bottom w:val="none" w:sz="0" w:space="0" w:color="auto"/>
            <w:right w:val="none" w:sz="0" w:space="0" w:color="auto"/>
          </w:divBdr>
        </w:div>
        <w:div w:id="1284340388">
          <w:marLeft w:val="0"/>
          <w:marRight w:val="0"/>
          <w:marTop w:val="0"/>
          <w:marBottom w:val="0"/>
          <w:divBdr>
            <w:top w:val="none" w:sz="0" w:space="0" w:color="auto"/>
            <w:left w:val="none" w:sz="0" w:space="0" w:color="auto"/>
            <w:bottom w:val="none" w:sz="0" w:space="0" w:color="auto"/>
            <w:right w:val="none" w:sz="0" w:space="0" w:color="auto"/>
          </w:divBdr>
        </w:div>
        <w:div w:id="2139643145">
          <w:marLeft w:val="0"/>
          <w:marRight w:val="0"/>
          <w:marTop w:val="0"/>
          <w:marBottom w:val="0"/>
          <w:divBdr>
            <w:top w:val="none" w:sz="0" w:space="0" w:color="auto"/>
            <w:left w:val="none" w:sz="0" w:space="0" w:color="auto"/>
            <w:bottom w:val="none" w:sz="0" w:space="0" w:color="auto"/>
            <w:right w:val="none" w:sz="0" w:space="0" w:color="auto"/>
          </w:divBdr>
        </w:div>
        <w:div w:id="1493444431">
          <w:marLeft w:val="0"/>
          <w:marRight w:val="0"/>
          <w:marTop w:val="0"/>
          <w:marBottom w:val="0"/>
          <w:divBdr>
            <w:top w:val="none" w:sz="0" w:space="0" w:color="auto"/>
            <w:left w:val="none" w:sz="0" w:space="0" w:color="auto"/>
            <w:bottom w:val="none" w:sz="0" w:space="0" w:color="auto"/>
            <w:right w:val="none" w:sz="0" w:space="0" w:color="auto"/>
          </w:divBdr>
        </w:div>
        <w:div w:id="138153215">
          <w:marLeft w:val="0"/>
          <w:marRight w:val="0"/>
          <w:marTop w:val="0"/>
          <w:marBottom w:val="0"/>
          <w:divBdr>
            <w:top w:val="none" w:sz="0" w:space="0" w:color="auto"/>
            <w:left w:val="none" w:sz="0" w:space="0" w:color="auto"/>
            <w:bottom w:val="none" w:sz="0" w:space="0" w:color="auto"/>
            <w:right w:val="none" w:sz="0" w:space="0" w:color="auto"/>
          </w:divBdr>
        </w:div>
        <w:div w:id="279804991">
          <w:marLeft w:val="0"/>
          <w:marRight w:val="0"/>
          <w:marTop w:val="0"/>
          <w:marBottom w:val="0"/>
          <w:divBdr>
            <w:top w:val="none" w:sz="0" w:space="0" w:color="auto"/>
            <w:left w:val="none" w:sz="0" w:space="0" w:color="auto"/>
            <w:bottom w:val="none" w:sz="0" w:space="0" w:color="auto"/>
            <w:right w:val="none" w:sz="0" w:space="0" w:color="auto"/>
          </w:divBdr>
        </w:div>
        <w:div w:id="1009528289">
          <w:marLeft w:val="0"/>
          <w:marRight w:val="0"/>
          <w:marTop w:val="0"/>
          <w:marBottom w:val="0"/>
          <w:divBdr>
            <w:top w:val="none" w:sz="0" w:space="0" w:color="auto"/>
            <w:left w:val="none" w:sz="0" w:space="0" w:color="auto"/>
            <w:bottom w:val="none" w:sz="0" w:space="0" w:color="auto"/>
            <w:right w:val="none" w:sz="0" w:space="0" w:color="auto"/>
          </w:divBdr>
        </w:div>
        <w:div w:id="685135303">
          <w:marLeft w:val="0"/>
          <w:marRight w:val="0"/>
          <w:marTop w:val="0"/>
          <w:marBottom w:val="0"/>
          <w:divBdr>
            <w:top w:val="none" w:sz="0" w:space="0" w:color="auto"/>
            <w:left w:val="none" w:sz="0" w:space="0" w:color="auto"/>
            <w:bottom w:val="none" w:sz="0" w:space="0" w:color="auto"/>
            <w:right w:val="none" w:sz="0" w:space="0" w:color="auto"/>
          </w:divBdr>
        </w:div>
        <w:div w:id="1221870534">
          <w:marLeft w:val="0"/>
          <w:marRight w:val="0"/>
          <w:marTop w:val="0"/>
          <w:marBottom w:val="0"/>
          <w:divBdr>
            <w:top w:val="none" w:sz="0" w:space="0" w:color="auto"/>
            <w:left w:val="none" w:sz="0" w:space="0" w:color="auto"/>
            <w:bottom w:val="none" w:sz="0" w:space="0" w:color="auto"/>
            <w:right w:val="none" w:sz="0" w:space="0" w:color="auto"/>
          </w:divBdr>
        </w:div>
      </w:divsChild>
    </w:div>
    <w:div w:id="1276251981">
      <w:bodyDiv w:val="1"/>
      <w:marLeft w:val="0"/>
      <w:marRight w:val="0"/>
      <w:marTop w:val="0"/>
      <w:marBottom w:val="0"/>
      <w:divBdr>
        <w:top w:val="none" w:sz="0" w:space="0" w:color="auto"/>
        <w:left w:val="none" w:sz="0" w:space="0" w:color="auto"/>
        <w:bottom w:val="none" w:sz="0" w:space="0" w:color="auto"/>
        <w:right w:val="none" w:sz="0" w:space="0" w:color="auto"/>
      </w:divBdr>
    </w:div>
    <w:div w:id="1313024320">
      <w:bodyDiv w:val="1"/>
      <w:marLeft w:val="0"/>
      <w:marRight w:val="0"/>
      <w:marTop w:val="0"/>
      <w:marBottom w:val="0"/>
      <w:divBdr>
        <w:top w:val="none" w:sz="0" w:space="0" w:color="auto"/>
        <w:left w:val="none" w:sz="0" w:space="0" w:color="auto"/>
        <w:bottom w:val="none" w:sz="0" w:space="0" w:color="auto"/>
        <w:right w:val="none" w:sz="0" w:space="0" w:color="auto"/>
      </w:divBdr>
      <w:divsChild>
        <w:div w:id="217908459">
          <w:marLeft w:val="0"/>
          <w:marRight w:val="0"/>
          <w:marTop w:val="0"/>
          <w:marBottom w:val="0"/>
          <w:divBdr>
            <w:top w:val="none" w:sz="0" w:space="0" w:color="auto"/>
            <w:left w:val="none" w:sz="0" w:space="0" w:color="auto"/>
            <w:bottom w:val="none" w:sz="0" w:space="0" w:color="auto"/>
            <w:right w:val="none" w:sz="0" w:space="0" w:color="auto"/>
          </w:divBdr>
        </w:div>
        <w:div w:id="1170215589">
          <w:marLeft w:val="0"/>
          <w:marRight w:val="0"/>
          <w:marTop w:val="0"/>
          <w:marBottom w:val="0"/>
          <w:divBdr>
            <w:top w:val="none" w:sz="0" w:space="0" w:color="auto"/>
            <w:left w:val="none" w:sz="0" w:space="0" w:color="auto"/>
            <w:bottom w:val="none" w:sz="0" w:space="0" w:color="auto"/>
            <w:right w:val="none" w:sz="0" w:space="0" w:color="auto"/>
          </w:divBdr>
        </w:div>
        <w:div w:id="1356494361">
          <w:marLeft w:val="0"/>
          <w:marRight w:val="0"/>
          <w:marTop w:val="0"/>
          <w:marBottom w:val="0"/>
          <w:divBdr>
            <w:top w:val="none" w:sz="0" w:space="0" w:color="auto"/>
            <w:left w:val="none" w:sz="0" w:space="0" w:color="auto"/>
            <w:bottom w:val="none" w:sz="0" w:space="0" w:color="auto"/>
            <w:right w:val="none" w:sz="0" w:space="0" w:color="auto"/>
          </w:divBdr>
        </w:div>
        <w:div w:id="1365059155">
          <w:marLeft w:val="0"/>
          <w:marRight w:val="0"/>
          <w:marTop w:val="0"/>
          <w:marBottom w:val="0"/>
          <w:divBdr>
            <w:top w:val="none" w:sz="0" w:space="0" w:color="auto"/>
            <w:left w:val="none" w:sz="0" w:space="0" w:color="auto"/>
            <w:bottom w:val="none" w:sz="0" w:space="0" w:color="auto"/>
            <w:right w:val="none" w:sz="0" w:space="0" w:color="auto"/>
          </w:divBdr>
        </w:div>
        <w:div w:id="1138189270">
          <w:marLeft w:val="0"/>
          <w:marRight w:val="0"/>
          <w:marTop w:val="0"/>
          <w:marBottom w:val="0"/>
          <w:divBdr>
            <w:top w:val="none" w:sz="0" w:space="0" w:color="auto"/>
            <w:left w:val="none" w:sz="0" w:space="0" w:color="auto"/>
            <w:bottom w:val="none" w:sz="0" w:space="0" w:color="auto"/>
            <w:right w:val="none" w:sz="0" w:space="0" w:color="auto"/>
          </w:divBdr>
        </w:div>
        <w:div w:id="672032579">
          <w:marLeft w:val="0"/>
          <w:marRight w:val="0"/>
          <w:marTop w:val="0"/>
          <w:marBottom w:val="0"/>
          <w:divBdr>
            <w:top w:val="none" w:sz="0" w:space="0" w:color="auto"/>
            <w:left w:val="none" w:sz="0" w:space="0" w:color="auto"/>
            <w:bottom w:val="none" w:sz="0" w:space="0" w:color="auto"/>
            <w:right w:val="none" w:sz="0" w:space="0" w:color="auto"/>
          </w:divBdr>
        </w:div>
        <w:div w:id="266498510">
          <w:marLeft w:val="0"/>
          <w:marRight w:val="0"/>
          <w:marTop w:val="0"/>
          <w:marBottom w:val="0"/>
          <w:divBdr>
            <w:top w:val="none" w:sz="0" w:space="0" w:color="auto"/>
            <w:left w:val="none" w:sz="0" w:space="0" w:color="auto"/>
            <w:bottom w:val="none" w:sz="0" w:space="0" w:color="auto"/>
            <w:right w:val="none" w:sz="0" w:space="0" w:color="auto"/>
          </w:divBdr>
        </w:div>
        <w:div w:id="670837384">
          <w:marLeft w:val="0"/>
          <w:marRight w:val="0"/>
          <w:marTop w:val="0"/>
          <w:marBottom w:val="0"/>
          <w:divBdr>
            <w:top w:val="none" w:sz="0" w:space="0" w:color="auto"/>
            <w:left w:val="none" w:sz="0" w:space="0" w:color="auto"/>
            <w:bottom w:val="none" w:sz="0" w:space="0" w:color="auto"/>
            <w:right w:val="none" w:sz="0" w:space="0" w:color="auto"/>
          </w:divBdr>
        </w:div>
        <w:div w:id="821166826">
          <w:marLeft w:val="0"/>
          <w:marRight w:val="0"/>
          <w:marTop w:val="0"/>
          <w:marBottom w:val="0"/>
          <w:divBdr>
            <w:top w:val="none" w:sz="0" w:space="0" w:color="auto"/>
            <w:left w:val="none" w:sz="0" w:space="0" w:color="auto"/>
            <w:bottom w:val="none" w:sz="0" w:space="0" w:color="auto"/>
            <w:right w:val="none" w:sz="0" w:space="0" w:color="auto"/>
          </w:divBdr>
        </w:div>
        <w:div w:id="1144929035">
          <w:marLeft w:val="0"/>
          <w:marRight w:val="0"/>
          <w:marTop w:val="0"/>
          <w:marBottom w:val="0"/>
          <w:divBdr>
            <w:top w:val="none" w:sz="0" w:space="0" w:color="auto"/>
            <w:left w:val="none" w:sz="0" w:space="0" w:color="auto"/>
            <w:bottom w:val="none" w:sz="0" w:space="0" w:color="auto"/>
            <w:right w:val="none" w:sz="0" w:space="0" w:color="auto"/>
          </w:divBdr>
        </w:div>
        <w:div w:id="1078599122">
          <w:marLeft w:val="0"/>
          <w:marRight w:val="0"/>
          <w:marTop w:val="0"/>
          <w:marBottom w:val="0"/>
          <w:divBdr>
            <w:top w:val="none" w:sz="0" w:space="0" w:color="auto"/>
            <w:left w:val="none" w:sz="0" w:space="0" w:color="auto"/>
            <w:bottom w:val="none" w:sz="0" w:space="0" w:color="auto"/>
            <w:right w:val="none" w:sz="0" w:space="0" w:color="auto"/>
          </w:divBdr>
        </w:div>
        <w:div w:id="282275351">
          <w:marLeft w:val="0"/>
          <w:marRight w:val="0"/>
          <w:marTop w:val="0"/>
          <w:marBottom w:val="0"/>
          <w:divBdr>
            <w:top w:val="none" w:sz="0" w:space="0" w:color="auto"/>
            <w:left w:val="none" w:sz="0" w:space="0" w:color="auto"/>
            <w:bottom w:val="none" w:sz="0" w:space="0" w:color="auto"/>
            <w:right w:val="none" w:sz="0" w:space="0" w:color="auto"/>
          </w:divBdr>
        </w:div>
        <w:div w:id="944264170">
          <w:marLeft w:val="0"/>
          <w:marRight w:val="0"/>
          <w:marTop w:val="0"/>
          <w:marBottom w:val="0"/>
          <w:divBdr>
            <w:top w:val="none" w:sz="0" w:space="0" w:color="auto"/>
            <w:left w:val="none" w:sz="0" w:space="0" w:color="auto"/>
            <w:bottom w:val="none" w:sz="0" w:space="0" w:color="auto"/>
            <w:right w:val="none" w:sz="0" w:space="0" w:color="auto"/>
          </w:divBdr>
        </w:div>
        <w:div w:id="1699699353">
          <w:marLeft w:val="0"/>
          <w:marRight w:val="0"/>
          <w:marTop w:val="0"/>
          <w:marBottom w:val="0"/>
          <w:divBdr>
            <w:top w:val="none" w:sz="0" w:space="0" w:color="auto"/>
            <w:left w:val="none" w:sz="0" w:space="0" w:color="auto"/>
            <w:bottom w:val="none" w:sz="0" w:space="0" w:color="auto"/>
            <w:right w:val="none" w:sz="0" w:space="0" w:color="auto"/>
          </w:divBdr>
        </w:div>
        <w:div w:id="1144588738">
          <w:marLeft w:val="0"/>
          <w:marRight w:val="0"/>
          <w:marTop w:val="0"/>
          <w:marBottom w:val="0"/>
          <w:divBdr>
            <w:top w:val="none" w:sz="0" w:space="0" w:color="auto"/>
            <w:left w:val="none" w:sz="0" w:space="0" w:color="auto"/>
            <w:bottom w:val="none" w:sz="0" w:space="0" w:color="auto"/>
            <w:right w:val="none" w:sz="0" w:space="0" w:color="auto"/>
          </w:divBdr>
        </w:div>
        <w:div w:id="1847281975">
          <w:marLeft w:val="0"/>
          <w:marRight w:val="0"/>
          <w:marTop w:val="0"/>
          <w:marBottom w:val="0"/>
          <w:divBdr>
            <w:top w:val="none" w:sz="0" w:space="0" w:color="auto"/>
            <w:left w:val="none" w:sz="0" w:space="0" w:color="auto"/>
            <w:bottom w:val="none" w:sz="0" w:space="0" w:color="auto"/>
            <w:right w:val="none" w:sz="0" w:space="0" w:color="auto"/>
          </w:divBdr>
        </w:div>
        <w:div w:id="1541475898">
          <w:marLeft w:val="0"/>
          <w:marRight w:val="0"/>
          <w:marTop w:val="0"/>
          <w:marBottom w:val="0"/>
          <w:divBdr>
            <w:top w:val="none" w:sz="0" w:space="0" w:color="auto"/>
            <w:left w:val="none" w:sz="0" w:space="0" w:color="auto"/>
            <w:bottom w:val="none" w:sz="0" w:space="0" w:color="auto"/>
            <w:right w:val="none" w:sz="0" w:space="0" w:color="auto"/>
          </w:divBdr>
        </w:div>
        <w:div w:id="1412579670">
          <w:marLeft w:val="0"/>
          <w:marRight w:val="0"/>
          <w:marTop w:val="0"/>
          <w:marBottom w:val="0"/>
          <w:divBdr>
            <w:top w:val="none" w:sz="0" w:space="0" w:color="auto"/>
            <w:left w:val="none" w:sz="0" w:space="0" w:color="auto"/>
            <w:bottom w:val="none" w:sz="0" w:space="0" w:color="auto"/>
            <w:right w:val="none" w:sz="0" w:space="0" w:color="auto"/>
          </w:divBdr>
        </w:div>
        <w:div w:id="400641762">
          <w:marLeft w:val="0"/>
          <w:marRight w:val="0"/>
          <w:marTop w:val="0"/>
          <w:marBottom w:val="0"/>
          <w:divBdr>
            <w:top w:val="none" w:sz="0" w:space="0" w:color="auto"/>
            <w:left w:val="none" w:sz="0" w:space="0" w:color="auto"/>
            <w:bottom w:val="none" w:sz="0" w:space="0" w:color="auto"/>
            <w:right w:val="none" w:sz="0" w:space="0" w:color="auto"/>
          </w:divBdr>
        </w:div>
        <w:div w:id="1420517391">
          <w:marLeft w:val="0"/>
          <w:marRight w:val="0"/>
          <w:marTop w:val="0"/>
          <w:marBottom w:val="0"/>
          <w:divBdr>
            <w:top w:val="none" w:sz="0" w:space="0" w:color="auto"/>
            <w:left w:val="none" w:sz="0" w:space="0" w:color="auto"/>
            <w:bottom w:val="none" w:sz="0" w:space="0" w:color="auto"/>
            <w:right w:val="none" w:sz="0" w:space="0" w:color="auto"/>
          </w:divBdr>
        </w:div>
        <w:div w:id="1160268630">
          <w:marLeft w:val="0"/>
          <w:marRight w:val="0"/>
          <w:marTop w:val="0"/>
          <w:marBottom w:val="0"/>
          <w:divBdr>
            <w:top w:val="none" w:sz="0" w:space="0" w:color="auto"/>
            <w:left w:val="none" w:sz="0" w:space="0" w:color="auto"/>
            <w:bottom w:val="none" w:sz="0" w:space="0" w:color="auto"/>
            <w:right w:val="none" w:sz="0" w:space="0" w:color="auto"/>
          </w:divBdr>
        </w:div>
        <w:div w:id="786385925">
          <w:marLeft w:val="0"/>
          <w:marRight w:val="0"/>
          <w:marTop w:val="0"/>
          <w:marBottom w:val="0"/>
          <w:divBdr>
            <w:top w:val="none" w:sz="0" w:space="0" w:color="auto"/>
            <w:left w:val="none" w:sz="0" w:space="0" w:color="auto"/>
            <w:bottom w:val="none" w:sz="0" w:space="0" w:color="auto"/>
            <w:right w:val="none" w:sz="0" w:space="0" w:color="auto"/>
          </w:divBdr>
        </w:div>
        <w:div w:id="2006856680">
          <w:marLeft w:val="0"/>
          <w:marRight w:val="0"/>
          <w:marTop w:val="0"/>
          <w:marBottom w:val="0"/>
          <w:divBdr>
            <w:top w:val="none" w:sz="0" w:space="0" w:color="auto"/>
            <w:left w:val="none" w:sz="0" w:space="0" w:color="auto"/>
            <w:bottom w:val="none" w:sz="0" w:space="0" w:color="auto"/>
            <w:right w:val="none" w:sz="0" w:space="0" w:color="auto"/>
          </w:divBdr>
        </w:div>
        <w:div w:id="1421834800">
          <w:marLeft w:val="0"/>
          <w:marRight w:val="0"/>
          <w:marTop w:val="0"/>
          <w:marBottom w:val="0"/>
          <w:divBdr>
            <w:top w:val="none" w:sz="0" w:space="0" w:color="auto"/>
            <w:left w:val="none" w:sz="0" w:space="0" w:color="auto"/>
            <w:bottom w:val="none" w:sz="0" w:space="0" w:color="auto"/>
            <w:right w:val="none" w:sz="0" w:space="0" w:color="auto"/>
          </w:divBdr>
        </w:div>
        <w:div w:id="740295005">
          <w:marLeft w:val="0"/>
          <w:marRight w:val="0"/>
          <w:marTop w:val="0"/>
          <w:marBottom w:val="0"/>
          <w:divBdr>
            <w:top w:val="none" w:sz="0" w:space="0" w:color="auto"/>
            <w:left w:val="none" w:sz="0" w:space="0" w:color="auto"/>
            <w:bottom w:val="none" w:sz="0" w:space="0" w:color="auto"/>
            <w:right w:val="none" w:sz="0" w:space="0" w:color="auto"/>
          </w:divBdr>
        </w:div>
        <w:div w:id="1441414401">
          <w:marLeft w:val="0"/>
          <w:marRight w:val="0"/>
          <w:marTop w:val="0"/>
          <w:marBottom w:val="0"/>
          <w:divBdr>
            <w:top w:val="none" w:sz="0" w:space="0" w:color="auto"/>
            <w:left w:val="none" w:sz="0" w:space="0" w:color="auto"/>
            <w:bottom w:val="none" w:sz="0" w:space="0" w:color="auto"/>
            <w:right w:val="none" w:sz="0" w:space="0" w:color="auto"/>
          </w:divBdr>
        </w:div>
        <w:div w:id="1912231558">
          <w:marLeft w:val="0"/>
          <w:marRight w:val="0"/>
          <w:marTop w:val="0"/>
          <w:marBottom w:val="0"/>
          <w:divBdr>
            <w:top w:val="none" w:sz="0" w:space="0" w:color="auto"/>
            <w:left w:val="none" w:sz="0" w:space="0" w:color="auto"/>
            <w:bottom w:val="none" w:sz="0" w:space="0" w:color="auto"/>
            <w:right w:val="none" w:sz="0" w:space="0" w:color="auto"/>
          </w:divBdr>
        </w:div>
        <w:div w:id="1893732324">
          <w:marLeft w:val="0"/>
          <w:marRight w:val="0"/>
          <w:marTop w:val="0"/>
          <w:marBottom w:val="0"/>
          <w:divBdr>
            <w:top w:val="none" w:sz="0" w:space="0" w:color="auto"/>
            <w:left w:val="none" w:sz="0" w:space="0" w:color="auto"/>
            <w:bottom w:val="none" w:sz="0" w:space="0" w:color="auto"/>
            <w:right w:val="none" w:sz="0" w:space="0" w:color="auto"/>
          </w:divBdr>
        </w:div>
        <w:div w:id="871377757">
          <w:marLeft w:val="0"/>
          <w:marRight w:val="0"/>
          <w:marTop w:val="0"/>
          <w:marBottom w:val="0"/>
          <w:divBdr>
            <w:top w:val="none" w:sz="0" w:space="0" w:color="auto"/>
            <w:left w:val="none" w:sz="0" w:space="0" w:color="auto"/>
            <w:bottom w:val="none" w:sz="0" w:space="0" w:color="auto"/>
            <w:right w:val="none" w:sz="0" w:space="0" w:color="auto"/>
          </w:divBdr>
        </w:div>
        <w:div w:id="496921375">
          <w:marLeft w:val="0"/>
          <w:marRight w:val="0"/>
          <w:marTop w:val="0"/>
          <w:marBottom w:val="0"/>
          <w:divBdr>
            <w:top w:val="none" w:sz="0" w:space="0" w:color="auto"/>
            <w:left w:val="none" w:sz="0" w:space="0" w:color="auto"/>
            <w:bottom w:val="none" w:sz="0" w:space="0" w:color="auto"/>
            <w:right w:val="none" w:sz="0" w:space="0" w:color="auto"/>
          </w:divBdr>
        </w:div>
        <w:div w:id="925041108">
          <w:marLeft w:val="0"/>
          <w:marRight w:val="0"/>
          <w:marTop w:val="0"/>
          <w:marBottom w:val="0"/>
          <w:divBdr>
            <w:top w:val="none" w:sz="0" w:space="0" w:color="auto"/>
            <w:left w:val="none" w:sz="0" w:space="0" w:color="auto"/>
            <w:bottom w:val="none" w:sz="0" w:space="0" w:color="auto"/>
            <w:right w:val="none" w:sz="0" w:space="0" w:color="auto"/>
          </w:divBdr>
        </w:div>
        <w:div w:id="857423932">
          <w:marLeft w:val="0"/>
          <w:marRight w:val="0"/>
          <w:marTop w:val="0"/>
          <w:marBottom w:val="0"/>
          <w:divBdr>
            <w:top w:val="none" w:sz="0" w:space="0" w:color="auto"/>
            <w:left w:val="none" w:sz="0" w:space="0" w:color="auto"/>
            <w:bottom w:val="none" w:sz="0" w:space="0" w:color="auto"/>
            <w:right w:val="none" w:sz="0" w:space="0" w:color="auto"/>
          </w:divBdr>
        </w:div>
        <w:div w:id="1618758317">
          <w:marLeft w:val="0"/>
          <w:marRight w:val="0"/>
          <w:marTop w:val="0"/>
          <w:marBottom w:val="0"/>
          <w:divBdr>
            <w:top w:val="none" w:sz="0" w:space="0" w:color="auto"/>
            <w:left w:val="none" w:sz="0" w:space="0" w:color="auto"/>
            <w:bottom w:val="none" w:sz="0" w:space="0" w:color="auto"/>
            <w:right w:val="none" w:sz="0" w:space="0" w:color="auto"/>
          </w:divBdr>
        </w:div>
        <w:div w:id="1877351661">
          <w:marLeft w:val="0"/>
          <w:marRight w:val="0"/>
          <w:marTop w:val="0"/>
          <w:marBottom w:val="0"/>
          <w:divBdr>
            <w:top w:val="none" w:sz="0" w:space="0" w:color="auto"/>
            <w:left w:val="none" w:sz="0" w:space="0" w:color="auto"/>
            <w:bottom w:val="none" w:sz="0" w:space="0" w:color="auto"/>
            <w:right w:val="none" w:sz="0" w:space="0" w:color="auto"/>
          </w:divBdr>
        </w:div>
        <w:div w:id="774985883">
          <w:marLeft w:val="0"/>
          <w:marRight w:val="0"/>
          <w:marTop w:val="0"/>
          <w:marBottom w:val="0"/>
          <w:divBdr>
            <w:top w:val="none" w:sz="0" w:space="0" w:color="auto"/>
            <w:left w:val="none" w:sz="0" w:space="0" w:color="auto"/>
            <w:bottom w:val="none" w:sz="0" w:space="0" w:color="auto"/>
            <w:right w:val="none" w:sz="0" w:space="0" w:color="auto"/>
          </w:divBdr>
        </w:div>
        <w:div w:id="1470055095">
          <w:marLeft w:val="0"/>
          <w:marRight w:val="0"/>
          <w:marTop w:val="0"/>
          <w:marBottom w:val="0"/>
          <w:divBdr>
            <w:top w:val="none" w:sz="0" w:space="0" w:color="auto"/>
            <w:left w:val="none" w:sz="0" w:space="0" w:color="auto"/>
            <w:bottom w:val="none" w:sz="0" w:space="0" w:color="auto"/>
            <w:right w:val="none" w:sz="0" w:space="0" w:color="auto"/>
          </w:divBdr>
        </w:div>
        <w:div w:id="1924140669">
          <w:marLeft w:val="0"/>
          <w:marRight w:val="0"/>
          <w:marTop w:val="0"/>
          <w:marBottom w:val="0"/>
          <w:divBdr>
            <w:top w:val="none" w:sz="0" w:space="0" w:color="auto"/>
            <w:left w:val="none" w:sz="0" w:space="0" w:color="auto"/>
            <w:bottom w:val="none" w:sz="0" w:space="0" w:color="auto"/>
            <w:right w:val="none" w:sz="0" w:space="0" w:color="auto"/>
          </w:divBdr>
        </w:div>
        <w:div w:id="1837576429">
          <w:marLeft w:val="0"/>
          <w:marRight w:val="0"/>
          <w:marTop w:val="0"/>
          <w:marBottom w:val="0"/>
          <w:divBdr>
            <w:top w:val="none" w:sz="0" w:space="0" w:color="auto"/>
            <w:left w:val="none" w:sz="0" w:space="0" w:color="auto"/>
            <w:bottom w:val="none" w:sz="0" w:space="0" w:color="auto"/>
            <w:right w:val="none" w:sz="0" w:space="0" w:color="auto"/>
          </w:divBdr>
        </w:div>
        <w:div w:id="2050445483">
          <w:marLeft w:val="0"/>
          <w:marRight w:val="0"/>
          <w:marTop w:val="0"/>
          <w:marBottom w:val="0"/>
          <w:divBdr>
            <w:top w:val="none" w:sz="0" w:space="0" w:color="auto"/>
            <w:left w:val="none" w:sz="0" w:space="0" w:color="auto"/>
            <w:bottom w:val="none" w:sz="0" w:space="0" w:color="auto"/>
            <w:right w:val="none" w:sz="0" w:space="0" w:color="auto"/>
          </w:divBdr>
        </w:div>
        <w:div w:id="1279483183">
          <w:marLeft w:val="0"/>
          <w:marRight w:val="0"/>
          <w:marTop w:val="0"/>
          <w:marBottom w:val="0"/>
          <w:divBdr>
            <w:top w:val="none" w:sz="0" w:space="0" w:color="auto"/>
            <w:left w:val="none" w:sz="0" w:space="0" w:color="auto"/>
            <w:bottom w:val="none" w:sz="0" w:space="0" w:color="auto"/>
            <w:right w:val="none" w:sz="0" w:space="0" w:color="auto"/>
          </w:divBdr>
        </w:div>
        <w:div w:id="1741901636">
          <w:marLeft w:val="0"/>
          <w:marRight w:val="0"/>
          <w:marTop w:val="0"/>
          <w:marBottom w:val="0"/>
          <w:divBdr>
            <w:top w:val="none" w:sz="0" w:space="0" w:color="auto"/>
            <w:left w:val="none" w:sz="0" w:space="0" w:color="auto"/>
            <w:bottom w:val="none" w:sz="0" w:space="0" w:color="auto"/>
            <w:right w:val="none" w:sz="0" w:space="0" w:color="auto"/>
          </w:divBdr>
        </w:div>
        <w:div w:id="193470615">
          <w:marLeft w:val="0"/>
          <w:marRight w:val="0"/>
          <w:marTop w:val="0"/>
          <w:marBottom w:val="0"/>
          <w:divBdr>
            <w:top w:val="none" w:sz="0" w:space="0" w:color="auto"/>
            <w:left w:val="none" w:sz="0" w:space="0" w:color="auto"/>
            <w:bottom w:val="none" w:sz="0" w:space="0" w:color="auto"/>
            <w:right w:val="none" w:sz="0" w:space="0" w:color="auto"/>
          </w:divBdr>
        </w:div>
        <w:div w:id="1356269212">
          <w:marLeft w:val="0"/>
          <w:marRight w:val="0"/>
          <w:marTop w:val="0"/>
          <w:marBottom w:val="0"/>
          <w:divBdr>
            <w:top w:val="none" w:sz="0" w:space="0" w:color="auto"/>
            <w:left w:val="none" w:sz="0" w:space="0" w:color="auto"/>
            <w:bottom w:val="none" w:sz="0" w:space="0" w:color="auto"/>
            <w:right w:val="none" w:sz="0" w:space="0" w:color="auto"/>
          </w:divBdr>
        </w:div>
        <w:div w:id="708064437">
          <w:marLeft w:val="0"/>
          <w:marRight w:val="0"/>
          <w:marTop w:val="0"/>
          <w:marBottom w:val="0"/>
          <w:divBdr>
            <w:top w:val="none" w:sz="0" w:space="0" w:color="auto"/>
            <w:left w:val="none" w:sz="0" w:space="0" w:color="auto"/>
            <w:bottom w:val="none" w:sz="0" w:space="0" w:color="auto"/>
            <w:right w:val="none" w:sz="0" w:space="0" w:color="auto"/>
          </w:divBdr>
        </w:div>
        <w:div w:id="350188924">
          <w:marLeft w:val="0"/>
          <w:marRight w:val="0"/>
          <w:marTop w:val="0"/>
          <w:marBottom w:val="0"/>
          <w:divBdr>
            <w:top w:val="none" w:sz="0" w:space="0" w:color="auto"/>
            <w:left w:val="none" w:sz="0" w:space="0" w:color="auto"/>
            <w:bottom w:val="none" w:sz="0" w:space="0" w:color="auto"/>
            <w:right w:val="none" w:sz="0" w:space="0" w:color="auto"/>
          </w:divBdr>
        </w:div>
        <w:div w:id="1219703631">
          <w:marLeft w:val="0"/>
          <w:marRight w:val="0"/>
          <w:marTop w:val="0"/>
          <w:marBottom w:val="0"/>
          <w:divBdr>
            <w:top w:val="none" w:sz="0" w:space="0" w:color="auto"/>
            <w:left w:val="none" w:sz="0" w:space="0" w:color="auto"/>
            <w:bottom w:val="none" w:sz="0" w:space="0" w:color="auto"/>
            <w:right w:val="none" w:sz="0" w:space="0" w:color="auto"/>
          </w:divBdr>
        </w:div>
        <w:div w:id="93520716">
          <w:marLeft w:val="0"/>
          <w:marRight w:val="0"/>
          <w:marTop w:val="0"/>
          <w:marBottom w:val="0"/>
          <w:divBdr>
            <w:top w:val="none" w:sz="0" w:space="0" w:color="auto"/>
            <w:left w:val="none" w:sz="0" w:space="0" w:color="auto"/>
            <w:bottom w:val="none" w:sz="0" w:space="0" w:color="auto"/>
            <w:right w:val="none" w:sz="0" w:space="0" w:color="auto"/>
          </w:divBdr>
        </w:div>
        <w:div w:id="1920362021">
          <w:marLeft w:val="0"/>
          <w:marRight w:val="0"/>
          <w:marTop w:val="0"/>
          <w:marBottom w:val="0"/>
          <w:divBdr>
            <w:top w:val="none" w:sz="0" w:space="0" w:color="auto"/>
            <w:left w:val="none" w:sz="0" w:space="0" w:color="auto"/>
            <w:bottom w:val="none" w:sz="0" w:space="0" w:color="auto"/>
            <w:right w:val="none" w:sz="0" w:space="0" w:color="auto"/>
          </w:divBdr>
        </w:div>
      </w:divsChild>
    </w:div>
    <w:div w:id="18035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about-us/cancer-strategy-in-england?_ga=2.47248677.30975059.1501839816-2042149991.1411561972" TargetMode="External"/><Relationship Id="rId13" Type="http://schemas.openxmlformats.org/officeDocument/2006/relationships/hyperlink" Target="http://www.isdscotland.org/Products-and-Services/GPD-Support/Deprivation/SIM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p.wright@leeds.ac.uk" TargetMode="External"/><Relationship Id="rId12" Type="http://schemas.openxmlformats.org/officeDocument/2006/relationships/hyperlink" Target="http://wimd.wales.gov.uk/?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english-indices-of-deprivation-20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sra.gov.uk/statistics/deprivation/northern-ireland-multiple-deprivation-measure-2010-nimdm201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archive.nationalarchives.gov.uk/20100809113601/http://www.improvement.nhs.uk/cancer/LinkClick.aspx?fileticket=4apVUSvGcow%3d&amp;tabid=214" TargetMode="External"/><Relationship Id="rId14" Type="http://schemas.openxmlformats.org/officeDocument/2006/relationships/hyperlink" Target="https://www.ageuk.org.uk/Documents/EN-GB/For-professionals/Research/Age_UK_almanac_FINAL_9Oct15.pdf?dtrk=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6436</Words>
  <Characters>36686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Leeds University</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Wright</dc:creator>
  <cp:lastModifiedBy>Radzai Z.B.M.</cp:lastModifiedBy>
  <cp:revision>2</cp:revision>
  <cp:lastPrinted>2019-04-09T10:45:00Z</cp:lastPrinted>
  <dcterms:created xsi:type="dcterms:W3CDTF">2019-04-29T15:01:00Z</dcterms:created>
  <dcterms:modified xsi:type="dcterms:W3CDTF">2019-04-29T15:01:00Z</dcterms:modified>
</cp:coreProperties>
</file>