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A0BB1CD" w14:textId="4FFA92A2" w:rsidR="00E73C9D" w:rsidRDefault="000D5565">
      <w:pPr>
        <w:pStyle w:val="Title"/>
        <w:rPr>
          <w:sz w:val="44"/>
          <w:szCs w:val="44"/>
        </w:rPr>
      </w:pPr>
      <w:bookmarkStart w:id="0" w:name="_GoBack"/>
      <w:r>
        <w:rPr>
          <w:sz w:val="44"/>
          <w:szCs w:val="44"/>
        </w:rPr>
        <w:t xml:space="preserve">Feasibility and </w:t>
      </w:r>
      <w:r w:rsidR="008E71A1">
        <w:rPr>
          <w:sz w:val="44"/>
          <w:szCs w:val="44"/>
        </w:rPr>
        <w:t>results</w:t>
      </w:r>
      <w:r w:rsidR="00C57731">
        <w:rPr>
          <w:sz w:val="44"/>
          <w:szCs w:val="44"/>
        </w:rPr>
        <w:t xml:space="preserve"> of four real-world evidence methods for estimating the effectiveness of adjuvant chemotherapy in early stage breast cancer</w:t>
      </w:r>
    </w:p>
    <w:p w14:paraId="7DB0ADB5" w14:textId="77777777" w:rsidR="00E73C9D" w:rsidRDefault="00E73C9D">
      <w:pPr>
        <w:pStyle w:val="Body"/>
      </w:pPr>
    </w:p>
    <w:p w14:paraId="7E04E758" w14:textId="4F888998" w:rsidR="00E73C9D" w:rsidRDefault="00C57731">
      <w:pPr>
        <w:pStyle w:val="Body"/>
        <w:rPr>
          <w:vertAlign w:val="superscript"/>
        </w:rPr>
      </w:pPr>
      <w:r>
        <w:t>Authors: Ewan Gray</w:t>
      </w:r>
      <w:r>
        <w:rPr>
          <w:vertAlign w:val="superscript"/>
        </w:rPr>
        <w:t>1</w:t>
      </w:r>
      <w:r>
        <w:rPr>
          <w:lang w:val="de-DE"/>
        </w:rPr>
        <w:t>, Joachim Marti</w:t>
      </w:r>
      <w:r>
        <w:rPr>
          <w:vertAlign w:val="superscript"/>
        </w:rPr>
        <w:t>2</w:t>
      </w:r>
      <w:r>
        <w:t>, David H Brewster</w:t>
      </w:r>
      <w:r>
        <w:rPr>
          <w:vertAlign w:val="superscript"/>
        </w:rPr>
        <w:t>1</w:t>
      </w:r>
      <w:r>
        <w:t>, Jeremy C Wyatt</w:t>
      </w:r>
      <w:r>
        <w:rPr>
          <w:vertAlign w:val="superscript"/>
        </w:rPr>
        <w:t>3</w:t>
      </w:r>
      <w:r>
        <w:rPr>
          <w:lang w:val="it-IT"/>
        </w:rPr>
        <w:t>, Romain Piaget-Rossel</w:t>
      </w:r>
      <w:r>
        <w:rPr>
          <w:vertAlign w:val="superscript"/>
        </w:rPr>
        <w:t>2</w:t>
      </w:r>
      <w:r>
        <w:t xml:space="preserve"> and Peter S Hall</w:t>
      </w:r>
      <w:r>
        <w:rPr>
          <w:vertAlign w:val="superscript"/>
        </w:rPr>
        <w:t>1</w:t>
      </w:r>
    </w:p>
    <w:bookmarkEnd w:id="0"/>
    <w:p w14:paraId="1D2C1F12" w14:textId="77777777" w:rsidR="00E73C9D" w:rsidRDefault="00C57731">
      <w:pPr>
        <w:pStyle w:val="Body"/>
      </w:pPr>
      <w:r>
        <w:rPr>
          <w:vertAlign w:val="superscript"/>
        </w:rPr>
        <w:t>1</w:t>
      </w:r>
      <w:r>
        <w:t xml:space="preserve">University of Edinburgh </w:t>
      </w:r>
      <w:r>
        <w:rPr>
          <w:vertAlign w:val="superscript"/>
        </w:rPr>
        <w:t>2</w:t>
      </w:r>
      <w:r>
        <w:t xml:space="preserve">University of Lausanne </w:t>
      </w:r>
      <w:r>
        <w:rPr>
          <w:vertAlign w:val="superscript"/>
        </w:rPr>
        <w:t>3</w:t>
      </w:r>
      <w:r>
        <w:t xml:space="preserve">University of Southampton </w:t>
      </w:r>
    </w:p>
    <w:p w14:paraId="40B0B202" w14:textId="00E66B13" w:rsidR="00E73C9D" w:rsidRDefault="00CD4696">
      <w:pPr>
        <w:pStyle w:val="Heading"/>
      </w:pPr>
      <w:r>
        <w:t>Abstract</w:t>
      </w:r>
    </w:p>
    <w:p w14:paraId="55A9C09B" w14:textId="4A030114" w:rsidR="00E73C9D" w:rsidRDefault="00C57731">
      <w:pPr>
        <w:pStyle w:val="Body"/>
      </w:pPr>
      <w:r>
        <w:t>Objective: Evidence-based guidelines recommend adjuvant chemotherapy in early stage breast cancer whenever treatment benefit is considered sufficient to outweigh the associated risks. However, many groups of patients were either excluded from or underrepresented in the clinical trials that form the evidence base for this recommendation. This study aims to determine whether using administrative healthcare data – Real World Dat</w:t>
      </w:r>
      <w:r w:rsidR="008E71A1">
        <w:t>a (RWD) - and econometric method</w:t>
      </w:r>
      <w:r>
        <w:t>s for causal analysis to provide ‘Real World Evidence’ (RWE) are feasible methods for addressing this gap.</w:t>
      </w:r>
    </w:p>
    <w:p w14:paraId="6C4ED7E4" w14:textId="06382FCC" w:rsidR="00E73C9D" w:rsidRDefault="00C57731">
      <w:pPr>
        <w:pStyle w:val="Body"/>
      </w:pPr>
      <w:r>
        <w:t xml:space="preserve">Methods: Cases of primary breast cancer in women from 2001 to 2015 were extracted from the Scottish cancer registry (SMR06) and linked to other routine health records (inpatient and    outpatient visits). Four </w:t>
      </w:r>
      <w:r w:rsidR="000A1AEE">
        <w:t>method</w:t>
      </w:r>
      <w:r>
        <w:t xml:space="preserve">s were used to estimate the effect of adjuvant chemotherapy on disease-specific and overall mortality: (1) regression with adjustment for covariates (2) propensity score </w:t>
      </w:r>
      <w:r w:rsidR="00670563">
        <w:t>matching</w:t>
      </w:r>
      <w:r>
        <w:t xml:space="preserve"> (3) instrumental variables analysis and (4) regression discontinuity </w:t>
      </w:r>
      <w:r w:rsidR="00202E92">
        <w:t>design</w:t>
      </w:r>
      <w:r>
        <w:t>. Hazard ratios for breast cancer mortality and all-cause mortality were compared to those from a meta-analysis of randomised trials.</w:t>
      </w:r>
    </w:p>
    <w:p w14:paraId="27BD4103" w14:textId="77777777" w:rsidR="00E73C9D" w:rsidRDefault="00C57731">
      <w:pPr>
        <w:pStyle w:val="Body"/>
      </w:pPr>
      <w:r>
        <w:t>Results: 39,805 cases included in the analyses. Regression adjustment, propensity score matching and instrumental variables were feasible while regression discontinuity was not. Effectiveness estimates were similar between RWE and randomised trials for breast cancer mortality but not for all-cause mortality.</w:t>
      </w:r>
    </w:p>
    <w:p w14:paraId="51AEBA7B" w14:textId="1DCB71F3" w:rsidR="00E73C9D" w:rsidRDefault="00C57731" w:rsidP="00DD3721">
      <w:pPr>
        <w:pStyle w:val="Body"/>
      </w:pPr>
      <w:r>
        <w:t xml:space="preserve">Conclusions: RWE </w:t>
      </w:r>
      <w:r w:rsidR="000A1AEE">
        <w:t>method</w:t>
      </w:r>
      <w:r>
        <w:t xml:space="preserve">s are a feasible means to generate estimates of effectiveness of adjuvant chemotherapy in early stage breast cancer. </w:t>
      </w:r>
      <w:r w:rsidR="000A1AEE">
        <w:t>However, s</w:t>
      </w:r>
      <w:r>
        <w:t xml:space="preserve">uch estimates must be interpreted in the context of the available randomised evidence and the potential biases of the observational </w:t>
      </w:r>
      <w:r w:rsidR="008E71A1">
        <w:t>method</w:t>
      </w:r>
      <w:r>
        <w:t>s.</w:t>
      </w:r>
      <w:r>
        <w:br w:type="page"/>
      </w:r>
    </w:p>
    <w:p w14:paraId="3734DC2C" w14:textId="77777777" w:rsidR="00E73C9D" w:rsidRDefault="00C57731">
      <w:pPr>
        <w:pStyle w:val="Heading"/>
      </w:pPr>
      <w:r w:rsidRPr="00250021">
        <w:rPr>
          <w:lang w:val="en-US"/>
        </w:rPr>
        <w:lastRenderedPageBreak/>
        <w:t>Introduction</w:t>
      </w:r>
    </w:p>
    <w:p w14:paraId="01EF5583" w14:textId="4913EC6F" w:rsidR="00E73C9D" w:rsidRDefault="00C57731">
      <w:pPr>
        <w:pStyle w:val="Body"/>
      </w:pPr>
      <w:r>
        <w:t xml:space="preserve">Adjuvant chemotherapy is indicated in cases of early stage breast cancer whenever treatment benefit is considered sufficient to outweigh the associated risks </w:t>
      </w:r>
      <w:r>
        <w:fldChar w:fldCharType="begin"/>
      </w:r>
      <w:r>
        <w:instrText xml:space="preserve"> ADDIN EN.CITE &lt;EndNote&gt;&lt;Cite  &gt;&lt;Author&gt;National Collaborating Centre for Cancer&lt;/Author&gt;&lt;Year&gt;2009&lt;/Year&gt;&lt;RecNum&gt;6&lt;/RecNum&gt;&lt;Prefix&gt;&lt;/Prefix&gt;&lt;Suffix&gt;&lt;/Suffix&gt;&lt;Pages&gt;&lt;/Pages&gt;&lt;DisplayText&gt;(1)&lt;/DisplayText&gt;&lt;record&gt;&lt;rec-number&gt;6&lt;/rec-number&gt;&lt;foreign-keys&gt;&lt;key app="EN" db-id="ftrpw5r2d0tevie2a5gp2tzn2xerrzew2w50" timestamp="1505919723"&gt;6&lt;/key&gt;&lt;/foreign-keys&gt;&lt;ref-type name="Report"&gt;27&lt;/ref-type&gt;&lt;contributors&gt;&lt;authors&gt;&lt;author&gt;National Collaborating Centre for Cancer,&lt;/author&gt;&lt;/authors&gt;&lt;/contributors&gt;&lt;titles&gt;&lt;title&gt;CG80 Early and locally advanced breast cancer: diagnosis and treatment&lt;/title&gt;&lt;/titles&gt;&lt;dates&gt;&lt;year&gt;2009&lt;/year&gt;&lt;/dates&gt;&lt;publisher&gt;National Institute For Health and Clinical Excellence&lt;/publisher&gt;&lt;urls/&gt;&lt;/record&gt;&lt;/Cite&gt;&lt;Cite  &gt;&lt;Author&gt;National Collaborating Centre for Cancer&lt;/Author&gt;&lt;Year&gt;2009&lt;/Year&gt;&lt;RecNum&gt;6&lt;/RecNum&gt;&lt;Prefix&gt;&lt;/Prefix&gt;&lt;Suffix&gt;&lt;/Suffix&gt;&lt;Pages&gt;&lt;/Pages&gt;&lt;record&gt;&lt;rec-number&gt;6&lt;/rec-number&gt;&lt;foreign-keys&gt;&lt;key app="EN" db-id="ftrpw5r2d0tevie2a5gp2tzn2xerrzew2w50" timestamp="1505919723"&gt;6&lt;/key&gt;&lt;/foreign-keys&gt;&lt;ref-type name="Report"&gt;27&lt;/ref-type&gt;&lt;contributors&gt;&lt;authors&gt;&lt;author&gt;National Collaborating Centre for Cancer,&lt;/author&gt;&lt;/authors&gt;&lt;/contributors&gt;&lt;titles&gt;&lt;title&gt;CG80 Early and locally advanced breast cancer: diagnosis and treatment&lt;/title&gt;&lt;/titles&gt;&lt;dates&gt;&lt;year&gt;2009&lt;/year&gt;&lt;/dates&gt;&lt;publisher&gt;National Institute For Health and Clinical Excellence&lt;/publisher&gt;&lt;urls/&gt;&lt;/record&gt;&lt;/Cite&gt;&lt;/EndNote&gt;</w:instrText>
      </w:r>
      <w:r>
        <w:fldChar w:fldCharType="separate"/>
      </w:r>
      <w:r>
        <w:t>(1)</w:t>
      </w:r>
      <w:r>
        <w:fldChar w:fldCharType="end"/>
      </w:r>
      <w:r>
        <w:t xml:space="preserve">. The benefits of chemotherapy, in terms of improved survival and disease free survival, are known to vary on a case by case basis depending on a number of prognostic markers. Likewise, the risks of chemotherapy vary depending on the characteristics of the patient </w:t>
      </w:r>
      <w:r>
        <w:fldChar w:fldCharType="begin"/>
      </w:r>
      <w:r w:rsidR="00A62513">
        <w:instrText xml:space="preserve"> ADDIN EN.CITE &lt;EndNote&gt;&lt;Cite&gt;&lt;Author&gt;Early Breast Cancer Trialists’ Collaborative Group&lt;/Author&gt;&lt;Year&gt;2012&lt;/Year&gt;&lt;RecNum&gt;87&lt;/RecNum&gt;&lt;DisplayText&gt;(2)&lt;/DisplayText&gt;&lt;record&gt;&lt;rec-number&gt;87&lt;/rec-number&gt;&lt;foreign-keys&gt;&lt;key app="EN" db-id="ftrpw5r2d0tevie2a5gp2tzn2xerrzew2w50" timestamp="1505920746"&gt;87&lt;/key&gt;&lt;key app="ENWeb" db-id=""&gt;0&lt;/key&gt;&lt;/foreign-keys&gt;&lt;ref-type name="Journal Article"&gt;17&lt;/ref-type&gt;&lt;contributors&gt;&lt;authors&gt;&lt;author&gt;Early Breast Cancer Trialists’ Collaborative Group,&lt;/author&gt;&lt;/authors&gt;&lt;/contributors&gt;&lt;titles&gt;&lt;title&gt;Comparisons between different polychemotherapy regimens for early breast cancer: meta-analyses of long-term outcome among 100 000 women in 123 randomised trials&lt;/title&gt;&lt;secondary-title&gt;The Lancet&lt;/secondary-title&gt;&lt;/titles&gt;&lt;periodical&gt;&lt;full-title&gt;The Lancet&lt;/full-title&gt;&lt;/periodical&gt;&lt;pages&gt;432-444&lt;/pages&gt;&lt;volume&gt;379&lt;/volume&gt;&lt;number&gt;9814&lt;/number&gt;&lt;dates&gt;&lt;year&gt;2012&lt;/year&gt;&lt;/dates&gt;&lt;isbn&gt;01406736&lt;/isbn&gt;&lt;urls&gt;&lt;/urls&gt;&lt;electronic-resource-num&gt;10.1016/s0140-6736(11)61625-5&lt;/electronic-resource-num&gt;&lt;/record&gt;&lt;/Cite&gt;&lt;/EndNote&gt;</w:instrText>
      </w:r>
      <w:r>
        <w:fldChar w:fldCharType="separate"/>
      </w:r>
      <w:r>
        <w:rPr>
          <w:noProof/>
        </w:rPr>
        <w:t>(2)</w:t>
      </w:r>
      <w:r>
        <w:fldChar w:fldCharType="end"/>
      </w:r>
      <w:r>
        <w:t xml:space="preserve">. Patients, with advice from their clinicians, must choose whether or not to undergo adjuvant chemotherapy taking account of these individual factors and their own beliefs and preferences. The shared decision making process requires </w:t>
      </w:r>
      <w:r w:rsidR="00250021">
        <w:t>a</w:t>
      </w:r>
      <w:r w:rsidR="000A1AEE">
        <w:t xml:space="preserve"> patient specific</w:t>
      </w:r>
      <w:r w:rsidR="00250021">
        <w:t xml:space="preserve"> risk assessment </w:t>
      </w:r>
      <w:r>
        <w:t>and the</w:t>
      </w:r>
      <w:r w:rsidR="000A1AEE">
        <w:t xml:space="preserve"> effective</w:t>
      </w:r>
      <w:r>
        <w:t xml:space="preserve"> communication of</w:t>
      </w:r>
      <w:r w:rsidR="000A1AEE">
        <w:t xml:space="preserve"> patient preference,</w:t>
      </w:r>
      <w:r>
        <w:t xml:space="preserve"> risks</w:t>
      </w:r>
      <w:r w:rsidR="000A1AEE">
        <w:t>,</w:t>
      </w:r>
      <w:r>
        <w:t xml:space="preserve"> and benefits information between the clinician and the patient. To facilitate this process and help </w:t>
      </w:r>
      <w:r w:rsidR="00332873">
        <w:t>improve</w:t>
      </w:r>
      <w:r>
        <w:t xml:space="preserve"> decisions a number of tools have been developed that quantify</w:t>
      </w:r>
      <w:r w:rsidR="000A1AEE">
        <w:t xml:space="preserve"> the</w:t>
      </w:r>
      <w:r>
        <w:t xml:space="preserve"> risks and benefits </w:t>
      </w:r>
      <w:r w:rsidR="00C657EB">
        <w:t xml:space="preserve">of the </w:t>
      </w:r>
      <w:r w:rsidR="00542270">
        <w:t xml:space="preserve">available </w:t>
      </w:r>
      <w:r w:rsidR="00C657EB">
        <w:t>treatment</w:t>
      </w:r>
      <w:r w:rsidR="00542270">
        <w:t>s</w:t>
      </w:r>
      <w:r w:rsidR="00C657EB">
        <w:t xml:space="preserve"> </w:t>
      </w:r>
      <w:r>
        <w:fldChar w:fldCharType="begin"/>
      </w:r>
      <w:r>
        <w:instrText xml:space="preserve"> ADDIN EN.CITE &lt;EndNote&gt;&lt;Cite  &gt;&lt;Author&gt;Galea&lt;/Author&gt;&lt;Year&gt;1992&lt;/Year&gt;&lt;RecNum&gt;36&lt;/RecNum&gt;&lt;Prefix&gt;&lt;/Prefix&gt;&lt;Suffix&gt;&lt;/Suffix&gt;&lt;Pages&gt;&lt;/Pages&gt;&lt;DisplayText&gt;(3-5)&lt;/DisplayText&gt;&lt;record&gt;&lt;rec-number&gt;36&lt;/rec-number&gt;&lt;foreign-keys&gt;&lt;key app="EN" db-id="ftrpw5r2d0tevie2a5gp2tzn2xerrzew2w50" timestamp="1505919750"&gt;36&lt;/key&gt;&lt;/foreign-keys&gt;&lt;ref-type name="Journal Article"&gt;17&lt;/ref-type&gt;&lt;contributors&gt;&lt;authors&gt;&lt;author&gt;Galea, M. H.&lt;/author&gt;&lt;author&gt;Blamey, R. W.&lt;/author&gt;&lt;author&gt;Elston, C. E.&lt;/author&gt;&lt;author&gt;Ellis, I. O.&lt;/author&gt;&lt;/authors&gt;&lt;/contributors&gt;&lt;titles&gt;&lt;title&gt;The Nottingham Prognostic Index in Primary Breast-Cancer&lt;/title&gt;&lt;secondary-title&gt;Breast Cancer Research and Treatment&lt;/secondary-title&gt;&lt;alt-title&gt;Breast Cancer Res Tr&amp;#13;Breast Cancer Res Tr&lt;/alt-title&gt;&lt;/titles&gt;&lt;periodical&gt;&lt;full-title&gt;Breast Cancer Research and Treatment&lt;/full-title&gt;&lt;abbr-1&gt;Breast Cancer Res Tr&lt;/abbr-1&gt;&lt;/periodical&gt;&lt;pages&gt;207-219&lt;/pages&gt;&lt;volume&gt;22&lt;/volume&gt;&lt;number&gt;3&lt;/number&gt;&lt;keywords&gt;&lt;keyword&gt;histologic grade&lt;/keyword&gt;&lt;keyword&gt;micrometastases in nodes&lt;/keyword&gt;&lt;keyword&gt;morphometry&lt;/keyword&gt;&lt;keyword&gt;nodal stage&lt;/keyword&gt;&lt;keyword&gt;prognostic index&lt;/keyword&gt;&lt;keyword&gt;tumor size&lt;/keyword&gt;&lt;keyword&gt;vascular-lymphatic invasion&lt;/keyword&gt;&lt;keyword&gt;comparing radical mastectomy&lt;/keyword&gt;&lt;keyword&gt;lymph-node metastases&lt;/keyword&gt;&lt;keyword&gt;pathologic findings&lt;/keyword&gt;&lt;keyword&gt;micro-metasteses&lt;/keyword&gt;&lt;keyword&gt;carcinoma&lt;/keyword&gt;&lt;keyword&gt;survival&lt;/keyword&gt;&lt;keyword&gt;reproducibility&lt;/keyword&gt;&lt;keyword&gt;macrometastases&lt;/keyword&gt;&lt;keyword&gt;micrometastases&lt;/keyword&gt;&lt;keyword&gt;radiotherapy&lt;/keyword&gt;&lt;/keywords&gt;&lt;dates&gt;&lt;year&gt;1992&lt;/year&gt;&lt;/dates&gt;&lt;isbn&gt;0167-6806&lt;/isbn&gt;&lt;accession-num&gt;WOS:A1992JQ41500005&lt;/accession-num&gt;&lt;urls&gt;&lt;related-urls&gt;&lt;url&gt;&amp;lt;Go to ISI&amp;gt;://WOS:A1992JQ41500005&lt;/url&gt;&lt;/related-urls&gt;&lt;/urls&gt;&lt;language&gt;English&lt;/language&gt;&lt;/record&gt;&lt;/Cite&gt;&lt;Cite  &gt;&lt;Author&gt;Ravdin&lt;/Author&gt;&lt;Year&gt;2001&lt;/Year&gt;&lt;RecNum&gt;25&lt;/RecNum&gt;&lt;Prefix&gt;&lt;/Prefix&gt;&lt;Suffix&gt;&lt;/Suffix&gt;&lt;Pages&gt;&lt;/Pages&gt;&lt;record&gt;&lt;rec-number&gt;25&lt;/rec-number&gt;&lt;foreign-keys&gt;&lt;key app="EN" db-id="ftrpw5r2d0tevie2a5gp2tzn2xerrzew2w50" timestamp="1505919749"&gt;25&lt;/key&gt;&lt;/foreign-keys&gt;&lt;ref-type name="Journal Article"&gt;17&lt;/ref-type&gt;&lt;contributors&gt;&lt;authors&gt;&lt;author&gt;Ravdin, P. M.&lt;/author&gt;&lt;author&gt;Siminoff, L. A.&lt;/author&gt;&lt;author&gt;Davis, G. J.&lt;/author&gt;&lt;author&gt;Mercer, M. B.&lt;/author&gt;&lt;author&gt;Hewlett, J.&lt;/author&gt;&lt;author&gt;Gerson, N.&lt;/author&gt;&lt;author&gt;Parker, H. L.&lt;/author&gt;&lt;/authors&gt;&lt;/contributors&gt;&lt;auth-address&gt;Division of Oncology, University of Texas Health Sciences Center, San Antonio, TX 78284, USA. pravdin@swog.org&lt;/auth-address&gt;&lt;titles&gt;&lt;title&gt;Computer program to assist in making decisions about adjuvant therapy for women with early breast cancer&lt;/title&gt;&lt;secondary-title&gt;J Clin Oncol&lt;/secondary-title&gt;&lt;/titles&gt;&lt;periodical&gt;&lt;full-title&gt;J Clin Oncol&lt;/full-title&gt;&lt;/periodical&gt;&lt;pages&gt;980-91&lt;/pages&gt;&lt;volume&gt;19&lt;/volume&gt;&lt;number&gt;4&lt;/number&gt;&lt;keywords&gt;&lt;keyword&gt;Actuarial Analysis&lt;/keyword&gt;&lt;keyword&gt;Breast Neoplasms/mortality/*therapy&lt;/keyword&gt;&lt;keyword&gt;*Chemotherapy, Adjuvant&lt;/keyword&gt;&lt;keyword&gt;Decision Making&lt;/keyword&gt;&lt;keyword&gt;Female&lt;/keyword&gt;&lt;keyword&gt;Humans&lt;/keyword&gt;&lt;keyword&gt;Prognosis&lt;/keyword&gt;&lt;keyword&gt;*Software&lt;/keyword&gt;&lt;keyword&gt;Survival Analysis&lt;/keyword&gt;&lt;/keywords&gt;&lt;dates&gt;&lt;year&gt;2001&lt;/year&gt;&lt;pub-dates&gt;&lt;date&gt;Feb 15&lt;/date&gt;&lt;/pub-dates&gt;&lt;/dates&gt;&lt;isbn&gt;0732-183X (Print)&amp;#13;0732-183X (Linking)&lt;/isbn&gt;&lt;accession-num&gt;11181660&lt;/accession-num&gt;&lt;urls&gt;&lt;related-urls&gt;&lt;url&gt;http://www.ncbi.nlm.nih.gov/pubmed/11181660&lt;/url&gt;&lt;/related-urls&gt;&lt;/urls&gt;&lt;electronic-resource-num&gt;10.1200/JCO.2001.19.4.980&lt;/electronic-resource-num&gt;&lt;/record&gt;&lt;/Cite&gt;&lt;Cite  &gt;&lt;Author&gt;Wishart&lt;/Author&gt;&lt;Year&gt;2010&lt;/Year&gt;&lt;RecNum&gt;13&lt;/RecNum&gt;&lt;Prefix&gt;&lt;/Prefix&gt;&lt;Suffix&gt;&lt;/Suffix&gt;&lt;Pages&gt;&lt;/Pages&gt;&lt;record&gt;&lt;rec-number&gt;13&lt;/rec-number&gt;&lt;foreign-keys&gt;&lt;key app="EN" db-id="ftrpw5r2d0tevie2a5gp2tzn2xerrzew2w50" timestamp="1505919724"&gt;13&lt;/key&gt;&lt;/foreign-keys&gt;&lt;ref-type name="Journal Article"&gt;17&lt;/ref-type&gt;&lt;contributors&gt;&lt;authors&gt;&lt;author&gt;Wishart, G. C.&lt;/author&gt;&lt;author&gt;Azzato, E. M.&lt;/author&gt;&lt;author&gt;Greenberg, D. C.&lt;/author&gt;&lt;author&gt;Rashbass, J.&lt;/author&gt;&lt;author&gt;Kearins, O.&lt;/author&gt;&lt;author&gt;Lawrence, G.&lt;/author&gt;&lt;author&gt;Caldas, C.&lt;/author&gt;&lt;author&gt;Pharoah, P. D.&lt;/author&gt;&lt;/authors&gt;&lt;/contributors&gt;&lt;auth-address&gt;Cambridge Breast Unit, Addenbrooke's Hospital, Hills Road, Cambridge, CB2 2QQ, UK. gordon.wishart@addenbrookes.nhs.uk&lt;/auth-address&gt;&lt;titles&gt;&lt;title&gt;PREDICT: a new UK prognostic model that predicts survival following surgery for invasive breast cancer&lt;/title&gt;&lt;secondary-title&gt;Breast Cancer Res&lt;/secondary-title&gt;&lt;/titles&gt;&lt;periodical&gt;&lt;full-title&gt;Breast Cancer Res&lt;/full-title&gt;&lt;/periodical&gt;&lt;pages&gt;R1&lt;/pages&gt;&lt;volume&gt;12&lt;/volume&gt;&lt;number&gt;1&lt;/number&gt;&lt;keywords&gt;&lt;keyword&gt;Adult&lt;/keyword&gt;&lt;keyword&gt;Aged&lt;/keyword&gt;&lt;keyword&gt;Aged, 80 and over&lt;/keyword&gt;&lt;keyword&gt;Breast Neoplasms/epidemiology/*mortality/surgery&lt;/keyword&gt;&lt;keyword&gt;Female&lt;/keyword&gt;&lt;keyword&gt;Humans&lt;/keyword&gt;&lt;keyword&gt;Middle Aged&lt;/keyword&gt;&lt;keyword&gt;Models, Statistical&lt;/keyword&gt;&lt;keyword&gt;Neoplasm Invasiveness&lt;/keyword&gt;&lt;keyword&gt;Prognosis&lt;/keyword&gt;&lt;keyword&gt;Receptors, Estrogen/analysis&lt;/keyword&gt;&lt;keyword&gt;Registries&lt;/keyword&gt;&lt;keyword&gt;SEER Program&lt;/keyword&gt;&lt;keyword&gt;United Kingdom&lt;/keyword&gt;&lt;/keywords&gt;&lt;dates&gt;&lt;year&gt;2010&lt;/year&gt;&lt;/dates&gt;&lt;isbn&gt;1465-542X (Electronic)&amp;#13;1465-5411 (Linking)&lt;/isbn&gt;&lt;accession-num&gt;20053270&lt;/accession-num&gt;&lt;urls&gt;&lt;related-urls&gt;&lt;url&gt;http://www.ncbi.nlm.nih.gov/pubmed/20053270&lt;/url&gt;&lt;/related-urls&gt;&lt;/urls&gt;&lt;custom2&gt;PMC2880419&lt;/custom2&gt;&lt;electronic-resource-num&gt;10.1186/bcr2464&lt;/electronic-resource-num&gt;&lt;/record&gt;&lt;/Cite&gt;&lt;/EndNote&gt;</w:instrText>
      </w:r>
      <w:r>
        <w:fldChar w:fldCharType="separate"/>
      </w:r>
      <w:r>
        <w:t>(3-5)</w:t>
      </w:r>
      <w:r>
        <w:fldChar w:fldCharType="end"/>
      </w:r>
      <w:r>
        <w:t>.</w:t>
      </w:r>
      <w:r w:rsidR="00A62513">
        <w:t xml:space="preserve"> Data from randomised controlled trials (RCTs) are the primary source for decision making tools however these are limited by strict patient inclusion criteria, leading to concerns about whether treatment benefit estimates are accurate for all patients (</w:t>
      </w:r>
      <w:r w:rsidR="007C00A5">
        <w:t>generalis</w:t>
      </w:r>
      <w:r w:rsidR="00A62513">
        <w:t xml:space="preserve">ability). It is </w:t>
      </w:r>
      <w:r w:rsidR="000A1AEE">
        <w:t>proposed</w:t>
      </w:r>
      <w:r w:rsidR="00A62513">
        <w:t xml:space="preserve"> that r</w:t>
      </w:r>
      <w:r>
        <w:t>eal world evidence (RWE) can contribute to informing these decisions by providing accurate treatment benefit estimates from</w:t>
      </w:r>
      <w:r w:rsidR="000A1AEE">
        <w:t xml:space="preserve"> more representative</w:t>
      </w:r>
      <w:r>
        <w:t xml:space="preserve"> real world data</w:t>
      </w:r>
      <w:r w:rsidR="00A62513">
        <w:t xml:space="preserve"> </w:t>
      </w:r>
      <w:r w:rsidR="00A62513">
        <w:fldChar w:fldCharType="begin">
          <w:fldData xml:space="preserve">PEVuZE5vdGU+PENpdGU+PEF1dGhvcj5TaGVybWFuPC9BdXRob3I+PFllYXI+MjAxNjwvWWVhcj48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</w:fldData>
        </w:fldChar>
      </w:r>
      <w:r w:rsidR="00A62513">
        <w:instrText xml:space="preserve"> ADDIN EN.CITE </w:instrText>
      </w:r>
      <w:r w:rsidR="00A62513">
        <w:fldChar w:fldCharType="begin">
          <w:fldData xml:space="preserve">PEVuZE5vdGU+PENpdGU+PEF1dGhvcj5TaGVybWFuPC9BdXRob3I+PFllYXI+MjAxNjwvWWVhcj48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</w:fldData>
        </w:fldChar>
      </w:r>
      <w:r w:rsidR="00A62513">
        <w:instrText xml:space="preserve"> ADDIN EN.CITE.DATA </w:instrText>
      </w:r>
      <w:r w:rsidR="00A62513">
        <w:fldChar w:fldCharType="end"/>
      </w:r>
      <w:r w:rsidR="00A62513">
        <w:fldChar w:fldCharType="separate"/>
      </w:r>
      <w:r w:rsidR="00A62513">
        <w:rPr>
          <w:noProof/>
        </w:rPr>
        <w:t>(6)</w:t>
      </w:r>
      <w:r w:rsidR="00A62513">
        <w:fldChar w:fldCharType="end"/>
      </w:r>
      <w:r>
        <w:t xml:space="preserve">. </w:t>
      </w:r>
    </w:p>
    <w:p w14:paraId="55B027AE" w14:textId="311C4549" w:rsidR="00E73C9D" w:rsidRDefault="00C57731">
      <w:pPr>
        <w:pStyle w:val="Body"/>
      </w:pPr>
      <w:r>
        <w:t xml:space="preserve">Real world data (RWD) refers to data used for decision making that are collected outside of randomised controlled trials (RCTs) </w:t>
      </w:r>
      <w:r>
        <w:fldChar w:fldCharType="begin"/>
      </w:r>
      <w:r w:rsidR="00A62513">
        <w:instrText xml:space="preserve"> ADDIN EN.CITE &lt;EndNote&gt;&lt;Cite&gt;&lt;Author&gt;Garrison&lt;/Author&gt;&lt;Year&gt;2007&lt;/Year&gt;&lt;RecNum&gt;97&lt;/RecNum&gt;&lt;DisplayText&gt;(7)&lt;/DisplayText&gt;&lt;record&gt;&lt;rec-number&gt;97&lt;/rec-number&gt;&lt;foreign-keys&gt;&lt;key app="EN" db-id="ftrpw5r2d0tevie2a5gp2tzn2xerrzew2w50" timestamp="1511872576"&gt;97&lt;/key&gt;&lt;key app="ENWeb" db-id=""&gt;0&lt;/key&gt;&lt;/foreign-keys&gt;&lt;ref-type name="Journal Article"&gt;17&lt;/ref-type&gt;&lt;contributors&gt;&lt;authors&gt;&lt;author&gt;Garrison, L. P., Jr.&lt;/author&gt;&lt;author&gt;Neumann, P. J.&lt;/author&gt;&lt;author&gt;Erickson, P.&lt;/author&gt;&lt;author&gt;Marshall, D.&lt;/author&gt;&lt;author&gt;Mullins, C. D.&lt;/author&gt;&lt;/authors&gt;&lt;/contributors&gt;&lt;auth-address&gt;University of Washington, Seattle, WA 98195, USA. lgarrisn@u.washington.edu&lt;/auth-address&gt;&lt;titles&gt;&lt;title&gt;Using real-world data for coverage and payment decisions: the ISPOR Real-World Data Task Force report&lt;/title&gt;&lt;secondary-title&gt;Value Health&lt;/secondary-title&gt;&lt;/titles&gt;&lt;periodical&gt;&lt;full-title&gt;Value Health&lt;/full-title&gt;&lt;/periodical&gt;&lt;pages&gt;326-35&lt;/pages&gt;&lt;volume&gt;10&lt;/volume&gt;&lt;number&gt;5&lt;/number&gt;&lt;keywords&gt;&lt;keyword&gt;Data Collection&lt;/keyword&gt;&lt;keyword&gt;Economics, Pharmaceutical&lt;/keyword&gt;&lt;keyword&gt;*Evidence-Based Medicine&lt;/keyword&gt;&lt;keyword&gt;Global Health&lt;/keyword&gt;&lt;keyword&gt;Health Policy&lt;/keyword&gt;&lt;keyword&gt;Humans&lt;/keyword&gt;&lt;keyword&gt;Insurance Coverage/*statistics &amp;amp; numerical data&lt;/keyword&gt;&lt;keyword&gt;Insurance, Health, Reimbursement/*statistics &amp;amp; numerical data&lt;/keyword&gt;&lt;keyword&gt;Outcome Assessment (Health Care)/*statistics &amp;amp; numerical data&lt;/keyword&gt;&lt;keyword&gt;Randomized Controlled Trials as Topic&lt;/keyword&gt;&lt;keyword&gt;Research Design&lt;/keyword&gt;&lt;/keywords&gt;&lt;dates&gt;&lt;year&gt;2007&lt;/year&gt;&lt;pub-dates&gt;&lt;date&gt;Sep-Oct&lt;/date&gt;&lt;/pub-dates&gt;&lt;/dates&gt;&lt;isbn&gt;1098-3015 (Print)&amp;#xD;1098-3015 (Linking)&lt;/isbn&gt;&lt;accession-num&gt;17888097&lt;/accession-num&gt;&lt;urls&gt;&lt;related-urls&gt;&lt;url&gt;http://www.ncbi.nlm.nih.gov/pubmed/17888097&lt;/url&gt;&lt;/related-urls&gt;&lt;/urls&gt;&lt;electronic-resource-num&gt;10.1111/j.1524-4733.2007.00186.x&lt;/electronic-resource-num&gt;&lt;/record&gt;&lt;/Cite&gt;&lt;/EndNote&gt;</w:instrText>
      </w:r>
      <w:r>
        <w:fldChar w:fldCharType="separate"/>
      </w:r>
      <w:r w:rsidR="00A62513">
        <w:rPr>
          <w:noProof/>
        </w:rPr>
        <w:t>(7)</w:t>
      </w:r>
      <w:r>
        <w:fldChar w:fldCharType="end"/>
      </w:r>
      <w:r>
        <w:t>.</w:t>
      </w:r>
      <w:r w:rsidR="00A62513">
        <w:t xml:space="preserve"> RCTs</w:t>
      </w:r>
      <w:r>
        <w:t xml:space="preserve"> are the gold standard for rel</w:t>
      </w:r>
      <w:r w:rsidR="007C00A5">
        <w:t xml:space="preserve">iably measuring treatment efficacy </w:t>
      </w:r>
      <w:r>
        <w:t>and constitute the primary source of evidence to inform decision-making in health care. Randomisation</w:t>
      </w:r>
      <w:r w:rsidR="00976DFA">
        <w:t>,</w:t>
      </w:r>
      <w:r>
        <w:t xml:space="preserve"> </w:t>
      </w:r>
      <w:r w:rsidR="00332873">
        <w:t>correctly implemented</w:t>
      </w:r>
      <w:r w:rsidR="007C00A5">
        <w:t xml:space="preserve"> </w:t>
      </w:r>
      <w:r w:rsidR="007C00A5">
        <w:fldChar w:fldCharType="begin"/>
      </w:r>
      <w:r w:rsidR="007C00A5">
        <w:instrText xml:space="preserve"> ADDIN EN.CITE &lt;EndNote&gt;&lt;Cite&gt;&lt;Author&gt;Altman&lt;/Author&gt;&lt;Year&gt;2004&lt;/Year&gt;&lt;RecNum&gt;116&lt;/RecNum&gt;&lt;DisplayText&gt;(8)&lt;/DisplayText&gt;&lt;record&gt;&lt;rec-number&gt;116&lt;/rec-number&gt;&lt;foreign-keys&gt;&lt;key app="EN" db-id="ftrpw5r2d0tevie2a5gp2tzn2xerrzew2w50" timestamp="1535381594"&gt;116&lt;/key&gt;&lt;/foreign-keys&gt;&lt;ref-type name="Journal Article"&gt;17&lt;/ref-type&gt;&lt;contributors&gt;&lt;authors&gt;&lt;author&gt;Altman, D. G.&lt;/author&gt;&lt;author&gt;Schulz, K. F.&lt;/author&gt;&lt;author&gt;Moher, D.&lt;/author&gt;&lt;/authors&gt;&lt;/contributors&gt;&lt;auth-address&gt;Ctr Stat Med, Canc Res UK Med Stat Grp, Oxford OX3 7LF, England&amp;#xD;Family Hlth Int, Quantitat Sci, Res Triangle Pk, NC 27709 USA&amp;#xD;Univ Ottawa, Childrens Hosp Eastern Ontario, Chalmers Res Grp, Ottawa, ON, Canada&lt;/auth-address&gt;&lt;titles&gt;&lt;title&gt;Turning a blind eye - Testing the success of blinding and the CONSORT statement&lt;/title&gt;&lt;secondary-title&gt;British Medical Journal&lt;/secondary-title&gt;&lt;alt-title&gt;Brit Med J&lt;/alt-title&gt;&lt;/titles&gt;&lt;periodical&gt;&lt;full-title&gt;British Medical Journal&lt;/full-title&gt;&lt;abbr-1&gt;Brit Med J&lt;/abbr-1&gt;&lt;/periodical&gt;&lt;alt-periodical&gt;&lt;full-title&gt;British Medical Journal&lt;/full-title&gt;&lt;abbr-1&gt;Brit Med J&lt;/abbr-1&gt;&lt;/alt-periodical&gt;&lt;pages&gt;1135-1135&lt;/pages&gt;&lt;volume&gt;328&lt;/volume&gt;&lt;number&gt;7448&lt;/number&gt;&lt;keywords&gt;&lt;keyword&gt;randomized trials&lt;/keyword&gt;&lt;/keywords&gt;&lt;dates&gt;&lt;year&gt;2004&lt;/year&gt;&lt;pub-dates&gt;&lt;date&gt;May 8&lt;/date&gt;&lt;/pub-dates&gt;&lt;/dates&gt;&lt;isbn&gt;0959-535x&lt;/isbn&gt;&lt;accession-num&gt;WOS:000221281000038&lt;/accession-num&gt;&lt;urls&gt;&lt;related-urls&gt;&lt;url&gt;&amp;lt;Go to ISI&amp;gt;://WOS:000221281000038&lt;/url&gt;&lt;/related-urls&gt;&lt;/urls&gt;&lt;electronic-resource-num&gt;DOI 10.1136/bmj.328.7448.1135-a&lt;/electronic-resource-num&gt;&lt;language&gt;English&lt;/language&gt;&lt;/record&gt;&lt;/Cite&gt;&lt;/EndNote&gt;</w:instrText>
      </w:r>
      <w:r w:rsidR="007C00A5">
        <w:fldChar w:fldCharType="separate"/>
      </w:r>
      <w:r w:rsidR="007C00A5">
        <w:rPr>
          <w:noProof/>
        </w:rPr>
        <w:t>(8)</w:t>
      </w:r>
      <w:r w:rsidR="007C00A5">
        <w:fldChar w:fldCharType="end"/>
      </w:r>
      <w:r w:rsidR="00976DFA">
        <w:t>,</w:t>
      </w:r>
      <w:r w:rsidR="00332873">
        <w:t xml:space="preserve"> </w:t>
      </w:r>
      <w:r>
        <w:t>guarantees unbiased estimates of the</w:t>
      </w:r>
      <w:r w:rsidR="000A1AEE">
        <w:t xml:space="preserve"> average</w:t>
      </w:r>
      <w:r>
        <w:t xml:space="preserve"> treatment effect (in expectation) by ensuring balance of</w:t>
      </w:r>
      <w:r w:rsidR="007C00A5">
        <w:t xml:space="preserve"> observed and unobserved</w:t>
      </w:r>
      <w:r>
        <w:t xml:space="preserve"> covariates in treatment and control groups. Real world data in contrast are observational in nature and therefore subject to additional sources of bias</w:t>
      </w:r>
      <w:r w:rsidR="003E7925">
        <w:t xml:space="preserve"> </w:t>
      </w:r>
      <w:r w:rsidR="003E7925">
        <w:fldChar w:fldCharType="begin"/>
      </w:r>
      <w:r w:rsidR="003E7925">
        <w:instrText xml:space="preserve"> ADDIN EN.CITE &lt;EndNote&gt;&lt;Cite&gt;&lt;Author&gt;Rosenbaum&lt;/Author&gt;&lt;Year&gt;1991&lt;/Year&gt;&lt;RecNum&gt;115&lt;/RecNum&gt;&lt;DisplayText&gt;(9)&lt;/DisplayText&gt;&lt;record&gt;&lt;rec-number&gt;115&lt;/rec-number&gt;&lt;foreign-keys&gt;&lt;key app="EN" db-id="ftrpw5r2d0tevie2a5gp2tzn2xerrzew2w50" timestamp="1535381267"&gt;115&lt;/key&gt;&lt;/foreign-keys&gt;&lt;ref-type name="Journal Article"&gt;17&lt;/ref-type&gt;&lt;contributors&gt;&lt;authors&gt;&lt;author&gt;Rosenbaum, P. R.&lt;/author&gt;&lt;/authors&gt;&lt;/contributors&gt;&lt;titles&gt;&lt;title&gt;Discussing Hidden Bias in Observational Studies&lt;/title&gt;&lt;secondary-title&gt;Annals of Internal Medicine&lt;/secondary-title&gt;&lt;alt-title&gt;Ann Intern Med&lt;/alt-title&gt;&lt;/titles&gt;&lt;periodical&gt;&lt;full-title&gt;Annals of Internal Medicine&lt;/full-title&gt;&lt;abbr-1&gt;Ann Intern Med&lt;/abbr-1&gt;&lt;/periodical&gt;&lt;alt-periodical&gt;&lt;full-title&gt;Annals of Internal Medicine&lt;/full-title&gt;&lt;abbr-1&gt;Ann Intern Med&lt;/abbr-1&gt;&lt;/alt-periodical&gt;&lt;pages&gt;901-905&lt;/pages&gt;&lt;volume&gt;115&lt;/volume&gt;&lt;number&gt;11&lt;/number&gt;&lt;keywords&gt;&lt;keyword&gt;bias (epidemiology)&lt;/keyword&gt;&lt;keyword&gt;case-control studies&lt;/keyword&gt;&lt;keyword&gt;selection bias&lt;/keyword&gt;&lt;keyword&gt;sensitivity and specificity&lt;/keyword&gt;&lt;keyword&gt;statistics&lt;/keyword&gt;&lt;keyword&gt;sensitivity analysis&lt;/keyword&gt;&lt;keyword&gt;permutation inferences&lt;/keyword&gt;&lt;keyword&gt;cancer&lt;/keyword&gt;&lt;/keywords&gt;&lt;dates&gt;&lt;year&gt;1991&lt;/year&gt;&lt;pub-dates&gt;&lt;date&gt;Dec 1&lt;/date&gt;&lt;/pub-dates&gt;&lt;/dates&gt;&lt;isbn&gt;0003-4819&lt;/isbn&gt;&lt;accession-num&gt;WOS:A1991GR17100012&lt;/accession-num&gt;&lt;urls&gt;&lt;related-urls&gt;&lt;url&gt;&amp;lt;Go to ISI&amp;gt;://WOS:A1991GR17100012&lt;/url&gt;&lt;/related-urls&gt;&lt;/urls&gt;&lt;electronic-resource-num&gt;10.7326/0003-4819-115-11-901&lt;/electronic-resource-num&gt;&lt;language&gt;English&lt;/language&gt;&lt;/record&gt;&lt;/Cite&gt;&lt;/EndNote&gt;</w:instrText>
      </w:r>
      <w:r w:rsidR="003E7925">
        <w:fldChar w:fldCharType="separate"/>
      </w:r>
      <w:r w:rsidR="003E7925">
        <w:rPr>
          <w:noProof/>
        </w:rPr>
        <w:t>(9)</w:t>
      </w:r>
      <w:r w:rsidR="003E7925">
        <w:fldChar w:fldCharType="end"/>
      </w:r>
      <w:r>
        <w:t xml:space="preserve">. Methods of analysis, ‘designs’, have been developed to allow </w:t>
      </w:r>
      <w:r w:rsidR="00332873">
        <w:t xml:space="preserve">less </w:t>
      </w:r>
      <w:r>
        <w:t xml:space="preserve">biased estimates of treatment effects under reasonable assumptions. These methods have contributed to the ‘credibility revolution’ in economics </w:t>
      </w:r>
      <w:r>
        <w:fldChar w:fldCharType="begin"/>
      </w:r>
      <w:r w:rsidR="003E7925">
        <w:instrText xml:space="preserve"> ADDIN EN.CITE &lt;EndNote&gt;&lt;Cite&gt;&lt;Author&gt;Angrist&lt;/Author&gt;&lt;Year&gt;2010&lt;/Year&gt;&lt;RecNum&gt;99&lt;/RecNum&gt;&lt;DisplayText&gt;(10)&lt;/DisplayText&gt;&lt;record&gt;&lt;rec-number&gt;99&lt;/rec-number&gt;&lt;foreign-keys&gt;&lt;key app="EN" db-id="ftrpw5r2d0tevie2a5gp2tzn2xerrzew2w50" timestamp="1511872737"&gt;99&lt;/key&gt;&lt;key app="ENWeb" db-id=""&gt;0&lt;/key&gt;&lt;/foreign-keys&gt;&lt;ref-type name="Journal Article"&gt;17&lt;/ref-type&gt;&lt;contributors&gt;&lt;authors&gt;&lt;author&gt;Angrist, Joshua D.&lt;/author&gt;&lt;author&gt;Pischke, Jörn-Steffen&lt;/author&gt;&lt;/authors&gt;&lt;/contributors&gt;&lt;titles&gt;&lt;title&gt;The Credibility Revolution in Empirical Economics: How Better Research Design is Taking the Con out of Econometrics&lt;/title&gt;&lt;secondary-title&gt;Journal of Economic Perspectives&lt;/secondary-title&gt;&lt;/titles&gt;&lt;periodical&gt;&lt;full-title&gt;Journal of Economic Perspectives&lt;/full-title&gt;&lt;/periodical&gt;&lt;pages&gt;3-30&lt;/pages&gt;&lt;volume&gt;24&lt;/volume&gt;&lt;number&gt;2&lt;/number&gt;&lt;dates&gt;&lt;year&gt;2010&lt;/year&gt;&lt;/dates&gt;&lt;isbn&gt;0895-3309&lt;/isbn&gt;&lt;urls&gt;&lt;/urls&gt;&lt;electronic-resource-num&gt;10.1257/jep.24.2.3&lt;/electronic-resource-num&gt;&lt;/record&gt;&lt;/Cite&gt;&lt;/EndNote&gt;</w:instrText>
      </w:r>
      <w:r>
        <w:fldChar w:fldCharType="separate"/>
      </w:r>
      <w:r w:rsidR="003E7925">
        <w:rPr>
          <w:noProof/>
        </w:rPr>
        <w:t>(10)</w:t>
      </w:r>
      <w:r>
        <w:fldChar w:fldCharType="end"/>
      </w:r>
      <w:r>
        <w:t xml:space="preserve"> and have led some to </w:t>
      </w:r>
      <w:r w:rsidR="00DF79D9">
        <w:t>re-evaluate</w:t>
      </w:r>
      <w:r>
        <w:t xml:space="preserve"> existing hierarchies of evidence in medicine </w:t>
      </w:r>
      <w:r>
        <w:fldChar w:fldCharType="begin"/>
      </w:r>
      <w:r w:rsidR="003E7925">
        <w:instrText xml:space="preserve"> ADDIN EN.CITE &lt;EndNote&gt;&lt;Cite&gt;&lt;Author&gt;Craig&lt;/Author&gt;&lt;Year&gt;2012&lt;/Year&gt;&lt;RecNum&gt;98&lt;/RecNum&gt;&lt;DisplayText&gt;(11)&lt;/DisplayText&gt;&lt;record&gt;&lt;rec-number&gt;98&lt;/rec-number&gt;&lt;foreign-keys&gt;&lt;key app="EN" db-id="ftrpw5r2d0tevie2a5gp2tzn2xerrzew2w50" timestamp="1511872592"&gt;98&lt;/key&gt;&lt;key app="ENWeb" db-id=""&gt;0&lt;/key&gt;&lt;/foreign-keys&gt;&lt;ref-type name="Journal Article"&gt;17&lt;/ref-type&gt;&lt;contributors&gt;&lt;authors&gt;&lt;author&gt;Craig, P.&lt;/author&gt;&lt;author&gt;Cooper, C.&lt;/author&gt;&lt;author&gt;Gunnell, D.&lt;/author&gt;&lt;author&gt;Haw, S.&lt;/author&gt;&lt;author&gt;Lawson, K.&lt;/author&gt;&lt;author&gt;Macintyre, S.&lt;/author&gt;&lt;author&gt;Ogilvie, D.&lt;/author&gt;&lt;author&gt;Petticrew, M.&lt;/author&gt;&lt;author&gt;Reeves, B.&lt;/author&gt;&lt;author&gt;Sutton, M.&lt;/author&gt;&lt;author&gt;Thompson, S.&lt;/author&gt;&lt;/authors&gt;&lt;/contributors&gt;&lt;auth-address&gt;MRC Population Health Sciences Research Network and Chief Scientist Office, Scottish Government Health Directorates, St Andrews House, Edinburgh EH1 3DG, UK. peter.craig@scotland.gsi.gov.uk&lt;/auth-address&gt;&lt;titles&gt;&lt;title&gt;Using natural experiments to evaluate population health interventions: new Medical Research Council guidance&lt;/title&gt;&lt;secondary-title&gt;J Epidemiol Community Health&lt;/secondary-title&gt;&lt;/titles&gt;&lt;periodical&gt;&lt;full-title&gt;J Epidemiol Community Health&lt;/full-title&gt;&lt;/periodical&gt;&lt;pages&gt;1182-6&lt;/pages&gt;&lt;volume&gt;66&lt;/volume&gt;&lt;number&gt;12&lt;/number&gt;&lt;keywords&gt;&lt;keyword&gt;*Biomedical Research&lt;/keyword&gt;&lt;keyword&gt;*Guidelines as Topic&lt;/keyword&gt;&lt;keyword&gt;Humans&lt;/keyword&gt;&lt;keyword&gt;Periodicals as Topic/standards&lt;/keyword&gt;&lt;keyword&gt;*Public Health&lt;/keyword&gt;&lt;keyword&gt;Publishing/standards&lt;/keyword&gt;&lt;keyword&gt;Research Design/*standards&lt;/keyword&gt;&lt;keyword&gt;Research Report/standards&lt;/keyword&gt;&lt;/keywords&gt;&lt;dates&gt;&lt;year&gt;2012&lt;/year&gt;&lt;pub-dates&gt;&lt;date&gt;Dec&lt;/date&gt;&lt;/pub-dates&gt;&lt;/dates&gt;&lt;isbn&gt;1470-2738 (Electronic)&amp;#xD;0143-005X (Linking)&lt;/isbn&gt;&lt;accession-num&gt;22577181&lt;/accession-num&gt;&lt;urls&gt;&lt;related-urls&gt;&lt;url&gt;http://www.ncbi.nlm.nih.gov/pubmed/22577181&lt;/url&gt;&lt;/related-urls&gt;&lt;/urls&gt;&lt;custom2&gt;PMC3796763&lt;/custom2&gt;&lt;electronic-resource-num&gt;10.1136/jech-2011-200375&lt;/electronic-resource-num&gt;&lt;/record&gt;&lt;/Cite&gt;&lt;/EndNote&gt;</w:instrText>
      </w:r>
      <w:r>
        <w:fldChar w:fldCharType="separate"/>
      </w:r>
      <w:r w:rsidR="003E7925">
        <w:rPr>
          <w:noProof/>
        </w:rPr>
        <w:t>(11)</w:t>
      </w:r>
      <w:r>
        <w:fldChar w:fldCharType="end"/>
      </w:r>
      <w:r>
        <w:t>.</w:t>
      </w:r>
    </w:p>
    <w:p w14:paraId="61EF14AE" w14:textId="6885B22D" w:rsidR="00E73C9D" w:rsidRDefault="00C57731">
      <w:pPr>
        <w:pStyle w:val="Body"/>
      </w:pPr>
      <w:r>
        <w:t>The “</w:t>
      </w:r>
      <w:r>
        <w:rPr>
          <w:lang w:val="it-IT"/>
        </w:rPr>
        <w:t>quasi-experimental</w:t>
      </w:r>
      <w:r w:rsidR="000A1AEE">
        <w:t>” method</w:t>
      </w:r>
      <w:r>
        <w:t>s available to researchers differ in the mechanisms use</w:t>
      </w:r>
      <w:r w:rsidR="003E7925">
        <w:t>d to mirror random assignment;</w:t>
      </w:r>
      <w:r>
        <w:t xml:space="preserve"> historically the greatest limitations to their application have been data availability and quality</w:t>
      </w:r>
      <w:r w:rsidR="00DF79D9">
        <w:t>, and concerns about</w:t>
      </w:r>
      <w:r w:rsidR="000A1AEE">
        <w:t xml:space="preserve"> the</w:t>
      </w:r>
      <w:r w:rsidR="00DF79D9">
        <w:t xml:space="preserve"> feasibility</w:t>
      </w:r>
      <w:r w:rsidR="003E7925">
        <w:t xml:space="preserve"> of more advanced methods</w:t>
      </w:r>
      <w:r>
        <w:t>.</w:t>
      </w:r>
    </w:p>
    <w:p w14:paraId="729AF445" w14:textId="53D185A8" w:rsidR="00AF14AE" w:rsidRDefault="00C57731" w:rsidP="00AF14AE">
      <w:pPr>
        <w:pStyle w:val="Body"/>
      </w:pPr>
      <w:r>
        <w:t>This study makes use of high quality routine data to implem</w:t>
      </w:r>
      <w:r w:rsidR="008E71A1">
        <w:t>ent alternative candidate method</w:t>
      </w:r>
      <w:r>
        <w:t>s and compa</w:t>
      </w:r>
      <w:r w:rsidR="008E71A1">
        <w:t>re estimates both between method</w:t>
      </w:r>
      <w:r>
        <w:t xml:space="preserve">s and with the available RCT evidence. </w:t>
      </w:r>
      <w:r w:rsidR="00AF14AE">
        <w:t xml:space="preserve">The randomised evidence comes from a series of progressively updated meta-analyses published by the Early Breast Cancer Trialists Collaborating Group (EBCTCG) </w:t>
      </w:r>
      <w:r w:rsidR="00AF14AE">
        <w:fldChar w:fldCharType="begin">
          <w:fldData xml:space="preserve">PEVuZE5vdGU+PENpdGU+PEF1dGhvcj5FYXJseSBCcmVhc3QgQ2FuY2VyIFRyaWFsaXN0c+KAmSBD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</w:fldData>
        </w:fldChar>
      </w:r>
      <w:r w:rsidR="00AF14AE">
        <w:instrText xml:space="preserve"> ADDIN EN.CITE </w:instrText>
      </w:r>
      <w:r w:rsidR="00AF14AE">
        <w:fldChar w:fldCharType="begin">
          <w:fldData xml:space="preserve">PEVuZE5vdGU+PENpdGU+PEF1dGhvcj5FYXJseSBCcmVhc3QgQ2FuY2VyIFRyaWFsaXN0c+KAmSBD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</w:fldData>
        </w:fldChar>
      </w:r>
      <w:r w:rsidR="00AF14AE">
        <w:instrText xml:space="preserve"> ADDIN EN.CITE.DATA </w:instrText>
      </w:r>
      <w:r w:rsidR="00AF14AE">
        <w:fldChar w:fldCharType="end"/>
      </w:r>
      <w:r w:rsidR="00AF14AE">
        <w:fldChar w:fldCharType="separate"/>
      </w:r>
      <w:r w:rsidR="00AF14AE">
        <w:rPr>
          <w:noProof/>
        </w:rPr>
        <w:t xml:space="preserve">(2, </w:t>
      </w:r>
      <w:r w:rsidR="00AF14AE">
        <w:rPr>
          <w:noProof/>
        </w:rPr>
        <w:lastRenderedPageBreak/>
        <w:t>12, 13)</w:t>
      </w:r>
      <w:r w:rsidR="00AF14AE">
        <w:fldChar w:fldCharType="end"/>
      </w:r>
      <w:r w:rsidR="00AF14AE">
        <w:t xml:space="preserve">. Results from the most recent meta-analysis are used make comparisons with the RWE estimates from this study.  </w:t>
      </w:r>
    </w:p>
    <w:p w14:paraId="2BF93938" w14:textId="2D61FF4B" w:rsidR="00E73C9D" w:rsidRDefault="00C57731">
      <w:pPr>
        <w:pStyle w:val="Body"/>
      </w:pPr>
      <w:r>
        <w:t>We cons</w:t>
      </w:r>
      <w:r w:rsidR="008E71A1">
        <w:t>ider four candidate method</w:t>
      </w:r>
      <w:r>
        <w:t>s:</w:t>
      </w:r>
    </w:p>
    <w:p w14:paraId="1314E34D" w14:textId="4865144D" w:rsidR="00E73C9D" w:rsidRDefault="00C57731">
      <w:pPr>
        <w:pStyle w:val="ListParagraph"/>
        <w:numPr>
          <w:ilvl w:val="0"/>
          <w:numId w:val="2"/>
        </w:numPr>
      </w:pPr>
      <w:r>
        <w:t xml:space="preserve">Regression with </w:t>
      </w:r>
      <w:r w:rsidR="00670563">
        <w:t>a</w:t>
      </w:r>
      <w:r>
        <w:t xml:space="preserve">djustment for </w:t>
      </w:r>
      <w:r w:rsidR="00670563">
        <w:t>c</w:t>
      </w:r>
      <w:r>
        <w:t xml:space="preserve">ovariates (RA): Uses multiple regression based methods to adjust for the imbalance in </w:t>
      </w:r>
      <w:r w:rsidR="00DF79D9">
        <w:t xml:space="preserve">observed </w:t>
      </w:r>
      <w:r>
        <w:t xml:space="preserve">covariates between treated and untreated cases. </w:t>
      </w:r>
    </w:p>
    <w:p w14:paraId="2360BF2A" w14:textId="4A98A1B3" w:rsidR="00E73C9D" w:rsidRDefault="00C57731">
      <w:pPr>
        <w:pStyle w:val="ListParagraph"/>
        <w:numPr>
          <w:ilvl w:val="0"/>
          <w:numId w:val="2"/>
        </w:numPr>
      </w:pPr>
      <w:r>
        <w:t xml:space="preserve">Propensity score matching (PSM) </w:t>
      </w:r>
      <w:r>
        <w:fldChar w:fldCharType="begin"/>
      </w:r>
      <w:r w:rsidR="00AF14AE">
        <w:instrText xml:space="preserve"> ADDIN EN.CITE &lt;EndNote&gt;&lt;Cite&gt;&lt;Author&gt;Rosenbaum&lt;/Author&gt;&lt;Year&gt;1983&lt;/Year&gt;&lt;RecNum&gt;100&lt;/RecNum&gt;&lt;DisplayText&gt;(14)&lt;/DisplayText&gt;&lt;record&gt;&lt;rec-number&gt;100&lt;/rec-number&gt;&lt;foreign-keys&gt;&lt;key app="EN" db-id="ftrpw5r2d0tevie2a5gp2tzn2xerrzew2w50" timestamp="1511872865"&gt;100&lt;/key&gt;&lt;key app="ENWeb" db-id=""&gt;0&lt;/key&gt;&lt;/foreign-keys&gt;&lt;ref-type name="Journal Article"&gt;17&lt;/ref-type&gt;&lt;contributors&gt;&lt;authors&gt;&lt;author&gt;Rosenbaum, P.&lt;/author&gt;&lt;author&gt;Rubin, D. B.&lt;/author&gt;&lt;/authors&gt;&lt;/contributors&gt;&lt;titles&gt;&lt;title&gt;The central role of the propensity score in observational&amp;#xD;studies for causal effects&lt;/title&gt;&lt;secondary-title&gt;Biometrika&lt;/secondary-title&gt;&lt;/titles&gt;&lt;periodical&gt;&lt;full-title&gt;Biometrika&lt;/full-title&gt;&lt;abbr-1&gt;Biometrika&lt;/abbr-1&gt;&lt;/periodical&gt;&lt;pages&gt;41-55&lt;/pages&gt;&lt;volume&gt;70&lt;/volume&gt;&lt;number&gt;1&lt;/number&gt;&lt;dates&gt;&lt;year&gt;1983&lt;/year&gt;&lt;/dates&gt;&lt;urls&gt;&lt;/urls&gt;&lt;/record&gt;&lt;/Cite&gt;&lt;/EndNote&gt;</w:instrText>
      </w:r>
      <w:r>
        <w:fldChar w:fldCharType="separate"/>
      </w:r>
      <w:r w:rsidR="00AF14AE">
        <w:rPr>
          <w:noProof/>
        </w:rPr>
        <w:t>(14)</w:t>
      </w:r>
      <w:r>
        <w:fldChar w:fldCharType="end"/>
      </w:r>
      <w:r>
        <w:t>: Uses rich prognostic data to create propensity scores and ma</w:t>
      </w:r>
      <w:r w:rsidR="000A1AEE">
        <w:t>tch treated and untreated cases, reducing confounding by indication</w:t>
      </w:r>
      <w:r>
        <w:t xml:space="preserve"> </w:t>
      </w:r>
    </w:p>
    <w:p w14:paraId="51927EF4" w14:textId="38CADDE5" w:rsidR="00E73C9D" w:rsidRDefault="00C57731">
      <w:pPr>
        <w:pStyle w:val="ListParagraph"/>
        <w:numPr>
          <w:ilvl w:val="0"/>
          <w:numId w:val="2"/>
        </w:numPr>
      </w:pPr>
      <w:r>
        <w:t xml:space="preserve">Instrumental variables (IV) </w:t>
      </w:r>
      <w:r>
        <w:fldChar w:fldCharType="begin"/>
      </w:r>
      <w:r w:rsidR="00AF14AE">
        <w:instrText xml:space="preserve"> ADDIN EN.CITE &lt;EndNote&gt;&lt;Cite&gt;&lt;Author&gt;Angrist&lt;/Author&gt;&lt;Year&gt;1996&lt;/Year&gt;&lt;RecNum&gt;79&lt;/RecNum&gt;&lt;DisplayText&gt;(15)&lt;/DisplayText&gt;&lt;record&gt;&lt;rec-number&gt;79&lt;/rec-number&gt;&lt;foreign-keys&gt;&lt;key app="EN" db-id="ftrpw5r2d0tevie2a5gp2tzn2xerrzew2w50" timestamp="1505919751"&gt;79&lt;/key&gt;&lt;/foreign-keys&gt;&lt;ref-type name="Journal Article"&gt;17&lt;/ref-type&gt;&lt;contributors&gt;&lt;authors&gt;&lt;author&gt;Angrist, J. D.&lt;/author&gt;&lt;author&gt;Imbens, G. W.&lt;/author&gt;&lt;author&gt;Rubin, D. B.&lt;/author&gt;&lt;/authors&gt;&lt;/contributors&gt;&lt;auth-address&gt;Harvard Univ, Dept Econ, Cambridge, Ma 02138 USA&amp;#xD;Harvard Univ, Dept Stat, Cambridge, Ma 02138 USA&lt;/auth-address&gt;&lt;titles&gt;&lt;title&gt;Identification of causal effects using instrumental variables&lt;/title&gt;&lt;secondary-title&gt;Journal of the American Statistical Association&lt;/secondary-title&gt;&lt;alt-title&gt;J Am Stat Assoc&lt;/alt-title&gt;&lt;/titles&gt;&lt;periodical&gt;&lt;full-title&gt;Journal of the American Statistical Association&lt;/full-title&gt;&lt;abbr-1&gt;J Am Stat Assoc&lt;/abbr-1&gt;&lt;/periodical&gt;&lt;alt-periodical&gt;&lt;full-title&gt;Journal of the American Statistical Association&lt;/full-title&gt;&lt;abbr-1&gt;J Am Stat Assoc&lt;/abbr-1&gt;&lt;/alt-periodical&gt;&lt;pages&gt;444-455&lt;/pages&gt;&lt;volume&gt;91&lt;/volume&gt;&lt;number&gt;434&lt;/number&gt;&lt;keywords&gt;&lt;keyword&gt;compliers&lt;/keyword&gt;&lt;keyword&gt;intention-to-treat analysis&lt;/keyword&gt;&lt;keyword&gt;local average treatment effect&lt;/keyword&gt;&lt;keyword&gt;noncompliance&lt;/keyword&gt;&lt;keyword&gt;nonignorable treatment assignment&lt;/keyword&gt;&lt;keyword&gt;rubin-causal-model&lt;/keyword&gt;&lt;keyword&gt;structural equation models&lt;/keyword&gt;&lt;keyword&gt;clinical-trials&lt;/keyword&gt;&lt;keyword&gt;draft lottery&lt;/keyword&gt;&lt;keyword&gt;randomization&lt;/keyword&gt;&lt;keyword&gt;inference&lt;/keyword&gt;&lt;keyword&gt;mortality&lt;/keyword&gt;&lt;keyword&gt;earnings&lt;/keyword&gt;&lt;keyword&gt;bias&lt;/keyword&gt;&lt;/keywords&gt;&lt;dates&gt;&lt;year&gt;1996&lt;/year&gt;&lt;pub-dates&gt;&lt;date&gt;Jun&lt;/date&gt;&lt;/pub-dates&gt;&lt;/dates&gt;&lt;isbn&gt;0162-1459&lt;/isbn&gt;&lt;accession-num&gt;WOS:A1996UP55200002&lt;/accession-num&gt;&lt;urls&gt;&lt;related-urls&gt;&lt;url&gt;&amp;lt;Go to ISI&amp;gt;://WOS:A1996UP55200002&lt;/url&gt;&lt;/related-urls&gt;&lt;/urls&gt;&lt;electronic-resource-num&gt;Doi 10.2307/2291629&lt;/electronic-resource-num&gt;&lt;language&gt;English&lt;/language&gt;&lt;/record&gt;&lt;/Cite&gt;&lt;/EndNote&gt;</w:instrText>
      </w:r>
      <w:r>
        <w:fldChar w:fldCharType="separate"/>
      </w:r>
      <w:r w:rsidR="00AF14AE">
        <w:rPr>
          <w:noProof/>
        </w:rPr>
        <w:t>(15)</w:t>
      </w:r>
      <w:r>
        <w:fldChar w:fldCharType="end"/>
      </w:r>
      <w:r>
        <w:t xml:space="preserve">: Makes use of variables that are assumed to causally </w:t>
      </w:r>
      <w:r w:rsidR="00DF79D9">
        <w:t>a</w:t>
      </w:r>
      <w:r>
        <w:t>ffect the treatment decision but have no effect on outcomes other than indirectly</w:t>
      </w:r>
      <w:r w:rsidR="00DF79D9">
        <w:t>,</w:t>
      </w:r>
      <w:r>
        <w:t xml:space="preserve"> via changing the probability of treatment.</w:t>
      </w:r>
    </w:p>
    <w:p w14:paraId="7C1D4887" w14:textId="54884E01" w:rsidR="00E73C9D" w:rsidRDefault="00C57731">
      <w:pPr>
        <w:pStyle w:val="ListParagraph"/>
        <w:numPr>
          <w:ilvl w:val="0"/>
          <w:numId w:val="2"/>
        </w:numPr>
      </w:pPr>
      <w:r>
        <w:t>Regression discontinuity design (RDD)</w:t>
      </w:r>
      <w:r w:rsidR="003E7925">
        <w:t xml:space="preserve"> </w:t>
      </w:r>
      <w:r w:rsidR="003E7925">
        <w:fldChar w:fldCharType="begin"/>
      </w:r>
      <w:r w:rsidR="00AF14AE">
        <w:instrText xml:space="preserve"> ADDIN EN.CITE &lt;EndNote&gt;&lt;Cite&gt;&lt;Author&gt;Oldenburg&lt;/Author&gt;&lt;Year&gt;2016&lt;/Year&gt;&lt;RecNum&gt;96&lt;/RecNum&gt;&lt;DisplayText&gt;(16)&lt;/DisplayText&gt;&lt;record&gt;&lt;rec-number&gt;96&lt;/rec-number&gt;&lt;foreign-keys&gt;&lt;key app="EN" db-id="ftrpw5r2d0tevie2a5gp2tzn2xerrzew2w50" timestamp="1511872160"&gt;96&lt;/key&gt;&lt;key app="ENWeb" db-id=""&gt;0&lt;/key&gt;&lt;/foreign-keys&gt;&lt;ref-type name="Journal Article"&gt;17&lt;/ref-type&gt;&lt;contributors&gt;&lt;authors&gt;&lt;author&gt;Oldenburg, C. E.&lt;/author&gt;&lt;author&gt;Moscoe, E.&lt;/author&gt;&lt;author&gt;Barnighausen, T.&lt;/author&gt;&lt;/authors&gt;&lt;/contributors&gt;&lt;auth-address&gt;Department of Epidemiology, Harvard T.H. Chan School of Public Health, 665 Huntington Avenue, Boston, MA USA.&amp;#xD;Department of Global Health and Population, Harvard T.H. Chan School of Public Health, 665 Huntington Avenue, Boston, MA USA.&amp;#xD;Department of Global Health and Population, Harvard T.H. Chan School of Public Health, 665 Huntington Avenue, Boston, MA USA ; Africa Centre for Population Health, PO Box 198, 3935 Mtubatuba, South Africa ; Institute of Public Health, University of Heidelberg, Heidelberg, Germany.&lt;/auth-address&gt;&lt;titles&gt;&lt;title&gt;Regression Discontinuity for Causal Effect Estimation in Epidemiology&lt;/title&gt;&lt;secondary-title&gt;Curr Epidemiol Rep&lt;/secondary-title&gt;&lt;/titles&gt;&lt;periodical&gt;&lt;full-title&gt;Curr Epidemiol Rep&lt;/full-title&gt;&lt;/periodical&gt;&lt;pages&gt;233-241&lt;/pages&gt;&lt;volume&gt;3&lt;/volume&gt;&lt;keywords&gt;&lt;keyword&gt;Causal inference&lt;/keyword&gt;&lt;keyword&gt;Econometrics&lt;/keyword&gt;&lt;keyword&gt;Epidemiologic methods&lt;/keyword&gt;&lt;keyword&gt;Quasi-experimental&lt;/keyword&gt;&lt;keyword&gt;Regression discontinuity&lt;/keyword&gt;&lt;/keywords&gt;&lt;dates&gt;&lt;year&gt;2016&lt;/year&gt;&lt;/dates&gt;&lt;isbn&gt;2196-2995 (Print)&lt;/isbn&gt;&lt;accession-num&gt;27547695&lt;/accession-num&gt;&lt;urls&gt;&lt;related-urls&gt;&lt;url&gt;http://www.ncbi.nlm.nih.gov/pubmed/27547695&lt;/url&gt;&lt;/related-urls&gt;&lt;/urls&gt;&lt;custom2&gt;PMC4978750&lt;/custom2&gt;&lt;electronic-resource-num&gt;10.1007/s40471-016-0080-x&lt;/electronic-resource-num&gt;&lt;/record&gt;&lt;/Cite&gt;&lt;/EndNote&gt;</w:instrText>
      </w:r>
      <w:r w:rsidR="003E7925">
        <w:fldChar w:fldCharType="separate"/>
      </w:r>
      <w:r w:rsidR="00AF14AE">
        <w:rPr>
          <w:noProof/>
        </w:rPr>
        <w:t>(16)</w:t>
      </w:r>
      <w:r w:rsidR="003E7925">
        <w:fldChar w:fldCharType="end"/>
      </w:r>
      <w:r>
        <w:t>: Exploit</w:t>
      </w:r>
      <w:r w:rsidR="00670563">
        <w:t>s</w:t>
      </w:r>
      <w:r>
        <w:t xml:space="preserve"> </w:t>
      </w:r>
      <w:r w:rsidR="00DF79D9">
        <w:t xml:space="preserve">the </w:t>
      </w:r>
      <w:r>
        <w:t>variation in treatment use created by a treatment guideline based on a threshold level of estimated treatment benefit provided by an online tool.</w:t>
      </w:r>
    </w:p>
    <w:p w14:paraId="0A7466D8" w14:textId="10A1D726" w:rsidR="00E73C9D" w:rsidRDefault="00432A9C">
      <w:pPr>
        <w:pStyle w:val="Body"/>
      </w:pPr>
      <w:r>
        <w:t>This</w:t>
      </w:r>
      <w:r w:rsidR="00C57731">
        <w:t xml:space="preserve"> study aims to explore the feasibility</w:t>
      </w:r>
      <w:r w:rsidR="006D4F7B">
        <w:t>,</w:t>
      </w:r>
      <w:r w:rsidR="00C57731">
        <w:t xml:space="preserve"> and compar</w:t>
      </w:r>
      <w:r w:rsidR="006D4F7B">
        <w:t>e</w:t>
      </w:r>
      <w:r>
        <w:t xml:space="preserve"> the results of</w:t>
      </w:r>
      <w:r w:rsidR="008E71A1">
        <w:t xml:space="preserve"> RWE method</w:t>
      </w:r>
      <w:r w:rsidR="00C57731">
        <w:t xml:space="preserve">s for estimating the effectiveness of adjuvant chemotherapy for early stage breast cancer. Due to the reasonable concerns about bias in RWE </w:t>
      </w:r>
      <w:r w:rsidR="008E71A1">
        <w:t>method</w:t>
      </w:r>
      <w:r w:rsidR="00C57731">
        <w:t>s the approach we have taken is explorat</w:t>
      </w:r>
      <w:r w:rsidR="00DF79D9">
        <w:t>ory</w:t>
      </w:r>
      <w:r w:rsidR="00C57731">
        <w:t xml:space="preserve"> in nature and seeks to provide extensive contextual information to inform the judgements of readers on the interpretation of RWE estimates. We believe such an </w:t>
      </w:r>
      <w:r w:rsidR="00730742">
        <w:t xml:space="preserve">open </w:t>
      </w:r>
      <w:r w:rsidR="00C57731">
        <w:t>approach, which differs from the typical ‘stand alone’ inference of a randomised trial, is necessary if RWE is to be useful for informing patient and clinician decision making in this setting.</w:t>
      </w:r>
    </w:p>
    <w:p w14:paraId="2E9A336D" w14:textId="66179980" w:rsidR="00E73C9D" w:rsidRDefault="00C57731">
      <w:pPr>
        <w:pStyle w:val="Body"/>
      </w:pPr>
      <w:r>
        <w:t xml:space="preserve">A key feature of this study is that all </w:t>
      </w:r>
      <w:r w:rsidR="008E71A1">
        <w:t>method</w:t>
      </w:r>
      <w:r>
        <w:t xml:space="preserve">s make use of prognostic and treatment benefit predictions </w:t>
      </w:r>
      <w:r w:rsidR="00730742">
        <w:t>about individual women</w:t>
      </w:r>
      <w:r>
        <w:t xml:space="preserve"> provided by an online prognostication and treatment benefit tool for patients with early stage breast cancer - PREDICT </w:t>
      </w:r>
      <w:r>
        <w:fldChar w:fldCharType="begin"/>
      </w:r>
      <w:r>
        <w:instrText xml:space="preserve"> ADDIN EN.CITE &lt;EndNote&gt;&lt;Cite  &gt;&lt;Author&gt;Wishart&lt;/Author&gt;&lt;Year&gt;2010&lt;/Year&gt;&lt;RecNum&gt;13&lt;/RecNum&gt;&lt;Prefix&gt;&lt;/Prefix&gt;&lt;Suffix&gt;&lt;/Suffix&gt;&lt;Pages&gt;&lt;/Pages&gt;&lt;DisplayText&gt;(5)&lt;/DisplayText&gt;&lt;record&gt;&lt;rec-number&gt;13&lt;/rec-number&gt;&lt;foreign-keys&gt;&lt;key app="EN" db-id="ftrpw5r2d0tevie2a5gp2tzn2xerrzew2w50" timestamp="1505919724"&gt;13&lt;/key&gt;&lt;/foreign-keys&gt;&lt;ref-type name="Journal Article"&gt;17&lt;/ref-type&gt;&lt;contributors&gt;&lt;authors&gt;&lt;author&gt;Wishart, G. C.&lt;/author&gt;&lt;author&gt;Azzato, E. M.&lt;/author&gt;&lt;author&gt;Greenberg, D. C.&lt;/author&gt;&lt;author&gt;Rashbass, J.&lt;/author&gt;&lt;author&gt;Kearins, O.&lt;/author&gt;&lt;author&gt;Lawrence, G.&lt;/author&gt;&lt;author&gt;Caldas, C.&lt;/author&gt;&lt;author&gt;Pharoah, P. D.&lt;/author&gt;&lt;/authors&gt;&lt;/contributors&gt;&lt;auth-address&gt;Cambridge Breast Unit, Addenbrooke's Hospital, Hills Road, Cambridge, CB2 2QQ, UK. gordon.wishart@addenbrookes.nhs.uk&lt;/auth-address&gt;&lt;titles&gt;&lt;title&gt;PREDICT: a new UK prognostic model that predicts survival following surgery for invasive breast cancer&lt;/title&gt;&lt;secondary-title&gt;Breast Cancer Res&lt;/secondary-title&gt;&lt;/titles&gt;&lt;periodical&gt;&lt;full-title&gt;Breast Cancer Res&lt;/full-title&gt;&lt;/periodical&gt;&lt;pages&gt;R1&lt;/pages&gt;&lt;volume&gt;12&lt;/volume&gt;&lt;number&gt;1&lt;/number&gt;&lt;keywords&gt;&lt;keyword&gt;Adult&lt;/keyword&gt;&lt;keyword&gt;Aged&lt;/keyword&gt;&lt;keyword&gt;Aged, 80 and over&lt;/keyword&gt;&lt;keyword&gt;Breast Neoplasms/epidemiology/*mortality/surgery&lt;/keyword&gt;&lt;keyword&gt;Female&lt;/keyword&gt;&lt;keyword&gt;Humans&lt;/keyword&gt;&lt;keyword&gt;Middle Aged&lt;/keyword&gt;&lt;keyword&gt;Models, Statistical&lt;/keyword&gt;&lt;keyword&gt;Neoplasm Invasiveness&lt;/keyword&gt;&lt;keyword&gt;Prognosis&lt;/keyword&gt;&lt;keyword&gt;Receptors, Estrogen/analysis&lt;/keyword&gt;&lt;keyword&gt;Registries&lt;/keyword&gt;&lt;keyword&gt;SEER Program&lt;/keyword&gt;&lt;keyword&gt;United Kingdom&lt;/keyword&gt;&lt;/keywords&gt;&lt;dates&gt;&lt;year&gt;2010&lt;/year&gt;&lt;/dates&gt;&lt;isbn&gt;1465-542X (Electronic)&amp;#13;1465-5411 (Linking)&lt;/isbn&gt;&lt;accession-num&gt;20053270&lt;/accession-num&gt;&lt;urls&gt;&lt;related-urls&gt;&lt;url&gt;http://www.ncbi.nlm.nih.gov/pubmed/20053270&lt;/url&gt;&lt;/related-urls&gt;&lt;/urls&gt;&lt;custom2&gt;PMC2880419&lt;/custom2&gt;&lt;electronic-resource-num&gt;10.1186/bcr2464&lt;/electronic-resource-num&gt;&lt;/record&gt;&lt;/Cite&gt;&lt;/EndNote&gt;</w:instrText>
      </w:r>
      <w:r>
        <w:fldChar w:fldCharType="separate"/>
      </w:r>
      <w:r>
        <w:t>(5)</w:t>
      </w:r>
      <w:r>
        <w:fldChar w:fldCharType="end"/>
      </w:r>
      <w:r>
        <w:t xml:space="preserve">. </w:t>
      </w:r>
    </w:p>
    <w:p w14:paraId="46A5EB9A" w14:textId="4B324166" w:rsidR="005077E2" w:rsidRDefault="00C87A85" w:rsidP="005077E2">
      <w:pPr>
        <w:pStyle w:val="Body"/>
      </w:pPr>
      <w:r>
        <w:t>Some RWE methods have previously b</w:t>
      </w:r>
      <w:r w:rsidR="008E71A1">
        <w:t xml:space="preserve">een employed in this setting. PSM </w:t>
      </w:r>
      <w:r>
        <w:t xml:space="preserve">was used with a large observational study conducted in the USA </w:t>
      </w:r>
      <w:r>
        <w:fldChar w:fldCharType="begin"/>
      </w:r>
      <w:r>
        <w:instrText xml:space="preserve"> ADDIN EN.CITE &lt;EndNote&gt;&lt;Cite&gt;&lt;Author&gt;General Accounting Office (GAO) United States of America&lt;/Author&gt;&lt;Year&gt;1994&lt;/Year&gt;&lt;RecNum&gt;105&lt;/RecNum&gt;&lt;DisplayText&gt;(17)&lt;/DisplayText&gt;&lt;record&gt;&lt;rec-number&gt;105&lt;/rec-number&gt;&lt;foreign-keys&gt;&lt;key app="EN" db-id="ftrpw5r2d0tevie2a5gp2tzn2xerrzew2w50" timestamp="1511885460"&gt;105&lt;/key&gt;&lt;key app="ENWeb" db-id=""&gt;0&lt;/key&gt;&lt;/foreign-keys&gt;&lt;ref-type name="Report"&gt;27&lt;/ref-type&gt;&lt;contributors&gt;&lt;authors&gt;&lt;author&gt;General Accounting Office (GAO) United States of America,&lt;/author&gt;&lt;/authors&gt;&lt;/contributors&gt;&lt;titles&gt;&lt;title&gt;Breast Conservation versus Mastectomy; Patient Survival in Day-to-Day Medical Practice and in Randomized Studies&lt;/title&gt;&lt;/titles&gt;&lt;dates&gt;&lt;year&gt;1994&lt;/year&gt;&lt;/dates&gt;&lt;pub-location&gt;Washington, D.C.&lt;/pub-location&gt;&lt;urls&gt;&lt;/urls&gt;&lt;/record&gt;&lt;/Cite&gt;&lt;/EndNote&gt;</w:instrText>
      </w:r>
      <w:r>
        <w:fldChar w:fldCharType="separate"/>
      </w:r>
      <w:r>
        <w:rPr>
          <w:noProof/>
        </w:rPr>
        <w:t>(17)</w:t>
      </w:r>
      <w:r>
        <w:fldChar w:fldCharType="end"/>
      </w:r>
      <w:r w:rsidR="00730742">
        <w:t xml:space="preserve"> comparing</w:t>
      </w:r>
      <w:r>
        <w:t xml:space="preserve"> mastectomy and breast conserving surgery in node negative patients using a registry data set. The re</w:t>
      </w:r>
      <w:r w:rsidR="00730742">
        <w:t xml:space="preserve">sults corresponded closely with </w:t>
      </w:r>
      <w:r>
        <w:t>previously reported trials and provided evidence that the estimated hazard ratios could be generalised beyond trial populations</w:t>
      </w:r>
      <w:r w:rsidR="00730742">
        <w:t>,</w:t>
      </w:r>
      <w:r>
        <w:t xml:space="preserve"> and this information was influential for clinical practice. The success of PSM for comparing surgical strategies in the same patient group is one reason to believe PSM might also be appropriate for </w:t>
      </w:r>
      <w:r>
        <w:lastRenderedPageBreak/>
        <w:t>addressing questions relating to the effectiveness of adjuvant ther</w:t>
      </w:r>
      <w:r w:rsidR="00730742">
        <w:t>apies. Other PSM studies focusing</w:t>
      </w:r>
      <w:r>
        <w:t xml:space="preserve"> on adjuvant therapies have not made comparisons with randomized data.</w:t>
      </w:r>
      <w:r>
        <w:rPr>
          <w:rStyle w:val="FootnoteReference"/>
        </w:rPr>
        <w:footnoteReference w:id="1"/>
      </w:r>
      <w:r w:rsidR="005077E2">
        <w:t xml:space="preserve"> </w:t>
      </w:r>
    </w:p>
    <w:p w14:paraId="2A6864AA" w14:textId="270D055D" w:rsidR="005077E2" w:rsidRDefault="005077E2" w:rsidP="005077E2">
      <w:pPr>
        <w:pStyle w:val="Body"/>
      </w:pPr>
      <w:r>
        <w:t xml:space="preserve">Application of RDD for the evaluation of healthcare interventions has recently received increased attention and there are some successful examples of this </w:t>
      </w:r>
      <w:r w:rsidR="008E71A1">
        <w:t>method</w:t>
      </w:r>
      <w:r>
        <w:t xml:space="preserve"> </w:t>
      </w:r>
      <w:r>
        <w:fldChar w:fldCharType="begin">
          <w:fldData xml:space="preserve">PEVuZE5vdGU+PENpdGU+PEF1dGhvcj5Nb3Njb2U8L0F1dGhvcj48WWVhcj4yMDE1PC9ZZWFyPjxS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==
</w:fldData>
        </w:fldChar>
      </w:r>
      <w:r w:rsidR="007D2FFF">
        <w:instrText xml:space="preserve"> ADDIN EN.CITE </w:instrText>
      </w:r>
      <w:r w:rsidR="007D2FFF">
        <w:fldChar w:fldCharType="begin">
          <w:fldData xml:space="preserve">PEVuZE5vdGU+PENpdGU+PEF1dGhvcj5Nb3Njb2U8L0F1dGhvcj48WWVhcj4yMDE1PC9ZZWFyPjxS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==
</w:fldData>
        </w:fldChar>
      </w:r>
      <w:r w:rsidR="007D2FFF">
        <w:instrText xml:space="preserve"> ADDIN EN.CITE.DATA </w:instrText>
      </w:r>
      <w:r w:rsidR="007D2FFF">
        <w:fldChar w:fldCharType="end"/>
      </w:r>
      <w:r>
        <w:fldChar w:fldCharType="separate"/>
      </w:r>
      <w:r w:rsidR="007D2FFF">
        <w:rPr>
          <w:noProof/>
        </w:rPr>
        <w:t>(18)</w:t>
      </w:r>
      <w:r>
        <w:fldChar w:fldCharType="end"/>
      </w:r>
      <w:r>
        <w:t xml:space="preserve">. </w:t>
      </w:r>
      <w:r w:rsidR="00730742">
        <w:t>However, t</w:t>
      </w:r>
      <w:r>
        <w:t>he application of RDD to this clinical area is, to the best of our knowledge, completely novel.</w:t>
      </w:r>
    </w:p>
    <w:p w14:paraId="457ED774" w14:textId="77777777" w:rsidR="00E73C9D" w:rsidRDefault="00C57731">
      <w:pPr>
        <w:pStyle w:val="Heading"/>
      </w:pPr>
      <w:r>
        <w:rPr>
          <w:lang w:val="en-US"/>
        </w:rPr>
        <w:t>Methods</w:t>
      </w:r>
    </w:p>
    <w:p w14:paraId="2E1C601F" w14:textId="77777777" w:rsidR="00E73C9D" w:rsidRDefault="00C57731">
      <w:pPr>
        <w:pStyle w:val="Heading2"/>
      </w:pPr>
      <w:r>
        <w:t>Patient Data</w:t>
      </w:r>
    </w:p>
    <w:p w14:paraId="11A05D15" w14:textId="5ACFE748" w:rsidR="00E73C9D" w:rsidRDefault="00C57731">
      <w:pPr>
        <w:pStyle w:val="Body"/>
      </w:pPr>
      <w:r>
        <w:t>Patient level data were transferred into the National Services Scotland Safe Haven as an extract from the Scottish Cancer Registry (SCR). All records in the registry with a diagnosis of primary invasive breast cancer (ICD-10 C50) diagnosed in the period between January 2001 and December 2015 were retrieved for analysis. SCR is a population-based registry that covers all residents of Scotland (population approximately 5.5 million). National Records of Scotland provides notification of deaths for registry records. Vital status was recorded up to 1st February 2017 in the analysis extract</w:t>
      </w:r>
      <w:r w:rsidR="00124EF4">
        <w:rPr>
          <w:rStyle w:val="FootnoteReference"/>
        </w:rPr>
        <w:footnoteReference w:id="2"/>
      </w:r>
      <w:r>
        <w:t xml:space="preserve">. Deaths due to breast cancer were defined in accordance with the ICD-10 coding system for causes of death, recorded either as the primary cause of death or </w:t>
      </w:r>
      <w:r w:rsidR="00BE2457">
        <w:t xml:space="preserve">as </w:t>
      </w:r>
      <w:r w:rsidR="00E14E13">
        <w:t>one of three contributing</w:t>
      </w:r>
      <w:r>
        <w:t xml:space="preserve"> causes of death. Data were restricted to the first occurrence of a primary breast cancer for each patient, subsequent primary breast cancers were excluded. Data linkage was provided by Information Services Division (ISD) to Scottish hospital inpatient and day case records (SMR01) and outpatient records (SMR00). </w:t>
      </w:r>
      <w:r w:rsidR="00730742">
        <w:t>Deterministic l</w:t>
      </w:r>
      <w:r>
        <w:t xml:space="preserve">inkage was achieved using </w:t>
      </w:r>
      <w:r w:rsidR="00BE2457">
        <w:t>the Community Health Index (</w:t>
      </w:r>
      <w:r>
        <w:t>CHI</w:t>
      </w:r>
      <w:r w:rsidR="00BE2457">
        <w:t>)</w:t>
      </w:r>
      <w:r>
        <w:t xml:space="preserve"> number unique individual identifiers</w:t>
      </w:r>
      <w:r w:rsidR="00730742">
        <w:t>, which includes a check digit</w:t>
      </w:r>
      <w:r>
        <w:t xml:space="preserve">. The linked data sets included all records linked to an included registry case from the period up to 5 years prior to the date of diagnosis. Prognostic factors available for use in the analysis, including the derived PREDICT scores, are described in detail in the supplementary appendix (SA1). </w:t>
      </w:r>
    </w:p>
    <w:p w14:paraId="22C212A7" w14:textId="1C59AB9F" w:rsidR="006A5FD7" w:rsidRDefault="00C57731" w:rsidP="00E06CC7">
      <w:pPr>
        <w:pStyle w:val="Body"/>
      </w:pPr>
      <w:r>
        <w:t>Details of the</w:t>
      </w:r>
      <w:r w:rsidR="00730742">
        <w:t xml:space="preserve"> use of PREDICT scores in each method</w:t>
      </w:r>
      <w:r>
        <w:t xml:space="preserve"> are displayed in table 1. In</w:t>
      </w:r>
      <w:r w:rsidR="00730742">
        <w:t xml:space="preserve"> the</w:t>
      </w:r>
      <w:r>
        <w:t xml:space="preserve"> RA, PSM and IV</w:t>
      </w:r>
      <w:r w:rsidR="00730742">
        <w:t xml:space="preserve"> methods</w:t>
      </w:r>
      <w:r>
        <w:t xml:space="preserve"> PREDICT version 2 scores were used. ‘</w:t>
      </w:r>
      <w:r>
        <w:rPr>
          <w:lang w:val="it-IT"/>
        </w:rPr>
        <w:t>Prognostic score</w:t>
      </w:r>
      <w:r>
        <w:t>’ was the PREDICT probability of death from any cause over 10 years</w:t>
      </w:r>
      <w:r w:rsidR="00433675">
        <w:t>. I</w:t>
      </w:r>
      <w:r>
        <w:t xml:space="preserve">n models with </w:t>
      </w:r>
      <w:r w:rsidR="00433675">
        <w:t>breast cancer spec</w:t>
      </w:r>
      <w:r w:rsidR="00730742">
        <w:t>ific mortality as the outcome this</w:t>
      </w:r>
      <w:r w:rsidR="00433675">
        <w:t xml:space="preserve"> was the </w:t>
      </w:r>
      <w:r>
        <w:t>probability of death due to breast cancer over 10</w:t>
      </w:r>
      <w:r w:rsidR="003D5C7A">
        <w:t xml:space="preserve"> years</w:t>
      </w:r>
      <w:r>
        <w:t>.</w:t>
      </w:r>
      <w:r w:rsidR="00E14E13">
        <w:t xml:space="preserve"> PREDICT</w:t>
      </w:r>
      <w:r w:rsidR="00433675">
        <w:t xml:space="preserve"> benefit score wa</w:t>
      </w:r>
      <w:r w:rsidR="00E14E13">
        <w:t xml:space="preserve">s the </w:t>
      </w:r>
      <w:r w:rsidR="00CD596C">
        <w:t>difference in</w:t>
      </w:r>
      <w:r w:rsidR="00E14E13">
        <w:t xml:space="preserve"> the probability of survival at 10 years following diagnosis </w:t>
      </w:r>
      <w:r w:rsidR="00CD596C">
        <w:t>with and without adjuvant chemotherapy.</w:t>
      </w:r>
    </w:p>
    <w:p w14:paraId="3FBA970A" w14:textId="77777777" w:rsidR="00E73C9D" w:rsidRDefault="00E73C9D">
      <w:pPr>
        <w:pStyle w:val="BodyA"/>
      </w:pPr>
    </w:p>
    <w:p w14:paraId="74413332" w14:textId="759E4C23" w:rsidR="00E73C9D" w:rsidRDefault="00C57731">
      <w:pPr>
        <w:pStyle w:val="Body"/>
      </w:pPr>
      <w:r>
        <w:t xml:space="preserve">Cases were excluded if the patient was male, had advanced cancer (clinical M stage = 1), did not receive surgery or received neoadjuvant therapy (chemotherapy or hormone therapy recorded prior to surgery). </w:t>
      </w:r>
    </w:p>
    <w:p w14:paraId="0455F9D5" w14:textId="08873015" w:rsidR="00E73C9D" w:rsidRDefault="00761D78">
      <w:pPr>
        <w:pStyle w:val="Body"/>
      </w:pPr>
      <w:r>
        <w:t xml:space="preserve">Because some groups of patients such as the over 70s and those with comorbidities, were either excluded from, or underrepresented in, the randomised trials, we made a comparison with a subgroup of RWE patients who would meet trial inclusion criteria as well as with the full cohort. </w:t>
      </w:r>
      <w:r w:rsidR="00C57731">
        <w:t>Cases were defined as ‘trial represented’ (TR) if they were under 70 years of age with no recorded Charlson comorbidities, and met criteria related to prognostic factors; either node positive or with 2 or more of: [1] &gt;30mm tumour size, [2] grade 3, [3] ER-, and [4] Her2+ status. The definition of trial represented was based on assessment of the protocols of a number of trials in the meta-analysis</w:t>
      </w:r>
      <w:r w:rsidR="00D30322">
        <w:t xml:space="preserve"> </w:t>
      </w:r>
      <w:r w:rsidR="00D30322">
        <w:fldChar w:fldCharType="begin"/>
      </w:r>
      <w:r w:rsidR="00D30322">
        <w:instrText xml:space="preserve"> ADDIN EN.CITE &lt;EndNote&gt;&lt;Cite&gt;&lt;Author&gt;Early Breast Cancer Trialists’ Collaborative Group&lt;/Author&gt;&lt;Year&gt;2012&lt;/Year&gt;&lt;RecNum&gt;87&lt;/RecNum&gt;&lt;DisplayText&gt;(2)&lt;/DisplayText&gt;&lt;record&gt;&lt;rec-number&gt;87&lt;/rec-number&gt;&lt;foreign-keys&gt;&lt;key app="EN" db-id="ftrpw5r2d0tevie2a5gp2tzn2xerrzew2w50" timestamp="1505920746"&gt;87&lt;/key&gt;&lt;key app="ENWeb" db-id=""&gt;0&lt;/key&gt;&lt;/foreign-keys&gt;&lt;ref-type name="Journal Article"&gt;17&lt;/ref-type&gt;&lt;contributors&gt;&lt;authors&gt;&lt;author&gt;Early Breast Cancer Trialists’ Collaborative Group,&lt;/author&gt;&lt;/authors&gt;&lt;/contributors&gt;&lt;titles&gt;&lt;title&gt;Comparisons between different polychemotherapy regimens for early breast cancer: meta-analyses of long-term outcome among 100 000 women in 123 randomised trials&lt;/title&gt;&lt;secondary-title&gt;The Lancet&lt;/secondary-title&gt;&lt;/titles&gt;&lt;periodical&gt;&lt;full-title&gt;The Lancet&lt;/full-title&gt;&lt;/periodical&gt;&lt;pages&gt;432-444&lt;/pages&gt;&lt;volume&gt;379&lt;/volume&gt;&lt;number&gt;9814&lt;/number&gt;&lt;dates&gt;&lt;year&gt;2012&lt;/year&gt;&lt;/dates&gt;&lt;isbn&gt;01406736&lt;/isbn&gt;&lt;urls&gt;&lt;/urls&gt;&lt;electronic-resource-num&gt;10.1016/s0140-6736(11)61625-5&lt;/electronic-resource-num&gt;&lt;/record&gt;&lt;/Cite&gt;&lt;/EndNote&gt;</w:instrText>
      </w:r>
      <w:r w:rsidR="00D30322">
        <w:fldChar w:fldCharType="separate"/>
      </w:r>
      <w:r w:rsidR="00D30322">
        <w:rPr>
          <w:noProof/>
        </w:rPr>
        <w:t>(2)</w:t>
      </w:r>
      <w:r w:rsidR="00D30322">
        <w:fldChar w:fldCharType="end"/>
      </w:r>
      <w:r w:rsidR="00C57731">
        <w:t xml:space="preserve"> and clinical expert opinion. It should be noted that trial inclusion/exclusion protocols varied to some degree and often included elements of clinical judgement.</w:t>
      </w:r>
    </w:p>
    <w:p w14:paraId="715E0CCF" w14:textId="77777777" w:rsidR="00E73C9D" w:rsidRDefault="00C57731">
      <w:pPr>
        <w:pStyle w:val="Heading2"/>
      </w:pPr>
      <w:r>
        <w:rPr>
          <w:lang w:val="en-US"/>
        </w:rPr>
        <w:t>Econometric methods</w:t>
      </w:r>
    </w:p>
    <w:p w14:paraId="401E5663" w14:textId="7E292F88" w:rsidR="00E73C9D" w:rsidRDefault="00C57731">
      <w:pPr>
        <w:pStyle w:val="Body"/>
      </w:pPr>
      <w:r>
        <w:t xml:space="preserve">All analyses were repeated for two outcomes; breast cancer </w:t>
      </w:r>
      <w:r w:rsidR="00E820EA">
        <w:t xml:space="preserve">specific </w:t>
      </w:r>
      <w:r>
        <w:t>mortality and all-cause mortality</w:t>
      </w:r>
      <w:r w:rsidR="00E820EA">
        <w:t xml:space="preserve"> as recorded on death certificates</w:t>
      </w:r>
      <w:r>
        <w:t xml:space="preserve">. Furthermore, the analyses were repeated in the full cohort and the TR subgroup. Each method of analysis therefore produced four estimated hazard ratios. </w:t>
      </w:r>
      <w:r w:rsidR="0099729D">
        <w:t xml:space="preserve">The details of the implementation </w:t>
      </w:r>
      <w:r w:rsidR="00BB62F7">
        <w:t>are reported in the supplementary appendix (SA2).</w:t>
      </w:r>
    </w:p>
    <w:p w14:paraId="4AD8F259" w14:textId="0CE8F0AA" w:rsidR="00DA5E45" w:rsidRDefault="00DA5E45" w:rsidP="00DA5E45">
      <w:pPr>
        <w:pStyle w:val="Caption"/>
      </w:pPr>
      <w:r>
        <w:t>Table 1 - Use of</w:t>
      </w:r>
      <w:r w:rsidR="00775F6A">
        <w:t xml:space="preserve"> person-specific </w:t>
      </w:r>
      <w:r>
        <w:t>PREDICT</w:t>
      </w:r>
      <w:r w:rsidR="00775F6A">
        <w:t xml:space="preserve"> scores in the four RWE method</w:t>
      </w:r>
      <w:r>
        <w:t>s</w:t>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08"/>
        <w:gridCol w:w="4508"/>
      </w:tblGrid>
      <w:tr w:rsidR="00DA5E45" w14:paraId="68605DC0" w14:textId="77777777" w:rsidTr="00513751">
        <w:trPr>
          <w:trHeight w:val="243"/>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60F14" w14:textId="6417E2A5" w:rsidR="00DA5E45" w:rsidRDefault="008E71A1" w:rsidP="00513751">
            <w:pPr>
              <w:pStyle w:val="BodyA"/>
              <w:spacing w:after="0" w:line="240" w:lineRule="auto"/>
            </w:pPr>
            <w:r>
              <w:rPr>
                <w:b/>
                <w:bCs/>
              </w:rPr>
              <w:t>Method</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D6ECC" w14:textId="77777777" w:rsidR="00DA5E45" w:rsidRDefault="00DA5E45" w:rsidP="00513751">
            <w:pPr>
              <w:pStyle w:val="BodyA"/>
              <w:spacing w:after="0" w:line="240" w:lineRule="auto"/>
            </w:pPr>
            <w:r>
              <w:rPr>
                <w:b/>
                <w:bCs/>
              </w:rPr>
              <w:t>How PREDICT outputs were used:</w:t>
            </w:r>
          </w:p>
        </w:tc>
      </w:tr>
      <w:tr w:rsidR="00DA5E45" w14:paraId="132C71FF" w14:textId="77777777" w:rsidTr="00513751">
        <w:trPr>
          <w:trHeight w:val="1683"/>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98031" w14:textId="77777777" w:rsidR="00DA5E45" w:rsidRDefault="00DA5E45" w:rsidP="00513751">
            <w:pPr>
              <w:pStyle w:val="BodyA"/>
              <w:spacing w:after="0" w:line="240" w:lineRule="auto"/>
            </w:pPr>
            <w:r>
              <w:t>Regression Adjustment</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7B1CB" w14:textId="3FD7F742" w:rsidR="00DA5E45" w:rsidRDefault="00775F6A" w:rsidP="00513751">
            <w:pPr>
              <w:pStyle w:val="BodyA"/>
              <w:spacing w:after="0" w:line="240" w:lineRule="auto"/>
            </w:pPr>
            <w:r>
              <w:t xml:space="preserve">PREDICT </w:t>
            </w:r>
            <w:r w:rsidR="00DA5E45">
              <w:t>Prognostic score and benefit score were used as explanatory variables. This effectively includes prognostic variable interactions and transforms informed by external evidence (from derivation cohort and previous studies that informed the specification used in PREDICT modelling).</w:t>
            </w:r>
          </w:p>
        </w:tc>
      </w:tr>
      <w:tr w:rsidR="00DA5E45" w14:paraId="47870054" w14:textId="77777777" w:rsidTr="00513751">
        <w:trPr>
          <w:trHeight w:val="723"/>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DEE6C" w14:textId="77777777" w:rsidR="00DA5E45" w:rsidRDefault="00DA5E45" w:rsidP="00513751">
            <w:pPr>
              <w:pStyle w:val="BodyA"/>
              <w:spacing w:after="0" w:line="240" w:lineRule="auto"/>
            </w:pPr>
            <w:r>
              <w:t>Propensity Score Matching</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507436" w14:textId="77777777" w:rsidR="00DA5E45" w:rsidRDefault="00DA5E45" w:rsidP="00513751">
            <w:pPr>
              <w:pStyle w:val="BodyA"/>
              <w:spacing w:after="0" w:line="240" w:lineRule="auto"/>
            </w:pPr>
            <w:r>
              <w:t xml:space="preserve">Prognostic score and benefit scores were used as explanatory variables in the propensity score model. </w:t>
            </w:r>
          </w:p>
        </w:tc>
      </w:tr>
      <w:tr w:rsidR="00DA5E45" w14:paraId="4DF2B5B4" w14:textId="77777777" w:rsidTr="00513751">
        <w:trPr>
          <w:trHeight w:val="1203"/>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45FA6" w14:textId="77777777" w:rsidR="00DA5E45" w:rsidRDefault="00DA5E45" w:rsidP="00513751">
            <w:pPr>
              <w:pStyle w:val="BodyA"/>
              <w:spacing w:after="0" w:line="240" w:lineRule="auto"/>
            </w:pPr>
            <w:r>
              <w:t>Instrumental Variables</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62193" w14:textId="4B3A8E43" w:rsidR="00DA5E45" w:rsidRDefault="00DA5E45" w:rsidP="00513751">
            <w:pPr>
              <w:pStyle w:val="BodyA"/>
              <w:spacing w:after="0" w:line="240" w:lineRule="auto"/>
            </w:pPr>
            <w:r>
              <w:t>PREDICT benefit score</w:t>
            </w:r>
            <w:r w:rsidR="00775F6A">
              <w:t xml:space="preserve"> was</w:t>
            </w:r>
            <w:r>
              <w:t xml:space="preserve"> used as an instrument. Benefit score interacted with post-2010 dummy variable used as an alternative instrument. Prognostic score is an (independent) explanatory variable.</w:t>
            </w:r>
          </w:p>
        </w:tc>
      </w:tr>
      <w:tr w:rsidR="00DA5E45" w14:paraId="3660851E" w14:textId="77777777" w:rsidTr="00513751">
        <w:trPr>
          <w:trHeight w:val="483"/>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1A828" w14:textId="77777777" w:rsidR="00DA5E45" w:rsidRDefault="00DA5E45" w:rsidP="00513751">
            <w:pPr>
              <w:pStyle w:val="BodyA"/>
              <w:spacing w:after="0" w:line="240" w:lineRule="auto"/>
            </w:pPr>
            <w:r>
              <w:lastRenderedPageBreak/>
              <w:t>Regression Discontinuity</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D0AB4" w14:textId="52DD404E" w:rsidR="00DA5E45" w:rsidRDefault="00DA5E45" w:rsidP="00513751">
            <w:pPr>
              <w:pStyle w:val="BodyA"/>
              <w:spacing w:after="0" w:line="240" w:lineRule="auto"/>
            </w:pPr>
            <w:r>
              <w:t xml:space="preserve">Benefit score used as the </w:t>
            </w:r>
            <w:r w:rsidR="00775F6A">
              <w:t xml:space="preserve">continuous </w:t>
            </w:r>
            <w:r>
              <w:t>assignment variable</w:t>
            </w:r>
          </w:p>
        </w:tc>
      </w:tr>
    </w:tbl>
    <w:p w14:paraId="2FDF8EB1" w14:textId="77777777" w:rsidR="00DA5E45" w:rsidRDefault="00DA5E45" w:rsidP="00DA5E45">
      <w:pPr>
        <w:pStyle w:val="Caption"/>
        <w:widowControl w:val="0"/>
      </w:pPr>
    </w:p>
    <w:p w14:paraId="70D4540C" w14:textId="256EEAA9" w:rsidR="00E73C9D" w:rsidRDefault="00C57731">
      <w:pPr>
        <w:pStyle w:val="Heading2"/>
      </w:pPr>
      <w:r>
        <w:rPr>
          <w:lang w:val="en-US"/>
        </w:rPr>
        <w:t>Comparison with randomised studies</w:t>
      </w:r>
    </w:p>
    <w:p w14:paraId="1CA935AA" w14:textId="066750C4" w:rsidR="00E73C9D" w:rsidRDefault="00C57731">
      <w:pPr>
        <w:pStyle w:val="Body"/>
      </w:pPr>
      <w:r>
        <w:t xml:space="preserve">Clinical expert opinion suggests that the predominant chemotherapy regimens in use in Scotland </w:t>
      </w:r>
      <w:r w:rsidR="002E7B43">
        <w:t xml:space="preserve">during </w:t>
      </w:r>
      <w:r>
        <w:t>the 2001-2015 period were newer anthracycline-containing regimens (CAF/CEF)</w:t>
      </w:r>
      <w:r w:rsidR="00D9444B">
        <w:t>,</w:t>
      </w:r>
      <w:r>
        <w:t xml:space="preserve"> therefore estimates for these types of regimen were used as the best comparison with the RWE estimates. Both direct evidence, from </w:t>
      </w:r>
      <w:r w:rsidR="00775F6A">
        <w:t xml:space="preserve">trials comparing </w:t>
      </w:r>
      <w:r>
        <w:t>newer anthracycline-containing regimens vs</w:t>
      </w:r>
      <w:r w:rsidR="00FE5790">
        <w:t>.</w:t>
      </w:r>
      <w:r w:rsidR="00775F6A">
        <w:t xml:space="preserve"> placebo</w:t>
      </w:r>
      <w:r>
        <w:t>, and indirect evidence via trials of newer anthracycline-containing regimens vs</w:t>
      </w:r>
      <w:r w:rsidR="00FE5790">
        <w:t>.</w:t>
      </w:r>
      <w:r>
        <w:t xml:space="preserve"> other active regimens w</w:t>
      </w:r>
      <w:r w:rsidR="002E7B43">
        <w:t>ere</w:t>
      </w:r>
      <w:r>
        <w:t xml:space="preserve"> considered. This required some re-analysis using the trial level summary statistics presented in </w:t>
      </w:r>
      <w:r>
        <w:fldChar w:fldCharType="begin"/>
      </w:r>
      <w:r w:rsidR="00A62513">
        <w:instrText xml:space="preserve"> ADDIN EN.CITE &lt;EndNote&gt;&lt;Cite&gt;&lt;Author&gt;Early Breast Cancer Trialists’ Collaborative Group&lt;/Author&gt;&lt;Year&gt;2012&lt;/Year&gt;&lt;RecNum&gt;87&lt;/RecNum&gt;&lt;DisplayText&gt;(2)&lt;/DisplayText&gt;&lt;record&gt;&lt;rec-number&gt;87&lt;/rec-number&gt;&lt;foreign-keys&gt;&lt;key app="EN" db-id="ftrpw5r2d0tevie2a5gp2tzn2xerrzew2w50" timestamp="1505920746"&gt;87&lt;/key&gt;&lt;key app="ENWeb" db-id=""&gt;0&lt;/key&gt;&lt;/foreign-keys&gt;&lt;ref-type name="Journal Article"&gt;17&lt;/ref-type&gt;&lt;contributors&gt;&lt;authors&gt;&lt;author&gt;Early Breast Cancer Trialists’ Collaborative Group,&lt;/author&gt;&lt;/authors&gt;&lt;/contributors&gt;&lt;titles&gt;&lt;title&gt;Comparisons between different polychemotherapy regimens for early breast cancer: meta-analyses of long-term outcome among 100 000 women in 123 randomised trials&lt;/title&gt;&lt;secondary-title&gt;The Lancet&lt;/secondary-title&gt;&lt;/titles&gt;&lt;periodical&gt;&lt;full-title&gt;The Lancet&lt;/full-title&gt;&lt;/periodical&gt;&lt;pages&gt;432-444&lt;/pages&gt;&lt;volume&gt;379&lt;/volume&gt;&lt;number&gt;9814&lt;/number&gt;&lt;dates&gt;&lt;year&gt;2012&lt;/year&gt;&lt;/dates&gt;&lt;isbn&gt;01406736&lt;/isbn&gt;&lt;urls&gt;&lt;/urls&gt;&lt;electronic-resource-num&gt;10.1016/s0140-6736(11)61625-5&lt;/electronic-resource-num&gt;&lt;/record&gt;&lt;/Cite&gt;&lt;/EndNote&gt;</w:instrText>
      </w:r>
      <w:r>
        <w:fldChar w:fldCharType="separate"/>
      </w:r>
      <w:r>
        <w:rPr>
          <w:noProof/>
        </w:rPr>
        <w:t>(2)</w:t>
      </w:r>
      <w:r>
        <w:fldChar w:fldCharType="end"/>
      </w:r>
      <w:r>
        <w:t xml:space="preserve"> as a network meta-analysis </w:t>
      </w:r>
      <w:r>
        <w:fldChar w:fldCharType="begin"/>
      </w:r>
      <w:r w:rsidR="00BB62F7">
        <w:instrText xml:space="preserve"> ADDIN EN.CITE &lt;EndNote&gt;&lt;Cite&gt;&lt;Author&gt;White&lt;/Author&gt;&lt;Year&gt;2012&lt;/Year&gt;&lt;RecNum&gt;112&lt;/RecNum&gt;&lt;DisplayText&gt;(19)&lt;/DisplayText&gt;&lt;record&gt;&lt;rec-number&gt;112&lt;/rec-number&gt;&lt;foreign-keys&gt;&lt;key app="EN" db-id="ftrpw5r2d0tevie2a5gp2tzn2xerrzew2w50" timestamp="1534431011"&gt;112&lt;/key&gt;&lt;/foreign-keys&gt;&lt;ref-type name="Journal Article"&gt;17&lt;/ref-type&gt;&lt;contributors&gt;&lt;authors&gt;&lt;author&gt;White, I. R.&lt;/author&gt;&lt;author&gt;Barrett, J. K.&lt;/author&gt;&lt;author&gt;Jackson, D.&lt;/author&gt;&lt;author&gt;Higgins, J. P. T.&lt;/author&gt;&lt;/authors&gt;&lt;/contributors&gt;&lt;auth-address&gt;MRC, Biostat Unit, Cambridge CB2 2BW, England&amp;#xD;Univ York, Ctr Reviews &amp;amp; Disseminat, York YO10 5DD, N Yorkshire, England&lt;/auth-address&gt;&lt;titles&gt;&lt;title&gt;Consistency and inconsistency in network meta-analysis: model estimation using multivariate meta-regression&lt;/title&gt;&lt;secondary-title&gt;Research Synthesis Methods&lt;/secondary-title&gt;&lt;alt-title&gt;Res Synth Methods&lt;/alt-title&gt;&lt;/titles&gt;&lt;periodical&gt;&lt;full-title&gt;Research Synthesis Methods&lt;/full-title&gt;&lt;abbr-1&gt;Res Synth Methods&lt;/abbr-1&gt;&lt;/periodical&gt;&lt;alt-periodical&gt;&lt;full-title&gt;Research Synthesis Methods&lt;/full-title&gt;&lt;abbr-1&gt;Res Synth Methods&lt;/abbr-1&gt;&lt;/alt-periodical&gt;&lt;pages&gt;111-125&lt;/pages&gt;&lt;volume&gt;3&lt;/volume&gt;&lt;number&gt;2&lt;/number&gt;&lt;dates&gt;&lt;year&gt;2012&lt;/year&gt;&lt;pub-dates&gt;&lt;date&gt;Jun&lt;/date&gt;&lt;/pub-dates&gt;&lt;/dates&gt;&lt;isbn&gt;1759-2879&lt;/isbn&gt;&lt;accession-num&gt;WOS:000209381100005&lt;/accession-num&gt;&lt;urls&gt;&lt;related-urls&gt;&lt;url&gt;&amp;lt;Go to ISI&amp;gt;://WOS:000209381100005&lt;/url&gt;&lt;/related-urls&gt;&lt;/urls&gt;&lt;electronic-resource-num&gt;10.1002/jrsm.1045&lt;/electronic-resource-num&gt;&lt;language&gt;English&lt;/language&gt;&lt;/record&gt;&lt;/Cite&gt;&lt;/EndNote&gt;</w:instrText>
      </w:r>
      <w:r>
        <w:fldChar w:fldCharType="separate"/>
      </w:r>
      <w:r w:rsidR="00BB62F7">
        <w:rPr>
          <w:noProof/>
        </w:rPr>
        <w:t>(19)</w:t>
      </w:r>
      <w:r>
        <w:fldChar w:fldCharType="end"/>
      </w:r>
      <w:r>
        <w:t>. In the primary analysis</w:t>
      </w:r>
      <w:r w:rsidR="00775F6A">
        <w:t xml:space="preserve"> versus RWE methods</w:t>
      </w:r>
      <w:r>
        <w:t xml:space="preserve"> the comparison was made using only direct trial evidence.</w:t>
      </w:r>
    </w:p>
    <w:p w14:paraId="227C846A" w14:textId="56372D5B" w:rsidR="00E73C9D" w:rsidRDefault="00C57731">
      <w:pPr>
        <w:pStyle w:val="Body"/>
      </w:pPr>
      <w:r>
        <w:t>To compare RWE with randomised evidence two approaches were taken. First, a statistical test of the difference in the estimated treatment effect between trial and observational sources based on z scores</w:t>
      </w:r>
      <w:r w:rsidR="002E7B43">
        <w:t>,</w:t>
      </w:r>
      <w:r>
        <w:t xml:space="preserve"> as suggested by Ionannidis et al </w:t>
      </w:r>
      <w:r>
        <w:fldChar w:fldCharType="begin"/>
      </w:r>
      <w:r w:rsidR="00BB62F7">
        <w:instrText xml:space="preserve"> ADDIN EN.CITE &lt;EndNote&gt;&lt;Cite&gt;&lt;Author&gt;Ioannidis&lt;/Author&gt;&lt;Year&gt;2001&lt;/Year&gt;&lt;RecNum&gt;111&lt;/RecNum&gt;&lt;DisplayText&gt;(20)&lt;/DisplayText&gt;&lt;record&gt;&lt;rec-number&gt;111&lt;/rec-number&gt;&lt;foreign-keys&gt;&lt;key app="EN" db-id="ftrpw5r2d0tevie2a5gp2tzn2xerrzew2w50" timestamp="1533564346"&gt;111&lt;/key&gt;&lt;/foreign-keys&gt;&lt;ref-type name="Journal Article"&gt;17&lt;/ref-type&gt;&lt;contributors&gt;&lt;authors&gt;&lt;author&gt;Ioannidis, J. P.&lt;/author&gt;&lt;author&gt;Haidich, A. B.&lt;/author&gt;&lt;author&gt;Pappa, M.&lt;/author&gt;&lt;author&gt;Pantazis, N.&lt;/author&gt;&lt;author&gt;Kokori, S. I.&lt;/author&gt;&lt;author&gt;Tektonidou, M. G.&lt;/author&gt;&lt;author&gt;Contopoulos-Ioannidis, D. G.&lt;/author&gt;&lt;author&gt;Lau, J.&lt;/author&gt;&lt;/authors&gt;&lt;/contributors&gt;&lt;auth-address&gt;Division of Clinical Care Research, New England Medical Center, Box 63, 750 Washington St, Boston, MA 02111, USA. JLau1@lifespan.org&lt;/auth-address&gt;&lt;titles&gt;&lt;title&gt;Comparison of evidence of treatment effects in randomized and nonrandomized studies&lt;/title&gt;&lt;secondary-title&gt;JAMA&lt;/secondary-title&gt;&lt;/titles&gt;&lt;periodical&gt;&lt;full-title&gt;JAMA&lt;/full-title&gt;&lt;/periodical&gt;&lt;pages&gt;821-30&lt;/pages&gt;&lt;volume&gt;286&lt;/volume&gt;&lt;number&gt;7&lt;/number&gt;&lt;keywords&gt;&lt;keyword&gt;*Clinical Trials as Topic&lt;/keyword&gt;&lt;keyword&gt;Data Interpretation, Statistical&lt;/keyword&gt;&lt;keyword&gt;*Evidence-Based Medicine&lt;/keyword&gt;&lt;keyword&gt;Humans&lt;/keyword&gt;&lt;keyword&gt;*Meta-Analysis as Topic&lt;/keyword&gt;&lt;keyword&gt;*Randomized Controlled Trials as Topic&lt;/keyword&gt;&lt;/keywords&gt;&lt;dates&gt;&lt;year&gt;2001&lt;/year&gt;&lt;pub-dates&gt;&lt;date&gt;Aug 15&lt;/date&gt;&lt;/pub-dates&gt;&lt;/dates&gt;&lt;isbn&gt;0098-7484 (Print)&amp;#xD;0098-7484 (Linking)&lt;/isbn&gt;&lt;accession-num&gt;11497536&lt;/accession-num&gt;&lt;urls&gt;&lt;related-urls&gt;&lt;url&gt;http://www.ncbi.nlm.nih.gov/pubmed/11497536&lt;/url&gt;&lt;/related-urls&gt;&lt;/urls&gt;&lt;/record&gt;&lt;/Cite&gt;&lt;/EndNote&gt;</w:instrText>
      </w:r>
      <w:r>
        <w:fldChar w:fldCharType="separate"/>
      </w:r>
      <w:r w:rsidR="00BB62F7">
        <w:rPr>
          <w:noProof/>
        </w:rPr>
        <w:t>(20)</w:t>
      </w:r>
      <w:r>
        <w:fldChar w:fldCharType="end"/>
      </w:r>
      <w:r>
        <w:t>. z scores above 1.96 or below -1.96 are considered as sufficient evidence that the difference in estimates is beyond that expected by chance. Second, meta-analysis estimates were calculated with and without inclusion of RWE estimates. Results were presented in forest plots to allow visual assessment of heterogeneity. A random effects model was assumed because of known between</w:t>
      </w:r>
      <w:r w:rsidR="002E7B43">
        <w:t>-</w:t>
      </w:r>
      <w:r>
        <w:t xml:space="preserve">trial and trial-observational differences in study populations. Cochrane’s Q was used as </w:t>
      </w:r>
      <w:r w:rsidR="002E7B43">
        <w:t xml:space="preserve">a </w:t>
      </w:r>
      <w:r>
        <w:t>statistical test of heterogeneity.</w:t>
      </w:r>
    </w:p>
    <w:p w14:paraId="1DF09F31" w14:textId="77777777" w:rsidR="00E73C9D" w:rsidRDefault="00C57731">
      <w:pPr>
        <w:pStyle w:val="Heading"/>
      </w:pPr>
      <w:r>
        <w:rPr>
          <w:lang w:val="en-US"/>
        </w:rPr>
        <w:t>Results</w:t>
      </w:r>
    </w:p>
    <w:p w14:paraId="3317D59F" w14:textId="77777777" w:rsidR="00E73C9D" w:rsidRDefault="00C57731">
      <w:pPr>
        <w:pStyle w:val="Heading2"/>
      </w:pPr>
      <w:r>
        <w:rPr>
          <w:lang w:val="en-US"/>
        </w:rPr>
        <w:t>Sample selection</w:t>
      </w:r>
    </w:p>
    <w:p w14:paraId="00D3DA65" w14:textId="4547F888" w:rsidR="00386535" w:rsidRDefault="00C57731">
      <w:pPr>
        <w:pStyle w:val="Body"/>
      </w:pPr>
      <w:r>
        <w:t xml:space="preserve">63,116 records were retrieved from the </w:t>
      </w:r>
      <w:r w:rsidR="00D9444B">
        <w:t>registry. Following removal of duplicate</w:t>
      </w:r>
      <w:r>
        <w:t xml:space="preserve"> records (non-first cancers and multiple synchronous tumours) and application of the exclusion criteria a total of 39,805 cases remained in the primary analysis. The process is detailed in figure 1. 13% of otherwise eligible cases contained missing prognostic variable data</w:t>
      </w:r>
      <w:r w:rsidR="00D9444B">
        <w:t xml:space="preserve"> but in</w:t>
      </w:r>
      <w:r>
        <w:t xml:space="preserve"> most cases only a single variable was missing. A summary of sample characteristics can be found in Table 2.  </w:t>
      </w:r>
    </w:p>
    <w:p w14:paraId="0353F61B" w14:textId="77777777" w:rsidR="00AA6C8A" w:rsidRDefault="00AA6C8A">
      <w:pPr>
        <w:pStyle w:val="Caption"/>
      </w:pPr>
      <w:r>
        <w:br w:type="page"/>
      </w:r>
    </w:p>
    <w:p w14:paraId="07BD76E9" w14:textId="0F852E75" w:rsidR="00E73C9D" w:rsidRDefault="00C57731">
      <w:pPr>
        <w:pStyle w:val="Caption"/>
      </w:pPr>
      <w:r>
        <w:lastRenderedPageBreak/>
        <w:t>Figure 1 - Sample selection flow diagram</w:t>
      </w:r>
    </w:p>
    <w:p w14:paraId="0A876EDD" w14:textId="37FCBA9E" w:rsidR="00E73C9D" w:rsidRDefault="006A36C7">
      <w:pPr>
        <w:pStyle w:val="BodyA"/>
      </w:pPr>
      <w:r>
        <w:rPr>
          <w:noProof/>
          <w:lang w:val="en-GB"/>
        </w:rPr>
        <mc:AlternateContent>
          <mc:Choice Requires="wps">
            <w:drawing>
              <wp:anchor distT="0" distB="0" distL="0" distR="0" simplePos="0" relativeHeight="251661312" behindDoc="0" locked="0" layoutInCell="1" allowOverlap="1" wp14:anchorId="0F8A1285" wp14:editId="2D7A3AC0">
                <wp:simplePos x="0" y="0"/>
                <wp:positionH relativeFrom="column">
                  <wp:posOffset>2015836</wp:posOffset>
                </wp:positionH>
                <wp:positionV relativeFrom="line">
                  <wp:posOffset>2668962</wp:posOffset>
                </wp:positionV>
                <wp:extent cx="1191895" cy="519545"/>
                <wp:effectExtent l="0" t="0" r="8255" b="0"/>
                <wp:wrapNone/>
                <wp:docPr id="1073741826" name="officeArt object" descr="Text Box 37"/>
                <wp:cNvGraphicFramePr/>
                <a:graphic xmlns:a="http://schemas.openxmlformats.org/drawingml/2006/main">
                  <a:graphicData uri="http://schemas.microsoft.com/office/word/2010/wordprocessingShape">
                    <wps:wsp>
                      <wps:cNvSpPr txBox="1"/>
                      <wps:spPr>
                        <a:xfrm>
                          <a:off x="0" y="0"/>
                          <a:ext cx="1191895" cy="519545"/>
                        </a:xfrm>
                        <a:prstGeom prst="rect">
                          <a:avLst/>
                        </a:prstGeom>
                        <a:solidFill>
                          <a:srgbClr val="FFFFFF"/>
                        </a:solidFill>
                        <a:ln w="12700" cap="flat">
                          <a:noFill/>
                          <a:miter lim="400000"/>
                        </a:ln>
                        <a:effectLst/>
                      </wps:spPr>
                      <wps:txbx>
                        <w:txbxContent>
                          <w:p w14:paraId="602C8BF1" w14:textId="77777777" w:rsidR="00E01C28" w:rsidRDefault="00E01C28">
                            <w:pPr>
                              <w:pStyle w:val="NormalWeb"/>
                              <w:spacing w:before="0" w:after="0" w:line="254" w:lineRule="auto"/>
                              <w:jc w:val="center"/>
                              <w:rPr>
                                <w:rFonts w:ascii="Arial" w:eastAsia="Arial" w:hAnsi="Arial" w:cs="Arial"/>
                                <w:sz w:val="18"/>
                                <w:szCs w:val="18"/>
                              </w:rPr>
                            </w:pPr>
                            <w:r>
                              <w:rPr>
                                <w:rFonts w:ascii="Arial" w:hAnsi="Arial"/>
                                <w:sz w:val="18"/>
                                <w:szCs w:val="18"/>
                              </w:rPr>
                              <w:t>Cases meeting inclusion criteria,</w:t>
                            </w:r>
                          </w:p>
                          <w:p w14:paraId="28019530" w14:textId="77777777" w:rsidR="00E01C28" w:rsidRDefault="00E01C28">
                            <w:pPr>
                              <w:pStyle w:val="NormalWeb"/>
                              <w:spacing w:before="0" w:after="0" w:line="254" w:lineRule="auto"/>
                              <w:jc w:val="center"/>
                            </w:pPr>
                            <w:r>
                              <w:rPr>
                                <w:rFonts w:ascii="Arial" w:hAnsi="Arial"/>
                                <w:sz w:val="18"/>
                                <w:szCs w:val="18"/>
                              </w:rPr>
                              <w:t xml:space="preserve"> n = 45,788</w:t>
                            </w:r>
                          </w:p>
                          <w:p w14:paraId="5FC516D8" w14:textId="77777777" w:rsidR="00E01C28" w:rsidRDefault="00E01C28">
                            <w:pPr>
                              <w:pStyle w:val="NormalWeb"/>
                              <w:spacing w:before="0" w:after="160" w:line="252" w:lineRule="auto"/>
                            </w:pPr>
                            <w:r>
                              <w:rPr>
                                <w:rFonts w:ascii="Arial" w:hAnsi="Arial"/>
                                <w:sz w:val="18"/>
                                <w:szCs w:val="18"/>
                              </w:rPr>
                              <w:t> </w:t>
                            </w:r>
                          </w:p>
                        </w:txbxContent>
                      </wps:txbx>
                      <wps:bodyPr wrap="square" lIns="45719" tIns="45719" rIns="45719" bIns="45719" numCol="1" anchor="t">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8A1285" id="_x0000_t202" coordsize="21600,21600" o:spt="202" path="m,l,21600r21600,l21600,xe">
                <v:stroke joinstyle="miter"/>
                <v:path gradientshapeok="t" o:connecttype="rect"/>
              </v:shapetype>
              <v:shape id="_x0000_s1026" type="#_x0000_t202" alt="Text Box 37" style="position:absolute;margin-left:158.75pt;margin-top:210.15pt;width:93.85pt;height:40.9pt;z-index:251661312;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" stroked="f" strokeweight="1pt">
                <v:stroke miterlimit="4"/>
                <v:textbox inset="1.27mm,1.27mm,1.27mm,1.27mm">
                  <w:txbxContent>
                    <w:p w14:paraId="602C8BF1" w14:textId="77777777" w:rsidR="00E01C28" w:rsidRDefault="00E01C28">
                      <w:pPr>
                        <w:pStyle w:val="NormalWeb"/>
                        <w:spacing w:before="0" w:after="0" w:line="254" w:lineRule="auto"/>
                        <w:jc w:val="center"/>
                        <w:rPr>
                          <w:rFonts w:ascii="Arial" w:eastAsia="Arial" w:hAnsi="Arial" w:cs="Arial"/>
                          <w:sz w:val="18"/>
                          <w:szCs w:val="18"/>
                        </w:rPr>
                      </w:pPr>
                      <w:r>
                        <w:rPr>
                          <w:rFonts w:ascii="Arial" w:hAnsi="Arial"/>
                          <w:sz w:val="18"/>
                          <w:szCs w:val="18"/>
                        </w:rPr>
                        <w:t>Cases meeting inclusion criteria,</w:t>
                      </w:r>
                    </w:p>
                    <w:p w14:paraId="28019530" w14:textId="77777777" w:rsidR="00E01C28" w:rsidRDefault="00E01C28">
                      <w:pPr>
                        <w:pStyle w:val="NormalWeb"/>
                        <w:spacing w:before="0" w:after="0" w:line="254" w:lineRule="auto"/>
                        <w:jc w:val="center"/>
                      </w:pPr>
                      <w:r>
                        <w:rPr>
                          <w:rFonts w:ascii="Arial" w:hAnsi="Arial"/>
                          <w:sz w:val="18"/>
                          <w:szCs w:val="18"/>
                        </w:rPr>
                        <w:t xml:space="preserve"> n = 45,788</w:t>
                      </w:r>
                    </w:p>
                    <w:p w14:paraId="5FC516D8" w14:textId="77777777" w:rsidR="00E01C28" w:rsidRDefault="00E01C28">
                      <w:pPr>
                        <w:pStyle w:val="NormalWeb"/>
                        <w:spacing w:before="0" w:after="160" w:line="252" w:lineRule="auto"/>
                      </w:pPr>
                      <w:r>
                        <w:rPr>
                          <w:rFonts w:ascii="Arial" w:hAnsi="Arial"/>
                          <w:sz w:val="18"/>
                          <w:szCs w:val="18"/>
                        </w:rPr>
                        <w:t> </w:t>
                      </w:r>
                    </w:p>
                  </w:txbxContent>
                </v:textbox>
                <w10:wrap anchory="line"/>
              </v:shape>
            </w:pict>
          </mc:Fallback>
        </mc:AlternateContent>
      </w:r>
      <w:r w:rsidR="00C57731">
        <w:rPr>
          <w:noProof/>
          <w:lang w:val="en-GB"/>
        </w:rPr>
        <mc:AlternateContent>
          <mc:Choice Requires="wps">
            <w:drawing>
              <wp:anchor distT="0" distB="0" distL="0" distR="0" simplePos="0" relativeHeight="251659264" behindDoc="0" locked="0" layoutInCell="1" allowOverlap="1" wp14:anchorId="4DED6A8D" wp14:editId="61CE99C0">
                <wp:simplePos x="0" y="0"/>
                <wp:positionH relativeFrom="column">
                  <wp:posOffset>1950720</wp:posOffset>
                </wp:positionH>
                <wp:positionV relativeFrom="line">
                  <wp:posOffset>2606039</wp:posOffset>
                </wp:positionV>
                <wp:extent cx="1299449" cy="647700"/>
                <wp:effectExtent l="0" t="0" r="0" b="0"/>
                <wp:wrapNone/>
                <wp:docPr id="1073741825" name="officeArt object" descr="AutoShape 14"/>
                <wp:cNvGraphicFramePr/>
                <a:graphic xmlns:a="http://schemas.openxmlformats.org/drawingml/2006/main">
                  <a:graphicData uri="http://schemas.microsoft.com/office/word/2010/wordprocessingShape">
                    <wps:wsp>
                      <wps:cNvSpPr/>
                      <wps:spPr>
                        <a:xfrm>
                          <a:off x="0" y="0"/>
                          <a:ext cx="1299449" cy="647700"/>
                        </a:xfrm>
                        <a:prstGeom prst="roundRect">
                          <a:avLst>
                            <a:gd name="adj" fmla="val 20000"/>
                          </a:avLst>
                        </a:prstGeom>
                        <a:solidFill>
                          <a:srgbClr val="FFFFFF"/>
                        </a:solidFill>
                        <a:ln w="12700" cap="flat">
                          <a:solidFill>
                            <a:srgbClr val="000000"/>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40367E0" id="officeArt object" o:spid="_x0000_s1026" alt="AutoShape 14" style="position:absolute;margin-left:153.6pt;margin-top:205.2pt;width:102.3pt;height:51pt;z-index:251659264;visibility:visible;mso-wrap-style:square;mso-wrap-distance-left:0;mso-wrap-distance-top:0;mso-wrap-distance-right:0;mso-wrap-distance-bottom:0;mso-position-horizontal:absolute;mso-position-horizontal-relative:text;mso-position-vertical:absolute;mso-position-vertical-relative:line;v-text-anchor:top"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" strokeweight="1pt">
                <v:stroke joinstyle="miter"/>
                <w10:wrap anchory="line"/>
              </v:roundrect>
            </w:pict>
          </mc:Fallback>
        </mc:AlternateContent>
      </w:r>
      <w:r w:rsidR="00C57731">
        <w:rPr>
          <w:noProof/>
          <w:lang w:val="en-GB"/>
        </w:rPr>
        <mc:AlternateContent>
          <mc:Choice Requires="wps">
            <w:drawing>
              <wp:anchor distT="0" distB="0" distL="0" distR="0" simplePos="0" relativeHeight="251660288" behindDoc="0" locked="0" layoutInCell="1" allowOverlap="1" wp14:anchorId="60D702CF" wp14:editId="3393B49D">
                <wp:simplePos x="0" y="0"/>
                <wp:positionH relativeFrom="column">
                  <wp:posOffset>2612072</wp:posOffset>
                </wp:positionH>
                <wp:positionV relativeFrom="line">
                  <wp:posOffset>3253740</wp:posOffset>
                </wp:positionV>
                <wp:extent cx="0" cy="354375"/>
                <wp:effectExtent l="0" t="0" r="0" b="0"/>
                <wp:wrapNone/>
                <wp:docPr id="1073741827" name="officeArt object" descr="Line 38"/>
                <wp:cNvGraphicFramePr/>
                <a:graphic xmlns:a="http://schemas.openxmlformats.org/drawingml/2006/main">
                  <a:graphicData uri="http://schemas.microsoft.com/office/word/2010/wordprocessingShape">
                    <wps:wsp>
                      <wps:cNvCnPr/>
                      <wps:spPr>
                        <a:xfrm>
                          <a:off x="0" y="0"/>
                          <a:ext cx="0" cy="354375"/>
                        </a:xfrm>
                        <a:prstGeom prst="line">
                          <a:avLst/>
                        </a:prstGeom>
                        <a:noFill/>
                        <a:ln w="6350" cap="flat">
                          <a:solidFill>
                            <a:srgbClr val="000000"/>
                          </a:solidFill>
                          <a:prstDash val="solid"/>
                          <a:miter lim="800000"/>
                          <a:tailEnd type="triangle" w="med" len="med"/>
                        </a:ln>
                        <a:effectLst/>
                      </wps:spPr>
                      <wps:bodyPr/>
                    </wps:wsp>
                  </a:graphicData>
                </a:graphic>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_x0000_s1028" style="visibility:visible;position:absolute;margin-left:205.7pt;margin-top:256.2pt;width:0.0pt;height:27.9pt;z-index:251660288;mso-position-horizontal:absolute;mso-position-horizontal-relative:text;mso-position-vertical:absolute;mso-position-vertical-relative:line;mso-wrap-distance-left:0.0pt;mso-wrap-distance-top:0.0pt;mso-wrap-distance-right:0.0pt;mso-wrap-distance-bottom:0.0pt;">
                <v:fill on="f"/>
                <v:stroke filltype="solid" color="#000000" opacity="100.0%" weight="0.5pt" dashstyle="solid" endcap="flat" miterlimit="800.0%" joinstyle="miter" linestyle="single" startarrow="none" startarrowwidth="medium" startarrowlength="medium" endarrow="block" endarrowwidth="medium" endarrowlength="medium"/>
                <w10:wrap type="none" side="bothSides" anchorx="text"/>
              </v:line>
            </w:pict>
          </mc:Fallback>
        </mc:AlternateContent>
      </w:r>
      <w:r w:rsidR="00C57731">
        <w:rPr>
          <w:noProof/>
          <w:lang w:val="en-GB"/>
        </w:rPr>
        <mc:AlternateContent>
          <mc:Choice Requires="wpg">
            <w:drawing>
              <wp:inline distT="0" distB="0" distL="0" distR="0" wp14:anchorId="4484B6B6" wp14:editId="32624F7E">
                <wp:extent cx="5237474" cy="4220198"/>
                <wp:effectExtent l="0" t="0" r="0" b="0"/>
                <wp:docPr id="1073741864" name="officeArt object" descr="Group 2"/>
                <wp:cNvGraphicFramePr/>
                <a:graphic xmlns:a="http://schemas.openxmlformats.org/drawingml/2006/main">
                  <a:graphicData uri="http://schemas.microsoft.com/office/word/2010/wordprocessingGroup">
                    <wpg:wgp>
                      <wpg:cNvGrpSpPr/>
                      <wpg:grpSpPr>
                        <a:xfrm>
                          <a:off x="0" y="0"/>
                          <a:ext cx="5237474" cy="4220198"/>
                          <a:chOff x="0" y="0"/>
                          <a:chExt cx="5237473" cy="4220197"/>
                        </a:xfrm>
                      </wpg:grpSpPr>
                      <wpg:grpSp>
                        <wpg:cNvPr id="1073741832" name="Group 3"/>
                        <wpg:cNvGrpSpPr/>
                        <wpg:grpSpPr>
                          <a:xfrm>
                            <a:off x="1873619" y="-1"/>
                            <a:ext cx="1329143" cy="708423"/>
                            <a:chOff x="0" y="0"/>
                            <a:chExt cx="1329142" cy="708421"/>
                          </a:xfrm>
                        </wpg:grpSpPr>
                        <wps:wsp>
                          <wps:cNvPr id="1073741828" name="AutoShape 4"/>
                          <wps:cNvSpPr/>
                          <wps:spPr>
                            <a:xfrm>
                              <a:off x="0" y="0"/>
                              <a:ext cx="1329143" cy="708422"/>
                            </a:xfrm>
                            <a:prstGeom prst="roundRect">
                              <a:avLst>
                                <a:gd name="adj" fmla="val 20000"/>
                              </a:avLst>
                            </a:prstGeom>
                            <a:solidFill>
                              <a:srgbClr val="FFFFFF"/>
                            </a:solidFill>
                            <a:ln w="12700" cap="flat">
                              <a:solidFill>
                                <a:srgbClr val="000000"/>
                              </a:solidFill>
                              <a:prstDash val="solid"/>
                              <a:miter lim="800000"/>
                            </a:ln>
                            <a:effectLst/>
                          </wps:spPr>
                          <wps:bodyPr/>
                        </wps:wsp>
                        <wpg:grpSp>
                          <wpg:cNvPr id="1073741831" name="Group 5"/>
                          <wpg:cNvGrpSpPr/>
                          <wpg:grpSpPr>
                            <a:xfrm>
                              <a:off x="93995" y="59680"/>
                              <a:ext cx="1138551" cy="559275"/>
                              <a:chOff x="0" y="0"/>
                              <a:chExt cx="1138549" cy="559274"/>
                            </a:xfrm>
                          </wpg:grpSpPr>
                          <wps:wsp>
                            <wps:cNvPr id="1073741829" name="Rectangle 6"/>
                            <wps:cNvSpPr/>
                            <wps:spPr>
                              <a:xfrm>
                                <a:off x="0" y="-1"/>
                                <a:ext cx="1138550" cy="559276"/>
                              </a:xfrm>
                              <a:prstGeom prst="rect">
                                <a:avLst/>
                              </a:prstGeom>
                              <a:solidFill>
                                <a:srgbClr val="FFFFFF"/>
                              </a:solidFill>
                              <a:ln w="6350" cap="flat">
                                <a:solidFill>
                                  <a:srgbClr val="FFFFFF"/>
                                </a:solidFill>
                                <a:prstDash val="solid"/>
                                <a:round/>
                              </a:ln>
                              <a:effectLst/>
                            </wps:spPr>
                            <wps:bodyPr/>
                          </wps:wsp>
                          <wps:wsp>
                            <wps:cNvPr id="1073741830" name="Text Box 7"/>
                            <wps:cNvSpPr txBox="1"/>
                            <wps:spPr>
                              <a:xfrm>
                                <a:off x="0" y="0"/>
                                <a:ext cx="1138550" cy="489011"/>
                              </a:xfrm>
                              <a:prstGeom prst="rect">
                                <a:avLst/>
                              </a:prstGeom>
                              <a:noFill/>
                              <a:ln w="12700" cap="flat">
                                <a:noFill/>
                                <a:miter lim="400000"/>
                              </a:ln>
                              <a:effectLst/>
                            </wps:spPr>
                            <wps:txbx>
                              <w:txbxContent>
                                <w:p w14:paraId="52A36EE4" w14:textId="77777777" w:rsidR="00E01C28" w:rsidRDefault="00E01C28">
                                  <w:pPr>
                                    <w:pStyle w:val="BodyA"/>
                                    <w:spacing w:line="240" w:lineRule="auto"/>
                                    <w:jc w:val="center"/>
                                  </w:pPr>
                                  <w:r>
                                    <w:rPr>
                                      <w:sz w:val="18"/>
                                      <w:szCs w:val="18"/>
                                    </w:rPr>
                                    <w:t>Records retrieved from registry,           n = 63,116</w:t>
                                  </w:r>
                                </w:p>
                              </w:txbxContent>
                            </wps:txbx>
                            <wps:bodyPr wrap="square" lIns="45719" tIns="45719" rIns="45719" bIns="45719" numCol="1" anchor="t">
                              <a:noAutofit/>
                            </wps:bodyPr>
                          </wps:wsp>
                        </wpg:grpSp>
                      </wpg:grpSp>
                      <wpg:grpSp>
                        <wpg:cNvPr id="1073741837" name="Group 8"/>
                        <wpg:cNvGrpSpPr/>
                        <wpg:grpSpPr>
                          <a:xfrm>
                            <a:off x="3751338" y="327"/>
                            <a:ext cx="1485236" cy="708095"/>
                            <a:chOff x="0" y="0"/>
                            <a:chExt cx="1485235" cy="708094"/>
                          </a:xfrm>
                        </wpg:grpSpPr>
                        <wps:wsp>
                          <wps:cNvPr id="1073741833" name="AutoShape 9"/>
                          <wps:cNvSpPr/>
                          <wps:spPr>
                            <a:xfrm>
                              <a:off x="0" y="0"/>
                              <a:ext cx="1485236" cy="708095"/>
                            </a:xfrm>
                            <a:prstGeom prst="roundRect">
                              <a:avLst>
                                <a:gd name="adj" fmla="val 20000"/>
                              </a:avLst>
                            </a:prstGeom>
                            <a:solidFill>
                              <a:srgbClr val="FFFFFF"/>
                            </a:solidFill>
                            <a:ln w="12700" cap="flat">
                              <a:solidFill>
                                <a:srgbClr val="000000"/>
                              </a:solidFill>
                              <a:prstDash val="solid"/>
                              <a:miter lim="800000"/>
                            </a:ln>
                            <a:effectLst/>
                          </wps:spPr>
                          <wps:bodyPr/>
                        </wps:wsp>
                        <wpg:grpSp>
                          <wpg:cNvPr id="1073741836" name="Group 10"/>
                          <wpg:cNvGrpSpPr/>
                          <wpg:grpSpPr>
                            <a:xfrm>
                              <a:off x="185491" y="59462"/>
                              <a:ext cx="1138151" cy="559057"/>
                              <a:chOff x="0" y="0"/>
                              <a:chExt cx="1138150" cy="559055"/>
                            </a:xfrm>
                          </wpg:grpSpPr>
                          <wps:wsp>
                            <wps:cNvPr id="1073741834" name="Rectangle 11"/>
                            <wps:cNvSpPr/>
                            <wps:spPr>
                              <a:xfrm>
                                <a:off x="-1" y="0"/>
                                <a:ext cx="1138152" cy="559056"/>
                              </a:xfrm>
                              <a:prstGeom prst="rect">
                                <a:avLst/>
                              </a:prstGeom>
                              <a:solidFill>
                                <a:srgbClr val="FFFFFF"/>
                              </a:solidFill>
                              <a:ln w="6350" cap="flat">
                                <a:solidFill>
                                  <a:srgbClr val="FFFFFF"/>
                                </a:solidFill>
                                <a:prstDash val="solid"/>
                                <a:round/>
                              </a:ln>
                              <a:effectLst/>
                            </wps:spPr>
                            <wps:bodyPr/>
                          </wps:wsp>
                          <wps:wsp>
                            <wps:cNvPr id="1073741835" name="Text Box 12"/>
                            <wps:cNvSpPr txBox="1"/>
                            <wps:spPr>
                              <a:xfrm>
                                <a:off x="-1" y="0"/>
                                <a:ext cx="1138152" cy="559056"/>
                              </a:xfrm>
                              <a:prstGeom prst="rect">
                                <a:avLst/>
                              </a:prstGeom>
                              <a:noFill/>
                              <a:ln w="12700" cap="flat">
                                <a:noFill/>
                                <a:miter lim="400000"/>
                              </a:ln>
                              <a:effectLst/>
                            </wps:spPr>
                            <wps:txbx>
                              <w:txbxContent>
                                <w:p w14:paraId="11CD6A22" w14:textId="77777777" w:rsidR="00E01C28" w:rsidRDefault="00E01C28">
                                  <w:pPr>
                                    <w:pStyle w:val="NormalWeb"/>
                                    <w:spacing w:before="0" w:after="0" w:line="257" w:lineRule="auto"/>
                                    <w:jc w:val="center"/>
                                    <w:rPr>
                                      <w:rFonts w:ascii="Arial" w:eastAsia="Arial" w:hAnsi="Arial" w:cs="Arial"/>
                                      <w:sz w:val="18"/>
                                      <w:szCs w:val="18"/>
                                    </w:rPr>
                                  </w:pPr>
                                  <w:r>
                                    <w:rPr>
                                      <w:rFonts w:ascii="Arial" w:hAnsi="Arial"/>
                                      <w:sz w:val="18"/>
                                      <w:szCs w:val="18"/>
                                    </w:rPr>
                                    <w:t>Duplicate records removed,</w:t>
                                  </w:r>
                                </w:p>
                                <w:p w14:paraId="106D577F" w14:textId="77777777" w:rsidR="00E01C28" w:rsidRDefault="00E01C28">
                                  <w:pPr>
                                    <w:pStyle w:val="NormalWeb"/>
                                    <w:spacing w:before="0" w:after="0" w:line="257" w:lineRule="auto"/>
                                    <w:jc w:val="center"/>
                                    <w:rPr>
                                      <w:rFonts w:ascii="Arial" w:eastAsia="Arial" w:hAnsi="Arial" w:cs="Arial"/>
                                      <w:sz w:val="18"/>
                                      <w:szCs w:val="18"/>
                                    </w:rPr>
                                  </w:pPr>
                                  <w:r>
                                    <w:rPr>
                                      <w:rFonts w:ascii="Arial" w:hAnsi="Arial"/>
                                      <w:sz w:val="18"/>
                                      <w:szCs w:val="18"/>
                                    </w:rPr>
                                    <w:t>n = 1,680</w:t>
                                  </w:r>
                                </w:p>
                                <w:p w14:paraId="4DC25F01" w14:textId="77777777" w:rsidR="00E01C28" w:rsidRDefault="00E01C28">
                                  <w:pPr>
                                    <w:pStyle w:val="NormalWeb"/>
                                    <w:spacing w:before="0" w:after="160" w:line="256" w:lineRule="auto"/>
                                  </w:pPr>
                                  <w:r>
                                    <w:rPr>
                                      <w:rFonts w:ascii="Arial" w:hAnsi="Arial"/>
                                      <w:sz w:val="18"/>
                                      <w:szCs w:val="18"/>
                                    </w:rPr>
                                    <w:t> </w:t>
                                  </w:r>
                                </w:p>
                              </w:txbxContent>
                            </wps:txbx>
                            <wps:bodyPr wrap="square" lIns="45719" tIns="45719" rIns="45719" bIns="45719" numCol="1" anchor="t">
                              <a:noAutofit/>
                            </wps:bodyPr>
                          </wps:wsp>
                        </wpg:grpSp>
                      </wpg:grpSp>
                      <wpg:grpSp>
                        <wpg:cNvPr id="1073741842" name="Group 13"/>
                        <wpg:cNvGrpSpPr/>
                        <wpg:grpSpPr>
                          <a:xfrm>
                            <a:off x="1919317" y="1127059"/>
                            <a:ext cx="1284245" cy="707331"/>
                            <a:chOff x="0" y="0"/>
                            <a:chExt cx="1284244" cy="707330"/>
                          </a:xfrm>
                        </wpg:grpSpPr>
                        <wps:wsp>
                          <wps:cNvPr id="1073741838" name="AutoShape 14"/>
                          <wps:cNvSpPr/>
                          <wps:spPr>
                            <a:xfrm>
                              <a:off x="0" y="0"/>
                              <a:ext cx="1284245" cy="707331"/>
                            </a:xfrm>
                            <a:prstGeom prst="roundRect">
                              <a:avLst>
                                <a:gd name="adj" fmla="val 20000"/>
                              </a:avLst>
                            </a:prstGeom>
                            <a:solidFill>
                              <a:srgbClr val="FFFFFF"/>
                            </a:solidFill>
                            <a:ln w="12700" cap="flat">
                              <a:solidFill>
                                <a:srgbClr val="000000"/>
                              </a:solidFill>
                              <a:prstDash val="solid"/>
                              <a:miter lim="800000"/>
                            </a:ln>
                            <a:effectLst/>
                          </wps:spPr>
                          <wps:bodyPr/>
                        </wps:wsp>
                        <wpg:grpSp>
                          <wpg:cNvPr id="1073741841" name="Group 15"/>
                          <wpg:cNvGrpSpPr/>
                          <wpg:grpSpPr>
                            <a:xfrm>
                              <a:off x="48697" y="59680"/>
                              <a:ext cx="1138051" cy="558402"/>
                              <a:chOff x="0" y="0"/>
                              <a:chExt cx="1138050" cy="558400"/>
                            </a:xfrm>
                          </wpg:grpSpPr>
                          <wps:wsp>
                            <wps:cNvPr id="1073741839" name="Rectangle 16"/>
                            <wps:cNvSpPr/>
                            <wps:spPr>
                              <a:xfrm>
                                <a:off x="-1" y="0"/>
                                <a:ext cx="1138052" cy="558401"/>
                              </a:xfrm>
                              <a:prstGeom prst="rect">
                                <a:avLst/>
                              </a:prstGeom>
                              <a:solidFill>
                                <a:srgbClr val="FFFFFF"/>
                              </a:solidFill>
                              <a:ln w="6350" cap="flat">
                                <a:solidFill>
                                  <a:srgbClr val="FFFFFF"/>
                                </a:solidFill>
                                <a:prstDash val="solid"/>
                                <a:round/>
                              </a:ln>
                              <a:effectLst/>
                            </wps:spPr>
                            <wps:bodyPr/>
                          </wps:wsp>
                          <wps:wsp>
                            <wps:cNvPr id="1073741840" name="Text Box 17"/>
                            <wps:cNvSpPr txBox="1"/>
                            <wps:spPr>
                              <a:xfrm>
                                <a:off x="-1" y="0"/>
                                <a:ext cx="1138052" cy="558401"/>
                              </a:xfrm>
                              <a:prstGeom prst="rect">
                                <a:avLst/>
                              </a:prstGeom>
                              <a:noFill/>
                              <a:ln w="12700" cap="flat">
                                <a:noFill/>
                                <a:miter lim="400000"/>
                              </a:ln>
                              <a:effectLst/>
                            </wps:spPr>
                            <wps:txbx>
                              <w:txbxContent>
                                <w:p w14:paraId="4C4DCAE6" w14:textId="77777777" w:rsidR="00E01C28" w:rsidRDefault="00E01C28">
                                  <w:pPr>
                                    <w:pStyle w:val="NormalWeb"/>
                                    <w:spacing w:before="0" w:after="0" w:line="256" w:lineRule="auto"/>
                                    <w:jc w:val="center"/>
                                  </w:pPr>
                                  <w:r>
                                    <w:rPr>
                                      <w:rFonts w:ascii="Arial" w:hAnsi="Arial"/>
                                      <w:sz w:val="18"/>
                                      <w:szCs w:val="18"/>
                                    </w:rPr>
                                    <w:t>Without duplicates,</w:t>
                                  </w:r>
                                </w:p>
                                <w:p w14:paraId="5F6DAB60" w14:textId="77777777" w:rsidR="00E01C28" w:rsidRDefault="00E01C28">
                                  <w:pPr>
                                    <w:pStyle w:val="NormalWeb"/>
                                    <w:spacing w:before="0" w:after="0" w:line="256" w:lineRule="auto"/>
                                    <w:jc w:val="center"/>
                                  </w:pPr>
                                  <w:r>
                                    <w:rPr>
                                      <w:rFonts w:ascii="Arial" w:hAnsi="Arial"/>
                                      <w:sz w:val="18"/>
                                      <w:szCs w:val="18"/>
                                    </w:rPr>
                                    <w:t>n = 61,436</w:t>
                                  </w:r>
                                </w:p>
                                <w:p w14:paraId="0D546934" w14:textId="77777777" w:rsidR="00E01C28" w:rsidRDefault="00E01C28">
                                  <w:pPr>
                                    <w:pStyle w:val="NormalWeb"/>
                                    <w:spacing w:before="0" w:after="160" w:line="254" w:lineRule="auto"/>
                                  </w:pPr>
                                  <w:r>
                                    <w:rPr>
                                      <w:rFonts w:ascii="Arial" w:hAnsi="Arial"/>
                                      <w:sz w:val="18"/>
                                      <w:szCs w:val="18"/>
                                    </w:rPr>
                                    <w:t> </w:t>
                                  </w:r>
                                </w:p>
                              </w:txbxContent>
                            </wps:txbx>
                            <wps:bodyPr wrap="square" lIns="45719" tIns="45719" rIns="45719" bIns="45719" numCol="1" anchor="t">
                              <a:noAutofit/>
                            </wps:bodyPr>
                          </wps:wsp>
                        </wpg:grpSp>
                      </wpg:grpSp>
                      <wpg:grpSp>
                        <wpg:cNvPr id="1073741847" name="Group 18"/>
                        <wpg:cNvGrpSpPr/>
                        <wpg:grpSpPr>
                          <a:xfrm>
                            <a:off x="2011913" y="3039567"/>
                            <a:ext cx="1238647" cy="1180631"/>
                            <a:chOff x="0" y="0"/>
                            <a:chExt cx="1238646" cy="1180629"/>
                          </a:xfrm>
                        </wpg:grpSpPr>
                        <wpg:grpSp>
                          <wpg:cNvPr id="1073741845" name="Group 20"/>
                          <wpg:cNvGrpSpPr/>
                          <wpg:grpSpPr>
                            <a:xfrm>
                              <a:off x="3599" y="0"/>
                              <a:ext cx="1138251" cy="1105103"/>
                              <a:chOff x="0" y="0"/>
                              <a:chExt cx="1138250" cy="1105102"/>
                            </a:xfrm>
                          </wpg:grpSpPr>
                          <wps:wsp>
                            <wps:cNvPr id="1073741843" name="Rectangle 21"/>
                            <wps:cNvSpPr/>
                            <wps:spPr>
                              <a:xfrm>
                                <a:off x="99" y="0"/>
                                <a:ext cx="1138152" cy="558402"/>
                              </a:xfrm>
                              <a:prstGeom prst="rect">
                                <a:avLst/>
                              </a:prstGeom>
                              <a:solidFill>
                                <a:srgbClr val="FFFFFF"/>
                              </a:solidFill>
                              <a:ln w="6350" cap="flat">
                                <a:solidFill>
                                  <a:srgbClr val="FFFFFF"/>
                                </a:solidFill>
                                <a:prstDash val="solid"/>
                                <a:round/>
                              </a:ln>
                              <a:effectLst/>
                            </wps:spPr>
                            <wps:bodyPr/>
                          </wps:wsp>
                          <wps:wsp>
                            <wps:cNvPr id="1073741844" name="Text Box 22"/>
                            <wps:cNvSpPr txBox="1"/>
                            <wps:spPr>
                              <a:xfrm>
                                <a:off x="-1" y="618845"/>
                                <a:ext cx="1138151" cy="486258"/>
                              </a:xfrm>
                              <a:prstGeom prst="rect">
                                <a:avLst/>
                              </a:prstGeom>
                              <a:noFill/>
                              <a:ln w="12700" cap="flat">
                                <a:noFill/>
                                <a:miter lim="400000"/>
                              </a:ln>
                              <a:effectLst/>
                            </wps:spPr>
                            <wps:txbx>
                              <w:txbxContent>
                                <w:p w14:paraId="1ED21EE1" w14:textId="77777777" w:rsidR="00E01C28" w:rsidRDefault="00E01C28">
                                  <w:pPr>
                                    <w:pStyle w:val="NormalWeb"/>
                                    <w:spacing w:before="0" w:after="0" w:line="254" w:lineRule="auto"/>
                                    <w:jc w:val="center"/>
                                  </w:pPr>
                                  <w:r>
                                    <w:rPr>
                                      <w:rFonts w:ascii="Arial" w:hAnsi="Arial"/>
                                      <w:sz w:val="18"/>
                                      <w:szCs w:val="18"/>
                                    </w:rPr>
                                    <w:t> Final complete case sample,</w:t>
                                  </w:r>
                                </w:p>
                                <w:p w14:paraId="7DF762BE" w14:textId="77777777" w:rsidR="00E01C28" w:rsidRDefault="00E01C28">
                                  <w:pPr>
                                    <w:pStyle w:val="NormalWeb"/>
                                    <w:spacing w:before="0" w:after="0" w:line="254" w:lineRule="auto"/>
                                    <w:jc w:val="center"/>
                                  </w:pPr>
                                  <w:r>
                                    <w:rPr>
                                      <w:rFonts w:ascii="Arial" w:hAnsi="Arial"/>
                                      <w:sz w:val="18"/>
                                      <w:szCs w:val="18"/>
                                    </w:rPr>
                                    <w:t>n = 39,805</w:t>
                                  </w:r>
                                </w:p>
                              </w:txbxContent>
                            </wps:txbx>
                            <wps:bodyPr wrap="square" lIns="45719" tIns="45719" rIns="45719" bIns="45719" numCol="1" anchor="t">
                              <a:noAutofit/>
                            </wps:bodyPr>
                          </wps:wsp>
                        </wpg:grpSp>
                        <wps:wsp>
                          <wps:cNvPr id="1073741846" name="AutoShape 19"/>
                          <wps:cNvSpPr/>
                          <wps:spPr>
                            <a:xfrm>
                              <a:off x="0" y="564729"/>
                              <a:ext cx="1238647" cy="615901"/>
                            </a:xfrm>
                            <a:prstGeom prst="roundRect">
                              <a:avLst>
                                <a:gd name="adj" fmla="val 20000"/>
                              </a:avLst>
                            </a:prstGeom>
                            <a:noFill/>
                            <a:ln w="12700" cap="flat">
                              <a:solidFill>
                                <a:srgbClr val="000000"/>
                              </a:solidFill>
                              <a:prstDash val="solid"/>
                              <a:miter lim="800000"/>
                            </a:ln>
                            <a:effectLst/>
                          </wps:spPr>
                          <wps:bodyPr/>
                        </wps:wsp>
                      </wpg:grpSp>
                      <wps:wsp>
                        <wps:cNvPr id="1073741848" name="Rectangle 26"/>
                        <wps:cNvSpPr/>
                        <wps:spPr>
                          <a:xfrm>
                            <a:off x="3829834" y="3067499"/>
                            <a:ext cx="1245247" cy="867716"/>
                          </a:xfrm>
                          <a:prstGeom prst="rect">
                            <a:avLst/>
                          </a:prstGeom>
                          <a:solidFill>
                            <a:srgbClr val="FFFFFF"/>
                          </a:solidFill>
                          <a:ln w="6350" cap="flat">
                            <a:solidFill>
                              <a:srgbClr val="FFFFFF"/>
                            </a:solidFill>
                            <a:prstDash val="solid"/>
                            <a:round/>
                          </a:ln>
                          <a:effectLst/>
                        </wps:spPr>
                        <wps:bodyPr/>
                      </wps:wsp>
                      <wpg:grpSp>
                        <wpg:cNvPr id="1073741853" name="Group 28"/>
                        <wpg:cNvGrpSpPr/>
                        <wpg:grpSpPr>
                          <a:xfrm>
                            <a:off x="3752338" y="1133605"/>
                            <a:ext cx="1485136" cy="1556281"/>
                            <a:chOff x="0" y="0"/>
                            <a:chExt cx="1485135" cy="1556279"/>
                          </a:xfrm>
                        </wpg:grpSpPr>
                        <wps:wsp>
                          <wps:cNvPr id="1073741849" name="AutoShape 29"/>
                          <wps:cNvSpPr/>
                          <wps:spPr>
                            <a:xfrm>
                              <a:off x="0" y="0"/>
                              <a:ext cx="1485136" cy="1556280"/>
                            </a:xfrm>
                            <a:prstGeom prst="roundRect">
                              <a:avLst>
                                <a:gd name="adj" fmla="val 20000"/>
                              </a:avLst>
                            </a:prstGeom>
                            <a:solidFill>
                              <a:srgbClr val="FFFFFF"/>
                            </a:solidFill>
                            <a:ln w="12700" cap="flat">
                              <a:solidFill>
                                <a:srgbClr val="000000"/>
                              </a:solidFill>
                              <a:prstDash val="solid"/>
                              <a:miter lim="800000"/>
                            </a:ln>
                            <a:effectLst/>
                          </wps:spPr>
                          <wps:bodyPr/>
                        </wps:wsp>
                        <wpg:grpSp>
                          <wpg:cNvPr id="1073741852" name="Group 30"/>
                          <wpg:cNvGrpSpPr/>
                          <wpg:grpSpPr>
                            <a:xfrm>
                              <a:off x="86796" y="140855"/>
                              <a:ext cx="1235847" cy="1330650"/>
                              <a:chOff x="0" y="0"/>
                              <a:chExt cx="1235845" cy="1330649"/>
                            </a:xfrm>
                          </wpg:grpSpPr>
                          <wps:wsp>
                            <wps:cNvPr id="1073741850" name="Rectangle 31"/>
                            <wps:cNvSpPr/>
                            <wps:spPr>
                              <a:xfrm>
                                <a:off x="0" y="-1"/>
                                <a:ext cx="1235846" cy="1330651"/>
                              </a:xfrm>
                              <a:prstGeom prst="rect">
                                <a:avLst/>
                              </a:prstGeom>
                              <a:solidFill>
                                <a:srgbClr val="FFFFFF"/>
                              </a:solidFill>
                              <a:ln w="6350" cap="flat">
                                <a:solidFill>
                                  <a:srgbClr val="FFFFFF"/>
                                </a:solidFill>
                                <a:prstDash val="solid"/>
                                <a:round/>
                              </a:ln>
                              <a:effectLst/>
                            </wps:spPr>
                            <wps:bodyPr/>
                          </wps:wsp>
                          <wps:wsp>
                            <wps:cNvPr id="1073741851" name="Text Box 32"/>
                            <wps:cNvSpPr txBox="1"/>
                            <wps:spPr>
                              <a:xfrm>
                                <a:off x="0" y="-1"/>
                                <a:ext cx="1235846" cy="1330651"/>
                              </a:xfrm>
                              <a:prstGeom prst="rect">
                                <a:avLst/>
                              </a:prstGeom>
                              <a:noFill/>
                              <a:ln w="12700" cap="flat">
                                <a:noFill/>
                                <a:miter lim="400000"/>
                              </a:ln>
                              <a:effectLst/>
                            </wps:spPr>
                            <wps:txbx>
                              <w:txbxContent>
                                <w:p w14:paraId="4B5EB679" w14:textId="77777777" w:rsidR="00E01C28" w:rsidRDefault="00E01C28">
                                  <w:pPr>
                                    <w:pStyle w:val="NormalWeb"/>
                                    <w:spacing w:before="0" w:after="0" w:line="254" w:lineRule="auto"/>
                                    <w:jc w:val="center"/>
                                    <w:rPr>
                                      <w:rFonts w:ascii="Arial" w:eastAsia="Arial" w:hAnsi="Arial" w:cs="Arial"/>
                                      <w:sz w:val="18"/>
                                      <w:szCs w:val="18"/>
                                    </w:rPr>
                                  </w:pPr>
                                  <w:r>
                                    <w:rPr>
                                      <w:rFonts w:ascii="Arial" w:hAnsi="Arial"/>
                                      <w:sz w:val="18"/>
                                      <w:szCs w:val="18"/>
                                    </w:rPr>
                                    <w:t>Ineligible cases removed,</w:t>
                                  </w:r>
                                </w:p>
                                <w:p w14:paraId="0B8B1920" w14:textId="77777777" w:rsidR="00E01C28" w:rsidRDefault="00E01C28">
                                  <w:pPr>
                                    <w:pStyle w:val="NormalWeb"/>
                                    <w:spacing w:before="0" w:after="0" w:line="254" w:lineRule="auto"/>
                                    <w:jc w:val="center"/>
                                    <w:rPr>
                                      <w:rFonts w:ascii="Arial" w:eastAsia="Arial" w:hAnsi="Arial" w:cs="Arial"/>
                                      <w:sz w:val="18"/>
                                      <w:szCs w:val="18"/>
                                    </w:rPr>
                                  </w:pPr>
                                  <w:r>
                                    <w:rPr>
                                      <w:rFonts w:ascii="Arial" w:hAnsi="Arial"/>
                                      <w:sz w:val="18"/>
                                      <w:szCs w:val="18"/>
                                    </w:rPr>
                                    <w:t>Advanced: 3,039</w:t>
                                  </w:r>
                                </w:p>
                                <w:p w14:paraId="724F99F1" w14:textId="77777777" w:rsidR="00E01C28" w:rsidRDefault="00E01C28">
                                  <w:pPr>
                                    <w:pStyle w:val="NormalWeb"/>
                                    <w:spacing w:before="0" w:after="0" w:line="254" w:lineRule="auto"/>
                                    <w:jc w:val="center"/>
                                    <w:rPr>
                                      <w:rFonts w:ascii="Arial" w:eastAsia="Arial" w:hAnsi="Arial" w:cs="Arial"/>
                                      <w:sz w:val="18"/>
                                      <w:szCs w:val="18"/>
                                    </w:rPr>
                                  </w:pPr>
                                  <w:r>
                                    <w:rPr>
                                      <w:rFonts w:ascii="Arial" w:hAnsi="Arial"/>
                                      <w:sz w:val="18"/>
                                      <w:szCs w:val="18"/>
                                    </w:rPr>
                                    <w:t>Male: 345</w:t>
                                  </w:r>
                                </w:p>
                                <w:p w14:paraId="72D1B107" w14:textId="77777777" w:rsidR="00E01C28" w:rsidRDefault="00E01C28">
                                  <w:pPr>
                                    <w:pStyle w:val="NormalWeb"/>
                                    <w:spacing w:before="0" w:after="0" w:line="254" w:lineRule="auto"/>
                                    <w:jc w:val="center"/>
                                    <w:rPr>
                                      <w:rFonts w:ascii="Arial" w:eastAsia="Arial" w:hAnsi="Arial" w:cs="Arial"/>
                                      <w:sz w:val="18"/>
                                      <w:szCs w:val="18"/>
                                    </w:rPr>
                                  </w:pPr>
                                  <w:r>
                                    <w:rPr>
                                      <w:rFonts w:ascii="Arial" w:hAnsi="Arial"/>
                                      <w:sz w:val="18"/>
                                      <w:szCs w:val="18"/>
                                    </w:rPr>
                                    <w:t>No surgery: 8,063</w:t>
                                  </w:r>
                                </w:p>
                                <w:p w14:paraId="71814AC2" w14:textId="77777777" w:rsidR="00E01C28" w:rsidRDefault="00E01C28">
                                  <w:pPr>
                                    <w:pStyle w:val="NormalWeb"/>
                                    <w:spacing w:before="0" w:after="0" w:line="254" w:lineRule="auto"/>
                                    <w:jc w:val="center"/>
                                    <w:rPr>
                                      <w:rFonts w:ascii="Arial" w:eastAsia="Arial" w:hAnsi="Arial" w:cs="Arial"/>
                                      <w:sz w:val="18"/>
                                      <w:szCs w:val="18"/>
                                    </w:rPr>
                                  </w:pPr>
                                  <w:r>
                                    <w:rPr>
                                      <w:rFonts w:ascii="Arial" w:hAnsi="Arial"/>
                                      <w:sz w:val="18"/>
                                      <w:szCs w:val="18"/>
                                    </w:rPr>
                                    <w:t>Neo-adjuvant: 4,201</w:t>
                                  </w:r>
                                </w:p>
                                <w:p w14:paraId="081DE001" w14:textId="77777777" w:rsidR="00E01C28" w:rsidRDefault="00E01C28">
                                  <w:pPr>
                                    <w:pStyle w:val="NormalWeb"/>
                                    <w:spacing w:before="0" w:after="0" w:line="254" w:lineRule="auto"/>
                                    <w:jc w:val="center"/>
                                    <w:rPr>
                                      <w:rFonts w:ascii="Arial" w:eastAsia="Arial" w:hAnsi="Arial" w:cs="Arial"/>
                                      <w:sz w:val="18"/>
                                      <w:szCs w:val="18"/>
                                    </w:rPr>
                                  </w:pPr>
                                  <w:r>
                                    <w:rPr>
                                      <w:rFonts w:ascii="Arial" w:hAnsi="Arial"/>
                                      <w:sz w:val="18"/>
                                      <w:szCs w:val="18"/>
                                    </w:rPr>
                                    <w:t>(applied sequentially)</w:t>
                                  </w:r>
                                </w:p>
                                <w:p w14:paraId="7D272CA6" w14:textId="77777777" w:rsidR="00E01C28" w:rsidRDefault="00E01C28">
                                  <w:pPr>
                                    <w:pStyle w:val="NormalWeb"/>
                                    <w:spacing w:before="0" w:after="160" w:line="252" w:lineRule="auto"/>
                                  </w:pPr>
                                  <w:r>
                                    <w:rPr>
                                      <w:rFonts w:ascii="Arial" w:hAnsi="Arial"/>
                                      <w:sz w:val="18"/>
                                      <w:szCs w:val="18"/>
                                    </w:rPr>
                                    <w:t> </w:t>
                                  </w:r>
                                </w:p>
                              </w:txbxContent>
                            </wps:txbx>
                            <wps:bodyPr wrap="square" lIns="45719" tIns="45719" rIns="45719" bIns="45719" numCol="1" anchor="t">
                              <a:noAutofit/>
                            </wps:bodyPr>
                          </wps:wsp>
                        </wpg:grpSp>
                      </wpg:grpSp>
                      <wpg:grpSp>
                        <wpg:cNvPr id="1073741858" name="Group 33"/>
                        <wpg:cNvGrpSpPr/>
                        <wpg:grpSpPr>
                          <a:xfrm>
                            <a:off x="0" y="2482912"/>
                            <a:ext cx="1485237" cy="915613"/>
                            <a:chOff x="0" y="0"/>
                            <a:chExt cx="1485235" cy="915612"/>
                          </a:xfrm>
                        </wpg:grpSpPr>
                        <wps:wsp>
                          <wps:cNvPr id="1073741854" name="AutoShape 34"/>
                          <wps:cNvSpPr/>
                          <wps:spPr>
                            <a:xfrm>
                              <a:off x="0" y="0"/>
                              <a:ext cx="1485236" cy="915613"/>
                            </a:xfrm>
                            <a:prstGeom prst="roundRect">
                              <a:avLst>
                                <a:gd name="adj" fmla="val 20000"/>
                              </a:avLst>
                            </a:prstGeom>
                            <a:solidFill>
                              <a:srgbClr val="FFFFFF"/>
                            </a:solidFill>
                            <a:ln w="12700" cap="flat">
                              <a:solidFill>
                                <a:srgbClr val="000000"/>
                              </a:solidFill>
                              <a:prstDash val="solid"/>
                              <a:miter lim="800000"/>
                            </a:ln>
                            <a:effectLst/>
                          </wps:spPr>
                          <wps:bodyPr/>
                        </wps:wsp>
                        <wpg:grpSp>
                          <wpg:cNvPr id="1073741857" name="Text Box 37"/>
                          <wpg:cNvGrpSpPr/>
                          <wpg:grpSpPr>
                            <a:xfrm>
                              <a:off x="135594" y="203808"/>
                              <a:ext cx="1192149" cy="567021"/>
                              <a:chOff x="0" y="0"/>
                              <a:chExt cx="1192148" cy="567019"/>
                            </a:xfrm>
                          </wpg:grpSpPr>
                          <wps:wsp>
                            <wps:cNvPr id="1073741855" name="Shape 1073741855"/>
                            <wps:cNvSpPr/>
                            <wps:spPr>
                              <a:xfrm>
                                <a:off x="-1" y="0"/>
                                <a:ext cx="1192150" cy="567020"/>
                              </a:xfrm>
                              <a:prstGeom prst="rect">
                                <a:avLst/>
                              </a:prstGeom>
                              <a:solidFill>
                                <a:srgbClr val="FFFFFF"/>
                              </a:solidFill>
                              <a:ln w="12700" cap="flat">
                                <a:noFill/>
                                <a:miter lim="400000"/>
                              </a:ln>
                              <a:effectLst/>
                            </wps:spPr>
                            <wps:bodyPr/>
                          </wps:wsp>
                          <wps:wsp>
                            <wps:cNvPr id="1073741856" name="Shape 1073741856"/>
                            <wps:cNvSpPr txBox="1"/>
                            <wps:spPr>
                              <a:xfrm>
                                <a:off x="-1" y="0"/>
                                <a:ext cx="1192150" cy="567020"/>
                              </a:xfrm>
                              <a:prstGeom prst="rect">
                                <a:avLst/>
                              </a:prstGeom>
                              <a:noFill/>
                              <a:ln w="12700" cap="flat">
                                <a:noFill/>
                                <a:miter lim="400000"/>
                              </a:ln>
                              <a:effectLst/>
                            </wps:spPr>
                            <wps:txbx>
                              <w:txbxContent>
                                <w:p w14:paraId="1954E514" w14:textId="77777777" w:rsidR="00E01C28" w:rsidRDefault="00E01C28">
                                  <w:pPr>
                                    <w:pStyle w:val="NormalWeb"/>
                                    <w:spacing w:before="0" w:after="0" w:line="254" w:lineRule="auto"/>
                                    <w:jc w:val="center"/>
                                  </w:pPr>
                                  <w:r>
                                    <w:rPr>
                                      <w:rFonts w:ascii="Arial" w:hAnsi="Arial"/>
                                      <w:sz w:val="18"/>
                                      <w:szCs w:val="18"/>
                                    </w:rPr>
                                    <w:t>Cases with missing variables, n = 5,983</w:t>
                                  </w:r>
                                </w:p>
                                <w:p w14:paraId="68E4F0DA" w14:textId="77777777" w:rsidR="00E01C28" w:rsidRDefault="00E01C28">
                                  <w:pPr>
                                    <w:pStyle w:val="NormalWeb"/>
                                    <w:spacing w:before="0" w:after="160" w:line="252" w:lineRule="auto"/>
                                  </w:pPr>
                                  <w:r>
                                    <w:rPr>
                                      <w:rFonts w:ascii="Arial" w:hAnsi="Arial"/>
                                      <w:sz w:val="18"/>
                                      <w:szCs w:val="18"/>
                                    </w:rPr>
                                    <w:t> </w:t>
                                  </w:r>
                                </w:p>
                              </w:txbxContent>
                            </wps:txbx>
                            <wps:bodyPr wrap="square" lIns="45719" tIns="45719" rIns="45719" bIns="45719" numCol="1" anchor="t">
                              <a:noAutofit/>
                            </wps:bodyPr>
                          </wps:wsp>
                        </wpg:grpSp>
                      </wpg:grpSp>
                      <wps:wsp>
                        <wps:cNvPr id="1073741859" name="Line 38"/>
                        <wps:cNvCnPr/>
                        <wps:spPr>
                          <a:xfrm>
                            <a:off x="2572689" y="703620"/>
                            <a:ext cx="1" cy="423657"/>
                          </a:xfrm>
                          <a:prstGeom prst="line">
                            <a:avLst/>
                          </a:prstGeom>
                          <a:noFill/>
                          <a:ln w="6350" cap="flat">
                            <a:solidFill>
                              <a:srgbClr val="000000"/>
                            </a:solidFill>
                            <a:prstDash val="solid"/>
                            <a:miter lim="800000"/>
                            <a:tailEnd type="triangle" w="med" len="med"/>
                          </a:ln>
                          <a:effectLst/>
                        </wps:spPr>
                        <wps:bodyPr/>
                      </wps:wsp>
                      <wps:wsp>
                        <wps:cNvPr id="1073741860" name="Line 39"/>
                        <wps:cNvCnPr/>
                        <wps:spPr>
                          <a:xfrm>
                            <a:off x="2584788" y="1839408"/>
                            <a:ext cx="100" cy="765921"/>
                          </a:xfrm>
                          <a:prstGeom prst="line">
                            <a:avLst/>
                          </a:prstGeom>
                          <a:noFill/>
                          <a:ln w="6350" cap="flat">
                            <a:solidFill>
                              <a:srgbClr val="000000"/>
                            </a:solidFill>
                            <a:prstDash val="solid"/>
                            <a:miter lim="800000"/>
                            <a:tailEnd type="triangle" w="med" len="med"/>
                          </a:ln>
                          <a:effectLst/>
                        </wps:spPr>
                        <wps:bodyPr/>
                      </wps:wsp>
                      <wps:wsp>
                        <wps:cNvPr id="1073741861" name="Line 41"/>
                        <wps:cNvCnPr/>
                        <wps:spPr>
                          <a:xfrm>
                            <a:off x="3202361" y="354156"/>
                            <a:ext cx="548477" cy="110"/>
                          </a:xfrm>
                          <a:prstGeom prst="line">
                            <a:avLst/>
                          </a:prstGeom>
                          <a:noFill/>
                          <a:ln w="6350" cap="flat">
                            <a:solidFill>
                              <a:srgbClr val="000000"/>
                            </a:solidFill>
                            <a:prstDash val="solid"/>
                            <a:miter lim="800000"/>
                            <a:tailEnd type="triangle" w="med" len="med"/>
                          </a:ln>
                          <a:effectLst/>
                        </wps:spPr>
                        <wps:bodyPr/>
                      </wps:wsp>
                      <wps:wsp>
                        <wps:cNvPr id="1073741862" name="Line 42"/>
                        <wps:cNvCnPr/>
                        <wps:spPr>
                          <a:xfrm flipV="1">
                            <a:off x="3203161" y="1480451"/>
                            <a:ext cx="547677" cy="110"/>
                          </a:xfrm>
                          <a:prstGeom prst="line">
                            <a:avLst/>
                          </a:prstGeom>
                          <a:noFill/>
                          <a:ln w="6350" cap="flat">
                            <a:solidFill>
                              <a:srgbClr val="000000"/>
                            </a:solidFill>
                            <a:prstDash val="solid"/>
                            <a:miter lim="800000"/>
                            <a:tailEnd type="triangle" w="med" len="med"/>
                          </a:ln>
                          <a:effectLst/>
                        </wps:spPr>
                        <wps:bodyPr/>
                      </wps:wsp>
                      <wps:wsp>
                        <wps:cNvPr id="1073741863" name="Line 48"/>
                        <wps:cNvCnPr/>
                        <wps:spPr>
                          <a:xfrm flipH="1">
                            <a:off x="1485236" y="2914751"/>
                            <a:ext cx="464980" cy="1"/>
                          </a:xfrm>
                          <a:prstGeom prst="line">
                            <a:avLst/>
                          </a:prstGeom>
                          <a:noFill/>
                          <a:ln w="6350" cap="flat">
                            <a:solidFill>
                              <a:srgbClr val="000000"/>
                            </a:solidFill>
                            <a:prstDash val="solid"/>
                            <a:miter lim="800000"/>
                            <a:tailEnd type="triangle" w="med" len="me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84B6B6" id="officeArt object" o:spid="_x0000_s1027" alt="Group 2" style="width:412.4pt;height:332.3pt;mso-position-horizontal-relative:char;mso-position-vertical-relative:line" coordsize="52374,4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">
                <v:group id="Group 3" o:spid="_x0000_s1028" style="position:absolute;left:18736;width:13291;height:7084" coordsize="13291,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">
                  <v:roundrect id="AutoShape 4" o:spid="_x0000_s1029" style="position:absolute;width:13291;height:7084;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" strokeweight="1pt">
                    <v:stroke joinstyle="miter"/>
                  </v:roundrect>
                  <v:group id="Group 5" o:spid="_x0000_s1030" style="position:absolute;left:939;top:596;width:11386;height:5593" coordsize="11385,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">
                    <v:rect id="Rectangle 6" o:spid="_x0000_s1031" style="position:absolute;width:11385;height:5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" strokecolor="white" strokeweight=".5pt">
                      <v:stroke joinstyle="round"/>
                    </v:rect>
                    <v:shape id="Text Box 7" o:spid="_x0000_s1032" type="#_x0000_t202" style="position:absolute;width:11385;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" filled="f" stroked="f" strokeweight="1pt">
                      <v:stroke miterlimit="4"/>
                      <v:textbox inset="1.27mm,1.27mm,1.27mm,1.27mm">
                        <w:txbxContent>
                          <w:p w14:paraId="52A36EE4" w14:textId="77777777" w:rsidR="00E01C28" w:rsidRDefault="00E01C28">
                            <w:pPr>
                              <w:pStyle w:val="BodyA"/>
                              <w:spacing w:line="240" w:lineRule="auto"/>
                              <w:jc w:val="center"/>
                            </w:pPr>
                            <w:r>
                              <w:rPr>
                                <w:sz w:val="18"/>
                                <w:szCs w:val="18"/>
                              </w:rPr>
                              <w:t xml:space="preserve">Records retrieved from </w:t>
                            </w:r>
                            <w:proofErr w:type="gramStart"/>
                            <w:r>
                              <w:rPr>
                                <w:sz w:val="18"/>
                                <w:szCs w:val="18"/>
                              </w:rPr>
                              <w:t xml:space="preserve">registry,   </w:t>
                            </w:r>
                            <w:proofErr w:type="gramEnd"/>
                            <w:r>
                              <w:rPr>
                                <w:sz w:val="18"/>
                                <w:szCs w:val="18"/>
                              </w:rPr>
                              <w:t xml:space="preserve">        n = 63,116</w:t>
                            </w:r>
                          </w:p>
                        </w:txbxContent>
                      </v:textbox>
                    </v:shape>
                  </v:group>
                </v:group>
                <v:group id="Group 8" o:spid="_x0000_s1033" style="position:absolute;left:37513;top:3;width:14852;height:7081" coordsize="14852,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">
                  <v:roundrect id="AutoShape 9" o:spid="_x0000_s1034" style="position:absolute;width:14852;height:7080;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" strokeweight="1pt">
                    <v:stroke joinstyle="miter"/>
                  </v:roundrect>
                  <v:group id="Group 10" o:spid="_x0000_s1035" style="position:absolute;left:1854;top:594;width:11382;height:5591" coordsize="11381,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">
                    <v:rect id="Rectangle 11" o:spid="_x0000_s1036" style="position:absolute;width:11381;height:5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" strokecolor="white" strokeweight=".5pt">
                      <v:stroke joinstyle="round"/>
                    </v:rect>
                    <v:shape id="Text Box 12" o:spid="_x0000_s1037" type="#_x0000_t202" style="position:absolute;width:11381;height:5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" filled="f" stroked="f" strokeweight="1pt">
                      <v:stroke miterlimit="4"/>
                      <v:textbox inset="1.27mm,1.27mm,1.27mm,1.27mm">
                        <w:txbxContent>
                          <w:p w14:paraId="11CD6A22" w14:textId="77777777" w:rsidR="00E01C28" w:rsidRDefault="00E01C28">
                            <w:pPr>
                              <w:pStyle w:val="NormalWeb"/>
                              <w:spacing w:before="0" w:after="0" w:line="257" w:lineRule="auto"/>
                              <w:jc w:val="center"/>
                              <w:rPr>
                                <w:rFonts w:ascii="Arial" w:eastAsia="Arial" w:hAnsi="Arial" w:cs="Arial"/>
                                <w:sz w:val="18"/>
                                <w:szCs w:val="18"/>
                              </w:rPr>
                            </w:pPr>
                            <w:r>
                              <w:rPr>
                                <w:rFonts w:ascii="Arial" w:hAnsi="Arial"/>
                                <w:sz w:val="18"/>
                                <w:szCs w:val="18"/>
                              </w:rPr>
                              <w:t>Duplicate records removed,</w:t>
                            </w:r>
                          </w:p>
                          <w:p w14:paraId="106D577F" w14:textId="77777777" w:rsidR="00E01C28" w:rsidRDefault="00E01C28">
                            <w:pPr>
                              <w:pStyle w:val="NormalWeb"/>
                              <w:spacing w:before="0" w:after="0" w:line="257" w:lineRule="auto"/>
                              <w:jc w:val="center"/>
                              <w:rPr>
                                <w:rFonts w:ascii="Arial" w:eastAsia="Arial" w:hAnsi="Arial" w:cs="Arial"/>
                                <w:sz w:val="18"/>
                                <w:szCs w:val="18"/>
                              </w:rPr>
                            </w:pPr>
                            <w:r>
                              <w:rPr>
                                <w:rFonts w:ascii="Arial" w:hAnsi="Arial"/>
                                <w:sz w:val="18"/>
                                <w:szCs w:val="18"/>
                              </w:rPr>
                              <w:t>n = 1,680</w:t>
                            </w:r>
                          </w:p>
                          <w:p w14:paraId="4DC25F01" w14:textId="77777777" w:rsidR="00E01C28" w:rsidRDefault="00E01C28">
                            <w:pPr>
                              <w:pStyle w:val="NormalWeb"/>
                              <w:spacing w:before="0" w:after="160" w:line="256" w:lineRule="auto"/>
                            </w:pPr>
                            <w:r>
                              <w:rPr>
                                <w:rFonts w:ascii="Arial" w:hAnsi="Arial"/>
                                <w:sz w:val="18"/>
                                <w:szCs w:val="18"/>
                              </w:rPr>
                              <w:t> </w:t>
                            </w:r>
                          </w:p>
                        </w:txbxContent>
                      </v:textbox>
                    </v:shape>
                  </v:group>
                </v:group>
                <v:group id="Group 13" o:spid="_x0000_s1038" style="position:absolute;left:19193;top:11270;width:12842;height:7073" coordsize="12842,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">
                  <v:roundrect id="AutoShape 14" o:spid="_x0000_s1039" style="position:absolute;width:12842;height:7073;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" strokeweight="1pt">
                    <v:stroke joinstyle="miter"/>
                  </v:roundrect>
                  <v:group id="Group 15" o:spid="_x0000_s1040" style="position:absolute;left:486;top:596;width:11381;height:5584" coordsize="11380,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">
                    <v:rect id="Rectangle 16" o:spid="_x0000_s1041" style="position:absolute;width:11380;height:5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" strokecolor="white" strokeweight=".5pt">
                      <v:stroke joinstyle="round"/>
                    </v:rect>
                    <v:shape id="Text Box 17" o:spid="_x0000_s1042" type="#_x0000_t202" style="position:absolute;width:11380;height:5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" filled="f" stroked="f" strokeweight="1pt">
                      <v:stroke miterlimit="4"/>
                      <v:textbox inset="1.27mm,1.27mm,1.27mm,1.27mm">
                        <w:txbxContent>
                          <w:p w14:paraId="4C4DCAE6" w14:textId="77777777" w:rsidR="00E01C28" w:rsidRDefault="00E01C28">
                            <w:pPr>
                              <w:pStyle w:val="NormalWeb"/>
                              <w:spacing w:before="0" w:after="0" w:line="256" w:lineRule="auto"/>
                              <w:jc w:val="center"/>
                            </w:pPr>
                            <w:r>
                              <w:rPr>
                                <w:rFonts w:ascii="Arial" w:hAnsi="Arial"/>
                                <w:sz w:val="18"/>
                                <w:szCs w:val="18"/>
                              </w:rPr>
                              <w:t>Without duplicates,</w:t>
                            </w:r>
                          </w:p>
                          <w:p w14:paraId="5F6DAB60" w14:textId="77777777" w:rsidR="00E01C28" w:rsidRDefault="00E01C28">
                            <w:pPr>
                              <w:pStyle w:val="NormalWeb"/>
                              <w:spacing w:before="0" w:after="0" w:line="256" w:lineRule="auto"/>
                              <w:jc w:val="center"/>
                            </w:pPr>
                            <w:r>
                              <w:rPr>
                                <w:rFonts w:ascii="Arial" w:hAnsi="Arial"/>
                                <w:sz w:val="18"/>
                                <w:szCs w:val="18"/>
                              </w:rPr>
                              <w:t>n = 61,436</w:t>
                            </w:r>
                          </w:p>
                          <w:p w14:paraId="0D546934" w14:textId="77777777" w:rsidR="00E01C28" w:rsidRDefault="00E01C28">
                            <w:pPr>
                              <w:pStyle w:val="NormalWeb"/>
                              <w:spacing w:before="0" w:after="160" w:line="254" w:lineRule="auto"/>
                            </w:pPr>
                            <w:r>
                              <w:rPr>
                                <w:rFonts w:ascii="Arial" w:hAnsi="Arial"/>
                                <w:sz w:val="18"/>
                                <w:szCs w:val="18"/>
                              </w:rPr>
                              <w:t> </w:t>
                            </w:r>
                          </w:p>
                        </w:txbxContent>
                      </v:textbox>
                    </v:shape>
                  </v:group>
                </v:group>
                <v:group id="Group 18" o:spid="_x0000_s1043" style="position:absolute;left:20119;top:30395;width:12386;height:11806" coordsize="12386,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">
                  <v:group id="Group 20" o:spid="_x0000_s1044" style="position:absolute;left:35;width:11383;height:11051" coordsize="11382,1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">
                    <v:rect id="Rectangle 21" o:spid="_x0000_s1045" style="position:absolute;width:11382;height:5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" strokecolor="white" strokeweight=".5pt">
                      <v:stroke joinstyle="round"/>
                    </v:rect>
                    <v:shape id="Text Box 22" o:spid="_x0000_s1046" type="#_x0000_t202" style="position:absolute;top:6188;width:11381;height:4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" filled="f" stroked="f" strokeweight="1pt">
                      <v:stroke miterlimit="4"/>
                      <v:textbox inset="1.27mm,1.27mm,1.27mm,1.27mm">
                        <w:txbxContent>
                          <w:p w14:paraId="1ED21EE1" w14:textId="77777777" w:rsidR="00E01C28" w:rsidRDefault="00E01C28">
                            <w:pPr>
                              <w:pStyle w:val="NormalWeb"/>
                              <w:spacing w:before="0" w:after="0" w:line="254" w:lineRule="auto"/>
                              <w:jc w:val="center"/>
                            </w:pPr>
                            <w:r>
                              <w:rPr>
                                <w:rFonts w:ascii="Arial" w:hAnsi="Arial"/>
                                <w:sz w:val="18"/>
                                <w:szCs w:val="18"/>
                              </w:rPr>
                              <w:t> Final complete case sample,</w:t>
                            </w:r>
                          </w:p>
                          <w:p w14:paraId="7DF762BE" w14:textId="77777777" w:rsidR="00E01C28" w:rsidRDefault="00E01C28">
                            <w:pPr>
                              <w:pStyle w:val="NormalWeb"/>
                              <w:spacing w:before="0" w:after="0" w:line="254" w:lineRule="auto"/>
                              <w:jc w:val="center"/>
                            </w:pPr>
                            <w:r>
                              <w:rPr>
                                <w:rFonts w:ascii="Arial" w:hAnsi="Arial"/>
                                <w:sz w:val="18"/>
                                <w:szCs w:val="18"/>
                              </w:rPr>
                              <w:t>n = 39,805</w:t>
                            </w:r>
                          </w:p>
                        </w:txbxContent>
                      </v:textbox>
                    </v:shape>
                  </v:group>
                  <v:roundrect id="AutoShape 19" o:spid="_x0000_s1047" style="position:absolute;top:5647;width:12386;height:6159;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" filled="f" strokeweight="1pt">
                    <v:stroke joinstyle="miter"/>
                  </v:roundrect>
                </v:group>
                <v:rect id="Rectangle 26" o:spid="_x0000_s1048" style="position:absolute;left:38298;top:30674;width:12452;height:8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" strokecolor="white" strokeweight=".5pt">
                  <v:stroke joinstyle="round"/>
                </v:rect>
                <v:group id="Group 28" o:spid="_x0000_s1049" style="position:absolute;left:37523;top:11336;width:14851;height:15562" coordsize="14851,1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">
                  <v:roundrect id="AutoShape 29" o:spid="_x0000_s1050" style="position:absolute;width:14851;height:15562;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" strokeweight="1pt">
                    <v:stroke joinstyle="miter"/>
                  </v:roundrect>
                  <v:group id="Group 30" o:spid="_x0000_s1051" style="position:absolute;left:867;top:1408;width:12359;height:13307" coordsize="12358,1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">
                    <v:rect id="Rectangle 31" o:spid="_x0000_s1052" style="position:absolute;width:12358;height:1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" strokecolor="white" strokeweight=".5pt">
                      <v:stroke joinstyle="round"/>
                    </v:rect>
                    <v:shape id="Text Box 32" o:spid="_x0000_s1053" type="#_x0000_t202" style="position:absolute;width:12358;height:1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" filled="f" stroked="f" strokeweight="1pt">
                      <v:stroke miterlimit="4"/>
                      <v:textbox inset="1.27mm,1.27mm,1.27mm,1.27mm">
                        <w:txbxContent>
                          <w:p w14:paraId="4B5EB679" w14:textId="77777777" w:rsidR="00E01C28" w:rsidRDefault="00E01C28">
                            <w:pPr>
                              <w:pStyle w:val="NormalWeb"/>
                              <w:spacing w:before="0" w:after="0" w:line="254" w:lineRule="auto"/>
                              <w:jc w:val="center"/>
                              <w:rPr>
                                <w:rFonts w:ascii="Arial" w:eastAsia="Arial" w:hAnsi="Arial" w:cs="Arial"/>
                                <w:sz w:val="18"/>
                                <w:szCs w:val="18"/>
                              </w:rPr>
                            </w:pPr>
                            <w:r>
                              <w:rPr>
                                <w:rFonts w:ascii="Arial" w:hAnsi="Arial"/>
                                <w:sz w:val="18"/>
                                <w:szCs w:val="18"/>
                              </w:rPr>
                              <w:t>Ineligible cases removed,</w:t>
                            </w:r>
                          </w:p>
                          <w:p w14:paraId="0B8B1920" w14:textId="77777777" w:rsidR="00E01C28" w:rsidRDefault="00E01C28">
                            <w:pPr>
                              <w:pStyle w:val="NormalWeb"/>
                              <w:spacing w:before="0" w:after="0" w:line="254" w:lineRule="auto"/>
                              <w:jc w:val="center"/>
                              <w:rPr>
                                <w:rFonts w:ascii="Arial" w:eastAsia="Arial" w:hAnsi="Arial" w:cs="Arial"/>
                                <w:sz w:val="18"/>
                                <w:szCs w:val="18"/>
                              </w:rPr>
                            </w:pPr>
                            <w:r>
                              <w:rPr>
                                <w:rFonts w:ascii="Arial" w:hAnsi="Arial"/>
                                <w:sz w:val="18"/>
                                <w:szCs w:val="18"/>
                              </w:rPr>
                              <w:t>Advanced: 3,039</w:t>
                            </w:r>
                          </w:p>
                          <w:p w14:paraId="724F99F1" w14:textId="77777777" w:rsidR="00E01C28" w:rsidRDefault="00E01C28">
                            <w:pPr>
                              <w:pStyle w:val="NormalWeb"/>
                              <w:spacing w:before="0" w:after="0" w:line="254" w:lineRule="auto"/>
                              <w:jc w:val="center"/>
                              <w:rPr>
                                <w:rFonts w:ascii="Arial" w:eastAsia="Arial" w:hAnsi="Arial" w:cs="Arial"/>
                                <w:sz w:val="18"/>
                                <w:szCs w:val="18"/>
                              </w:rPr>
                            </w:pPr>
                            <w:r>
                              <w:rPr>
                                <w:rFonts w:ascii="Arial" w:hAnsi="Arial"/>
                                <w:sz w:val="18"/>
                                <w:szCs w:val="18"/>
                              </w:rPr>
                              <w:t>Male: 345</w:t>
                            </w:r>
                          </w:p>
                          <w:p w14:paraId="72D1B107" w14:textId="77777777" w:rsidR="00E01C28" w:rsidRDefault="00E01C28">
                            <w:pPr>
                              <w:pStyle w:val="NormalWeb"/>
                              <w:spacing w:before="0" w:after="0" w:line="254" w:lineRule="auto"/>
                              <w:jc w:val="center"/>
                              <w:rPr>
                                <w:rFonts w:ascii="Arial" w:eastAsia="Arial" w:hAnsi="Arial" w:cs="Arial"/>
                                <w:sz w:val="18"/>
                                <w:szCs w:val="18"/>
                              </w:rPr>
                            </w:pPr>
                            <w:r>
                              <w:rPr>
                                <w:rFonts w:ascii="Arial" w:hAnsi="Arial"/>
                                <w:sz w:val="18"/>
                                <w:szCs w:val="18"/>
                              </w:rPr>
                              <w:t>No surgery: 8,063</w:t>
                            </w:r>
                          </w:p>
                          <w:p w14:paraId="71814AC2" w14:textId="77777777" w:rsidR="00E01C28" w:rsidRDefault="00E01C28">
                            <w:pPr>
                              <w:pStyle w:val="NormalWeb"/>
                              <w:spacing w:before="0" w:after="0" w:line="254" w:lineRule="auto"/>
                              <w:jc w:val="center"/>
                              <w:rPr>
                                <w:rFonts w:ascii="Arial" w:eastAsia="Arial" w:hAnsi="Arial" w:cs="Arial"/>
                                <w:sz w:val="18"/>
                                <w:szCs w:val="18"/>
                              </w:rPr>
                            </w:pPr>
                            <w:r>
                              <w:rPr>
                                <w:rFonts w:ascii="Arial" w:hAnsi="Arial"/>
                                <w:sz w:val="18"/>
                                <w:szCs w:val="18"/>
                              </w:rPr>
                              <w:t>Neo-adjuvant: 4,201</w:t>
                            </w:r>
                          </w:p>
                          <w:p w14:paraId="081DE001" w14:textId="77777777" w:rsidR="00E01C28" w:rsidRDefault="00E01C28">
                            <w:pPr>
                              <w:pStyle w:val="NormalWeb"/>
                              <w:spacing w:before="0" w:after="0" w:line="254" w:lineRule="auto"/>
                              <w:jc w:val="center"/>
                              <w:rPr>
                                <w:rFonts w:ascii="Arial" w:eastAsia="Arial" w:hAnsi="Arial" w:cs="Arial"/>
                                <w:sz w:val="18"/>
                                <w:szCs w:val="18"/>
                              </w:rPr>
                            </w:pPr>
                            <w:r>
                              <w:rPr>
                                <w:rFonts w:ascii="Arial" w:hAnsi="Arial"/>
                                <w:sz w:val="18"/>
                                <w:szCs w:val="18"/>
                              </w:rPr>
                              <w:t>(applied sequentially)</w:t>
                            </w:r>
                          </w:p>
                          <w:p w14:paraId="7D272CA6" w14:textId="77777777" w:rsidR="00E01C28" w:rsidRDefault="00E01C28">
                            <w:pPr>
                              <w:pStyle w:val="NormalWeb"/>
                              <w:spacing w:before="0" w:after="160" w:line="252" w:lineRule="auto"/>
                            </w:pPr>
                            <w:r>
                              <w:rPr>
                                <w:rFonts w:ascii="Arial" w:hAnsi="Arial"/>
                                <w:sz w:val="18"/>
                                <w:szCs w:val="18"/>
                              </w:rPr>
                              <w:t> </w:t>
                            </w:r>
                          </w:p>
                        </w:txbxContent>
                      </v:textbox>
                    </v:shape>
                  </v:group>
                </v:group>
                <v:group id="Group 33" o:spid="_x0000_s1054" style="position:absolute;top:24829;width:14852;height:9156" coordsize="14852,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">
                  <v:roundrect id="AutoShape 34" o:spid="_x0000_s1055" style="position:absolute;width:14852;height:9156;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" strokeweight="1pt">
                    <v:stroke joinstyle="miter"/>
                  </v:roundrect>
                  <v:group id="Text Box 37" o:spid="_x0000_s1056" style="position:absolute;left:1355;top:2038;width:11922;height:5670" coordsize="11921,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">
                    <v:rect id="Shape 1073741855" o:spid="_x0000_s1057" style="position:absolute;width:11921;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" stroked="f" strokeweight="1pt">
                      <v:stroke miterlimit="4"/>
                    </v:rect>
                    <v:shape id="Shape 1073741856" o:spid="_x0000_s1058" type="#_x0000_t202" style="position:absolute;width:11921;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" filled="f" stroked="f" strokeweight="1pt">
                      <v:stroke miterlimit="4"/>
                      <v:textbox inset="1.27mm,1.27mm,1.27mm,1.27mm">
                        <w:txbxContent>
                          <w:p w14:paraId="1954E514" w14:textId="77777777" w:rsidR="00E01C28" w:rsidRDefault="00E01C28">
                            <w:pPr>
                              <w:pStyle w:val="NormalWeb"/>
                              <w:spacing w:before="0" w:after="0" w:line="254" w:lineRule="auto"/>
                              <w:jc w:val="center"/>
                            </w:pPr>
                            <w:r>
                              <w:rPr>
                                <w:rFonts w:ascii="Arial" w:hAnsi="Arial"/>
                                <w:sz w:val="18"/>
                                <w:szCs w:val="18"/>
                              </w:rPr>
                              <w:t>Cases with missing variables, n = 5,983</w:t>
                            </w:r>
                          </w:p>
                          <w:p w14:paraId="68E4F0DA" w14:textId="77777777" w:rsidR="00E01C28" w:rsidRDefault="00E01C28">
                            <w:pPr>
                              <w:pStyle w:val="NormalWeb"/>
                              <w:spacing w:before="0" w:after="160" w:line="252" w:lineRule="auto"/>
                            </w:pPr>
                            <w:r>
                              <w:rPr>
                                <w:rFonts w:ascii="Arial" w:hAnsi="Arial"/>
                                <w:sz w:val="18"/>
                                <w:szCs w:val="18"/>
                              </w:rPr>
                              <w:t> </w:t>
                            </w:r>
                          </w:p>
                        </w:txbxContent>
                      </v:textbox>
                    </v:shape>
                  </v:group>
                </v:group>
                <v:line id="Line 38" o:spid="_x0000_s1059" style="position:absolute;visibility:visible;mso-wrap-style:square" from="25726,7036" to="25726,1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" strokeweight=".5pt">
                  <v:stroke endarrow="block" joinstyle="miter"/>
                </v:line>
                <v:line id="Line 39" o:spid="_x0000_s1060" style="position:absolute;visibility:visible;mso-wrap-style:square" from="25847,18394" to="25848,26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" strokeweight=".5pt">
                  <v:stroke endarrow="block" joinstyle="miter"/>
                </v:line>
                <v:line id="Line 41" o:spid="_x0000_s1061" style="position:absolute;visibility:visible;mso-wrap-style:square" from="32023,3541" to="37508,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" strokeweight=".5pt">
                  <v:stroke endarrow="block" joinstyle="miter"/>
                </v:line>
                <v:line id="Line 42" o:spid="_x0000_s1062" style="position:absolute;flip:y;visibility:visible;mso-wrap-style:square" from="32031,14804" to="37508,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" strokeweight=".5pt">
                  <v:stroke endarrow="block" joinstyle="miter"/>
                </v:line>
                <v:line id="Line 48" o:spid="_x0000_s1063" style="position:absolute;flip:x;visibility:visible;mso-wrap-style:square" from="14852,29147" to="19502,29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" strokeweight=".5pt">
                  <v:stroke endarrow="block" joinstyle="miter"/>
                </v:line>
                <w10:anchorlock/>
              </v:group>
            </w:pict>
          </mc:Fallback>
        </mc:AlternateContent>
      </w:r>
    </w:p>
    <w:p w14:paraId="08B4B9D4" w14:textId="77777777" w:rsidR="00E73C9D" w:rsidRDefault="00E73C9D">
      <w:pPr>
        <w:pStyle w:val="Titre21"/>
      </w:pPr>
    </w:p>
    <w:p w14:paraId="1849AD92" w14:textId="77777777" w:rsidR="00E73C9D" w:rsidRDefault="00C57731">
      <w:pPr>
        <w:pStyle w:val="Caption"/>
      </w:pPr>
      <w:r>
        <w:t>Table 2 - Sample Characteristics</w:t>
      </w:r>
    </w:p>
    <w:tbl>
      <w:tblPr>
        <w:tblW w:w="74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774"/>
        <w:gridCol w:w="999"/>
        <w:gridCol w:w="767"/>
        <w:gridCol w:w="1063"/>
        <w:gridCol w:w="815"/>
      </w:tblGrid>
      <w:tr w:rsidR="00E73C9D" w:rsidRPr="00AA6C8A" w14:paraId="5EA97BEF" w14:textId="77777777">
        <w:trPr>
          <w:trHeight w:val="250"/>
        </w:trPr>
        <w:tc>
          <w:tcPr>
            <w:tcW w:w="377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D946C51" w14:textId="77777777" w:rsidR="00E73C9D" w:rsidRPr="00AA6C8A" w:rsidRDefault="00E73C9D">
            <w:pPr>
              <w:rPr>
                <w:rFonts w:ascii="Arial" w:hAnsi="Arial" w:cs="Arial"/>
                <w:sz w:val="20"/>
                <w:szCs w:val="20"/>
              </w:rPr>
            </w:pPr>
          </w:p>
        </w:tc>
        <w:tc>
          <w:tcPr>
            <w:tcW w:w="1766"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20C34B2" w14:textId="77777777" w:rsidR="00E73C9D" w:rsidRPr="00AA6C8A" w:rsidRDefault="00C57731">
            <w:pPr>
              <w:pStyle w:val="Body"/>
              <w:spacing w:after="0" w:line="240" w:lineRule="auto"/>
              <w:rPr>
                <w:rFonts w:cs="Arial"/>
                <w:sz w:val="20"/>
                <w:szCs w:val="20"/>
              </w:rPr>
            </w:pPr>
            <w:r w:rsidRPr="00AA6C8A">
              <w:rPr>
                <w:rFonts w:cs="Arial"/>
                <w:sz w:val="20"/>
                <w:szCs w:val="20"/>
              </w:rPr>
              <w:t>Full cohort</w:t>
            </w:r>
          </w:p>
        </w:tc>
        <w:tc>
          <w:tcPr>
            <w:tcW w:w="1878"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94E5F43" w14:textId="7B93DF0F" w:rsidR="00E73C9D" w:rsidRPr="00AA6C8A" w:rsidRDefault="00C57731">
            <w:pPr>
              <w:pStyle w:val="Body"/>
              <w:spacing w:after="0" w:line="240" w:lineRule="auto"/>
              <w:rPr>
                <w:rFonts w:cs="Arial"/>
                <w:sz w:val="20"/>
                <w:szCs w:val="20"/>
              </w:rPr>
            </w:pPr>
            <w:r w:rsidRPr="00AA6C8A">
              <w:rPr>
                <w:rFonts w:cs="Arial"/>
                <w:sz w:val="20"/>
                <w:szCs w:val="20"/>
              </w:rPr>
              <w:t>Trial represent</w:t>
            </w:r>
            <w:r w:rsidR="002E7B43" w:rsidRPr="00AA6C8A">
              <w:rPr>
                <w:rFonts w:cs="Arial"/>
                <w:sz w:val="20"/>
                <w:szCs w:val="20"/>
              </w:rPr>
              <w:t>ative</w:t>
            </w:r>
            <w:r w:rsidR="00D9444B">
              <w:rPr>
                <w:rFonts w:cs="Arial"/>
                <w:sz w:val="20"/>
                <w:szCs w:val="20"/>
              </w:rPr>
              <w:t xml:space="preserve"> cohort</w:t>
            </w:r>
          </w:p>
        </w:tc>
      </w:tr>
      <w:tr w:rsidR="00E73C9D" w:rsidRPr="00AA6C8A" w14:paraId="09EE168B" w14:textId="77777777">
        <w:trPr>
          <w:trHeight w:val="248"/>
        </w:trPr>
        <w:tc>
          <w:tcPr>
            <w:tcW w:w="3774" w:type="dxa"/>
            <w:tcBorders>
              <w:top w:val="single" w:sz="4" w:space="0" w:color="000000"/>
              <w:left w:val="nil"/>
              <w:bottom w:val="nil"/>
              <w:right w:val="nil"/>
            </w:tcBorders>
            <w:shd w:val="clear" w:color="auto" w:fill="auto"/>
            <w:tcMar>
              <w:top w:w="80" w:type="dxa"/>
              <w:left w:w="80" w:type="dxa"/>
              <w:bottom w:w="80" w:type="dxa"/>
              <w:right w:w="80" w:type="dxa"/>
            </w:tcMar>
          </w:tcPr>
          <w:p w14:paraId="27045D90" w14:textId="77777777" w:rsidR="00E73C9D" w:rsidRPr="00AA6C8A" w:rsidRDefault="00C57731">
            <w:pPr>
              <w:pStyle w:val="Body"/>
              <w:spacing w:after="0" w:line="240" w:lineRule="auto"/>
              <w:rPr>
                <w:rFonts w:cs="Arial"/>
                <w:sz w:val="20"/>
                <w:szCs w:val="20"/>
              </w:rPr>
            </w:pPr>
            <w:r w:rsidRPr="00AA6C8A">
              <w:rPr>
                <w:rFonts w:cs="Arial"/>
                <w:sz w:val="20"/>
                <w:szCs w:val="20"/>
              </w:rPr>
              <w:t>Total number of subjects</w:t>
            </w:r>
          </w:p>
        </w:tc>
        <w:tc>
          <w:tcPr>
            <w:tcW w:w="1766" w:type="dxa"/>
            <w:gridSpan w:val="2"/>
            <w:tcBorders>
              <w:top w:val="single" w:sz="4" w:space="0" w:color="000000"/>
              <w:left w:val="nil"/>
              <w:bottom w:val="nil"/>
              <w:right w:val="nil"/>
            </w:tcBorders>
            <w:shd w:val="clear" w:color="auto" w:fill="auto"/>
            <w:tcMar>
              <w:top w:w="80" w:type="dxa"/>
              <w:left w:w="80" w:type="dxa"/>
              <w:bottom w:w="80" w:type="dxa"/>
              <w:right w:w="80" w:type="dxa"/>
            </w:tcMar>
          </w:tcPr>
          <w:p w14:paraId="6D8619B4" w14:textId="77777777" w:rsidR="00E73C9D" w:rsidRPr="00AA6C8A" w:rsidRDefault="00C57731">
            <w:pPr>
              <w:pStyle w:val="Body"/>
              <w:spacing w:after="0" w:line="240" w:lineRule="auto"/>
              <w:rPr>
                <w:rFonts w:cs="Arial"/>
                <w:sz w:val="20"/>
                <w:szCs w:val="20"/>
              </w:rPr>
            </w:pPr>
            <w:r w:rsidRPr="00AA6C8A">
              <w:rPr>
                <w:rFonts w:cs="Arial"/>
                <w:sz w:val="20"/>
                <w:szCs w:val="20"/>
              </w:rPr>
              <w:t>39,805</w:t>
            </w:r>
          </w:p>
        </w:tc>
        <w:tc>
          <w:tcPr>
            <w:tcW w:w="1878" w:type="dxa"/>
            <w:gridSpan w:val="2"/>
            <w:tcBorders>
              <w:top w:val="single" w:sz="4" w:space="0" w:color="000000"/>
              <w:left w:val="nil"/>
              <w:bottom w:val="nil"/>
              <w:right w:val="nil"/>
            </w:tcBorders>
            <w:shd w:val="clear" w:color="auto" w:fill="auto"/>
            <w:tcMar>
              <w:top w:w="80" w:type="dxa"/>
              <w:left w:w="80" w:type="dxa"/>
              <w:bottom w:w="80" w:type="dxa"/>
              <w:right w:w="80" w:type="dxa"/>
            </w:tcMar>
          </w:tcPr>
          <w:p w14:paraId="4C94F7AA" w14:textId="77777777" w:rsidR="00E73C9D" w:rsidRPr="00AA6C8A" w:rsidRDefault="00C57731">
            <w:pPr>
              <w:pStyle w:val="Body"/>
              <w:spacing w:after="0" w:line="240" w:lineRule="auto"/>
              <w:rPr>
                <w:rFonts w:cs="Arial"/>
                <w:sz w:val="20"/>
                <w:szCs w:val="20"/>
              </w:rPr>
            </w:pPr>
            <w:r w:rsidRPr="00AA6C8A">
              <w:rPr>
                <w:rFonts w:cs="Arial"/>
                <w:sz w:val="20"/>
                <w:szCs w:val="20"/>
              </w:rPr>
              <w:t>12,870</w:t>
            </w:r>
          </w:p>
        </w:tc>
      </w:tr>
      <w:tr w:rsidR="00E73C9D" w:rsidRPr="00AA6C8A" w14:paraId="39C6F5DF"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tcPr>
          <w:p w14:paraId="0DE3878C" w14:textId="77777777" w:rsidR="00E73C9D" w:rsidRPr="00AA6C8A" w:rsidRDefault="00C57731">
            <w:pPr>
              <w:pStyle w:val="Body"/>
              <w:spacing w:after="0" w:line="240" w:lineRule="auto"/>
              <w:rPr>
                <w:rFonts w:cs="Arial"/>
                <w:sz w:val="20"/>
                <w:szCs w:val="20"/>
              </w:rPr>
            </w:pPr>
            <w:r w:rsidRPr="00AA6C8A">
              <w:rPr>
                <w:rFonts w:cs="Arial"/>
                <w:sz w:val="20"/>
                <w:szCs w:val="20"/>
              </w:rPr>
              <w:t>Total time at risk (years)</w:t>
            </w:r>
          </w:p>
        </w:tc>
        <w:tc>
          <w:tcPr>
            <w:tcW w:w="1766" w:type="dxa"/>
            <w:gridSpan w:val="2"/>
            <w:tcBorders>
              <w:top w:val="nil"/>
              <w:left w:val="nil"/>
              <w:bottom w:val="nil"/>
              <w:right w:val="nil"/>
            </w:tcBorders>
            <w:shd w:val="clear" w:color="auto" w:fill="auto"/>
            <w:tcMar>
              <w:top w:w="80" w:type="dxa"/>
              <w:left w:w="80" w:type="dxa"/>
              <w:bottom w:w="80" w:type="dxa"/>
              <w:right w:w="80" w:type="dxa"/>
            </w:tcMar>
          </w:tcPr>
          <w:p w14:paraId="6CD3D069" w14:textId="235E3C5B" w:rsidR="00E73C9D" w:rsidRPr="00AA6C8A" w:rsidRDefault="00D528B2">
            <w:pPr>
              <w:pStyle w:val="Body"/>
              <w:spacing w:after="0" w:line="240" w:lineRule="auto"/>
              <w:rPr>
                <w:rFonts w:cs="Arial"/>
                <w:sz w:val="20"/>
                <w:szCs w:val="20"/>
              </w:rPr>
            </w:pPr>
            <w:r>
              <w:rPr>
                <w:rFonts w:cs="Arial"/>
                <w:sz w:val="20"/>
                <w:szCs w:val="20"/>
              </w:rPr>
              <w:t>278,984</w:t>
            </w:r>
          </w:p>
        </w:tc>
        <w:tc>
          <w:tcPr>
            <w:tcW w:w="1878" w:type="dxa"/>
            <w:gridSpan w:val="2"/>
            <w:tcBorders>
              <w:top w:val="nil"/>
              <w:left w:val="nil"/>
              <w:bottom w:val="nil"/>
              <w:right w:val="nil"/>
            </w:tcBorders>
            <w:shd w:val="clear" w:color="auto" w:fill="auto"/>
            <w:tcMar>
              <w:top w:w="80" w:type="dxa"/>
              <w:left w:w="80" w:type="dxa"/>
              <w:bottom w:w="80" w:type="dxa"/>
              <w:right w:w="80" w:type="dxa"/>
            </w:tcMar>
          </w:tcPr>
          <w:p w14:paraId="14EF4216" w14:textId="4196A601" w:rsidR="00E73C9D" w:rsidRPr="00AA6C8A" w:rsidRDefault="00D528B2">
            <w:pPr>
              <w:pStyle w:val="Body"/>
              <w:spacing w:after="0" w:line="240" w:lineRule="auto"/>
              <w:rPr>
                <w:rFonts w:cs="Arial"/>
                <w:sz w:val="20"/>
                <w:szCs w:val="20"/>
              </w:rPr>
            </w:pPr>
            <w:r>
              <w:rPr>
                <w:rFonts w:cs="Arial"/>
                <w:sz w:val="20"/>
                <w:szCs w:val="20"/>
              </w:rPr>
              <w:t>93,222</w:t>
            </w:r>
          </w:p>
        </w:tc>
      </w:tr>
      <w:tr w:rsidR="00E73C9D" w:rsidRPr="00AA6C8A" w14:paraId="46FCDFF4"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tcPr>
          <w:p w14:paraId="20D3487A" w14:textId="77777777" w:rsidR="00E73C9D" w:rsidRPr="00AA6C8A" w:rsidRDefault="00C57731">
            <w:pPr>
              <w:pStyle w:val="Body"/>
              <w:spacing w:after="0" w:line="240" w:lineRule="auto"/>
              <w:rPr>
                <w:rFonts w:cs="Arial"/>
                <w:sz w:val="20"/>
                <w:szCs w:val="20"/>
              </w:rPr>
            </w:pPr>
            <w:r w:rsidRPr="00AA6C8A">
              <w:rPr>
                <w:rFonts w:cs="Arial"/>
                <w:sz w:val="20"/>
                <w:szCs w:val="20"/>
              </w:rPr>
              <w:t>Median follow-up (years)</w:t>
            </w:r>
          </w:p>
        </w:tc>
        <w:tc>
          <w:tcPr>
            <w:tcW w:w="1766" w:type="dxa"/>
            <w:gridSpan w:val="2"/>
            <w:tcBorders>
              <w:top w:val="nil"/>
              <w:left w:val="nil"/>
              <w:bottom w:val="nil"/>
              <w:right w:val="nil"/>
            </w:tcBorders>
            <w:shd w:val="clear" w:color="auto" w:fill="auto"/>
            <w:tcMar>
              <w:top w:w="80" w:type="dxa"/>
              <w:left w:w="80" w:type="dxa"/>
              <w:bottom w:w="80" w:type="dxa"/>
              <w:right w:w="80" w:type="dxa"/>
            </w:tcMar>
          </w:tcPr>
          <w:p w14:paraId="64902957" w14:textId="77777777" w:rsidR="00E73C9D" w:rsidRPr="00AA6C8A" w:rsidRDefault="00C57731">
            <w:pPr>
              <w:pStyle w:val="Body"/>
              <w:spacing w:after="0" w:line="240" w:lineRule="auto"/>
              <w:rPr>
                <w:rFonts w:cs="Arial"/>
                <w:sz w:val="20"/>
                <w:szCs w:val="20"/>
              </w:rPr>
            </w:pPr>
            <w:r w:rsidRPr="00AA6C8A">
              <w:rPr>
                <w:rFonts w:cs="Arial"/>
                <w:sz w:val="20"/>
                <w:szCs w:val="20"/>
              </w:rPr>
              <w:t>6.35</w:t>
            </w:r>
          </w:p>
        </w:tc>
        <w:tc>
          <w:tcPr>
            <w:tcW w:w="1878" w:type="dxa"/>
            <w:gridSpan w:val="2"/>
            <w:tcBorders>
              <w:top w:val="nil"/>
              <w:left w:val="nil"/>
              <w:bottom w:val="nil"/>
              <w:right w:val="nil"/>
            </w:tcBorders>
            <w:shd w:val="clear" w:color="auto" w:fill="auto"/>
            <w:tcMar>
              <w:top w:w="80" w:type="dxa"/>
              <w:left w:w="80" w:type="dxa"/>
              <w:bottom w:w="80" w:type="dxa"/>
              <w:right w:w="80" w:type="dxa"/>
            </w:tcMar>
          </w:tcPr>
          <w:p w14:paraId="098ED137" w14:textId="77777777" w:rsidR="00E73C9D" w:rsidRPr="00AA6C8A" w:rsidRDefault="00C57731">
            <w:pPr>
              <w:pStyle w:val="Body"/>
              <w:spacing w:after="0" w:line="240" w:lineRule="auto"/>
              <w:rPr>
                <w:rFonts w:cs="Arial"/>
                <w:sz w:val="20"/>
                <w:szCs w:val="20"/>
              </w:rPr>
            </w:pPr>
            <w:r w:rsidRPr="00AA6C8A">
              <w:rPr>
                <w:rFonts w:cs="Arial"/>
                <w:sz w:val="20"/>
                <w:szCs w:val="20"/>
              </w:rPr>
              <w:t>6.64</w:t>
            </w:r>
          </w:p>
        </w:tc>
      </w:tr>
      <w:tr w:rsidR="00E73C9D" w:rsidRPr="00AA6C8A" w14:paraId="57FAB278"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tcPr>
          <w:p w14:paraId="6E287D96" w14:textId="77777777" w:rsidR="00E73C9D" w:rsidRPr="00AA6C8A" w:rsidRDefault="00C57731">
            <w:pPr>
              <w:pStyle w:val="Body"/>
              <w:spacing w:after="0" w:line="240" w:lineRule="auto"/>
              <w:rPr>
                <w:rFonts w:cs="Arial"/>
                <w:sz w:val="20"/>
                <w:szCs w:val="20"/>
              </w:rPr>
            </w:pPr>
            <w:r w:rsidRPr="00AA6C8A">
              <w:rPr>
                <w:rFonts w:cs="Arial"/>
                <w:sz w:val="20"/>
                <w:szCs w:val="20"/>
              </w:rPr>
              <w:t>Number of breast cancer deaths</w:t>
            </w:r>
          </w:p>
        </w:tc>
        <w:tc>
          <w:tcPr>
            <w:tcW w:w="1766" w:type="dxa"/>
            <w:gridSpan w:val="2"/>
            <w:tcBorders>
              <w:top w:val="nil"/>
              <w:left w:val="nil"/>
              <w:bottom w:val="nil"/>
              <w:right w:val="nil"/>
            </w:tcBorders>
            <w:shd w:val="clear" w:color="auto" w:fill="auto"/>
            <w:tcMar>
              <w:top w:w="80" w:type="dxa"/>
              <w:left w:w="80" w:type="dxa"/>
              <w:bottom w:w="80" w:type="dxa"/>
              <w:right w:w="80" w:type="dxa"/>
            </w:tcMar>
          </w:tcPr>
          <w:p w14:paraId="2266DD8D" w14:textId="77777777" w:rsidR="00E73C9D" w:rsidRPr="00AA6C8A" w:rsidRDefault="00C57731">
            <w:pPr>
              <w:pStyle w:val="Body"/>
              <w:spacing w:after="0" w:line="240" w:lineRule="auto"/>
              <w:rPr>
                <w:rFonts w:cs="Arial"/>
                <w:sz w:val="20"/>
                <w:szCs w:val="20"/>
              </w:rPr>
            </w:pPr>
            <w:r w:rsidRPr="00AA6C8A">
              <w:rPr>
                <w:rFonts w:cs="Arial"/>
                <w:sz w:val="20"/>
                <w:szCs w:val="20"/>
              </w:rPr>
              <w:t>4,977</w:t>
            </w:r>
          </w:p>
        </w:tc>
        <w:tc>
          <w:tcPr>
            <w:tcW w:w="1878" w:type="dxa"/>
            <w:gridSpan w:val="2"/>
            <w:tcBorders>
              <w:top w:val="nil"/>
              <w:left w:val="nil"/>
              <w:bottom w:val="nil"/>
              <w:right w:val="nil"/>
            </w:tcBorders>
            <w:shd w:val="clear" w:color="auto" w:fill="auto"/>
            <w:tcMar>
              <w:top w:w="80" w:type="dxa"/>
              <w:left w:w="80" w:type="dxa"/>
              <w:bottom w:w="80" w:type="dxa"/>
              <w:right w:w="80" w:type="dxa"/>
            </w:tcMar>
          </w:tcPr>
          <w:p w14:paraId="5F4E4004" w14:textId="77777777" w:rsidR="00E73C9D" w:rsidRPr="00AA6C8A" w:rsidRDefault="00C57731">
            <w:pPr>
              <w:pStyle w:val="Body"/>
              <w:spacing w:after="0" w:line="240" w:lineRule="auto"/>
              <w:rPr>
                <w:rFonts w:cs="Arial"/>
                <w:sz w:val="20"/>
                <w:szCs w:val="20"/>
              </w:rPr>
            </w:pPr>
            <w:r w:rsidRPr="00AA6C8A">
              <w:rPr>
                <w:rFonts w:cs="Arial"/>
                <w:sz w:val="20"/>
                <w:szCs w:val="20"/>
              </w:rPr>
              <w:t>2,126</w:t>
            </w:r>
          </w:p>
        </w:tc>
      </w:tr>
      <w:tr w:rsidR="00E73C9D" w:rsidRPr="00AA6C8A" w14:paraId="201A9AF2"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tcPr>
          <w:p w14:paraId="479D7757" w14:textId="77777777" w:rsidR="00E73C9D" w:rsidRPr="00AA6C8A" w:rsidRDefault="00C57731">
            <w:pPr>
              <w:pStyle w:val="Body"/>
              <w:spacing w:after="0" w:line="240" w:lineRule="auto"/>
              <w:rPr>
                <w:rFonts w:cs="Arial"/>
                <w:sz w:val="20"/>
                <w:szCs w:val="20"/>
              </w:rPr>
            </w:pPr>
            <w:r w:rsidRPr="00AA6C8A">
              <w:rPr>
                <w:rFonts w:cs="Arial"/>
                <w:sz w:val="20"/>
                <w:szCs w:val="20"/>
              </w:rPr>
              <w:t>Number of other deaths</w:t>
            </w:r>
          </w:p>
        </w:tc>
        <w:tc>
          <w:tcPr>
            <w:tcW w:w="1766" w:type="dxa"/>
            <w:gridSpan w:val="2"/>
            <w:tcBorders>
              <w:top w:val="nil"/>
              <w:left w:val="nil"/>
              <w:bottom w:val="nil"/>
              <w:right w:val="nil"/>
            </w:tcBorders>
            <w:shd w:val="clear" w:color="auto" w:fill="auto"/>
            <w:tcMar>
              <w:top w:w="80" w:type="dxa"/>
              <w:left w:w="80" w:type="dxa"/>
              <w:bottom w:w="80" w:type="dxa"/>
              <w:right w:w="80" w:type="dxa"/>
            </w:tcMar>
          </w:tcPr>
          <w:p w14:paraId="7EF824F6" w14:textId="77777777" w:rsidR="00E73C9D" w:rsidRPr="00AA6C8A" w:rsidRDefault="00C57731">
            <w:pPr>
              <w:pStyle w:val="Body"/>
              <w:spacing w:after="0" w:line="240" w:lineRule="auto"/>
              <w:rPr>
                <w:rFonts w:cs="Arial"/>
                <w:sz w:val="20"/>
                <w:szCs w:val="20"/>
              </w:rPr>
            </w:pPr>
            <w:r w:rsidRPr="00AA6C8A">
              <w:rPr>
                <w:rFonts w:cs="Arial"/>
                <w:sz w:val="20"/>
                <w:szCs w:val="20"/>
              </w:rPr>
              <w:t>3,624</w:t>
            </w:r>
          </w:p>
        </w:tc>
        <w:tc>
          <w:tcPr>
            <w:tcW w:w="1878" w:type="dxa"/>
            <w:gridSpan w:val="2"/>
            <w:tcBorders>
              <w:top w:val="nil"/>
              <w:left w:val="nil"/>
              <w:bottom w:val="nil"/>
              <w:right w:val="nil"/>
            </w:tcBorders>
            <w:shd w:val="clear" w:color="auto" w:fill="auto"/>
            <w:tcMar>
              <w:top w:w="80" w:type="dxa"/>
              <w:left w:w="80" w:type="dxa"/>
              <w:bottom w:w="80" w:type="dxa"/>
              <w:right w:w="80" w:type="dxa"/>
            </w:tcMar>
          </w:tcPr>
          <w:p w14:paraId="10AEE1D6" w14:textId="77777777" w:rsidR="00E73C9D" w:rsidRPr="00AA6C8A" w:rsidRDefault="00C57731">
            <w:pPr>
              <w:pStyle w:val="Body"/>
              <w:spacing w:after="0" w:line="240" w:lineRule="auto"/>
              <w:rPr>
                <w:rFonts w:cs="Arial"/>
                <w:sz w:val="20"/>
                <w:szCs w:val="20"/>
              </w:rPr>
            </w:pPr>
            <w:r w:rsidRPr="00AA6C8A">
              <w:rPr>
                <w:rFonts w:cs="Arial"/>
                <w:sz w:val="20"/>
                <w:szCs w:val="20"/>
              </w:rPr>
              <w:t>511</w:t>
            </w:r>
          </w:p>
        </w:tc>
      </w:tr>
      <w:tr w:rsidR="00E73C9D" w:rsidRPr="00AA6C8A" w14:paraId="2EB2C630"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tcPr>
          <w:p w14:paraId="37B70557" w14:textId="77777777" w:rsidR="00E73C9D" w:rsidRPr="00AA6C8A" w:rsidRDefault="00C57731">
            <w:pPr>
              <w:pStyle w:val="Body"/>
              <w:spacing w:after="0" w:line="240" w:lineRule="auto"/>
              <w:rPr>
                <w:rFonts w:cs="Arial"/>
                <w:sz w:val="20"/>
                <w:szCs w:val="20"/>
              </w:rPr>
            </w:pPr>
            <w:r w:rsidRPr="00AA6C8A">
              <w:rPr>
                <w:rFonts w:cs="Arial"/>
                <w:sz w:val="20"/>
                <w:szCs w:val="20"/>
              </w:rPr>
              <w:t>Five-year breast cancer survival rate</w:t>
            </w:r>
          </w:p>
        </w:tc>
        <w:tc>
          <w:tcPr>
            <w:tcW w:w="1766" w:type="dxa"/>
            <w:gridSpan w:val="2"/>
            <w:tcBorders>
              <w:top w:val="nil"/>
              <w:left w:val="nil"/>
              <w:bottom w:val="nil"/>
              <w:right w:val="nil"/>
            </w:tcBorders>
            <w:shd w:val="clear" w:color="auto" w:fill="auto"/>
            <w:tcMar>
              <w:top w:w="80" w:type="dxa"/>
              <w:left w:w="80" w:type="dxa"/>
              <w:bottom w:w="80" w:type="dxa"/>
              <w:right w:w="80" w:type="dxa"/>
            </w:tcMar>
          </w:tcPr>
          <w:p w14:paraId="0354A2C4" w14:textId="77777777" w:rsidR="00E73C9D" w:rsidRPr="00AA6C8A" w:rsidRDefault="00C57731">
            <w:pPr>
              <w:pStyle w:val="Body"/>
              <w:spacing w:after="0" w:line="240" w:lineRule="auto"/>
              <w:rPr>
                <w:rFonts w:cs="Arial"/>
                <w:sz w:val="20"/>
                <w:szCs w:val="20"/>
              </w:rPr>
            </w:pPr>
            <w:r w:rsidRPr="00AA6C8A">
              <w:rPr>
                <w:rFonts w:cs="Arial"/>
                <w:sz w:val="20"/>
                <w:szCs w:val="20"/>
              </w:rPr>
              <w:t>87.1%</w:t>
            </w:r>
          </w:p>
        </w:tc>
        <w:tc>
          <w:tcPr>
            <w:tcW w:w="1878" w:type="dxa"/>
            <w:gridSpan w:val="2"/>
            <w:tcBorders>
              <w:top w:val="nil"/>
              <w:left w:val="nil"/>
              <w:bottom w:val="nil"/>
              <w:right w:val="nil"/>
            </w:tcBorders>
            <w:shd w:val="clear" w:color="auto" w:fill="auto"/>
            <w:tcMar>
              <w:top w:w="80" w:type="dxa"/>
              <w:left w:w="80" w:type="dxa"/>
              <w:bottom w:w="80" w:type="dxa"/>
              <w:right w:w="80" w:type="dxa"/>
            </w:tcMar>
          </w:tcPr>
          <w:p w14:paraId="60F4E99B" w14:textId="77777777" w:rsidR="00E73C9D" w:rsidRPr="00AA6C8A" w:rsidRDefault="00C57731">
            <w:pPr>
              <w:pStyle w:val="Body"/>
              <w:spacing w:after="0" w:line="240" w:lineRule="auto"/>
              <w:rPr>
                <w:rFonts w:cs="Arial"/>
                <w:sz w:val="20"/>
                <w:szCs w:val="20"/>
              </w:rPr>
            </w:pPr>
            <w:r w:rsidRPr="00AA6C8A">
              <w:rPr>
                <w:rFonts w:cs="Arial"/>
                <w:sz w:val="20"/>
                <w:szCs w:val="20"/>
              </w:rPr>
              <w:t>86.8%</w:t>
            </w:r>
          </w:p>
        </w:tc>
      </w:tr>
      <w:tr w:rsidR="00E73C9D" w:rsidRPr="00AA6C8A" w14:paraId="6652512C" w14:textId="77777777">
        <w:trPr>
          <w:trHeight w:val="248"/>
        </w:trPr>
        <w:tc>
          <w:tcPr>
            <w:tcW w:w="3774" w:type="dxa"/>
            <w:tcBorders>
              <w:top w:val="nil"/>
              <w:left w:val="nil"/>
              <w:bottom w:val="single" w:sz="4" w:space="0" w:color="000000"/>
              <w:right w:val="nil"/>
            </w:tcBorders>
            <w:shd w:val="clear" w:color="auto" w:fill="auto"/>
            <w:tcMar>
              <w:top w:w="80" w:type="dxa"/>
              <w:left w:w="80" w:type="dxa"/>
              <w:bottom w:w="80" w:type="dxa"/>
              <w:right w:w="80" w:type="dxa"/>
            </w:tcMar>
          </w:tcPr>
          <w:p w14:paraId="1B69F8FB" w14:textId="77777777" w:rsidR="00E73C9D" w:rsidRPr="00AA6C8A" w:rsidRDefault="00C57731">
            <w:pPr>
              <w:pStyle w:val="Body"/>
              <w:spacing w:after="0" w:line="240" w:lineRule="auto"/>
              <w:rPr>
                <w:rFonts w:cs="Arial"/>
                <w:sz w:val="20"/>
                <w:szCs w:val="20"/>
              </w:rPr>
            </w:pPr>
            <w:r w:rsidRPr="00AA6C8A">
              <w:rPr>
                <w:rFonts w:cs="Arial"/>
                <w:sz w:val="20"/>
                <w:szCs w:val="20"/>
              </w:rPr>
              <w:t>Median age at diagnosis, years</w:t>
            </w:r>
          </w:p>
        </w:tc>
        <w:tc>
          <w:tcPr>
            <w:tcW w:w="1766" w:type="dxa"/>
            <w:gridSpan w:val="2"/>
            <w:tcBorders>
              <w:top w:val="nil"/>
              <w:left w:val="nil"/>
              <w:bottom w:val="single" w:sz="4" w:space="0" w:color="000000"/>
              <w:right w:val="nil"/>
            </w:tcBorders>
            <w:shd w:val="clear" w:color="auto" w:fill="auto"/>
            <w:tcMar>
              <w:top w:w="80" w:type="dxa"/>
              <w:left w:w="80" w:type="dxa"/>
              <w:bottom w:w="80" w:type="dxa"/>
              <w:right w:w="80" w:type="dxa"/>
            </w:tcMar>
          </w:tcPr>
          <w:p w14:paraId="4B816AFB" w14:textId="77777777" w:rsidR="00E73C9D" w:rsidRPr="00AA6C8A" w:rsidRDefault="00C57731">
            <w:pPr>
              <w:pStyle w:val="Body"/>
              <w:spacing w:after="0" w:line="240" w:lineRule="auto"/>
              <w:rPr>
                <w:rFonts w:cs="Arial"/>
                <w:sz w:val="20"/>
                <w:szCs w:val="20"/>
              </w:rPr>
            </w:pPr>
            <w:r w:rsidRPr="00AA6C8A">
              <w:rPr>
                <w:rFonts w:cs="Arial"/>
                <w:sz w:val="20"/>
                <w:szCs w:val="20"/>
              </w:rPr>
              <w:t>61</w:t>
            </w:r>
          </w:p>
        </w:tc>
        <w:tc>
          <w:tcPr>
            <w:tcW w:w="1878" w:type="dxa"/>
            <w:gridSpan w:val="2"/>
            <w:tcBorders>
              <w:top w:val="nil"/>
              <w:left w:val="nil"/>
              <w:bottom w:val="single" w:sz="4" w:space="0" w:color="000000"/>
              <w:right w:val="nil"/>
            </w:tcBorders>
            <w:shd w:val="clear" w:color="auto" w:fill="auto"/>
            <w:tcMar>
              <w:top w:w="80" w:type="dxa"/>
              <w:left w:w="80" w:type="dxa"/>
              <w:bottom w:w="80" w:type="dxa"/>
              <w:right w:w="80" w:type="dxa"/>
            </w:tcMar>
          </w:tcPr>
          <w:p w14:paraId="3EF2090F" w14:textId="77777777" w:rsidR="00E73C9D" w:rsidRPr="00AA6C8A" w:rsidRDefault="00C57731">
            <w:pPr>
              <w:pStyle w:val="Body"/>
              <w:spacing w:after="0" w:line="240" w:lineRule="auto"/>
              <w:rPr>
                <w:rFonts w:cs="Arial"/>
                <w:sz w:val="20"/>
                <w:szCs w:val="20"/>
              </w:rPr>
            </w:pPr>
            <w:r w:rsidRPr="00AA6C8A">
              <w:rPr>
                <w:rFonts w:cs="Arial"/>
                <w:sz w:val="20"/>
                <w:szCs w:val="20"/>
              </w:rPr>
              <w:t>54</w:t>
            </w:r>
          </w:p>
        </w:tc>
      </w:tr>
      <w:tr w:rsidR="00E73C9D" w:rsidRPr="00AA6C8A" w14:paraId="6E55A2D8" w14:textId="77777777">
        <w:trPr>
          <w:trHeight w:val="248"/>
        </w:trPr>
        <w:tc>
          <w:tcPr>
            <w:tcW w:w="3774" w:type="dxa"/>
            <w:tcBorders>
              <w:top w:val="single" w:sz="4" w:space="0" w:color="000000"/>
              <w:left w:val="nil"/>
              <w:bottom w:val="nil"/>
              <w:right w:val="nil"/>
            </w:tcBorders>
            <w:shd w:val="clear" w:color="auto" w:fill="auto"/>
            <w:tcMar>
              <w:top w:w="80" w:type="dxa"/>
              <w:left w:w="80" w:type="dxa"/>
              <w:bottom w:w="80" w:type="dxa"/>
              <w:right w:w="80" w:type="dxa"/>
            </w:tcMar>
          </w:tcPr>
          <w:p w14:paraId="7F01052F" w14:textId="77777777" w:rsidR="00E73C9D" w:rsidRPr="00AA6C8A" w:rsidRDefault="00E73C9D">
            <w:pPr>
              <w:rPr>
                <w:rFonts w:ascii="Arial" w:hAnsi="Arial" w:cs="Arial"/>
                <w:sz w:val="20"/>
                <w:szCs w:val="20"/>
              </w:rPr>
            </w:pPr>
          </w:p>
        </w:tc>
        <w:tc>
          <w:tcPr>
            <w:tcW w:w="999" w:type="dxa"/>
            <w:tcBorders>
              <w:top w:val="single" w:sz="4" w:space="0" w:color="000000"/>
              <w:left w:val="nil"/>
              <w:bottom w:val="nil"/>
              <w:right w:val="nil"/>
            </w:tcBorders>
            <w:shd w:val="clear" w:color="auto" w:fill="auto"/>
            <w:tcMar>
              <w:top w:w="80" w:type="dxa"/>
              <w:left w:w="80" w:type="dxa"/>
              <w:bottom w:w="80" w:type="dxa"/>
              <w:right w:w="80" w:type="dxa"/>
            </w:tcMar>
          </w:tcPr>
          <w:p w14:paraId="6530D41B" w14:textId="77777777" w:rsidR="00E73C9D" w:rsidRPr="00AA6C8A" w:rsidRDefault="00C57731">
            <w:pPr>
              <w:pStyle w:val="Body"/>
              <w:spacing w:after="0" w:line="240" w:lineRule="auto"/>
              <w:rPr>
                <w:rFonts w:cs="Arial"/>
                <w:sz w:val="20"/>
                <w:szCs w:val="20"/>
              </w:rPr>
            </w:pPr>
            <w:r w:rsidRPr="00AA6C8A">
              <w:rPr>
                <w:rFonts w:cs="Arial"/>
                <w:sz w:val="20"/>
                <w:szCs w:val="20"/>
              </w:rPr>
              <w:t xml:space="preserve">Number </w:t>
            </w:r>
          </w:p>
        </w:tc>
        <w:tc>
          <w:tcPr>
            <w:tcW w:w="767" w:type="dxa"/>
            <w:tcBorders>
              <w:top w:val="single" w:sz="4" w:space="0" w:color="000000"/>
              <w:left w:val="nil"/>
              <w:bottom w:val="nil"/>
              <w:right w:val="nil"/>
            </w:tcBorders>
            <w:shd w:val="clear" w:color="auto" w:fill="auto"/>
            <w:tcMar>
              <w:top w:w="80" w:type="dxa"/>
              <w:left w:w="80" w:type="dxa"/>
              <w:bottom w:w="80" w:type="dxa"/>
              <w:right w:w="80" w:type="dxa"/>
            </w:tcMar>
          </w:tcPr>
          <w:p w14:paraId="1D460FB7" w14:textId="77777777" w:rsidR="00E73C9D" w:rsidRPr="00AA6C8A" w:rsidRDefault="00C57731">
            <w:pPr>
              <w:pStyle w:val="Body"/>
              <w:spacing w:after="0" w:line="240" w:lineRule="auto"/>
              <w:rPr>
                <w:rFonts w:cs="Arial"/>
                <w:sz w:val="20"/>
                <w:szCs w:val="20"/>
              </w:rPr>
            </w:pPr>
            <w:r w:rsidRPr="00AA6C8A">
              <w:rPr>
                <w:rFonts w:cs="Arial"/>
                <w:sz w:val="20"/>
                <w:szCs w:val="20"/>
              </w:rPr>
              <w:t>(%)</w:t>
            </w:r>
          </w:p>
        </w:tc>
        <w:tc>
          <w:tcPr>
            <w:tcW w:w="1063" w:type="dxa"/>
            <w:tcBorders>
              <w:top w:val="single" w:sz="4" w:space="0" w:color="000000"/>
              <w:left w:val="nil"/>
              <w:bottom w:val="nil"/>
              <w:right w:val="nil"/>
            </w:tcBorders>
            <w:shd w:val="clear" w:color="auto" w:fill="auto"/>
            <w:tcMar>
              <w:top w:w="80" w:type="dxa"/>
              <w:left w:w="80" w:type="dxa"/>
              <w:bottom w:w="80" w:type="dxa"/>
              <w:right w:w="80" w:type="dxa"/>
            </w:tcMar>
          </w:tcPr>
          <w:p w14:paraId="23D59548" w14:textId="77777777" w:rsidR="00E73C9D" w:rsidRPr="00AA6C8A" w:rsidRDefault="00C57731">
            <w:pPr>
              <w:pStyle w:val="Body"/>
              <w:spacing w:after="0" w:line="240" w:lineRule="auto"/>
              <w:rPr>
                <w:rFonts w:cs="Arial"/>
                <w:sz w:val="20"/>
                <w:szCs w:val="20"/>
              </w:rPr>
            </w:pPr>
            <w:r w:rsidRPr="00AA6C8A">
              <w:rPr>
                <w:rFonts w:cs="Arial"/>
                <w:sz w:val="20"/>
                <w:szCs w:val="20"/>
              </w:rPr>
              <w:t xml:space="preserve">Number </w:t>
            </w:r>
          </w:p>
        </w:tc>
        <w:tc>
          <w:tcPr>
            <w:tcW w:w="815" w:type="dxa"/>
            <w:tcBorders>
              <w:top w:val="single" w:sz="4" w:space="0" w:color="000000"/>
              <w:left w:val="nil"/>
              <w:bottom w:val="nil"/>
              <w:right w:val="nil"/>
            </w:tcBorders>
            <w:shd w:val="clear" w:color="auto" w:fill="auto"/>
            <w:tcMar>
              <w:top w:w="80" w:type="dxa"/>
              <w:left w:w="80" w:type="dxa"/>
              <w:bottom w:w="80" w:type="dxa"/>
              <w:right w:w="80" w:type="dxa"/>
            </w:tcMar>
          </w:tcPr>
          <w:p w14:paraId="53CCAEAA" w14:textId="77777777" w:rsidR="00E73C9D" w:rsidRPr="00AA6C8A" w:rsidRDefault="00C57731">
            <w:pPr>
              <w:pStyle w:val="Body"/>
              <w:spacing w:after="0" w:line="240" w:lineRule="auto"/>
              <w:rPr>
                <w:rFonts w:cs="Arial"/>
                <w:sz w:val="20"/>
                <w:szCs w:val="20"/>
              </w:rPr>
            </w:pPr>
            <w:r w:rsidRPr="00AA6C8A">
              <w:rPr>
                <w:rFonts w:cs="Arial"/>
                <w:sz w:val="20"/>
                <w:szCs w:val="20"/>
              </w:rPr>
              <w:t>(%)</w:t>
            </w:r>
          </w:p>
        </w:tc>
      </w:tr>
      <w:tr w:rsidR="00E73C9D" w:rsidRPr="00AA6C8A" w14:paraId="43F56764"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665538AB" w14:textId="77777777" w:rsidR="00E73C9D" w:rsidRPr="00AA6C8A" w:rsidRDefault="00C57731">
            <w:pPr>
              <w:pStyle w:val="Body"/>
              <w:spacing w:after="0" w:line="240" w:lineRule="auto"/>
              <w:rPr>
                <w:rFonts w:cs="Arial"/>
                <w:sz w:val="20"/>
                <w:szCs w:val="20"/>
              </w:rPr>
            </w:pPr>
            <w:r w:rsidRPr="00AA6C8A">
              <w:rPr>
                <w:rFonts w:cs="Arial"/>
                <w:sz w:val="20"/>
                <w:szCs w:val="20"/>
              </w:rPr>
              <w:t>Age &lt;35</w:t>
            </w:r>
          </w:p>
        </w:tc>
        <w:tc>
          <w:tcPr>
            <w:tcW w:w="999" w:type="dxa"/>
            <w:tcBorders>
              <w:top w:val="nil"/>
              <w:left w:val="nil"/>
              <w:bottom w:val="nil"/>
              <w:right w:val="nil"/>
            </w:tcBorders>
            <w:shd w:val="clear" w:color="auto" w:fill="auto"/>
            <w:tcMar>
              <w:top w:w="80" w:type="dxa"/>
              <w:left w:w="80" w:type="dxa"/>
              <w:bottom w:w="80" w:type="dxa"/>
              <w:right w:w="80" w:type="dxa"/>
            </w:tcMar>
          </w:tcPr>
          <w:p w14:paraId="6E6BF03B" w14:textId="77777777" w:rsidR="00E73C9D" w:rsidRPr="00AA6C8A" w:rsidRDefault="00C57731">
            <w:pPr>
              <w:pStyle w:val="Body"/>
              <w:spacing w:after="0" w:line="240" w:lineRule="auto"/>
              <w:rPr>
                <w:rFonts w:cs="Arial"/>
                <w:sz w:val="20"/>
                <w:szCs w:val="20"/>
              </w:rPr>
            </w:pPr>
            <w:r w:rsidRPr="00AA6C8A">
              <w:rPr>
                <w:rFonts w:cs="Arial"/>
                <w:sz w:val="20"/>
                <w:szCs w:val="20"/>
              </w:rPr>
              <w:t>503</w:t>
            </w:r>
          </w:p>
        </w:tc>
        <w:tc>
          <w:tcPr>
            <w:tcW w:w="767" w:type="dxa"/>
            <w:tcBorders>
              <w:top w:val="nil"/>
              <w:left w:val="nil"/>
              <w:bottom w:val="nil"/>
              <w:right w:val="nil"/>
            </w:tcBorders>
            <w:shd w:val="clear" w:color="auto" w:fill="auto"/>
            <w:tcMar>
              <w:top w:w="80" w:type="dxa"/>
              <w:left w:w="80" w:type="dxa"/>
              <w:bottom w:w="80" w:type="dxa"/>
              <w:right w:w="80" w:type="dxa"/>
            </w:tcMar>
          </w:tcPr>
          <w:p w14:paraId="3DEBE7CB" w14:textId="77777777" w:rsidR="00E73C9D" w:rsidRPr="00AA6C8A" w:rsidRDefault="00C57731">
            <w:pPr>
              <w:pStyle w:val="Body"/>
              <w:spacing w:after="0" w:line="240" w:lineRule="auto"/>
              <w:rPr>
                <w:rFonts w:cs="Arial"/>
                <w:sz w:val="20"/>
                <w:szCs w:val="20"/>
              </w:rPr>
            </w:pPr>
            <w:r w:rsidRPr="00AA6C8A">
              <w:rPr>
                <w:rFonts w:cs="Arial"/>
                <w:sz w:val="20"/>
                <w:szCs w:val="20"/>
              </w:rPr>
              <w:t>1.3</w:t>
            </w:r>
          </w:p>
        </w:tc>
        <w:tc>
          <w:tcPr>
            <w:tcW w:w="1063" w:type="dxa"/>
            <w:tcBorders>
              <w:top w:val="nil"/>
              <w:left w:val="nil"/>
              <w:bottom w:val="nil"/>
              <w:right w:val="nil"/>
            </w:tcBorders>
            <w:shd w:val="clear" w:color="auto" w:fill="auto"/>
            <w:tcMar>
              <w:top w:w="80" w:type="dxa"/>
              <w:left w:w="80" w:type="dxa"/>
              <w:bottom w:w="80" w:type="dxa"/>
              <w:right w:w="80" w:type="dxa"/>
            </w:tcMar>
          </w:tcPr>
          <w:p w14:paraId="1E282101" w14:textId="77777777" w:rsidR="00E73C9D" w:rsidRPr="00AA6C8A" w:rsidRDefault="00C57731">
            <w:pPr>
              <w:pStyle w:val="Body"/>
              <w:spacing w:after="0" w:line="240" w:lineRule="auto"/>
              <w:rPr>
                <w:rFonts w:cs="Arial"/>
                <w:sz w:val="20"/>
                <w:szCs w:val="20"/>
              </w:rPr>
            </w:pPr>
            <w:r w:rsidRPr="00AA6C8A">
              <w:rPr>
                <w:rFonts w:cs="Arial"/>
                <w:sz w:val="20"/>
                <w:szCs w:val="20"/>
              </w:rPr>
              <w:t>321</w:t>
            </w:r>
          </w:p>
        </w:tc>
        <w:tc>
          <w:tcPr>
            <w:tcW w:w="815" w:type="dxa"/>
            <w:tcBorders>
              <w:top w:val="nil"/>
              <w:left w:val="nil"/>
              <w:bottom w:val="nil"/>
              <w:right w:val="nil"/>
            </w:tcBorders>
            <w:shd w:val="clear" w:color="auto" w:fill="auto"/>
            <w:tcMar>
              <w:top w:w="80" w:type="dxa"/>
              <w:left w:w="80" w:type="dxa"/>
              <w:bottom w:w="80" w:type="dxa"/>
              <w:right w:w="80" w:type="dxa"/>
            </w:tcMar>
          </w:tcPr>
          <w:p w14:paraId="0486D711" w14:textId="77777777" w:rsidR="00E73C9D" w:rsidRPr="00AA6C8A" w:rsidRDefault="00C57731">
            <w:pPr>
              <w:pStyle w:val="Body"/>
              <w:spacing w:after="0" w:line="240" w:lineRule="auto"/>
              <w:rPr>
                <w:rFonts w:cs="Arial"/>
                <w:sz w:val="20"/>
                <w:szCs w:val="20"/>
              </w:rPr>
            </w:pPr>
            <w:r w:rsidRPr="00AA6C8A">
              <w:rPr>
                <w:rFonts w:cs="Arial"/>
                <w:sz w:val="20"/>
                <w:szCs w:val="20"/>
              </w:rPr>
              <w:t>2.5</w:t>
            </w:r>
          </w:p>
        </w:tc>
      </w:tr>
      <w:tr w:rsidR="00E73C9D" w:rsidRPr="00AA6C8A" w14:paraId="6D880097"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388C345B" w14:textId="77777777" w:rsidR="00E73C9D" w:rsidRPr="00AA6C8A" w:rsidRDefault="00C57731">
            <w:pPr>
              <w:pStyle w:val="Body"/>
              <w:spacing w:after="0" w:line="240" w:lineRule="auto"/>
              <w:rPr>
                <w:rFonts w:cs="Arial"/>
                <w:sz w:val="20"/>
                <w:szCs w:val="20"/>
              </w:rPr>
            </w:pPr>
            <w:r w:rsidRPr="00AA6C8A">
              <w:rPr>
                <w:rFonts w:cs="Arial"/>
                <w:sz w:val="20"/>
                <w:szCs w:val="20"/>
              </w:rPr>
              <w:t>35-49</w:t>
            </w:r>
          </w:p>
        </w:tc>
        <w:tc>
          <w:tcPr>
            <w:tcW w:w="999" w:type="dxa"/>
            <w:tcBorders>
              <w:top w:val="nil"/>
              <w:left w:val="nil"/>
              <w:bottom w:val="nil"/>
              <w:right w:val="nil"/>
            </w:tcBorders>
            <w:shd w:val="clear" w:color="auto" w:fill="auto"/>
            <w:tcMar>
              <w:top w:w="80" w:type="dxa"/>
              <w:left w:w="80" w:type="dxa"/>
              <w:bottom w:w="80" w:type="dxa"/>
              <w:right w:w="80" w:type="dxa"/>
            </w:tcMar>
          </w:tcPr>
          <w:p w14:paraId="75C15668" w14:textId="77777777" w:rsidR="00E73C9D" w:rsidRPr="00AA6C8A" w:rsidRDefault="00C57731">
            <w:pPr>
              <w:pStyle w:val="Body"/>
              <w:spacing w:after="0" w:line="240" w:lineRule="auto"/>
              <w:rPr>
                <w:rFonts w:cs="Arial"/>
                <w:sz w:val="20"/>
                <w:szCs w:val="20"/>
              </w:rPr>
            </w:pPr>
            <w:r w:rsidRPr="00AA6C8A">
              <w:rPr>
                <w:rFonts w:cs="Arial"/>
                <w:sz w:val="20"/>
                <w:szCs w:val="20"/>
              </w:rPr>
              <w:t>7015</w:t>
            </w:r>
          </w:p>
        </w:tc>
        <w:tc>
          <w:tcPr>
            <w:tcW w:w="767" w:type="dxa"/>
            <w:tcBorders>
              <w:top w:val="nil"/>
              <w:left w:val="nil"/>
              <w:bottom w:val="nil"/>
              <w:right w:val="nil"/>
            </w:tcBorders>
            <w:shd w:val="clear" w:color="auto" w:fill="auto"/>
            <w:tcMar>
              <w:top w:w="80" w:type="dxa"/>
              <w:left w:w="80" w:type="dxa"/>
              <w:bottom w:w="80" w:type="dxa"/>
              <w:right w:w="80" w:type="dxa"/>
            </w:tcMar>
          </w:tcPr>
          <w:p w14:paraId="151CBB56" w14:textId="77777777" w:rsidR="00E73C9D" w:rsidRPr="00AA6C8A" w:rsidRDefault="00C57731">
            <w:pPr>
              <w:pStyle w:val="Body"/>
              <w:spacing w:after="0" w:line="240" w:lineRule="auto"/>
              <w:rPr>
                <w:rFonts w:cs="Arial"/>
                <w:sz w:val="20"/>
                <w:szCs w:val="20"/>
              </w:rPr>
            </w:pPr>
            <w:r w:rsidRPr="00AA6C8A">
              <w:rPr>
                <w:rFonts w:cs="Arial"/>
                <w:sz w:val="20"/>
                <w:szCs w:val="20"/>
              </w:rPr>
              <w:t>17.6</w:t>
            </w:r>
          </w:p>
        </w:tc>
        <w:tc>
          <w:tcPr>
            <w:tcW w:w="1063" w:type="dxa"/>
            <w:tcBorders>
              <w:top w:val="nil"/>
              <w:left w:val="nil"/>
              <w:bottom w:val="nil"/>
              <w:right w:val="nil"/>
            </w:tcBorders>
            <w:shd w:val="clear" w:color="auto" w:fill="auto"/>
            <w:tcMar>
              <w:top w:w="80" w:type="dxa"/>
              <w:left w:w="80" w:type="dxa"/>
              <w:bottom w:w="80" w:type="dxa"/>
              <w:right w:w="80" w:type="dxa"/>
            </w:tcMar>
          </w:tcPr>
          <w:p w14:paraId="0A4B86EC" w14:textId="77777777" w:rsidR="00E73C9D" w:rsidRPr="00AA6C8A" w:rsidRDefault="00C57731">
            <w:pPr>
              <w:pStyle w:val="Body"/>
              <w:spacing w:after="0" w:line="240" w:lineRule="auto"/>
              <w:rPr>
                <w:rFonts w:cs="Arial"/>
                <w:sz w:val="20"/>
                <w:szCs w:val="20"/>
              </w:rPr>
            </w:pPr>
            <w:r w:rsidRPr="00AA6C8A">
              <w:rPr>
                <w:rFonts w:cs="Arial"/>
                <w:sz w:val="20"/>
                <w:szCs w:val="20"/>
              </w:rPr>
              <w:t>3879</w:t>
            </w:r>
          </w:p>
        </w:tc>
        <w:tc>
          <w:tcPr>
            <w:tcW w:w="815" w:type="dxa"/>
            <w:tcBorders>
              <w:top w:val="nil"/>
              <w:left w:val="nil"/>
              <w:bottom w:val="nil"/>
              <w:right w:val="nil"/>
            </w:tcBorders>
            <w:shd w:val="clear" w:color="auto" w:fill="auto"/>
            <w:tcMar>
              <w:top w:w="80" w:type="dxa"/>
              <w:left w:w="80" w:type="dxa"/>
              <w:bottom w:w="80" w:type="dxa"/>
              <w:right w:w="80" w:type="dxa"/>
            </w:tcMar>
          </w:tcPr>
          <w:p w14:paraId="0E83B373" w14:textId="77777777" w:rsidR="00E73C9D" w:rsidRPr="00AA6C8A" w:rsidRDefault="00C57731">
            <w:pPr>
              <w:pStyle w:val="Body"/>
              <w:spacing w:after="0" w:line="240" w:lineRule="auto"/>
              <w:rPr>
                <w:rFonts w:cs="Arial"/>
                <w:sz w:val="20"/>
                <w:szCs w:val="20"/>
              </w:rPr>
            </w:pPr>
            <w:r w:rsidRPr="00AA6C8A">
              <w:rPr>
                <w:rFonts w:cs="Arial"/>
                <w:sz w:val="20"/>
                <w:szCs w:val="20"/>
              </w:rPr>
              <w:t>30.1</w:t>
            </w:r>
          </w:p>
        </w:tc>
      </w:tr>
      <w:tr w:rsidR="00E73C9D" w:rsidRPr="00AA6C8A" w14:paraId="6B2659C7"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158B9B71" w14:textId="77777777" w:rsidR="00E73C9D" w:rsidRPr="00AA6C8A" w:rsidRDefault="00C57731">
            <w:pPr>
              <w:pStyle w:val="Body"/>
              <w:spacing w:after="0" w:line="240" w:lineRule="auto"/>
              <w:rPr>
                <w:rFonts w:cs="Arial"/>
                <w:sz w:val="20"/>
                <w:szCs w:val="20"/>
              </w:rPr>
            </w:pPr>
            <w:r w:rsidRPr="00AA6C8A">
              <w:rPr>
                <w:rFonts w:cs="Arial"/>
                <w:sz w:val="20"/>
                <w:szCs w:val="20"/>
              </w:rPr>
              <w:t>50-64</w:t>
            </w:r>
          </w:p>
        </w:tc>
        <w:tc>
          <w:tcPr>
            <w:tcW w:w="999" w:type="dxa"/>
            <w:tcBorders>
              <w:top w:val="nil"/>
              <w:left w:val="nil"/>
              <w:bottom w:val="nil"/>
              <w:right w:val="nil"/>
            </w:tcBorders>
            <w:shd w:val="clear" w:color="auto" w:fill="auto"/>
            <w:tcMar>
              <w:top w:w="80" w:type="dxa"/>
              <w:left w:w="80" w:type="dxa"/>
              <w:bottom w:w="80" w:type="dxa"/>
              <w:right w:w="80" w:type="dxa"/>
            </w:tcMar>
          </w:tcPr>
          <w:p w14:paraId="27D6F7D3" w14:textId="77777777" w:rsidR="00E73C9D" w:rsidRPr="00AA6C8A" w:rsidRDefault="00C57731">
            <w:pPr>
              <w:pStyle w:val="Body"/>
              <w:spacing w:after="0" w:line="240" w:lineRule="auto"/>
              <w:rPr>
                <w:rFonts w:cs="Arial"/>
                <w:sz w:val="20"/>
                <w:szCs w:val="20"/>
              </w:rPr>
            </w:pPr>
            <w:r w:rsidRPr="00AA6C8A">
              <w:rPr>
                <w:rFonts w:cs="Arial"/>
                <w:sz w:val="20"/>
                <w:szCs w:val="20"/>
              </w:rPr>
              <w:t>16792</w:t>
            </w:r>
          </w:p>
        </w:tc>
        <w:tc>
          <w:tcPr>
            <w:tcW w:w="767" w:type="dxa"/>
            <w:tcBorders>
              <w:top w:val="nil"/>
              <w:left w:val="nil"/>
              <w:bottom w:val="nil"/>
              <w:right w:val="nil"/>
            </w:tcBorders>
            <w:shd w:val="clear" w:color="auto" w:fill="auto"/>
            <w:tcMar>
              <w:top w:w="80" w:type="dxa"/>
              <w:left w:w="80" w:type="dxa"/>
              <w:bottom w:w="80" w:type="dxa"/>
              <w:right w:w="80" w:type="dxa"/>
            </w:tcMar>
          </w:tcPr>
          <w:p w14:paraId="7CEE0ED9" w14:textId="77777777" w:rsidR="00E73C9D" w:rsidRPr="00AA6C8A" w:rsidRDefault="00C57731">
            <w:pPr>
              <w:pStyle w:val="Body"/>
              <w:spacing w:after="0" w:line="240" w:lineRule="auto"/>
              <w:rPr>
                <w:rFonts w:cs="Arial"/>
                <w:sz w:val="20"/>
                <w:szCs w:val="20"/>
              </w:rPr>
            </w:pPr>
            <w:r w:rsidRPr="00AA6C8A">
              <w:rPr>
                <w:rFonts w:cs="Arial"/>
                <w:sz w:val="20"/>
                <w:szCs w:val="20"/>
              </w:rPr>
              <w:t>42.2</w:t>
            </w:r>
          </w:p>
        </w:tc>
        <w:tc>
          <w:tcPr>
            <w:tcW w:w="1063" w:type="dxa"/>
            <w:tcBorders>
              <w:top w:val="nil"/>
              <w:left w:val="nil"/>
              <w:bottom w:val="nil"/>
              <w:right w:val="nil"/>
            </w:tcBorders>
            <w:shd w:val="clear" w:color="auto" w:fill="auto"/>
            <w:tcMar>
              <w:top w:w="80" w:type="dxa"/>
              <w:left w:w="80" w:type="dxa"/>
              <w:bottom w:w="80" w:type="dxa"/>
              <w:right w:w="80" w:type="dxa"/>
            </w:tcMar>
          </w:tcPr>
          <w:p w14:paraId="53BC99AF" w14:textId="77777777" w:rsidR="00E73C9D" w:rsidRPr="00AA6C8A" w:rsidRDefault="00C57731">
            <w:pPr>
              <w:pStyle w:val="Body"/>
              <w:spacing w:after="0" w:line="240" w:lineRule="auto"/>
              <w:rPr>
                <w:rFonts w:cs="Arial"/>
                <w:sz w:val="20"/>
                <w:szCs w:val="20"/>
              </w:rPr>
            </w:pPr>
            <w:r w:rsidRPr="00AA6C8A">
              <w:rPr>
                <w:rFonts w:cs="Arial"/>
                <w:sz w:val="20"/>
                <w:szCs w:val="20"/>
              </w:rPr>
              <w:t>6655</w:t>
            </w:r>
          </w:p>
        </w:tc>
        <w:tc>
          <w:tcPr>
            <w:tcW w:w="815" w:type="dxa"/>
            <w:tcBorders>
              <w:top w:val="nil"/>
              <w:left w:val="nil"/>
              <w:bottom w:val="nil"/>
              <w:right w:val="nil"/>
            </w:tcBorders>
            <w:shd w:val="clear" w:color="auto" w:fill="auto"/>
            <w:tcMar>
              <w:top w:w="80" w:type="dxa"/>
              <w:left w:w="80" w:type="dxa"/>
              <w:bottom w:w="80" w:type="dxa"/>
              <w:right w:w="80" w:type="dxa"/>
            </w:tcMar>
          </w:tcPr>
          <w:p w14:paraId="0560BC59" w14:textId="77777777" w:rsidR="00E73C9D" w:rsidRPr="00AA6C8A" w:rsidRDefault="00C57731">
            <w:pPr>
              <w:pStyle w:val="Body"/>
              <w:spacing w:after="0" w:line="240" w:lineRule="auto"/>
              <w:rPr>
                <w:rFonts w:cs="Arial"/>
                <w:sz w:val="20"/>
                <w:szCs w:val="20"/>
              </w:rPr>
            </w:pPr>
            <w:r w:rsidRPr="00AA6C8A">
              <w:rPr>
                <w:rFonts w:cs="Arial"/>
                <w:sz w:val="20"/>
                <w:szCs w:val="20"/>
              </w:rPr>
              <w:t>51.7</w:t>
            </w:r>
          </w:p>
        </w:tc>
      </w:tr>
      <w:tr w:rsidR="00E73C9D" w:rsidRPr="00AA6C8A" w14:paraId="52C418E3"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394F1104" w14:textId="77777777" w:rsidR="00E73C9D" w:rsidRPr="00AA6C8A" w:rsidRDefault="00C57731">
            <w:pPr>
              <w:pStyle w:val="Body"/>
              <w:spacing w:after="0" w:line="240" w:lineRule="auto"/>
              <w:rPr>
                <w:rFonts w:cs="Arial"/>
                <w:sz w:val="20"/>
                <w:szCs w:val="20"/>
              </w:rPr>
            </w:pPr>
            <w:r w:rsidRPr="00AA6C8A">
              <w:rPr>
                <w:rFonts w:cs="Arial"/>
                <w:sz w:val="20"/>
                <w:szCs w:val="20"/>
              </w:rPr>
              <w:t>65-74</w:t>
            </w:r>
          </w:p>
        </w:tc>
        <w:tc>
          <w:tcPr>
            <w:tcW w:w="999" w:type="dxa"/>
            <w:tcBorders>
              <w:top w:val="nil"/>
              <w:left w:val="nil"/>
              <w:bottom w:val="nil"/>
              <w:right w:val="nil"/>
            </w:tcBorders>
            <w:shd w:val="clear" w:color="auto" w:fill="auto"/>
            <w:tcMar>
              <w:top w:w="80" w:type="dxa"/>
              <w:left w:w="80" w:type="dxa"/>
              <w:bottom w:w="80" w:type="dxa"/>
              <w:right w:w="80" w:type="dxa"/>
            </w:tcMar>
          </w:tcPr>
          <w:p w14:paraId="294CABAF" w14:textId="77777777" w:rsidR="00E73C9D" w:rsidRPr="00AA6C8A" w:rsidRDefault="00C57731">
            <w:pPr>
              <w:pStyle w:val="Body"/>
              <w:spacing w:after="0" w:line="240" w:lineRule="auto"/>
              <w:rPr>
                <w:rFonts w:cs="Arial"/>
                <w:sz w:val="20"/>
                <w:szCs w:val="20"/>
              </w:rPr>
            </w:pPr>
            <w:r w:rsidRPr="00AA6C8A">
              <w:rPr>
                <w:rFonts w:cs="Arial"/>
                <w:sz w:val="20"/>
                <w:szCs w:val="20"/>
              </w:rPr>
              <w:t>9797</w:t>
            </w:r>
          </w:p>
        </w:tc>
        <w:tc>
          <w:tcPr>
            <w:tcW w:w="767" w:type="dxa"/>
            <w:tcBorders>
              <w:top w:val="nil"/>
              <w:left w:val="nil"/>
              <w:bottom w:val="nil"/>
              <w:right w:val="nil"/>
            </w:tcBorders>
            <w:shd w:val="clear" w:color="auto" w:fill="auto"/>
            <w:tcMar>
              <w:top w:w="80" w:type="dxa"/>
              <w:left w:w="80" w:type="dxa"/>
              <w:bottom w:w="80" w:type="dxa"/>
              <w:right w:w="80" w:type="dxa"/>
            </w:tcMar>
          </w:tcPr>
          <w:p w14:paraId="7D631B42" w14:textId="77777777" w:rsidR="00E73C9D" w:rsidRPr="00AA6C8A" w:rsidRDefault="00C57731">
            <w:pPr>
              <w:pStyle w:val="Body"/>
              <w:spacing w:after="0" w:line="240" w:lineRule="auto"/>
              <w:rPr>
                <w:rFonts w:cs="Arial"/>
                <w:sz w:val="20"/>
                <w:szCs w:val="20"/>
              </w:rPr>
            </w:pPr>
            <w:r w:rsidRPr="00AA6C8A">
              <w:rPr>
                <w:rFonts w:cs="Arial"/>
                <w:sz w:val="20"/>
                <w:szCs w:val="20"/>
              </w:rPr>
              <w:t>24.6</w:t>
            </w:r>
          </w:p>
        </w:tc>
        <w:tc>
          <w:tcPr>
            <w:tcW w:w="1063" w:type="dxa"/>
            <w:tcBorders>
              <w:top w:val="nil"/>
              <w:left w:val="nil"/>
              <w:bottom w:val="nil"/>
              <w:right w:val="nil"/>
            </w:tcBorders>
            <w:shd w:val="clear" w:color="auto" w:fill="auto"/>
            <w:tcMar>
              <w:top w:w="80" w:type="dxa"/>
              <w:left w:w="80" w:type="dxa"/>
              <w:bottom w:w="80" w:type="dxa"/>
              <w:right w:w="80" w:type="dxa"/>
            </w:tcMar>
          </w:tcPr>
          <w:p w14:paraId="5E19A624" w14:textId="77777777" w:rsidR="00E73C9D" w:rsidRPr="00AA6C8A" w:rsidRDefault="00C57731">
            <w:pPr>
              <w:pStyle w:val="Body"/>
              <w:spacing w:after="0" w:line="240" w:lineRule="auto"/>
              <w:rPr>
                <w:rFonts w:cs="Arial"/>
                <w:sz w:val="20"/>
                <w:szCs w:val="20"/>
              </w:rPr>
            </w:pPr>
            <w:r w:rsidRPr="00AA6C8A">
              <w:rPr>
                <w:rFonts w:cs="Arial"/>
                <w:sz w:val="20"/>
                <w:szCs w:val="20"/>
              </w:rPr>
              <w:t>2015</w:t>
            </w:r>
          </w:p>
        </w:tc>
        <w:tc>
          <w:tcPr>
            <w:tcW w:w="815" w:type="dxa"/>
            <w:tcBorders>
              <w:top w:val="nil"/>
              <w:left w:val="nil"/>
              <w:bottom w:val="nil"/>
              <w:right w:val="nil"/>
            </w:tcBorders>
            <w:shd w:val="clear" w:color="auto" w:fill="auto"/>
            <w:tcMar>
              <w:top w:w="80" w:type="dxa"/>
              <w:left w:w="80" w:type="dxa"/>
              <w:bottom w:w="80" w:type="dxa"/>
              <w:right w:w="80" w:type="dxa"/>
            </w:tcMar>
          </w:tcPr>
          <w:p w14:paraId="190793F7" w14:textId="77777777" w:rsidR="00E73C9D" w:rsidRPr="00AA6C8A" w:rsidRDefault="00C57731">
            <w:pPr>
              <w:pStyle w:val="Body"/>
              <w:spacing w:after="0" w:line="240" w:lineRule="auto"/>
              <w:rPr>
                <w:rFonts w:cs="Arial"/>
                <w:sz w:val="20"/>
                <w:szCs w:val="20"/>
              </w:rPr>
            </w:pPr>
            <w:r w:rsidRPr="00AA6C8A">
              <w:rPr>
                <w:rFonts w:cs="Arial"/>
                <w:sz w:val="20"/>
                <w:szCs w:val="20"/>
              </w:rPr>
              <w:t>15.7</w:t>
            </w:r>
          </w:p>
        </w:tc>
      </w:tr>
      <w:tr w:rsidR="00E73C9D" w:rsidRPr="00AA6C8A" w14:paraId="644CC074"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47FB921C" w14:textId="77777777" w:rsidR="00E73C9D" w:rsidRPr="00AA6C8A" w:rsidRDefault="00C57731">
            <w:pPr>
              <w:pStyle w:val="Body"/>
              <w:spacing w:after="0" w:line="240" w:lineRule="auto"/>
              <w:rPr>
                <w:rFonts w:cs="Arial"/>
                <w:sz w:val="20"/>
                <w:szCs w:val="20"/>
              </w:rPr>
            </w:pPr>
            <w:r w:rsidRPr="00AA6C8A">
              <w:rPr>
                <w:rFonts w:cs="Arial"/>
                <w:sz w:val="20"/>
                <w:szCs w:val="20"/>
              </w:rPr>
              <w:lastRenderedPageBreak/>
              <w:t>&gt;=75</w:t>
            </w:r>
          </w:p>
        </w:tc>
        <w:tc>
          <w:tcPr>
            <w:tcW w:w="999" w:type="dxa"/>
            <w:tcBorders>
              <w:top w:val="nil"/>
              <w:left w:val="nil"/>
              <w:bottom w:val="nil"/>
              <w:right w:val="nil"/>
            </w:tcBorders>
            <w:shd w:val="clear" w:color="auto" w:fill="auto"/>
            <w:tcMar>
              <w:top w:w="80" w:type="dxa"/>
              <w:left w:w="80" w:type="dxa"/>
              <w:bottom w:w="80" w:type="dxa"/>
              <w:right w:w="80" w:type="dxa"/>
            </w:tcMar>
          </w:tcPr>
          <w:p w14:paraId="19210741" w14:textId="77777777" w:rsidR="00E73C9D" w:rsidRPr="00AA6C8A" w:rsidRDefault="00C57731">
            <w:pPr>
              <w:pStyle w:val="Body"/>
              <w:spacing w:after="0" w:line="240" w:lineRule="auto"/>
              <w:rPr>
                <w:rFonts w:cs="Arial"/>
                <w:sz w:val="20"/>
                <w:szCs w:val="20"/>
              </w:rPr>
            </w:pPr>
            <w:r w:rsidRPr="00AA6C8A">
              <w:rPr>
                <w:rFonts w:cs="Arial"/>
                <w:sz w:val="20"/>
                <w:szCs w:val="20"/>
              </w:rPr>
              <w:t>5698</w:t>
            </w:r>
          </w:p>
        </w:tc>
        <w:tc>
          <w:tcPr>
            <w:tcW w:w="767" w:type="dxa"/>
            <w:tcBorders>
              <w:top w:val="nil"/>
              <w:left w:val="nil"/>
              <w:bottom w:val="nil"/>
              <w:right w:val="nil"/>
            </w:tcBorders>
            <w:shd w:val="clear" w:color="auto" w:fill="auto"/>
            <w:tcMar>
              <w:top w:w="80" w:type="dxa"/>
              <w:left w:w="80" w:type="dxa"/>
              <w:bottom w:w="80" w:type="dxa"/>
              <w:right w:w="80" w:type="dxa"/>
            </w:tcMar>
          </w:tcPr>
          <w:p w14:paraId="231FFC3E" w14:textId="77777777" w:rsidR="00E73C9D" w:rsidRPr="00AA6C8A" w:rsidRDefault="00C57731">
            <w:pPr>
              <w:pStyle w:val="Body"/>
              <w:spacing w:after="0" w:line="240" w:lineRule="auto"/>
              <w:rPr>
                <w:rFonts w:cs="Arial"/>
                <w:sz w:val="20"/>
                <w:szCs w:val="20"/>
              </w:rPr>
            </w:pPr>
            <w:r w:rsidRPr="00AA6C8A">
              <w:rPr>
                <w:rFonts w:cs="Arial"/>
                <w:sz w:val="20"/>
                <w:szCs w:val="20"/>
              </w:rPr>
              <w:t>14.3</w:t>
            </w:r>
          </w:p>
        </w:tc>
        <w:tc>
          <w:tcPr>
            <w:tcW w:w="1063" w:type="dxa"/>
            <w:tcBorders>
              <w:top w:val="nil"/>
              <w:left w:val="nil"/>
              <w:bottom w:val="nil"/>
              <w:right w:val="nil"/>
            </w:tcBorders>
            <w:shd w:val="clear" w:color="auto" w:fill="auto"/>
            <w:tcMar>
              <w:top w:w="80" w:type="dxa"/>
              <w:left w:w="80" w:type="dxa"/>
              <w:bottom w:w="80" w:type="dxa"/>
              <w:right w:w="80" w:type="dxa"/>
            </w:tcMar>
          </w:tcPr>
          <w:p w14:paraId="1D1C8FC5" w14:textId="77777777" w:rsidR="00E73C9D" w:rsidRPr="00AA6C8A" w:rsidRDefault="00C57731">
            <w:pPr>
              <w:pStyle w:val="Body"/>
              <w:spacing w:after="0" w:line="240" w:lineRule="auto"/>
              <w:rPr>
                <w:rFonts w:cs="Arial"/>
                <w:sz w:val="20"/>
                <w:szCs w:val="20"/>
              </w:rPr>
            </w:pPr>
            <w:r w:rsidRPr="00AA6C8A">
              <w:rPr>
                <w:rFonts w:cs="Arial"/>
                <w:sz w:val="20"/>
                <w:szCs w:val="20"/>
              </w:rPr>
              <w:t>0</w:t>
            </w:r>
          </w:p>
        </w:tc>
        <w:tc>
          <w:tcPr>
            <w:tcW w:w="815" w:type="dxa"/>
            <w:tcBorders>
              <w:top w:val="nil"/>
              <w:left w:val="nil"/>
              <w:bottom w:val="nil"/>
              <w:right w:val="nil"/>
            </w:tcBorders>
            <w:shd w:val="clear" w:color="auto" w:fill="auto"/>
            <w:tcMar>
              <w:top w:w="80" w:type="dxa"/>
              <w:left w:w="80" w:type="dxa"/>
              <w:bottom w:w="80" w:type="dxa"/>
              <w:right w:w="80" w:type="dxa"/>
            </w:tcMar>
          </w:tcPr>
          <w:p w14:paraId="6BC449B6" w14:textId="77777777" w:rsidR="00E73C9D" w:rsidRPr="00AA6C8A" w:rsidRDefault="00C57731">
            <w:pPr>
              <w:pStyle w:val="Body"/>
              <w:spacing w:after="0" w:line="240" w:lineRule="auto"/>
              <w:rPr>
                <w:rFonts w:cs="Arial"/>
                <w:sz w:val="20"/>
                <w:szCs w:val="20"/>
              </w:rPr>
            </w:pPr>
            <w:r w:rsidRPr="00AA6C8A">
              <w:rPr>
                <w:rFonts w:cs="Arial"/>
                <w:sz w:val="20"/>
                <w:szCs w:val="20"/>
              </w:rPr>
              <w:t>0</w:t>
            </w:r>
          </w:p>
        </w:tc>
      </w:tr>
      <w:tr w:rsidR="00E73C9D" w:rsidRPr="00AA6C8A" w14:paraId="36C3D327"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6F800D5C" w14:textId="77777777" w:rsidR="00E73C9D" w:rsidRPr="00AA6C8A" w:rsidRDefault="00C57731">
            <w:pPr>
              <w:pStyle w:val="Body"/>
              <w:spacing w:after="0" w:line="240" w:lineRule="auto"/>
              <w:rPr>
                <w:rFonts w:cs="Arial"/>
                <w:sz w:val="20"/>
                <w:szCs w:val="20"/>
              </w:rPr>
            </w:pPr>
            <w:r w:rsidRPr="00AA6C8A">
              <w:rPr>
                <w:rFonts w:cs="Arial"/>
                <w:sz w:val="20"/>
                <w:szCs w:val="20"/>
              </w:rPr>
              <w:t>Nodes 0</w:t>
            </w:r>
          </w:p>
        </w:tc>
        <w:tc>
          <w:tcPr>
            <w:tcW w:w="999" w:type="dxa"/>
            <w:tcBorders>
              <w:top w:val="nil"/>
              <w:left w:val="nil"/>
              <w:bottom w:val="nil"/>
              <w:right w:val="nil"/>
            </w:tcBorders>
            <w:shd w:val="clear" w:color="auto" w:fill="auto"/>
            <w:tcMar>
              <w:top w:w="80" w:type="dxa"/>
              <w:left w:w="80" w:type="dxa"/>
              <w:bottom w:w="80" w:type="dxa"/>
              <w:right w:w="80" w:type="dxa"/>
            </w:tcMar>
          </w:tcPr>
          <w:p w14:paraId="1E8D7FDB" w14:textId="77777777" w:rsidR="00E73C9D" w:rsidRPr="00AA6C8A" w:rsidRDefault="00C57731">
            <w:pPr>
              <w:pStyle w:val="Body"/>
              <w:spacing w:after="0" w:line="240" w:lineRule="auto"/>
              <w:rPr>
                <w:rFonts w:cs="Arial"/>
                <w:sz w:val="20"/>
                <w:szCs w:val="20"/>
              </w:rPr>
            </w:pPr>
            <w:r w:rsidRPr="00AA6C8A">
              <w:rPr>
                <w:rFonts w:cs="Arial"/>
                <w:sz w:val="20"/>
                <w:szCs w:val="20"/>
              </w:rPr>
              <w:t>26275</w:t>
            </w:r>
          </w:p>
        </w:tc>
        <w:tc>
          <w:tcPr>
            <w:tcW w:w="767" w:type="dxa"/>
            <w:tcBorders>
              <w:top w:val="nil"/>
              <w:left w:val="nil"/>
              <w:bottom w:val="nil"/>
              <w:right w:val="nil"/>
            </w:tcBorders>
            <w:shd w:val="clear" w:color="auto" w:fill="auto"/>
            <w:tcMar>
              <w:top w:w="80" w:type="dxa"/>
              <w:left w:w="80" w:type="dxa"/>
              <w:bottom w:w="80" w:type="dxa"/>
              <w:right w:w="80" w:type="dxa"/>
            </w:tcMar>
          </w:tcPr>
          <w:p w14:paraId="356EAABC" w14:textId="77777777" w:rsidR="00E73C9D" w:rsidRPr="00AA6C8A" w:rsidRDefault="00C57731">
            <w:pPr>
              <w:pStyle w:val="Body"/>
              <w:spacing w:after="0" w:line="240" w:lineRule="auto"/>
              <w:rPr>
                <w:rFonts w:cs="Arial"/>
                <w:sz w:val="20"/>
                <w:szCs w:val="20"/>
              </w:rPr>
            </w:pPr>
            <w:r w:rsidRPr="00AA6C8A">
              <w:rPr>
                <w:rFonts w:cs="Arial"/>
                <w:sz w:val="20"/>
                <w:szCs w:val="20"/>
              </w:rPr>
              <w:t>66</w:t>
            </w:r>
          </w:p>
        </w:tc>
        <w:tc>
          <w:tcPr>
            <w:tcW w:w="1063" w:type="dxa"/>
            <w:tcBorders>
              <w:top w:val="nil"/>
              <w:left w:val="nil"/>
              <w:bottom w:val="nil"/>
              <w:right w:val="nil"/>
            </w:tcBorders>
            <w:shd w:val="clear" w:color="auto" w:fill="auto"/>
            <w:tcMar>
              <w:top w:w="80" w:type="dxa"/>
              <w:left w:w="80" w:type="dxa"/>
              <w:bottom w:w="80" w:type="dxa"/>
              <w:right w:w="80" w:type="dxa"/>
            </w:tcMar>
          </w:tcPr>
          <w:p w14:paraId="7198AE48" w14:textId="77777777" w:rsidR="00E73C9D" w:rsidRPr="00AA6C8A" w:rsidRDefault="00C57731">
            <w:pPr>
              <w:pStyle w:val="Body"/>
              <w:spacing w:after="0" w:line="240" w:lineRule="auto"/>
              <w:rPr>
                <w:rFonts w:cs="Arial"/>
                <w:sz w:val="20"/>
                <w:szCs w:val="20"/>
              </w:rPr>
            </w:pPr>
            <w:r w:rsidRPr="00AA6C8A">
              <w:rPr>
                <w:rFonts w:cs="Arial"/>
                <w:sz w:val="20"/>
                <w:szCs w:val="20"/>
              </w:rPr>
              <w:t>3294</w:t>
            </w:r>
          </w:p>
        </w:tc>
        <w:tc>
          <w:tcPr>
            <w:tcW w:w="815" w:type="dxa"/>
            <w:tcBorders>
              <w:top w:val="nil"/>
              <w:left w:val="nil"/>
              <w:bottom w:val="nil"/>
              <w:right w:val="nil"/>
            </w:tcBorders>
            <w:shd w:val="clear" w:color="auto" w:fill="auto"/>
            <w:tcMar>
              <w:top w:w="80" w:type="dxa"/>
              <w:left w:w="80" w:type="dxa"/>
              <w:bottom w:w="80" w:type="dxa"/>
              <w:right w:w="80" w:type="dxa"/>
            </w:tcMar>
          </w:tcPr>
          <w:p w14:paraId="09630502" w14:textId="77777777" w:rsidR="00E73C9D" w:rsidRPr="00AA6C8A" w:rsidRDefault="00C57731">
            <w:pPr>
              <w:pStyle w:val="Body"/>
              <w:spacing w:after="0" w:line="240" w:lineRule="auto"/>
              <w:rPr>
                <w:rFonts w:cs="Arial"/>
                <w:sz w:val="20"/>
                <w:szCs w:val="20"/>
              </w:rPr>
            </w:pPr>
            <w:r w:rsidRPr="00AA6C8A">
              <w:rPr>
                <w:rFonts w:cs="Arial"/>
                <w:sz w:val="20"/>
                <w:szCs w:val="20"/>
              </w:rPr>
              <w:t>25.6</w:t>
            </w:r>
          </w:p>
        </w:tc>
      </w:tr>
      <w:tr w:rsidR="00E73C9D" w:rsidRPr="00AA6C8A" w14:paraId="3F0C3A57"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11884634" w14:textId="77777777" w:rsidR="00E73C9D" w:rsidRPr="00AA6C8A" w:rsidRDefault="00C57731">
            <w:pPr>
              <w:pStyle w:val="Body"/>
              <w:spacing w:after="0" w:line="240" w:lineRule="auto"/>
              <w:rPr>
                <w:rFonts w:cs="Arial"/>
                <w:sz w:val="20"/>
                <w:szCs w:val="20"/>
              </w:rPr>
            </w:pPr>
            <w:r w:rsidRPr="00AA6C8A">
              <w:rPr>
                <w:rFonts w:cs="Arial"/>
                <w:sz w:val="20"/>
                <w:szCs w:val="20"/>
              </w:rPr>
              <w:t>Nodes 1</w:t>
            </w:r>
          </w:p>
        </w:tc>
        <w:tc>
          <w:tcPr>
            <w:tcW w:w="999" w:type="dxa"/>
            <w:tcBorders>
              <w:top w:val="nil"/>
              <w:left w:val="nil"/>
              <w:bottom w:val="nil"/>
              <w:right w:val="nil"/>
            </w:tcBorders>
            <w:shd w:val="clear" w:color="auto" w:fill="auto"/>
            <w:tcMar>
              <w:top w:w="80" w:type="dxa"/>
              <w:left w:w="80" w:type="dxa"/>
              <w:bottom w:w="80" w:type="dxa"/>
              <w:right w:w="80" w:type="dxa"/>
            </w:tcMar>
          </w:tcPr>
          <w:p w14:paraId="33F9F3DC" w14:textId="77777777" w:rsidR="00E73C9D" w:rsidRPr="00AA6C8A" w:rsidRDefault="00C57731">
            <w:pPr>
              <w:pStyle w:val="Body"/>
              <w:spacing w:after="0" w:line="240" w:lineRule="auto"/>
              <w:rPr>
                <w:rFonts w:cs="Arial"/>
                <w:sz w:val="20"/>
                <w:szCs w:val="20"/>
              </w:rPr>
            </w:pPr>
            <w:r w:rsidRPr="00AA6C8A">
              <w:rPr>
                <w:rFonts w:cs="Arial"/>
                <w:sz w:val="20"/>
                <w:szCs w:val="20"/>
              </w:rPr>
              <w:t>5747</w:t>
            </w:r>
          </w:p>
        </w:tc>
        <w:tc>
          <w:tcPr>
            <w:tcW w:w="767" w:type="dxa"/>
            <w:tcBorders>
              <w:top w:val="nil"/>
              <w:left w:val="nil"/>
              <w:bottom w:val="nil"/>
              <w:right w:val="nil"/>
            </w:tcBorders>
            <w:shd w:val="clear" w:color="auto" w:fill="auto"/>
            <w:tcMar>
              <w:top w:w="80" w:type="dxa"/>
              <w:left w:w="80" w:type="dxa"/>
              <w:bottom w:w="80" w:type="dxa"/>
              <w:right w:w="80" w:type="dxa"/>
            </w:tcMar>
          </w:tcPr>
          <w:p w14:paraId="170D16E4" w14:textId="77777777" w:rsidR="00E73C9D" w:rsidRPr="00AA6C8A" w:rsidRDefault="00C57731">
            <w:pPr>
              <w:pStyle w:val="Body"/>
              <w:spacing w:after="0" w:line="240" w:lineRule="auto"/>
              <w:rPr>
                <w:rFonts w:cs="Arial"/>
                <w:sz w:val="20"/>
                <w:szCs w:val="20"/>
              </w:rPr>
            </w:pPr>
            <w:r w:rsidRPr="00AA6C8A">
              <w:rPr>
                <w:rFonts w:cs="Arial"/>
                <w:sz w:val="20"/>
                <w:szCs w:val="20"/>
              </w:rPr>
              <w:t>14.4</w:t>
            </w:r>
          </w:p>
        </w:tc>
        <w:tc>
          <w:tcPr>
            <w:tcW w:w="1063" w:type="dxa"/>
            <w:tcBorders>
              <w:top w:val="nil"/>
              <w:left w:val="nil"/>
              <w:bottom w:val="nil"/>
              <w:right w:val="nil"/>
            </w:tcBorders>
            <w:shd w:val="clear" w:color="auto" w:fill="auto"/>
            <w:tcMar>
              <w:top w:w="80" w:type="dxa"/>
              <w:left w:w="80" w:type="dxa"/>
              <w:bottom w:w="80" w:type="dxa"/>
              <w:right w:w="80" w:type="dxa"/>
            </w:tcMar>
          </w:tcPr>
          <w:p w14:paraId="6C33E5BE" w14:textId="77777777" w:rsidR="00E73C9D" w:rsidRPr="00AA6C8A" w:rsidRDefault="00C57731">
            <w:pPr>
              <w:pStyle w:val="Body"/>
              <w:spacing w:after="0" w:line="240" w:lineRule="auto"/>
              <w:rPr>
                <w:rFonts w:cs="Arial"/>
                <w:sz w:val="20"/>
                <w:szCs w:val="20"/>
              </w:rPr>
            </w:pPr>
            <w:r w:rsidRPr="00AA6C8A">
              <w:rPr>
                <w:rFonts w:cs="Arial"/>
                <w:sz w:val="20"/>
                <w:szCs w:val="20"/>
              </w:rPr>
              <w:t>4154</w:t>
            </w:r>
          </w:p>
        </w:tc>
        <w:tc>
          <w:tcPr>
            <w:tcW w:w="815" w:type="dxa"/>
            <w:tcBorders>
              <w:top w:val="nil"/>
              <w:left w:val="nil"/>
              <w:bottom w:val="nil"/>
              <w:right w:val="nil"/>
            </w:tcBorders>
            <w:shd w:val="clear" w:color="auto" w:fill="auto"/>
            <w:tcMar>
              <w:top w:w="80" w:type="dxa"/>
              <w:left w:w="80" w:type="dxa"/>
              <w:bottom w:w="80" w:type="dxa"/>
              <w:right w:w="80" w:type="dxa"/>
            </w:tcMar>
          </w:tcPr>
          <w:p w14:paraId="1E019DB7" w14:textId="77777777" w:rsidR="00E73C9D" w:rsidRPr="00AA6C8A" w:rsidRDefault="00C57731">
            <w:pPr>
              <w:pStyle w:val="Body"/>
              <w:spacing w:after="0" w:line="240" w:lineRule="auto"/>
              <w:rPr>
                <w:rFonts w:cs="Arial"/>
                <w:sz w:val="20"/>
                <w:szCs w:val="20"/>
              </w:rPr>
            </w:pPr>
            <w:r w:rsidRPr="00AA6C8A">
              <w:rPr>
                <w:rFonts w:cs="Arial"/>
                <w:sz w:val="20"/>
                <w:szCs w:val="20"/>
              </w:rPr>
              <w:t>32.3</w:t>
            </w:r>
          </w:p>
        </w:tc>
      </w:tr>
      <w:tr w:rsidR="00E73C9D" w:rsidRPr="00AA6C8A" w14:paraId="43613C01"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5326F2AC" w14:textId="77777777" w:rsidR="00E73C9D" w:rsidRPr="00AA6C8A" w:rsidRDefault="00C57731">
            <w:pPr>
              <w:pStyle w:val="Body"/>
              <w:spacing w:after="0" w:line="240" w:lineRule="auto"/>
              <w:rPr>
                <w:rFonts w:cs="Arial"/>
                <w:sz w:val="20"/>
                <w:szCs w:val="20"/>
              </w:rPr>
            </w:pPr>
            <w:r w:rsidRPr="00AA6C8A">
              <w:rPr>
                <w:rFonts w:cs="Arial"/>
                <w:sz w:val="20"/>
                <w:szCs w:val="20"/>
              </w:rPr>
              <w:t>Nodes 2-4</w:t>
            </w:r>
          </w:p>
        </w:tc>
        <w:tc>
          <w:tcPr>
            <w:tcW w:w="999" w:type="dxa"/>
            <w:tcBorders>
              <w:top w:val="nil"/>
              <w:left w:val="nil"/>
              <w:bottom w:val="nil"/>
              <w:right w:val="nil"/>
            </w:tcBorders>
            <w:shd w:val="clear" w:color="auto" w:fill="auto"/>
            <w:tcMar>
              <w:top w:w="80" w:type="dxa"/>
              <w:left w:w="80" w:type="dxa"/>
              <w:bottom w:w="80" w:type="dxa"/>
              <w:right w:w="80" w:type="dxa"/>
            </w:tcMar>
          </w:tcPr>
          <w:p w14:paraId="18388CE0" w14:textId="77777777" w:rsidR="00E73C9D" w:rsidRPr="00AA6C8A" w:rsidRDefault="00C57731">
            <w:pPr>
              <w:pStyle w:val="Body"/>
              <w:spacing w:after="0" w:line="240" w:lineRule="auto"/>
              <w:rPr>
                <w:rFonts w:cs="Arial"/>
                <w:sz w:val="20"/>
                <w:szCs w:val="20"/>
              </w:rPr>
            </w:pPr>
            <w:r w:rsidRPr="00AA6C8A">
              <w:rPr>
                <w:rFonts w:cs="Arial"/>
                <w:sz w:val="20"/>
                <w:szCs w:val="20"/>
              </w:rPr>
              <w:t>4456</w:t>
            </w:r>
          </w:p>
        </w:tc>
        <w:tc>
          <w:tcPr>
            <w:tcW w:w="767" w:type="dxa"/>
            <w:tcBorders>
              <w:top w:val="nil"/>
              <w:left w:val="nil"/>
              <w:bottom w:val="nil"/>
              <w:right w:val="nil"/>
            </w:tcBorders>
            <w:shd w:val="clear" w:color="auto" w:fill="auto"/>
            <w:tcMar>
              <w:top w:w="80" w:type="dxa"/>
              <w:left w:w="80" w:type="dxa"/>
              <w:bottom w:w="80" w:type="dxa"/>
              <w:right w:w="80" w:type="dxa"/>
            </w:tcMar>
          </w:tcPr>
          <w:p w14:paraId="4C811F6D" w14:textId="77777777" w:rsidR="00E73C9D" w:rsidRPr="00AA6C8A" w:rsidRDefault="00C57731">
            <w:pPr>
              <w:pStyle w:val="Body"/>
              <w:spacing w:after="0" w:line="240" w:lineRule="auto"/>
              <w:rPr>
                <w:rFonts w:cs="Arial"/>
                <w:sz w:val="20"/>
                <w:szCs w:val="20"/>
              </w:rPr>
            </w:pPr>
            <w:r w:rsidRPr="00AA6C8A">
              <w:rPr>
                <w:rFonts w:cs="Arial"/>
                <w:sz w:val="20"/>
                <w:szCs w:val="20"/>
              </w:rPr>
              <w:t>11.2</w:t>
            </w:r>
          </w:p>
        </w:tc>
        <w:tc>
          <w:tcPr>
            <w:tcW w:w="1063" w:type="dxa"/>
            <w:tcBorders>
              <w:top w:val="nil"/>
              <w:left w:val="nil"/>
              <w:bottom w:val="nil"/>
              <w:right w:val="nil"/>
            </w:tcBorders>
            <w:shd w:val="clear" w:color="auto" w:fill="auto"/>
            <w:tcMar>
              <w:top w:w="80" w:type="dxa"/>
              <w:left w:w="80" w:type="dxa"/>
              <w:bottom w:w="80" w:type="dxa"/>
              <w:right w:w="80" w:type="dxa"/>
            </w:tcMar>
          </w:tcPr>
          <w:p w14:paraId="109F7F54" w14:textId="77777777" w:rsidR="00E73C9D" w:rsidRPr="00AA6C8A" w:rsidRDefault="00C57731">
            <w:pPr>
              <w:pStyle w:val="Body"/>
              <w:spacing w:after="0" w:line="240" w:lineRule="auto"/>
              <w:rPr>
                <w:rFonts w:cs="Arial"/>
                <w:sz w:val="20"/>
                <w:szCs w:val="20"/>
              </w:rPr>
            </w:pPr>
            <w:r w:rsidRPr="00AA6C8A">
              <w:rPr>
                <w:rFonts w:cs="Arial"/>
                <w:sz w:val="20"/>
                <w:szCs w:val="20"/>
              </w:rPr>
              <w:t>3202</w:t>
            </w:r>
          </w:p>
        </w:tc>
        <w:tc>
          <w:tcPr>
            <w:tcW w:w="815" w:type="dxa"/>
            <w:tcBorders>
              <w:top w:val="nil"/>
              <w:left w:val="nil"/>
              <w:bottom w:val="nil"/>
              <w:right w:val="nil"/>
            </w:tcBorders>
            <w:shd w:val="clear" w:color="auto" w:fill="auto"/>
            <w:tcMar>
              <w:top w:w="80" w:type="dxa"/>
              <w:left w:w="80" w:type="dxa"/>
              <w:bottom w:w="80" w:type="dxa"/>
              <w:right w:w="80" w:type="dxa"/>
            </w:tcMar>
          </w:tcPr>
          <w:p w14:paraId="51E46E1D" w14:textId="77777777" w:rsidR="00E73C9D" w:rsidRPr="00AA6C8A" w:rsidRDefault="00C57731">
            <w:pPr>
              <w:pStyle w:val="Body"/>
              <w:spacing w:after="0" w:line="240" w:lineRule="auto"/>
              <w:rPr>
                <w:rFonts w:cs="Arial"/>
                <w:sz w:val="20"/>
                <w:szCs w:val="20"/>
              </w:rPr>
            </w:pPr>
            <w:r w:rsidRPr="00AA6C8A">
              <w:rPr>
                <w:rFonts w:cs="Arial"/>
                <w:sz w:val="20"/>
                <w:szCs w:val="20"/>
              </w:rPr>
              <w:t>24.9</w:t>
            </w:r>
          </w:p>
        </w:tc>
      </w:tr>
      <w:tr w:rsidR="00E73C9D" w:rsidRPr="00AA6C8A" w14:paraId="223AA217"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0447DAAB" w14:textId="77777777" w:rsidR="00E73C9D" w:rsidRPr="00AA6C8A" w:rsidRDefault="00C57731">
            <w:pPr>
              <w:pStyle w:val="Body"/>
              <w:spacing w:after="0" w:line="240" w:lineRule="auto"/>
              <w:rPr>
                <w:rFonts w:cs="Arial"/>
                <w:sz w:val="20"/>
                <w:szCs w:val="20"/>
              </w:rPr>
            </w:pPr>
            <w:r w:rsidRPr="00AA6C8A">
              <w:rPr>
                <w:rFonts w:cs="Arial"/>
                <w:sz w:val="20"/>
                <w:szCs w:val="20"/>
              </w:rPr>
              <w:t>Nodes 5-9</w:t>
            </w:r>
          </w:p>
        </w:tc>
        <w:tc>
          <w:tcPr>
            <w:tcW w:w="999" w:type="dxa"/>
            <w:tcBorders>
              <w:top w:val="nil"/>
              <w:left w:val="nil"/>
              <w:bottom w:val="nil"/>
              <w:right w:val="nil"/>
            </w:tcBorders>
            <w:shd w:val="clear" w:color="auto" w:fill="auto"/>
            <w:tcMar>
              <w:top w:w="80" w:type="dxa"/>
              <w:left w:w="80" w:type="dxa"/>
              <w:bottom w:w="80" w:type="dxa"/>
              <w:right w:w="80" w:type="dxa"/>
            </w:tcMar>
          </w:tcPr>
          <w:p w14:paraId="539C7F9A" w14:textId="77777777" w:rsidR="00E73C9D" w:rsidRPr="00AA6C8A" w:rsidRDefault="00C57731">
            <w:pPr>
              <w:pStyle w:val="Body"/>
              <w:spacing w:after="0" w:line="240" w:lineRule="auto"/>
              <w:rPr>
                <w:rFonts w:cs="Arial"/>
                <w:sz w:val="20"/>
                <w:szCs w:val="20"/>
              </w:rPr>
            </w:pPr>
            <w:r w:rsidRPr="00AA6C8A">
              <w:rPr>
                <w:rFonts w:cs="Arial"/>
                <w:sz w:val="20"/>
                <w:szCs w:val="20"/>
              </w:rPr>
              <w:t>1635</w:t>
            </w:r>
          </w:p>
        </w:tc>
        <w:tc>
          <w:tcPr>
            <w:tcW w:w="767" w:type="dxa"/>
            <w:tcBorders>
              <w:top w:val="nil"/>
              <w:left w:val="nil"/>
              <w:bottom w:val="nil"/>
              <w:right w:val="nil"/>
            </w:tcBorders>
            <w:shd w:val="clear" w:color="auto" w:fill="auto"/>
            <w:tcMar>
              <w:top w:w="80" w:type="dxa"/>
              <w:left w:w="80" w:type="dxa"/>
              <w:bottom w:w="80" w:type="dxa"/>
              <w:right w:w="80" w:type="dxa"/>
            </w:tcMar>
          </w:tcPr>
          <w:p w14:paraId="35D81A9A" w14:textId="77777777" w:rsidR="00E73C9D" w:rsidRPr="00AA6C8A" w:rsidRDefault="00C57731">
            <w:pPr>
              <w:pStyle w:val="Body"/>
              <w:spacing w:after="0" w:line="240" w:lineRule="auto"/>
              <w:rPr>
                <w:rFonts w:cs="Arial"/>
                <w:sz w:val="20"/>
                <w:szCs w:val="20"/>
              </w:rPr>
            </w:pPr>
            <w:r w:rsidRPr="00AA6C8A">
              <w:rPr>
                <w:rFonts w:cs="Arial"/>
                <w:sz w:val="20"/>
                <w:szCs w:val="20"/>
              </w:rPr>
              <w:t>4.1</w:t>
            </w:r>
          </w:p>
        </w:tc>
        <w:tc>
          <w:tcPr>
            <w:tcW w:w="1063" w:type="dxa"/>
            <w:tcBorders>
              <w:top w:val="nil"/>
              <w:left w:val="nil"/>
              <w:bottom w:val="nil"/>
              <w:right w:val="nil"/>
            </w:tcBorders>
            <w:shd w:val="clear" w:color="auto" w:fill="auto"/>
            <w:tcMar>
              <w:top w:w="80" w:type="dxa"/>
              <w:left w:w="80" w:type="dxa"/>
              <w:bottom w:w="80" w:type="dxa"/>
              <w:right w:w="80" w:type="dxa"/>
            </w:tcMar>
          </w:tcPr>
          <w:p w14:paraId="3E814FC0" w14:textId="77777777" w:rsidR="00E73C9D" w:rsidRPr="00AA6C8A" w:rsidRDefault="00C57731">
            <w:pPr>
              <w:pStyle w:val="Body"/>
              <w:spacing w:after="0" w:line="240" w:lineRule="auto"/>
              <w:rPr>
                <w:rFonts w:cs="Arial"/>
                <w:sz w:val="20"/>
                <w:szCs w:val="20"/>
              </w:rPr>
            </w:pPr>
            <w:r w:rsidRPr="00AA6C8A">
              <w:rPr>
                <w:rFonts w:cs="Arial"/>
                <w:sz w:val="20"/>
                <w:szCs w:val="20"/>
              </w:rPr>
              <w:t>1079</w:t>
            </w:r>
          </w:p>
        </w:tc>
        <w:tc>
          <w:tcPr>
            <w:tcW w:w="815" w:type="dxa"/>
            <w:tcBorders>
              <w:top w:val="nil"/>
              <w:left w:val="nil"/>
              <w:bottom w:val="nil"/>
              <w:right w:val="nil"/>
            </w:tcBorders>
            <w:shd w:val="clear" w:color="auto" w:fill="auto"/>
            <w:tcMar>
              <w:top w:w="80" w:type="dxa"/>
              <w:left w:w="80" w:type="dxa"/>
              <w:bottom w:w="80" w:type="dxa"/>
              <w:right w:w="80" w:type="dxa"/>
            </w:tcMar>
          </w:tcPr>
          <w:p w14:paraId="01DD4F5F" w14:textId="77777777" w:rsidR="00E73C9D" w:rsidRPr="00AA6C8A" w:rsidRDefault="00C57731">
            <w:pPr>
              <w:pStyle w:val="Body"/>
              <w:spacing w:after="0" w:line="240" w:lineRule="auto"/>
              <w:rPr>
                <w:rFonts w:cs="Arial"/>
                <w:sz w:val="20"/>
                <w:szCs w:val="20"/>
              </w:rPr>
            </w:pPr>
            <w:r w:rsidRPr="00AA6C8A">
              <w:rPr>
                <w:rFonts w:cs="Arial"/>
                <w:sz w:val="20"/>
                <w:szCs w:val="20"/>
              </w:rPr>
              <w:t>8.4</w:t>
            </w:r>
          </w:p>
        </w:tc>
      </w:tr>
      <w:tr w:rsidR="00E73C9D" w:rsidRPr="00AA6C8A" w14:paraId="1F54C762"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3E691723" w14:textId="77777777" w:rsidR="00E73C9D" w:rsidRPr="00AA6C8A" w:rsidRDefault="00C57731">
            <w:pPr>
              <w:pStyle w:val="Body"/>
              <w:spacing w:after="0" w:line="240" w:lineRule="auto"/>
              <w:rPr>
                <w:rFonts w:cs="Arial"/>
                <w:sz w:val="20"/>
                <w:szCs w:val="20"/>
              </w:rPr>
            </w:pPr>
            <w:r w:rsidRPr="00AA6C8A">
              <w:rPr>
                <w:rFonts w:cs="Arial"/>
                <w:sz w:val="20"/>
                <w:szCs w:val="20"/>
              </w:rPr>
              <w:t>Nodes 10+</w:t>
            </w:r>
          </w:p>
        </w:tc>
        <w:tc>
          <w:tcPr>
            <w:tcW w:w="999" w:type="dxa"/>
            <w:tcBorders>
              <w:top w:val="nil"/>
              <w:left w:val="nil"/>
              <w:bottom w:val="nil"/>
              <w:right w:val="nil"/>
            </w:tcBorders>
            <w:shd w:val="clear" w:color="auto" w:fill="auto"/>
            <w:tcMar>
              <w:top w:w="80" w:type="dxa"/>
              <w:left w:w="80" w:type="dxa"/>
              <w:bottom w:w="80" w:type="dxa"/>
              <w:right w:w="80" w:type="dxa"/>
            </w:tcMar>
          </w:tcPr>
          <w:p w14:paraId="60A96ED5" w14:textId="77777777" w:rsidR="00E73C9D" w:rsidRPr="00AA6C8A" w:rsidRDefault="00C57731">
            <w:pPr>
              <w:pStyle w:val="Body"/>
              <w:spacing w:after="0" w:line="240" w:lineRule="auto"/>
              <w:rPr>
                <w:rFonts w:cs="Arial"/>
                <w:sz w:val="20"/>
                <w:szCs w:val="20"/>
              </w:rPr>
            </w:pPr>
            <w:r w:rsidRPr="00AA6C8A">
              <w:rPr>
                <w:rFonts w:cs="Arial"/>
                <w:sz w:val="20"/>
                <w:szCs w:val="20"/>
              </w:rPr>
              <w:t>1453</w:t>
            </w:r>
          </w:p>
        </w:tc>
        <w:tc>
          <w:tcPr>
            <w:tcW w:w="767" w:type="dxa"/>
            <w:tcBorders>
              <w:top w:val="nil"/>
              <w:left w:val="nil"/>
              <w:bottom w:val="nil"/>
              <w:right w:val="nil"/>
            </w:tcBorders>
            <w:shd w:val="clear" w:color="auto" w:fill="auto"/>
            <w:tcMar>
              <w:top w:w="80" w:type="dxa"/>
              <w:left w:w="80" w:type="dxa"/>
              <w:bottom w:w="80" w:type="dxa"/>
              <w:right w:w="80" w:type="dxa"/>
            </w:tcMar>
          </w:tcPr>
          <w:p w14:paraId="5F0DC867" w14:textId="77777777" w:rsidR="00E73C9D" w:rsidRPr="00AA6C8A" w:rsidRDefault="00C57731">
            <w:pPr>
              <w:pStyle w:val="Body"/>
              <w:spacing w:after="0" w:line="240" w:lineRule="auto"/>
              <w:rPr>
                <w:rFonts w:cs="Arial"/>
                <w:sz w:val="20"/>
                <w:szCs w:val="20"/>
              </w:rPr>
            </w:pPr>
            <w:r w:rsidRPr="00AA6C8A">
              <w:rPr>
                <w:rFonts w:cs="Arial"/>
                <w:sz w:val="20"/>
                <w:szCs w:val="20"/>
              </w:rPr>
              <w:t>3.7</w:t>
            </w:r>
          </w:p>
        </w:tc>
        <w:tc>
          <w:tcPr>
            <w:tcW w:w="1063" w:type="dxa"/>
            <w:tcBorders>
              <w:top w:val="nil"/>
              <w:left w:val="nil"/>
              <w:bottom w:val="nil"/>
              <w:right w:val="nil"/>
            </w:tcBorders>
            <w:shd w:val="clear" w:color="auto" w:fill="auto"/>
            <w:tcMar>
              <w:top w:w="80" w:type="dxa"/>
              <w:left w:w="80" w:type="dxa"/>
              <w:bottom w:w="80" w:type="dxa"/>
              <w:right w:w="80" w:type="dxa"/>
            </w:tcMar>
          </w:tcPr>
          <w:p w14:paraId="2ECE0E41" w14:textId="77777777" w:rsidR="00E73C9D" w:rsidRPr="00AA6C8A" w:rsidRDefault="00C57731">
            <w:pPr>
              <w:pStyle w:val="Body"/>
              <w:spacing w:after="0" w:line="240" w:lineRule="auto"/>
              <w:rPr>
                <w:rFonts w:cs="Arial"/>
                <w:sz w:val="20"/>
                <w:szCs w:val="20"/>
              </w:rPr>
            </w:pPr>
            <w:r w:rsidRPr="00AA6C8A">
              <w:rPr>
                <w:rFonts w:cs="Arial"/>
                <w:sz w:val="20"/>
                <w:szCs w:val="20"/>
              </w:rPr>
              <w:t>978</w:t>
            </w:r>
          </w:p>
        </w:tc>
        <w:tc>
          <w:tcPr>
            <w:tcW w:w="815" w:type="dxa"/>
            <w:tcBorders>
              <w:top w:val="nil"/>
              <w:left w:val="nil"/>
              <w:bottom w:val="nil"/>
              <w:right w:val="nil"/>
            </w:tcBorders>
            <w:shd w:val="clear" w:color="auto" w:fill="auto"/>
            <w:tcMar>
              <w:top w:w="80" w:type="dxa"/>
              <w:left w:w="80" w:type="dxa"/>
              <w:bottom w:w="80" w:type="dxa"/>
              <w:right w:w="80" w:type="dxa"/>
            </w:tcMar>
          </w:tcPr>
          <w:p w14:paraId="3205B09A" w14:textId="77777777" w:rsidR="00E73C9D" w:rsidRPr="00AA6C8A" w:rsidRDefault="00C57731">
            <w:pPr>
              <w:pStyle w:val="Body"/>
              <w:spacing w:after="0" w:line="240" w:lineRule="auto"/>
              <w:rPr>
                <w:rFonts w:cs="Arial"/>
                <w:sz w:val="20"/>
                <w:szCs w:val="20"/>
              </w:rPr>
            </w:pPr>
            <w:r w:rsidRPr="00AA6C8A">
              <w:rPr>
                <w:rFonts w:cs="Arial"/>
                <w:sz w:val="20"/>
                <w:szCs w:val="20"/>
              </w:rPr>
              <w:t>7.6</w:t>
            </w:r>
          </w:p>
        </w:tc>
      </w:tr>
      <w:tr w:rsidR="00E73C9D" w:rsidRPr="00AA6C8A" w14:paraId="538092B1"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1271C05D" w14:textId="11CBBC10" w:rsidR="00E73C9D" w:rsidRPr="00AA6C8A" w:rsidRDefault="00C57731">
            <w:pPr>
              <w:pStyle w:val="Body"/>
              <w:spacing w:after="0" w:line="240" w:lineRule="auto"/>
              <w:rPr>
                <w:rFonts w:cs="Arial"/>
                <w:sz w:val="20"/>
                <w:szCs w:val="20"/>
              </w:rPr>
            </w:pPr>
            <w:r w:rsidRPr="00AA6C8A">
              <w:rPr>
                <w:rFonts w:cs="Arial"/>
                <w:sz w:val="20"/>
                <w:szCs w:val="20"/>
              </w:rPr>
              <w:t>Tumour size &lt;10</w:t>
            </w:r>
            <w:r w:rsidR="002E7B43" w:rsidRPr="00AA6C8A">
              <w:rPr>
                <w:rFonts w:cs="Arial"/>
                <w:sz w:val="20"/>
                <w:szCs w:val="20"/>
              </w:rPr>
              <w:t>mm</w:t>
            </w:r>
          </w:p>
        </w:tc>
        <w:tc>
          <w:tcPr>
            <w:tcW w:w="999" w:type="dxa"/>
            <w:tcBorders>
              <w:top w:val="nil"/>
              <w:left w:val="nil"/>
              <w:bottom w:val="nil"/>
              <w:right w:val="nil"/>
            </w:tcBorders>
            <w:shd w:val="clear" w:color="auto" w:fill="auto"/>
            <w:tcMar>
              <w:top w:w="80" w:type="dxa"/>
              <w:left w:w="80" w:type="dxa"/>
              <w:bottom w:w="80" w:type="dxa"/>
              <w:right w:w="80" w:type="dxa"/>
            </w:tcMar>
          </w:tcPr>
          <w:p w14:paraId="30ED6762" w14:textId="77777777" w:rsidR="00E73C9D" w:rsidRPr="00AA6C8A" w:rsidRDefault="00C57731">
            <w:pPr>
              <w:pStyle w:val="Body"/>
              <w:spacing w:after="0" w:line="240" w:lineRule="auto"/>
              <w:rPr>
                <w:rFonts w:cs="Arial"/>
                <w:sz w:val="20"/>
                <w:szCs w:val="20"/>
              </w:rPr>
            </w:pPr>
            <w:r w:rsidRPr="00AA6C8A">
              <w:rPr>
                <w:rFonts w:cs="Arial"/>
                <w:sz w:val="20"/>
                <w:szCs w:val="20"/>
              </w:rPr>
              <w:t>5453</w:t>
            </w:r>
          </w:p>
        </w:tc>
        <w:tc>
          <w:tcPr>
            <w:tcW w:w="767" w:type="dxa"/>
            <w:tcBorders>
              <w:top w:val="nil"/>
              <w:left w:val="nil"/>
              <w:bottom w:val="nil"/>
              <w:right w:val="nil"/>
            </w:tcBorders>
            <w:shd w:val="clear" w:color="auto" w:fill="auto"/>
            <w:tcMar>
              <w:top w:w="80" w:type="dxa"/>
              <w:left w:w="80" w:type="dxa"/>
              <w:bottom w:w="80" w:type="dxa"/>
              <w:right w:w="80" w:type="dxa"/>
            </w:tcMar>
          </w:tcPr>
          <w:p w14:paraId="1EA3EBE7" w14:textId="77777777" w:rsidR="00E73C9D" w:rsidRPr="00AA6C8A" w:rsidRDefault="00C57731">
            <w:pPr>
              <w:pStyle w:val="Body"/>
              <w:spacing w:after="0" w:line="240" w:lineRule="auto"/>
              <w:rPr>
                <w:rFonts w:cs="Arial"/>
                <w:sz w:val="20"/>
                <w:szCs w:val="20"/>
              </w:rPr>
            </w:pPr>
            <w:r w:rsidRPr="00AA6C8A">
              <w:rPr>
                <w:rFonts w:cs="Arial"/>
                <w:sz w:val="20"/>
                <w:szCs w:val="20"/>
              </w:rPr>
              <w:t>13.7</w:t>
            </w:r>
          </w:p>
        </w:tc>
        <w:tc>
          <w:tcPr>
            <w:tcW w:w="1063" w:type="dxa"/>
            <w:tcBorders>
              <w:top w:val="nil"/>
              <w:left w:val="nil"/>
              <w:bottom w:val="nil"/>
              <w:right w:val="nil"/>
            </w:tcBorders>
            <w:shd w:val="clear" w:color="auto" w:fill="auto"/>
            <w:tcMar>
              <w:top w:w="80" w:type="dxa"/>
              <w:left w:w="80" w:type="dxa"/>
              <w:bottom w:w="80" w:type="dxa"/>
              <w:right w:w="80" w:type="dxa"/>
            </w:tcMar>
          </w:tcPr>
          <w:p w14:paraId="119DB378" w14:textId="77777777" w:rsidR="00E73C9D" w:rsidRPr="00AA6C8A" w:rsidRDefault="00C57731">
            <w:pPr>
              <w:pStyle w:val="Body"/>
              <w:spacing w:after="0" w:line="240" w:lineRule="auto"/>
              <w:rPr>
                <w:rFonts w:cs="Arial"/>
                <w:sz w:val="20"/>
                <w:szCs w:val="20"/>
              </w:rPr>
            </w:pPr>
            <w:r w:rsidRPr="00AA6C8A">
              <w:rPr>
                <w:rFonts w:cs="Arial"/>
                <w:sz w:val="20"/>
                <w:szCs w:val="20"/>
              </w:rPr>
              <w:t>717</w:t>
            </w:r>
          </w:p>
        </w:tc>
        <w:tc>
          <w:tcPr>
            <w:tcW w:w="815" w:type="dxa"/>
            <w:tcBorders>
              <w:top w:val="nil"/>
              <w:left w:val="nil"/>
              <w:bottom w:val="nil"/>
              <w:right w:val="nil"/>
            </w:tcBorders>
            <w:shd w:val="clear" w:color="auto" w:fill="auto"/>
            <w:tcMar>
              <w:top w:w="80" w:type="dxa"/>
              <w:left w:w="80" w:type="dxa"/>
              <w:bottom w:w="80" w:type="dxa"/>
              <w:right w:w="80" w:type="dxa"/>
            </w:tcMar>
          </w:tcPr>
          <w:p w14:paraId="69FABF0F" w14:textId="77777777" w:rsidR="00E73C9D" w:rsidRPr="00AA6C8A" w:rsidRDefault="00C57731">
            <w:pPr>
              <w:pStyle w:val="Body"/>
              <w:spacing w:after="0" w:line="240" w:lineRule="auto"/>
              <w:rPr>
                <w:rFonts w:cs="Arial"/>
                <w:sz w:val="20"/>
                <w:szCs w:val="20"/>
              </w:rPr>
            </w:pPr>
            <w:r w:rsidRPr="00AA6C8A">
              <w:rPr>
                <w:rFonts w:cs="Arial"/>
                <w:sz w:val="20"/>
                <w:szCs w:val="20"/>
              </w:rPr>
              <w:t>5.6</w:t>
            </w:r>
          </w:p>
        </w:tc>
      </w:tr>
      <w:tr w:rsidR="00E73C9D" w:rsidRPr="00AA6C8A" w14:paraId="0409B9A9"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06886DE4" w14:textId="54209211" w:rsidR="00E73C9D" w:rsidRPr="00AA6C8A" w:rsidRDefault="00C57731">
            <w:pPr>
              <w:pStyle w:val="Body"/>
              <w:spacing w:after="0" w:line="240" w:lineRule="auto"/>
              <w:rPr>
                <w:rFonts w:cs="Arial"/>
                <w:sz w:val="20"/>
                <w:szCs w:val="20"/>
              </w:rPr>
            </w:pPr>
            <w:r w:rsidRPr="00AA6C8A">
              <w:rPr>
                <w:rFonts w:cs="Arial"/>
                <w:sz w:val="20"/>
                <w:szCs w:val="20"/>
              </w:rPr>
              <w:t>10-19</w:t>
            </w:r>
            <w:r w:rsidR="002E7B43" w:rsidRPr="00AA6C8A">
              <w:rPr>
                <w:rFonts w:cs="Arial"/>
                <w:sz w:val="20"/>
                <w:szCs w:val="20"/>
              </w:rPr>
              <w:t>mm</w:t>
            </w:r>
          </w:p>
        </w:tc>
        <w:tc>
          <w:tcPr>
            <w:tcW w:w="999" w:type="dxa"/>
            <w:tcBorders>
              <w:top w:val="nil"/>
              <w:left w:val="nil"/>
              <w:bottom w:val="nil"/>
              <w:right w:val="nil"/>
            </w:tcBorders>
            <w:shd w:val="clear" w:color="auto" w:fill="auto"/>
            <w:tcMar>
              <w:top w:w="80" w:type="dxa"/>
              <w:left w:w="80" w:type="dxa"/>
              <w:bottom w:w="80" w:type="dxa"/>
              <w:right w:w="80" w:type="dxa"/>
            </w:tcMar>
          </w:tcPr>
          <w:p w14:paraId="3AEC7249" w14:textId="77777777" w:rsidR="00E73C9D" w:rsidRPr="00AA6C8A" w:rsidRDefault="00C57731">
            <w:pPr>
              <w:pStyle w:val="Body"/>
              <w:spacing w:after="0" w:line="240" w:lineRule="auto"/>
              <w:rPr>
                <w:rFonts w:cs="Arial"/>
                <w:sz w:val="20"/>
                <w:szCs w:val="20"/>
              </w:rPr>
            </w:pPr>
            <w:r w:rsidRPr="00AA6C8A">
              <w:rPr>
                <w:rFonts w:cs="Arial"/>
                <w:sz w:val="20"/>
                <w:szCs w:val="20"/>
              </w:rPr>
              <w:t>15774</w:t>
            </w:r>
          </w:p>
        </w:tc>
        <w:tc>
          <w:tcPr>
            <w:tcW w:w="767" w:type="dxa"/>
            <w:tcBorders>
              <w:top w:val="nil"/>
              <w:left w:val="nil"/>
              <w:bottom w:val="nil"/>
              <w:right w:val="nil"/>
            </w:tcBorders>
            <w:shd w:val="clear" w:color="auto" w:fill="auto"/>
            <w:tcMar>
              <w:top w:w="80" w:type="dxa"/>
              <w:left w:w="80" w:type="dxa"/>
              <w:bottom w:w="80" w:type="dxa"/>
              <w:right w:w="80" w:type="dxa"/>
            </w:tcMar>
          </w:tcPr>
          <w:p w14:paraId="1BE925AD" w14:textId="77777777" w:rsidR="00E73C9D" w:rsidRPr="00AA6C8A" w:rsidRDefault="00C57731">
            <w:pPr>
              <w:pStyle w:val="Body"/>
              <w:spacing w:after="0" w:line="240" w:lineRule="auto"/>
              <w:rPr>
                <w:rFonts w:cs="Arial"/>
                <w:sz w:val="20"/>
                <w:szCs w:val="20"/>
              </w:rPr>
            </w:pPr>
            <w:r w:rsidRPr="00AA6C8A">
              <w:rPr>
                <w:rFonts w:cs="Arial"/>
                <w:sz w:val="20"/>
                <w:szCs w:val="20"/>
              </w:rPr>
              <w:t>39.6</w:t>
            </w:r>
          </w:p>
        </w:tc>
        <w:tc>
          <w:tcPr>
            <w:tcW w:w="1063" w:type="dxa"/>
            <w:tcBorders>
              <w:top w:val="nil"/>
              <w:left w:val="nil"/>
              <w:bottom w:val="nil"/>
              <w:right w:val="nil"/>
            </w:tcBorders>
            <w:shd w:val="clear" w:color="auto" w:fill="auto"/>
            <w:tcMar>
              <w:top w:w="80" w:type="dxa"/>
              <w:left w:w="80" w:type="dxa"/>
              <w:bottom w:w="80" w:type="dxa"/>
              <w:right w:w="80" w:type="dxa"/>
            </w:tcMar>
          </w:tcPr>
          <w:p w14:paraId="5A571871" w14:textId="77777777" w:rsidR="00E73C9D" w:rsidRPr="00AA6C8A" w:rsidRDefault="00C57731">
            <w:pPr>
              <w:pStyle w:val="Body"/>
              <w:spacing w:after="0" w:line="240" w:lineRule="auto"/>
              <w:rPr>
                <w:rFonts w:cs="Arial"/>
                <w:sz w:val="20"/>
                <w:szCs w:val="20"/>
              </w:rPr>
            </w:pPr>
            <w:r w:rsidRPr="00AA6C8A">
              <w:rPr>
                <w:rFonts w:cs="Arial"/>
                <w:sz w:val="20"/>
                <w:szCs w:val="20"/>
              </w:rPr>
              <w:t>3907</w:t>
            </w:r>
          </w:p>
        </w:tc>
        <w:tc>
          <w:tcPr>
            <w:tcW w:w="815" w:type="dxa"/>
            <w:tcBorders>
              <w:top w:val="nil"/>
              <w:left w:val="nil"/>
              <w:bottom w:val="nil"/>
              <w:right w:val="nil"/>
            </w:tcBorders>
            <w:shd w:val="clear" w:color="auto" w:fill="auto"/>
            <w:tcMar>
              <w:top w:w="80" w:type="dxa"/>
              <w:left w:w="80" w:type="dxa"/>
              <w:bottom w:w="80" w:type="dxa"/>
              <w:right w:w="80" w:type="dxa"/>
            </w:tcMar>
          </w:tcPr>
          <w:p w14:paraId="5A518289" w14:textId="77777777" w:rsidR="00E73C9D" w:rsidRPr="00AA6C8A" w:rsidRDefault="00C57731">
            <w:pPr>
              <w:pStyle w:val="Body"/>
              <w:spacing w:after="0" w:line="240" w:lineRule="auto"/>
              <w:rPr>
                <w:rFonts w:cs="Arial"/>
                <w:sz w:val="20"/>
                <w:szCs w:val="20"/>
              </w:rPr>
            </w:pPr>
            <w:r w:rsidRPr="00AA6C8A">
              <w:rPr>
                <w:rFonts w:cs="Arial"/>
                <w:sz w:val="20"/>
                <w:szCs w:val="20"/>
              </w:rPr>
              <w:t>30.4</w:t>
            </w:r>
          </w:p>
        </w:tc>
      </w:tr>
      <w:tr w:rsidR="00E73C9D" w:rsidRPr="00AA6C8A" w14:paraId="4105624F"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04242D7D" w14:textId="79889663" w:rsidR="00E73C9D" w:rsidRPr="00AA6C8A" w:rsidRDefault="00C57731">
            <w:pPr>
              <w:pStyle w:val="Body"/>
              <w:spacing w:after="0" w:line="240" w:lineRule="auto"/>
              <w:rPr>
                <w:rFonts w:cs="Arial"/>
                <w:sz w:val="20"/>
                <w:szCs w:val="20"/>
              </w:rPr>
            </w:pPr>
            <w:r w:rsidRPr="00AA6C8A">
              <w:rPr>
                <w:rFonts w:cs="Arial"/>
                <w:sz w:val="20"/>
                <w:szCs w:val="20"/>
              </w:rPr>
              <w:t>20-29</w:t>
            </w:r>
            <w:r w:rsidR="002E7B43" w:rsidRPr="00AA6C8A">
              <w:rPr>
                <w:rFonts w:cs="Arial"/>
                <w:sz w:val="20"/>
                <w:szCs w:val="20"/>
              </w:rPr>
              <w:t>mm</w:t>
            </w:r>
          </w:p>
        </w:tc>
        <w:tc>
          <w:tcPr>
            <w:tcW w:w="999" w:type="dxa"/>
            <w:tcBorders>
              <w:top w:val="nil"/>
              <w:left w:val="nil"/>
              <w:bottom w:val="nil"/>
              <w:right w:val="nil"/>
            </w:tcBorders>
            <w:shd w:val="clear" w:color="auto" w:fill="auto"/>
            <w:tcMar>
              <w:top w:w="80" w:type="dxa"/>
              <w:left w:w="80" w:type="dxa"/>
              <w:bottom w:w="80" w:type="dxa"/>
              <w:right w:w="80" w:type="dxa"/>
            </w:tcMar>
          </w:tcPr>
          <w:p w14:paraId="7AF1C483" w14:textId="77777777" w:rsidR="00E73C9D" w:rsidRPr="00AA6C8A" w:rsidRDefault="00C57731">
            <w:pPr>
              <w:pStyle w:val="Body"/>
              <w:spacing w:after="0" w:line="240" w:lineRule="auto"/>
              <w:rPr>
                <w:rFonts w:cs="Arial"/>
                <w:sz w:val="20"/>
                <w:szCs w:val="20"/>
              </w:rPr>
            </w:pPr>
            <w:r w:rsidRPr="00AA6C8A">
              <w:rPr>
                <w:rFonts w:cs="Arial"/>
                <w:sz w:val="20"/>
                <w:szCs w:val="20"/>
              </w:rPr>
              <w:t>10727</w:t>
            </w:r>
          </w:p>
        </w:tc>
        <w:tc>
          <w:tcPr>
            <w:tcW w:w="767" w:type="dxa"/>
            <w:tcBorders>
              <w:top w:val="nil"/>
              <w:left w:val="nil"/>
              <w:bottom w:val="nil"/>
              <w:right w:val="nil"/>
            </w:tcBorders>
            <w:shd w:val="clear" w:color="auto" w:fill="auto"/>
            <w:tcMar>
              <w:top w:w="80" w:type="dxa"/>
              <w:left w:w="80" w:type="dxa"/>
              <w:bottom w:w="80" w:type="dxa"/>
              <w:right w:w="80" w:type="dxa"/>
            </w:tcMar>
          </w:tcPr>
          <w:p w14:paraId="280CC6F5" w14:textId="77777777" w:rsidR="00E73C9D" w:rsidRPr="00AA6C8A" w:rsidRDefault="00C57731">
            <w:pPr>
              <w:pStyle w:val="Body"/>
              <w:spacing w:after="0" w:line="240" w:lineRule="auto"/>
              <w:rPr>
                <w:rFonts w:cs="Arial"/>
                <w:sz w:val="20"/>
                <w:szCs w:val="20"/>
              </w:rPr>
            </w:pPr>
            <w:r w:rsidRPr="00AA6C8A">
              <w:rPr>
                <w:rFonts w:cs="Arial"/>
                <w:sz w:val="20"/>
                <w:szCs w:val="20"/>
              </w:rPr>
              <w:t>26.9</w:t>
            </w:r>
          </w:p>
        </w:tc>
        <w:tc>
          <w:tcPr>
            <w:tcW w:w="1063" w:type="dxa"/>
            <w:tcBorders>
              <w:top w:val="nil"/>
              <w:left w:val="nil"/>
              <w:bottom w:val="nil"/>
              <w:right w:val="nil"/>
            </w:tcBorders>
            <w:shd w:val="clear" w:color="auto" w:fill="auto"/>
            <w:tcMar>
              <w:top w:w="80" w:type="dxa"/>
              <w:left w:w="80" w:type="dxa"/>
              <w:bottom w:w="80" w:type="dxa"/>
              <w:right w:w="80" w:type="dxa"/>
            </w:tcMar>
          </w:tcPr>
          <w:p w14:paraId="0D39781A" w14:textId="77777777" w:rsidR="00E73C9D" w:rsidRPr="00AA6C8A" w:rsidRDefault="00C57731">
            <w:pPr>
              <w:pStyle w:val="Body"/>
              <w:spacing w:after="0" w:line="240" w:lineRule="auto"/>
              <w:rPr>
                <w:rFonts w:cs="Arial"/>
                <w:sz w:val="20"/>
                <w:szCs w:val="20"/>
              </w:rPr>
            </w:pPr>
            <w:r w:rsidRPr="00AA6C8A">
              <w:rPr>
                <w:rFonts w:cs="Arial"/>
                <w:sz w:val="20"/>
                <w:szCs w:val="20"/>
              </w:rPr>
              <w:t>4029</w:t>
            </w:r>
          </w:p>
        </w:tc>
        <w:tc>
          <w:tcPr>
            <w:tcW w:w="815" w:type="dxa"/>
            <w:tcBorders>
              <w:top w:val="nil"/>
              <w:left w:val="nil"/>
              <w:bottom w:val="nil"/>
              <w:right w:val="nil"/>
            </w:tcBorders>
            <w:shd w:val="clear" w:color="auto" w:fill="auto"/>
            <w:tcMar>
              <w:top w:w="80" w:type="dxa"/>
              <w:left w:w="80" w:type="dxa"/>
              <w:bottom w:w="80" w:type="dxa"/>
              <w:right w:w="80" w:type="dxa"/>
            </w:tcMar>
          </w:tcPr>
          <w:p w14:paraId="70C141C7" w14:textId="77777777" w:rsidR="00E73C9D" w:rsidRPr="00AA6C8A" w:rsidRDefault="00C57731">
            <w:pPr>
              <w:pStyle w:val="Body"/>
              <w:spacing w:after="0" w:line="240" w:lineRule="auto"/>
              <w:rPr>
                <w:rFonts w:cs="Arial"/>
                <w:sz w:val="20"/>
                <w:szCs w:val="20"/>
              </w:rPr>
            </w:pPr>
            <w:r w:rsidRPr="00AA6C8A">
              <w:rPr>
                <w:rFonts w:cs="Arial"/>
                <w:sz w:val="20"/>
                <w:szCs w:val="20"/>
              </w:rPr>
              <w:t>31.3</w:t>
            </w:r>
          </w:p>
        </w:tc>
      </w:tr>
      <w:tr w:rsidR="00E73C9D" w:rsidRPr="00AA6C8A" w14:paraId="3B0F4372"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069943A6" w14:textId="27A5113B" w:rsidR="00E73C9D" w:rsidRPr="00AA6C8A" w:rsidRDefault="00C57731">
            <w:pPr>
              <w:pStyle w:val="Body"/>
              <w:spacing w:after="0" w:line="240" w:lineRule="auto"/>
              <w:rPr>
                <w:rFonts w:cs="Arial"/>
                <w:sz w:val="20"/>
                <w:szCs w:val="20"/>
              </w:rPr>
            </w:pPr>
            <w:r w:rsidRPr="00AA6C8A">
              <w:rPr>
                <w:rFonts w:cs="Arial"/>
                <w:sz w:val="20"/>
                <w:szCs w:val="20"/>
              </w:rPr>
              <w:t>30-49</w:t>
            </w:r>
            <w:r w:rsidR="002E7B43" w:rsidRPr="00AA6C8A">
              <w:rPr>
                <w:rFonts w:cs="Arial"/>
                <w:sz w:val="20"/>
                <w:szCs w:val="20"/>
              </w:rPr>
              <w:t>mm</w:t>
            </w:r>
          </w:p>
        </w:tc>
        <w:tc>
          <w:tcPr>
            <w:tcW w:w="999" w:type="dxa"/>
            <w:tcBorders>
              <w:top w:val="nil"/>
              <w:left w:val="nil"/>
              <w:bottom w:val="nil"/>
              <w:right w:val="nil"/>
            </w:tcBorders>
            <w:shd w:val="clear" w:color="auto" w:fill="auto"/>
            <w:tcMar>
              <w:top w:w="80" w:type="dxa"/>
              <w:left w:w="80" w:type="dxa"/>
              <w:bottom w:w="80" w:type="dxa"/>
              <w:right w:w="80" w:type="dxa"/>
            </w:tcMar>
          </w:tcPr>
          <w:p w14:paraId="40C4EDB4" w14:textId="77777777" w:rsidR="00E73C9D" w:rsidRPr="00AA6C8A" w:rsidRDefault="00C57731">
            <w:pPr>
              <w:pStyle w:val="Body"/>
              <w:spacing w:after="0" w:line="240" w:lineRule="auto"/>
              <w:rPr>
                <w:rFonts w:cs="Arial"/>
                <w:sz w:val="20"/>
                <w:szCs w:val="20"/>
              </w:rPr>
            </w:pPr>
            <w:r w:rsidRPr="00AA6C8A">
              <w:rPr>
                <w:rFonts w:cs="Arial"/>
                <w:sz w:val="20"/>
                <w:szCs w:val="20"/>
              </w:rPr>
              <w:t>5967</w:t>
            </w:r>
          </w:p>
        </w:tc>
        <w:tc>
          <w:tcPr>
            <w:tcW w:w="767" w:type="dxa"/>
            <w:tcBorders>
              <w:top w:val="nil"/>
              <w:left w:val="nil"/>
              <w:bottom w:val="nil"/>
              <w:right w:val="nil"/>
            </w:tcBorders>
            <w:shd w:val="clear" w:color="auto" w:fill="auto"/>
            <w:tcMar>
              <w:top w:w="80" w:type="dxa"/>
              <w:left w:w="80" w:type="dxa"/>
              <w:bottom w:w="80" w:type="dxa"/>
              <w:right w:w="80" w:type="dxa"/>
            </w:tcMar>
          </w:tcPr>
          <w:p w14:paraId="5DDFE748" w14:textId="77777777" w:rsidR="00E73C9D" w:rsidRPr="00AA6C8A" w:rsidRDefault="00C57731">
            <w:pPr>
              <w:pStyle w:val="Body"/>
              <w:spacing w:after="0" w:line="240" w:lineRule="auto"/>
              <w:rPr>
                <w:rFonts w:cs="Arial"/>
                <w:sz w:val="20"/>
                <w:szCs w:val="20"/>
              </w:rPr>
            </w:pPr>
            <w:r w:rsidRPr="00AA6C8A">
              <w:rPr>
                <w:rFonts w:cs="Arial"/>
                <w:sz w:val="20"/>
                <w:szCs w:val="20"/>
              </w:rPr>
              <w:t>15</w:t>
            </w:r>
          </w:p>
        </w:tc>
        <w:tc>
          <w:tcPr>
            <w:tcW w:w="1063" w:type="dxa"/>
            <w:tcBorders>
              <w:top w:val="nil"/>
              <w:left w:val="nil"/>
              <w:bottom w:val="nil"/>
              <w:right w:val="nil"/>
            </w:tcBorders>
            <w:shd w:val="clear" w:color="auto" w:fill="auto"/>
            <w:tcMar>
              <w:top w:w="80" w:type="dxa"/>
              <w:left w:w="80" w:type="dxa"/>
              <w:bottom w:w="80" w:type="dxa"/>
              <w:right w:w="80" w:type="dxa"/>
            </w:tcMar>
          </w:tcPr>
          <w:p w14:paraId="71B8ADA3" w14:textId="77777777" w:rsidR="00E73C9D" w:rsidRPr="00AA6C8A" w:rsidRDefault="00C57731">
            <w:pPr>
              <w:pStyle w:val="Body"/>
              <w:spacing w:after="0" w:line="240" w:lineRule="auto"/>
              <w:rPr>
                <w:rFonts w:cs="Arial"/>
                <w:sz w:val="20"/>
                <w:szCs w:val="20"/>
              </w:rPr>
            </w:pPr>
            <w:r w:rsidRPr="00AA6C8A">
              <w:rPr>
                <w:rFonts w:cs="Arial"/>
                <w:sz w:val="20"/>
                <w:szCs w:val="20"/>
              </w:rPr>
              <w:t>3146</w:t>
            </w:r>
          </w:p>
        </w:tc>
        <w:tc>
          <w:tcPr>
            <w:tcW w:w="815" w:type="dxa"/>
            <w:tcBorders>
              <w:top w:val="nil"/>
              <w:left w:val="nil"/>
              <w:bottom w:val="nil"/>
              <w:right w:val="nil"/>
            </w:tcBorders>
            <w:shd w:val="clear" w:color="auto" w:fill="auto"/>
            <w:tcMar>
              <w:top w:w="80" w:type="dxa"/>
              <w:left w:w="80" w:type="dxa"/>
              <w:bottom w:w="80" w:type="dxa"/>
              <w:right w:w="80" w:type="dxa"/>
            </w:tcMar>
          </w:tcPr>
          <w:p w14:paraId="54EA496A" w14:textId="77777777" w:rsidR="00E73C9D" w:rsidRPr="00AA6C8A" w:rsidRDefault="00C57731">
            <w:pPr>
              <w:pStyle w:val="Body"/>
              <w:spacing w:after="0" w:line="240" w:lineRule="auto"/>
              <w:rPr>
                <w:rFonts w:cs="Arial"/>
                <w:sz w:val="20"/>
                <w:szCs w:val="20"/>
              </w:rPr>
            </w:pPr>
            <w:r w:rsidRPr="00AA6C8A">
              <w:rPr>
                <w:rFonts w:cs="Arial"/>
                <w:sz w:val="20"/>
                <w:szCs w:val="20"/>
              </w:rPr>
              <w:t>24.4</w:t>
            </w:r>
          </w:p>
        </w:tc>
      </w:tr>
      <w:tr w:rsidR="00E73C9D" w:rsidRPr="00AA6C8A" w14:paraId="2AEABE43"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539B4162" w14:textId="005ED9B4" w:rsidR="00E73C9D" w:rsidRPr="00AA6C8A" w:rsidRDefault="00C57731">
            <w:pPr>
              <w:pStyle w:val="Body"/>
              <w:spacing w:after="0" w:line="240" w:lineRule="auto"/>
              <w:rPr>
                <w:rFonts w:cs="Arial"/>
                <w:sz w:val="20"/>
                <w:szCs w:val="20"/>
              </w:rPr>
            </w:pPr>
            <w:r w:rsidRPr="00AA6C8A">
              <w:rPr>
                <w:rFonts w:cs="Arial"/>
                <w:sz w:val="20"/>
                <w:szCs w:val="20"/>
              </w:rPr>
              <w:t>&gt;=50</w:t>
            </w:r>
            <w:r w:rsidR="002E7B43" w:rsidRPr="00AA6C8A">
              <w:rPr>
                <w:rFonts w:cs="Arial"/>
                <w:sz w:val="20"/>
                <w:szCs w:val="20"/>
              </w:rPr>
              <w:t>mm</w:t>
            </w:r>
          </w:p>
        </w:tc>
        <w:tc>
          <w:tcPr>
            <w:tcW w:w="999" w:type="dxa"/>
            <w:tcBorders>
              <w:top w:val="nil"/>
              <w:left w:val="nil"/>
              <w:bottom w:val="nil"/>
              <w:right w:val="nil"/>
            </w:tcBorders>
            <w:shd w:val="clear" w:color="auto" w:fill="auto"/>
            <w:tcMar>
              <w:top w:w="80" w:type="dxa"/>
              <w:left w:w="80" w:type="dxa"/>
              <w:bottom w:w="80" w:type="dxa"/>
              <w:right w:w="80" w:type="dxa"/>
            </w:tcMar>
          </w:tcPr>
          <w:p w14:paraId="062825B2" w14:textId="77777777" w:rsidR="00E73C9D" w:rsidRPr="00AA6C8A" w:rsidRDefault="00C57731">
            <w:pPr>
              <w:pStyle w:val="Body"/>
              <w:spacing w:after="0" w:line="240" w:lineRule="auto"/>
              <w:rPr>
                <w:rFonts w:cs="Arial"/>
                <w:sz w:val="20"/>
                <w:szCs w:val="20"/>
              </w:rPr>
            </w:pPr>
            <w:r w:rsidRPr="00AA6C8A">
              <w:rPr>
                <w:rFonts w:cs="Arial"/>
                <w:sz w:val="20"/>
                <w:szCs w:val="20"/>
              </w:rPr>
              <w:t>1884</w:t>
            </w:r>
          </w:p>
        </w:tc>
        <w:tc>
          <w:tcPr>
            <w:tcW w:w="767" w:type="dxa"/>
            <w:tcBorders>
              <w:top w:val="nil"/>
              <w:left w:val="nil"/>
              <w:bottom w:val="nil"/>
              <w:right w:val="nil"/>
            </w:tcBorders>
            <w:shd w:val="clear" w:color="auto" w:fill="auto"/>
            <w:tcMar>
              <w:top w:w="80" w:type="dxa"/>
              <w:left w:w="80" w:type="dxa"/>
              <w:bottom w:w="80" w:type="dxa"/>
              <w:right w:w="80" w:type="dxa"/>
            </w:tcMar>
          </w:tcPr>
          <w:p w14:paraId="4D3AD004" w14:textId="77777777" w:rsidR="00E73C9D" w:rsidRPr="00AA6C8A" w:rsidRDefault="00C57731">
            <w:pPr>
              <w:pStyle w:val="Body"/>
              <w:spacing w:after="0" w:line="240" w:lineRule="auto"/>
              <w:rPr>
                <w:rFonts w:cs="Arial"/>
                <w:sz w:val="20"/>
                <w:szCs w:val="20"/>
              </w:rPr>
            </w:pPr>
            <w:r w:rsidRPr="00AA6C8A">
              <w:rPr>
                <w:rFonts w:cs="Arial"/>
                <w:sz w:val="20"/>
                <w:szCs w:val="20"/>
              </w:rPr>
              <w:t>4.7</w:t>
            </w:r>
          </w:p>
        </w:tc>
        <w:tc>
          <w:tcPr>
            <w:tcW w:w="1063" w:type="dxa"/>
            <w:tcBorders>
              <w:top w:val="nil"/>
              <w:left w:val="nil"/>
              <w:bottom w:val="nil"/>
              <w:right w:val="nil"/>
            </w:tcBorders>
            <w:shd w:val="clear" w:color="auto" w:fill="auto"/>
            <w:tcMar>
              <w:top w:w="80" w:type="dxa"/>
              <w:left w:w="80" w:type="dxa"/>
              <w:bottom w:w="80" w:type="dxa"/>
              <w:right w:w="80" w:type="dxa"/>
            </w:tcMar>
          </w:tcPr>
          <w:p w14:paraId="644B05B0" w14:textId="77777777" w:rsidR="00E73C9D" w:rsidRPr="00AA6C8A" w:rsidRDefault="00C57731">
            <w:pPr>
              <w:pStyle w:val="Body"/>
              <w:spacing w:after="0" w:line="240" w:lineRule="auto"/>
              <w:rPr>
                <w:rFonts w:cs="Arial"/>
                <w:sz w:val="20"/>
                <w:szCs w:val="20"/>
              </w:rPr>
            </w:pPr>
            <w:r w:rsidRPr="00AA6C8A">
              <w:rPr>
                <w:rFonts w:cs="Arial"/>
                <w:sz w:val="20"/>
                <w:szCs w:val="20"/>
              </w:rPr>
              <w:t>1071</w:t>
            </w:r>
          </w:p>
        </w:tc>
        <w:tc>
          <w:tcPr>
            <w:tcW w:w="815" w:type="dxa"/>
            <w:tcBorders>
              <w:top w:val="nil"/>
              <w:left w:val="nil"/>
              <w:bottom w:val="nil"/>
              <w:right w:val="nil"/>
            </w:tcBorders>
            <w:shd w:val="clear" w:color="auto" w:fill="auto"/>
            <w:tcMar>
              <w:top w:w="80" w:type="dxa"/>
              <w:left w:w="80" w:type="dxa"/>
              <w:bottom w:w="80" w:type="dxa"/>
              <w:right w:w="80" w:type="dxa"/>
            </w:tcMar>
          </w:tcPr>
          <w:p w14:paraId="2D2621C8" w14:textId="77777777" w:rsidR="00E73C9D" w:rsidRPr="00AA6C8A" w:rsidRDefault="00C57731">
            <w:pPr>
              <w:pStyle w:val="Body"/>
              <w:spacing w:after="0" w:line="240" w:lineRule="auto"/>
              <w:rPr>
                <w:rFonts w:cs="Arial"/>
                <w:sz w:val="20"/>
                <w:szCs w:val="20"/>
              </w:rPr>
            </w:pPr>
            <w:r w:rsidRPr="00AA6C8A">
              <w:rPr>
                <w:rFonts w:cs="Arial"/>
                <w:sz w:val="20"/>
                <w:szCs w:val="20"/>
              </w:rPr>
              <w:t>8.3</w:t>
            </w:r>
          </w:p>
        </w:tc>
      </w:tr>
      <w:tr w:rsidR="00E73C9D" w:rsidRPr="00AA6C8A" w14:paraId="11AED820"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0A91EA8F" w14:textId="77777777" w:rsidR="00E73C9D" w:rsidRPr="00AA6C8A" w:rsidRDefault="00C57731">
            <w:pPr>
              <w:pStyle w:val="Body"/>
              <w:spacing w:after="0" w:line="240" w:lineRule="auto"/>
              <w:rPr>
                <w:rFonts w:cs="Arial"/>
                <w:sz w:val="20"/>
                <w:szCs w:val="20"/>
              </w:rPr>
            </w:pPr>
            <w:r w:rsidRPr="00AA6C8A">
              <w:rPr>
                <w:rFonts w:cs="Arial"/>
                <w:sz w:val="20"/>
                <w:szCs w:val="20"/>
              </w:rPr>
              <w:t>Grade I</w:t>
            </w:r>
          </w:p>
        </w:tc>
        <w:tc>
          <w:tcPr>
            <w:tcW w:w="999" w:type="dxa"/>
            <w:tcBorders>
              <w:top w:val="nil"/>
              <w:left w:val="nil"/>
              <w:bottom w:val="nil"/>
              <w:right w:val="nil"/>
            </w:tcBorders>
            <w:shd w:val="clear" w:color="auto" w:fill="auto"/>
            <w:tcMar>
              <w:top w:w="80" w:type="dxa"/>
              <w:left w:w="80" w:type="dxa"/>
              <w:bottom w:w="80" w:type="dxa"/>
              <w:right w:w="80" w:type="dxa"/>
            </w:tcMar>
          </w:tcPr>
          <w:p w14:paraId="1AE017BD" w14:textId="77777777" w:rsidR="00E73C9D" w:rsidRPr="00AA6C8A" w:rsidRDefault="00C57731">
            <w:pPr>
              <w:pStyle w:val="Body"/>
              <w:spacing w:after="0" w:line="240" w:lineRule="auto"/>
              <w:rPr>
                <w:rFonts w:cs="Arial"/>
                <w:sz w:val="20"/>
                <w:szCs w:val="20"/>
              </w:rPr>
            </w:pPr>
            <w:r w:rsidRPr="00AA6C8A">
              <w:rPr>
                <w:rFonts w:cs="Arial"/>
                <w:sz w:val="20"/>
                <w:szCs w:val="20"/>
              </w:rPr>
              <w:t>5866</w:t>
            </w:r>
          </w:p>
        </w:tc>
        <w:tc>
          <w:tcPr>
            <w:tcW w:w="767" w:type="dxa"/>
            <w:tcBorders>
              <w:top w:val="nil"/>
              <w:left w:val="nil"/>
              <w:bottom w:val="nil"/>
              <w:right w:val="nil"/>
            </w:tcBorders>
            <w:shd w:val="clear" w:color="auto" w:fill="auto"/>
            <w:tcMar>
              <w:top w:w="80" w:type="dxa"/>
              <w:left w:w="80" w:type="dxa"/>
              <w:bottom w:w="80" w:type="dxa"/>
              <w:right w:w="80" w:type="dxa"/>
            </w:tcMar>
          </w:tcPr>
          <w:p w14:paraId="21FB7272" w14:textId="77777777" w:rsidR="00E73C9D" w:rsidRPr="00AA6C8A" w:rsidRDefault="00C57731">
            <w:pPr>
              <w:pStyle w:val="Body"/>
              <w:spacing w:after="0" w:line="240" w:lineRule="auto"/>
              <w:rPr>
                <w:rFonts w:cs="Arial"/>
                <w:sz w:val="20"/>
                <w:szCs w:val="20"/>
              </w:rPr>
            </w:pPr>
            <w:r w:rsidRPr="00AA6C8A">
              <w:rPr>
                <w:rFonts w:cs="Arial"/>
                <w:sz w:val="20"/>
                <w:szCs w:val="20"/>
              </w:rPr>
              <w:t>14.7</w:t>
            </w:r>
          </w:p>
        </w:tc>
        <w:tc>
          <w:tcPr>
            <w:tcW w:w="1063" w:type="dxa"/>
            <w:tcBorders>
              <w:top w:val="nil"/>
              <w:left w:val="nil"/>
              <w:bottom w:val="nil"/>
              <w:right w:val="nil"/>
            </w:tcBorders>
            <w:shd w:val="clear" w:color="auto" w:fill="auto"/>
            <w:tcMar>
              <w:top w:w="80" w:type="dxa"/>
              <w:left w:w="80" w:type="dxa"/>
              <w:bottom w:w="80" w:type="dxa"/>
              <w:right w:w="80" w:type="dxa"/>
            </w:tcMar>
          </w:tcPr>
          <w:p w14:paraId="46624F83" w14:textId="77777777" w:rsidR="00E73C9D" w:rsidRPr="00AA6C8A" w:rsidRDefault="00C57731">
            <w:pPr>
              <w:pStyle w:val="Body"/>
              <w:spacing w:after="0" w:line="240" w:lineRule="auto"/>
              <w:rPr>
                <w:rFonts w:cs="Arial"/>
                <w:sz w:val="20"/>
                <w:szCs w:val="20"/>
              </w:rPr>
            </w:pPr>
            <w:r w:rsidRPr="00AA6C8A">
              <w:rPr>
                <w:rFonts w:cs="Arial"/>
                <w:sz w:val="20"/>
                <w:szCs w:val="20"/>
              </w:rPr>
              <w:t>758</w:t>
            </w:r>
          </w:p>
        </w:tc>
        <w:tc>
          <w:tcPr>
            <w:tcW w:w="815" w:type="dxa"/>
            <w:tcBorders>
              <w:top w:val="nil"/>
              <w:left w:val="nil"/>
              <w:bottom w:val="nil"/>
              <w:right w:val="nil"/>
            </w:tcBorders>
            <w:shd w:val="clear" w:color="auto" w:fill="auto"/>
            <w:tcMar>
              <w:top w:w="80" w:type="dxa"/>
              <w:left w:w="80" w:type="dxa"/>
              <w:bottom w:w="80" w:type="dxa"/>
              <w:right w:w="80" w:type="dxa"/>
            </w:tcMar>
          </w:tcPr>
          <w:p w14:paraId="44913519" w14:textId="77777777" w:rsidR="00E73C9D" w:rsidRPr="00AA6C8A" w:rsidRDefault="00C57731">
            <w:pPr>
              <w:pStyle w:val="Body"/>
              <w:spacing w:after="0" w:line="240" w:lineRule="auto"/>
              <w:rPr>
                <w:rFonts w:cs="Arial"/>
                <w:sz w:val="20"/>
                <w:szCs w:val="20"/>
              </w:rPr>
            </w:pPr>
            <w:r w:rsidRPr="00AA6C8A">
              <w:rPr>
                <w:rFonts w:cs="Arial"/>
                <w:sz w:val="20"/>
                <w:szCs w:val="20"/>
              </w:rPr>
              <w:t>5.9</w:t>
            </w:r>
          </w:p>
        </w:tc>
      </w:tr>
      <w:tr w:rsidR="00E73C9D" w:rsidRPr="00AA6C8A" w14:paraId="37EC5CCA"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7BA60782" w14:textId="77777777" w:rsidR="00E73C9D" w:rsidRPr="00AA6C8A" w:rsidRDefault="00C57731">
            <w:pPr>
              <w:pStyle w:val="Body"/>
              <w:spacing w:after="0" w:line="240" w:lineRule="auto"/>
              <w:rPr>
                <w:rFonts w:cs="Arial"/>
                <w:sz w:val="20"/>
                <w:szCs w:val="20"/>
              </w:rPr>
            </w:pPr>
            <w:r w:rsidRPr="00AA6C8A">
              <w:rPr>
                <w:rFonts w:cs="Arial"/>
                <w:sz w:val="20"/>
                <w:szCs w:val="20"/>
              </w:rPr>
              <w:t>II</w:t>
            </w:r>
          </w:p>
        </w:tc>
        <w:tc>
          <w:tcPr>
            <w:tcW w:w="999" w:type="dxa"/>
            <w:tcBorders>
              <w:top w:val="nil"/>
              <w:left w:val="nil"/>
              <w:bottom w:val="nil"/>
              <w:right w:val="nil"/>
            </w:tcBorders>
            <w:shd w:val="clear" w:color="auto" w:fill="auto"/>
            <w:tcMar>
              <w:top w:w="80" w:type="dxa"/>
              <w:left w:w="80" w:type="dxa"/>
              <w:bottom w:w="80" w:type="dxa"/>
              <w:right w:w="80" w:type="dxa"/>
            </w:tcMar>
          </w:tcPr>
          <w:p w14:paraId="2B7AF5CC" w14:textId="77777777" w:rsidR="00E73C9D" w:rsidRPr="00AA6C8A" w:rsidRDefault="00C57731">
            <w:pPr>
              <w:pStyle w:val="Body"/>
              <w:spacing w:after="0" w:line="240" w:lineRule="auto"/>
              <w:rPr>
                <w:rFonts w:cs="Arial"/>
                <w:sz w:val="20"/>
                <w:szCs w:val="20"/>
              </w:rPr>
            </w:pPr>
            <w:r w:rsidRPr="00AA6C8A">
              <w:rPr>
                <w:rFonts w:cs="Arial"/>
                <w:sz w:val="20"/>
                <w:szCs w:val="20"/>
              </w:rPr>
              <w:t>19130</w:t>
            </w:r>
          </w:p>
        </w:tc>
        <w:tc>
          <w:tcPr>
            <w:tcW w:w="767" w:type="dxa"/>
            <w:tcBorders>
              <w:top w:val="nil"/>
              <w:left w:val="nil"/>
              <w:bottom w:val="nil"/>
              <w:right w:val="nil"/>
            </w:tcBorders>
            <w:shd w:val="clear" w:color="auto" w:fill="auto"/>
            <w:tcMar>
              <w:top w:w="80" w:type="dxa"/>
              <w:left w:w="80" w:type="dxa"/>
              <w:bottom w:w="80" w:type="dxa"/>
              <w:right w:w="80" w:type="dxa"/>
            </w:tcMar>
          </w:tcPr>
          <w:p w14:paraId="2734586B" w14:textId="77777777" w:rsidR="00E73C9D" w:rsidRPr="00AA6C8A" w:rsidRDefault="00C57731">
            <w:pPr>
              <w:pStyle w:val="Body"/>
              <w:spacing w:after="0" w:line="240" w:lineRule="auto"/>
              <w:rPr>
                <w:rFonts w:cs="Arial"/>
                <w:sz w:val="20"/>
                <w:szCs w:val="20"/>
              </w:rPr>
            </w:pPr>
            <w:r w:rsidRPr="00AA6C8A">
              <w:rPr>
                <w:rFonts w:cs="Arial"/>
                <w:sz w:val="20"/>
                <w:szCs w:val="20"/>
              </w:rPr>
              <w:t>48.1</w:t>
            </w:r>
          </w:p>
        </w:tc>
        <w:tc>
          <w:tcPr>
            <w:tcW w:w="1063" w:type="dxa"/>
            <w:tcBorders>
              <w:top w:val="nil"/>
              <w:left w:val="nil"/>
              <w:bottom w:val="nil"/>
              <w:right w:val="nil"/>
            </w:tcBorders>
            <w:shd w:val="clear" w:color="auto" w:fill="auto"/>
            <w:tcMar>
              <w:top w:w="80" w:type="dxa"/>
              <w:left w:w="80" w:type="dxa"/>
              <w:bottom w:w="80" w:type="dxa"/>
              <w:right w:w="80" w:type="dxa"/>
            </w:tcMar>
          </w:tcPr>
          <w:p w14:paraId="1E30DB63" w14:textId="77777777" w:rsidR="00E73C9D" w:rsidRPr="00AA6C8A" w:rsidRDefault="00C57731">
            <w:pPr>
              <w:pStyle w:val="Body"/>
              <w:spacing w:after="0" w:line="240" w:lineRule="auto"/>
              <w:rPr>
                <w:rFonts w:cs="Arial"/>
                <w:sz w:val="20"/>
                <w:szCs w:val="20"/>
              </w:rPr>
            </w:pPr>
            <w:r w:rsidRPr="00AA6C8A">
              <w:rPr>
                <w:rFonts w:cs="Arial"/>
                <w:sz w:val="20"/>
                <w:szCs w:val="20"/>
              </w:rPr>
              <w:t>4473</w:t>
            </w:r>
          </w:p>
        </w:tc>
        <w:tc>
          <w:tcPr>
            <w:tcW w:w="815" w:type="dxa"/>
            <w:tcBorders>
              <w:top w:val="nil"/>
              <w:left w:val="nil"/>
              <w:bottom w:val="nil"/>
              <w:right w:val="nil"/>
            </w:tcBorders>
            <w:shd w:val="clear" w:color="auto" w:fill="auto"/>
            <w:tcMar>
              <w:top w:w="80" w:type="dxa"/>
              <w:left w:w="80" w:type="dxa"/>
              <w:bottom w:w="80" w:type="dxa"/>
              <w:right w:w="80" w:type="dxa"/>
            </w:tcMar>
          </w:tcPr>
          <w:p w14:paraId="535D28A0" w14:textId="77777777" w:rsidR="00E73C9D" w:rsidRPr="00AA6C8A" w:rsidRDefault="00C57731">
            <w:pPr>
              <w:pStyle w:val="Body"/>
              <w:spacing w:after="0" w:line="240" w:lineRule="auto"/>
              <w:rPr>
                <w:rFonts w:cs="Arial"/>
                <w:sz w:val="20"/>
                <w:szCs w:val="20"/>
              </w:rPr>
            </w:pPr>
            <w:r w:rsidRPr="00AA6C8A">
              <w:rPr>
                <w:rFonts w:cs="Arial"/>
                <w:sz w:val="20"/>
                <w:szCs w:val="20"/>
              </w:rPr>
              <w:t>34.8</w:t>
            </w:r>
          </w:p>
        </w:tc>
      </w:tr>
      <w:tr w:rsidR="00E73C9D" w:rsidRPr="00AA6C8A" w14:paraId="5048F180"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01B082FC" w14:textId="77777777" w:rsidR="00E73C9D" w:rsidRPr="00AA6C8A" w:rsidRDefault="00C57731">
            <w:pPr>
              <w:pStyle w:val="Body"/>
              <w:spacing w:after="0" w:line="240" w:lineRule="auto"/>
              <w:rPr>
                <w:rFonts w:cs="Arial"/>
                <w:sz w:val="20"/>
                <w:szCs w:val="20"/>
              </w:rPr>
            </w:pPr>
            <w:r w:rsidRPr="00AA6C8A">
              <w:rPr>
                <w:rFonts w:cs="Arial"/>
                <w:sz w:val="20"/>
                <w:szCs w:val="20"/>
              </w:rPr>
              <w:t>III</w:t>
            </w:r>
          </w:p>
        </w:tc>
        <w:tc>
          <w:tcPr>
            <w:tcW w:w="999" w:type="dxa"/>
            <w:tcBorders>
              <w:top w:val="nil"/>
              <w:left w:val="nil"/>
              <w:bottom w:val="nil"/>
              <w:right w:val="nil"/>
            </w:tcBorders>
            <w:shd w:val="clear" w:color="auto" w:fill="auto"/>
            <w:tcMar>
              <w:top w:w="80" w:type="dxa"/>
              <w:left w:w="80" w:type="dxa"/>
              <w:bottom w:w="80" w:type="dxa"/>
              <w:right w:w="80" w:type="dxa"/>
            </w:tcMar>
          </w:tcPr>
          <w:p w14:paraId="6B9DA99A" w14:textId="77777777" w:rsidR="00E73C9D" w:rsidRPr="00AA6C8A" w:rsidRDefault="00C57731">
            <w:pPr>
              <w:pStyle w:val="Body"/>
              <w:spacing w:after="0" w:line="240" w:lineRule="auto"/>
              <w:rPr>
                <w:rFonts w:cs="Arial"/>
                <w:sz w:val="20"/>
                <w:szCs w:val="20"/>
              </w:rPr>
            </w:pPr>
            <w:r w:rsidRPr="00AA6C8A">
              <w:rPr>
                <w:rFonts w:cs="Arial"/>
                <w:sz w:val="20"/>
                <w:szCs w:val="20"/>
              </w:rPr>
              <w:t>14606</w:t>
            </w:r>
          </w:p>
        </w:tc>
        <w:tc>
          <w:tcPr>
            <w:tcW w:w="767" w:type="dxa"/>
            <w:tcBorders>
              <w:top w:val="nil"/>
              <w:left w:val="nil"/>
              <w:bottom w:val="nil"/>
              <w:right w:val="nil"/>
            </w:tcBorders>
            <w:shd w:val="clear" w:color="auto" w:fill="auto"/>
            <w:tcMar>
              <w:top w:w="80" w:type="dxa"/>
              <w:left w:w="80" w:type="dxa"/>
              <w:bottom w:w="80" w:type="dxa"/>
              <w:right w:w="80" w:type="dxa"/>
            </w:tcMar>
          </w:tcPr>
          <w:p w14:paraId="1A8071A9" w14:textId="77777777" w:rsidR="00E73C9D" w:rsidRPr="00AA6C8A" w:rsidRDefault="00C57731">
            <w:pPr>
              <w:pStyle w:val="Body"/>
              <w:spacing w:after="0" w:line="240" w:lineRule="auto"/>
              <w:rPr>
                <w:rFonts w:cs="Arial"/>
                <w:sz w:val="20"/>
                <w:szCs w:val="20"/>
              </w:rPr>
            </w:pPr>
            <w:r w:rsidRPr="00AA6C8A">
              <w:rPr>
                <w:rFonts w:cs="Arial"/>
                <w:sz w:val="20"/>
                <w:szCs w:val="20"/>
              </w:rPr>
              <w:t>36.7</w:t>
            </w:r>
          </w:p>
        </w:tc>
        <w:tc>
          <w:tcPr>
            <w:tcW w:w="1063" w:type="dxa"/>
            <w:tcBorders>
              <w:top w:val="nil"/>
              <w:left w:val="nil"/>
              <w:bottom w:val="nil"/>
              <w:right w:val="nil"/>
            </w:tcBorders>
            <w:shd w:val="clear" w:color="auto" w:fill="auto"/>
            <w:tcMar>
              <w:top w:w="80" w:type="dxa"/>
              <w:left w:w="80" w:type="dxa"/>
              <w:bottom w:w="80" w:type="dxa"/>
              <w:right w:w="80" w:type="dxa"/>
            </w:tcMar>
          </w:tcPr>
          <w:p w14:paraId="4C951C69" w14:textId="77777777" w:rsidR="00E73C9D" w:rsidRPr="00AA6C8A" w:rsidRDefault="00C57731">
            <w:pPr>
              <w:pStyle w:val="Body"/>
              <w:spacing w:after="0" w:line="240" w:lineRule="auto"/>
              <w:rPr>
                <w:rFonts w:cs="Arial"/>
                <w:sz w:val="20"/>
                <w:szCs w:val="20"/>
              </w:rPr>
            </w:pPr>
            <w:r w:rsidRPr="00AA6C8A">
              <w:rPr>
                <w:rFonts w:cs="Arial"/>
                <w:sz w:val="20"/>
                <w:szCs w:val="20"/>
              </w:rPr>
              <w:t>7564</w:t>
            </w:r>
          </w:p>
        </w:tc>
        <w:tc>
          <w:tcPr>
            <w:tcW w:w="815" w:type="dxa"/>
            <w:tcBorders>
              <w:top w:val="nil"/>
              <w:left w:val="nil"/>
              <w:bottom w:val="nil"/>
              <w:right w:val="nil"/>
            </w:tcBorders>
            <w:shd w:val="clear" w:color="auto" w:fill="auto"/>
            <w:tcMar>
              <w:top w:w="80" w:type="dxa"/>
              <w:left w:w="80" w:type="dxa"/>
              <w:bottom w:w="80" w:type="dxa"/>
              <w:right w:w="80" w:type="dxa"/>
            </w:tcMar>
          </w:tcPr>
          <w:p w14:paraId="0F6FD4F2" w14:textId="77777777" w:rsidR="00E73C9D" w:rsidRPr="00AA6C8A" w:rsidRDefault="00C57731">
            <w:pPr>
              <w:pStyle w:val="Body"/>
              <w:spacing w:after="0" w:line="240" w:lineRule="auto"/>
              <w:rPr>
                <w:rFonts w:cs="Arial"/>
                <w:sz w:val="20"/>
                <w:szCs w:val="20"/>
              </w:rPr>
            </w:pPr>
            <w:r w:rsidRPr="00AA6C8A">
              <w:rPr>
                <w:rFonts w:cs="Arial"/>
                <w:sz w:val="20"/>
                <w:szCs w:val="20"/>
              </w:rPr>
              <w:t>58.8</w:t>
            </w:r>
          </w:p>
        </w:tc>
      </w:tr>
      <w:tr w:rsidR="00E73C9D" w:rsidRPr="00AA6C8A" w14:paraId="2375C0A0"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19658E13" w14:textId="77777777" w:rsidR="00E73C9D" w:rsidRPr="00AA6C8A" w:rsidRDefault="00C57731">
            <w:pPr>
              <w:pStyle w:val="Body"/>
              <w:spacing w:after="0" w:line="240" w:lineRule="auto"/>
              <w:rPr>
                <w:rFonts w:cs="Arial"/>
                <w:sz w:val="20"/>
                <w:szCs w:val="20"/>
              </w:rPr>
            </w:pPr>
            <w:r w:rsidRPr="00AA6C8A">
              <w:rPr>
                <w:rFonts w:cs="Arial"/>
                <w:sz w:val="20"/>
                <w:szCs w:val="20"/>
              </w:rPr>
              <w:t>ER-</w:t>
            </w:r>
          </w:p>
        </w:tc>
        <w:tc>
          <w:tcPr>
            <w:tcW w:w="999" w:type="dxa"/>
            <w:tcBorders>
              <w:top w:val="nil"/>
              <w:left w:val="nil"/>
              <w:bottom w:val="nil"/>
              <w:right w:val="nil"/>
            </w:tcBorders>
            <w:shd w:val="clear" w:color="auto" w:fill="auto"/>
            <w:tcMar>
              <w:top w:w="80" w:type="dxa"/>
              <w:left w:w="80" w:type="dxa"/>
              <w:bottom w:w="80" w:type="dxa"/>
              <w:right w:w="80" w:type="dxa"/>
            </w:tcMar>
          </w:tcPr>
          <w:p w14:paraId="680828D2" w14:textId="77777777" w:rsidR="00E73C9D" w:rsidRPr="00AA6C8A" w:rsidRDefault="00C57731">
            <w:pPr>
              <w:pStyle w:val="Body"/>
              <w:spacing w:after="0" w:line="240" w:lineRule="auto"/>
              <w:rPr>
                <w:rFonts w:cs="Arial"/>
                <w:sz w:val="20"/>
                <w:szCs w:val="20"/>
              </w:rPr>
            </w:pPr>
            <w:r w:rsidRPr="00AA6C8A">
              <w:rPr>
                <w:rFonts w:cs="Arial"/>
                <w:sz w:val="20"/>
                <w:szCs w:val="20"/>
              </w:rPr>
              <w:t>6208</w:t>
            </w:r>
          </w:p>
        </w:tc>
        <w:tc>
          <w:tcPr>
            <w:tcW w:w="767" w:type="dxa"/>
            <w:tcBorders>
              <w:top w:val="nil"/>
              <w:left w:val="nil"/>
              <w:bottom w:val="nil"/>
              <w:right w:val="nil"/>
            </w:tcBorders>
            <w:shd w:val="clear" w:color="auto" w:fill="auto"/>
            <w:tcMar>
              <w:top w:w="80" w:type="dxa"/>
              <w:left w:w="80" w:type="dxa"/>
              <w:bottom w:w="80" w:type="dxa"/>
              <w:right w:w="80" w:type="dxa"/>
            </w:tcMar>
          </w:tcPr>
          <w:p w14:paraId="1C12E9CA" w14:textId="77777777" w:rsidR="00E73C9D" w:rsidRPr="00AA6C8A" w:rsidRDefault="00C57731">
            <w:pPr>
              <w:pStyle w:val="Body"/>
              <w:spacing w:after="0" w:line="240" w:lineRule="auto"/>
              <w:rPr>
                <w:rFonts w:cs="Arial"/>
                <w:sz w:val="20"/>
                <w:szCs w:val="20"/>
              </w:rPr>
            </w:pPr>
            <w:r w:rsidRPr="00AA6C8A">
              <w:rPr>
                <w:rFonts w:cs="Arial"/>
                <w:sz w:val="20"/>
                <w:szCs w:val="20"/>
              </w:rPr>
              <w:t>15.6</w:t>
            </w:r>
          </w:p>
        </w:tc>
        <w:tc>
          <w:tcPr>
            <w:tcW w:w="1063" w:type="dxa"/>
            <w:tcBorders>
              <w:top w:val="nil"/>
              <w:left w:val="nil"/>
              <w:bottom w:val="nil"/>
              <w:right w:val="nil"/>
            </w:tcBorders>
            <w:shd w:val="clear" w:color="auto" w:fill="auto"/>
            <w:tcMar>
              <w:top w:w="80" w:type="dxa"/>
              <w:left w:w="80" w:type="dxa"/>
              <w:bottom w:w="80" w:type="dxa"/>
              <w:right w:w="80" w:type="dxa"/>
            </w:tcMar>
          </w:tcPr>
          <w:p w14:paraId="1C9FBAA2" w14:textId="77777777" w:rsidR="00E73C9D" w:rsidRPr="00AA6C8A" w:rsidRDefault="00C57731">
            <w:pPr>
              <w:pStyle w:val="Body"/>
              <w:spacing w:after="0" w:line="240" w:lineRule="auto"/>
              <w:rPr>
                <w:rFonts w:cs="Arial"/>
                <w:sz w:val="20"/>
                <w:szCs w:val="20"/>
              </w:rPr>
            </w:pPr>
            <w:r w:rsidRPr="00AA6C8A">
              <w:rPr>
                <w:rFonts w:cs="Arial"/>
                <w:sz w:val="20"/>
                <w:szCs w:val="20"/>
              </w:rPr>
              <w:t>3900</w:t>
            </w:r>
          </w:p>
        </w:tc>
        <w:tc>
          <w:tcPr>
            <w:tcW w:w="815" w:type="dxa"/>
            <w:tcBorders>
              <w:top w:val="nil"/>
              <w:left w:val="nil"/>
              <w:bottom w:val="nil"/>
              <w:right w:val="nil"/>
            </w:tcBorders>
            <w:shd w:val="clear" w:color="auto" w:fill="auto"/>
            <w:tcMar>
              <w:top w:w="80" w:type="dxa"/>
              <w:left w:w="80" w:type="dxa"/>
              <w:bottom w:w="80" w:type="dxa"/>
              <w:right w:w="80" w:type="dxa"/>
            </w:tcMar>
          </w:tcPr>
          <w:p w14:paraId="36C7A0EF" w14:textId="77777777" w:rsidR="00E73C9D" w:rsidRPr="00AA6C8A" w:rsidRDefault="00C57731">
            <w:pPr>
              <w:pStyle w:val="Body"/>
              <w:spacing w:after="0" w:line="240" w:lineRule="auto"/>
              <w:rPr>
                <w:rFonts w:cs="Arial"/>
                <w:sz w:val="20"/>
                <w:szCs w:val="20"/>
              </w:rPr>
            </w:pPr>
            <w:r w:rsidRPr="00AA6C8A">
              <w:rPr>
                <w:rFonts w:cs="Arial"/>
                <w:sz w:val="20"/>
                <w:szCs w:val="20"/>
              </w:rPr>
              <w:t>30.3</w:t>
            </w:r>
          </w:p>
        </w:tc>
      </w:tr>
      <w:tr w:rsidR="00E73C9D" w:rsidRPr="00AA6C8A" w14:paraId="1E06183F"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776B7EC2" w14:textId="77777777" w:rsidR="00E73C9D" w:rsidRPr="00AA6C8A" w:rsidRDefault="00C57731">
            <w:pPr>
              <w:pStyle w:val="Body"/>
              <w:spacing w:after="0" w:line="240" w:lineRule="auto"/>
              <w:rPr>
                <w:rFonts w:cs="Arial"/>
                <w:sz w:val="20"/>
                <w:szCs w:val="20"/>
              </w:rPr>
            </w:pPr>
            <w:r w:rsidRPr="00AA6C8A">
              <w:rPr>
                <w:rFonts w:cs="Arial"/>
                <w:sz w:val="20"/>
                <w:szCs w:val="20"/>
              </w:rPr>
              <w:t>ER+</w:t>
            </w:r>
          </w:p>
        </w:tc>
        <w:tc>
          <w:tcPr>
            <w:tcW w:w="999" w:type="dxa"/>
            <w:tcBorders>
              <w:top w:val="nil"/>
              <w:left w:val="nil"/>
              <w:bottom w:val="nil"/>
              <w:right w:val="nil"/>
            </w:tcBorders>
            <w:shd w:val="clear" w:color="auto" w:fill="auto"/>
            <w:tcMar>
              <w:top w:w="80" w:type="dxa"/>
              <w:left w:w="80" w:type="dxa"/>
              <w:bottom w:w="80" w:type="dxa"/>
              <w:right w:w="80" w:type="dxa"/>
            </w:tcMar>
          </w:tcPr>
          <w:p w14:paraId="71EAC100" w14:textId="77777777" w:rsidR="00E73C9D" w:rsidRPr="00AA6C8A" w:rsidRDefault="00C57731">
            <w:pPr>
              <w:pStyle w:val="Body"/>
              <w:spacing w:after="0" w:line="240" w:lineRule="auto"/>
              <w:rPr>
                <w:rFonts w:cs="Arial"/>
                <w:sz w:val="20"/>
                <w:szCs w:val="20"/>
              </w:rPr>
            </w:pPr>
            <w:r w:rsidRPr="00AA6C8A">
              <w:rPr>
                <w:rFonts w:cs="Arial"/>
                <w:sz w:val="20"/>
                <w:szCs w:val="20"/>
              </w:rPr>
              <w:t>33597</w:t>
            </w:r>
          </w:p>
        </w:tc>
        <w:tc>
          <w:tcPr>
            <w:tcW w:w="767" w:type="dxa"/>
            <w:tcBorders>
              <w:top w:val="nil"/>
              <w:left w:val="nil"/>
              <w:bottom w:val="nil"/>
              <w:right w:val="nil"/>
            </w:tcBorders>
            <w:shd w:val="clear" w:color="auto" w:fill="auto"/>
            <w:tcMar>
              <w:top w:w="80" w:type="dxa"/>
              <w:left w:w="80" w:type="dxa"/>
              <w:bottom w:w="80" w:type="dxa"/>
              <w:right w:w="80" w:type="dxa"/>
            </w:tcMar>
          </w:tcPr>
          <w:p w14:paraId="55FB05D3" w14:textId="77777777" w:rsidR="00E73C9D" w:rsidRPr="00AA6C8A" w:rsidRDefault="00C57731">
            <w:pPr>
              <w:pStyle w:val="Body"/>
              <w:spacing w:after="0" w:line="240" w:lineRule="auto"/>
              <w:rPr>
                <w:rFonts w:cs="Arial"/>
                <w:sz w:val="20"/>
                <w:szCs w:val="20"/>
              </w:rPr>
            </w:pPr>
            <w:r w:rsidRPr="00AA6C8A">
              <w:rPr>
                <w:rFonts w:cs="Arial"/>
                <w:sz w:val="20"/>
                <w:szCs w:val="20"/>
              </w:rPr>
              <w:t>84.4</w:t>
            </w:r>
          </w:p>
        </w:tc>
        <w:tc>
          <w:tcPr>
            <w:tcW w:w="1063" w:type="dxa"/>
            <w:tcBorders>
              <w:top w:val="nil"/>
              <w:left w:val="nil"/>
              <w:bottom w:val="nil"/>
              <w:right w:val="nil"/>
            </w:tcBorders>
            <w:shd w:val="clear" w:color="auto" w:fill="auto"/>
            <w:tcMar>
              <w:top w:w="80" w:type="dxa"/>
              <w:left w:w="80" w:type="dxa"/>
              <w:bottom w:w="80" w:type="dxa"/>
              <w:right w:w="80" w:type="dxa"/>
            </w:tcMar>
          </w:tcPr>
          <w:p w14:paraId="1A1B4DFD" w14:textId="77777777" w:rsidR="00E73C9D" w:rsidRPr="00AA6C8A" w:rsidRDefault="00C57731">
            <w:pPr>
              <w:pStyle w:val="Body"/>
              <w:spacing w:after="0" w:line="240" w:lineRule="auto"/>
              <w:rPr>
                <w:rFonts w:cs="Arial"/>
                <w:sz w:val="20"/>
                <w:szCs w:val="20"/>
              </w:rPr>
            </w:pPr>
            <w:r w:rsidRPr="00AA6C8A">
              <w:rPr>
                <w:rFonts w:cs="Arial"/>
                <w:sz w:val="20"/>
                <w:szCs w:val="20"/>
              </w:rPr>
              <w:t>8970</w:t>
            </w:r>
          </w:p>
        </w:tc>
        <w:tc>
          <w:tcPr>
            <w:tcW w:w="815" w:type="dxa"/>
            <w:tcBorders>
              <w:top w:val="nil"/>
              <w:left w:val="nil"/>
              <w:bottom w:val="nil"/>
              <w:right w:val="nil"/>
            </w:tcBorders>
            <w:shd w:val="clear" w:color="auto" w:fill="auto"/>
            <w:tcMar>
              <w:top w:w="80" w:type="dxa"/>
              <w:left w:w="80" w:type="dxa"/>
              <w:bottom w:w="80" w:type="dxa"/>
              <w:right w:w="80" w:type="dxa"/>
            </w:tcMar>
          </w:tcPr>
          <w:p w14:paraId="248BB0B0" w14:textId="77777777" w:rsidR="00E73C9D" w:rsidRPr="00AA6C8A" w:rsidRDefault="00C57731">
            <w:pPr>
              <w:pStyle w:val="Body"/>
              <w:spacing w:after="0" w:line="240" w:lineRule="auto"/>
              <w:rPr>
                <w:rFonts w:cs="Arial"/>
                <w:sz w:val="20"/>
                <w:szCs w:val="20"/>
              </w:rPr>
            </w:pPr>
            <w:r w:rsidRPr="00AA6C8A">
              <w:rPr>
                <w:rFonts w:cs="Arial"/>
                <w:sz w:val="20"/>
                <w:szCs w:val="20"/>
              </w:rPr>
              <w:t>69.7</w:t>
            </w:r>
          </w:p>
        </w:tc>
      </w:tr>
      <w:tr w:rsidR="00E73C9D" w:rsidRPr="00AA6C8A" w14:paraId="671C387A"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6ADCE73A" w14:textId="69B574AD" w:rsidR="00E73C9D" w:rsidRPr="00AA6C8A" w:rsidRDefault="00D528B2">
            <w:pPr>
              <w:pStyle w:val="Body"/>
              <w:spacing w:after="0" w:line="240" w:lineRule="auto"/>
              <w:rPr>
                <w:rFonts w:cs="Arial"/>
                <w:sz w:val="20"/>
                <w:szCs w:val="20"/>
              </w:rPr>
            </w:pPr>
            <w:r>
              <w:rPr>
                <w:rFonts w:cs="Arial"/>
                <w:sz w:val="20"/>
                <w:szCs w:val="20"/>
              </w:rPr>
              <w:t>Chemotherapy</w:t>
            </w:r>
          </w:p>
        </w:tc>
        <w:tc>
          <w:tcPr>
            <w:tcW w:w="999" w:type="dxa"/>
            <w:tcBorders>
              <w:top w:val="nil"/>
              <w:left w:val="nil"/>
              <w:bottom w:val="nil"/>
              <w:right w:val="nil"/>
            </w:tcBorders>
            <w:shd w:val="clear" w:color="auto" w:fill="auto"/>
            <w:tcMar>
              <w:top w:w="80" w:type="dxa"/>
              <w:left w:w="80" w:type="dxa"/>
              <w:bottom w:w="80" w:type="dxa"/>
              <w:right w:w="80" w:type="dxa"/>
            </w:tcMar>
          </w:tcPr>
          <w:p w14:paraId="379F7AB5" w14:textId="77777777" w:rsidR="00E73C9D" w:rsidRPr="00AA6C8A" w:rsidRDefault="00C57731">
            <w:pPr>
              <w:pStyle w:val="Body"/>
              <w:spacing w:after="0" w:line="240" w:lineRule="auto"/>
              <w:rPr>
                <w:rFonts w:cs="Arial"/>
                <w:sz w:val="20"/>
                <w:szCs w:val="20"/>
              </w:rPr>
            </w:pPr>
            <w:r w:rsidRPr="00AA6C8A">
              <w:rPr>
                <w:rFonts w:cs="Arial"/>
                <w:sz w:val="20"/>
                <w:szCs w:val="20"/>
              </w:rPr>
              <w:t>14589</w:t>
            </w:r>
          </w:p>
        </w:tc>
        <w:tc>
          <w:tcPr>
            <w:tcW w:w="767" w:type="dxa"/>
            <w:tcBorders>
              <w:top w:val="nil"/>
              <w:left w:val="nil"/>
              <w:bottom w:val="nil"/>
              <w:right w:val="nil"/>
            </w:tcBorders>
            <w:shd w:val="clear" w:color="auto" w:fill="auto"/>
            <w:tcMar>
              <w:top w:w="80" w:type="dxa"/>
              <w:left w:w="80" w:type="dxa"/>
              <w:bottom w:w="80" w:type="dxa"/>
              <w:right w:w="80" w:type="dxa"/>
            </w:tcMar>
          </w:tcPr>
          <w:p w14:paraId="7C33351C" w14:textId="77777777" w:rsidR="00E73C9D" w:rsidRPr="00AA6C8A" w:rsidRDefault="00C57731">
            <w:pPr>
              <w:pStyle w:val="Body"/>
              <w:spacing w:after="0" w:line="240" w:lineRule="auto"/>
              <w:rPr>
                <w:rFonts w:cs="Arial"/>
                <w:sz w:val="20"/>
                <w:szCs w:val="20"/>
              </w:rPr>
            </w:pPr>
            <w:r w:rsidRPr="00AA6C8A">
              <w:rPr>
                <w:rFonts w:cs="Arial"/>
                <w:sz w:val="20"/>
                <w:szCs w:val="20"/>
              </w:rPr>
              <w:t>36.7</w:t>
            </w:r>
          </w:p>
        </w:tc>
        <w:tc>
          <w:tcPr>
            <w:tcW w:w="1063" w:type="dxa"/>
            <w:tcBorders>
              <w:top w:val="nil"/>
              <w:left w:val="nil"/>
              <w:bottom w:val="nil"/>
              <w:right w:val="nil"/>
            </w:tcBorders>
            <w:shd w:val="clear" w:color="auto" w:fill="auto"/>
            <w:tcMar>
              <w:top w:w="80" w:type="dxa"/>
              <w:left w:w="80" w:type="dxa"/>
              <w:bottom w:w="80" w:type="dxa"/>
              <w:right w:w="80" w:type="dxa"/>
            </w:tcMar>
          </w:tcPr>
          <w:p w14:paraId="53897EB0" w14:textId="77777777" w:rsidR="00E73C9D" w:rsidRPr="00AA6C8A" w:rsidRDefault="00C57731">
            <w:pPr>
              <w:pStyle w:val="Body"/>
              <w:spacing w:after="0" w:line="240" w:lineRule="auto"/>
              <w:rPr>
                <w:rFonts w:cs="Arial"/>
                <w:sz w:val="20"/>
                <w:szCs w:val="20"/>
              </w:rPr>
            </w:pPr>
            <w:r w:rsidRPr="00AA6C8A">
              <w:rPr>
                <w:rFonts w:cs="Arial"/>
                <w:sz w:val="20"/>
                <w:szCs w:val="20"/>
              </w:rPr>
              <w:t>10439</w:t>
            </w:r>
          </w:p>
        </w:tc>
        <w:tc>
          <w:tcPr>
            <w:tcW w:w="815" w:type="dxa"/>
            <w:tcBorders>
              <w:top w:val="nil"/>
              <w:left w:val="nil"/>
              <w:bottom w:val="nil"/>
              <w:right w:val="nil"/>
            </w:tcBorders>
            <w:shd w:val="clear" w:color="auto" w:fill="auto"/>
            <w:tcMar>
              <w:top w:w="80" w:type="dxa"/>
              <w:left w:w="80" w:type="dxa"/>
              <w:bottom w:w="80" w:type="dxa"/>
              <w:right w:w="80" w:type="dxa"/>
            </w:tcMar>
          </w:tcPr>
          <w:p w14:paraId="5CCE082B" w14:textId="77777777" w:rsidR="00E73C9D" w:rsidRPr="00AA6C8A" w:rsidRDefault="00C57731">
            <w:pPr>
              <w:pStyle w:val="Body"/>
              <w:spacing w:after="0" w:line="240" w:lineRule="auto"/>
              <w:rPr>
                <w:rFonts w:cs="Arial"/>
                <w:sz w:val="20"/>
                <w:szCs w:val="20"/>
              </w:rPr>
            </w:pPr>
            <w:r w:rsidRPr="00AA6C8A">
              <w:rPr>
                <w:rFonts w:cs="Arial"/>
                <w:sz w:val="20"/>
                <w:szCs w:val="20"/>
              </w:rPr>
              <w:t>81.1</w:t>
            </w:r>
          </w:p>
        </w:tc>
      </w:tr>
      <w:tr w:rsidR="00E73C9D" w:rsidRPr="00AA6C8A" w14:paraId="2220391F"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40AF9EE0" w14:textId="03156A63" w:rsidR="00E73C9D" w:rsidRPr="00AA6C8A" w:rsidRDefault="00D528B2">
            <w:pPr>
              <w:pStyle w:val="Body"/>
              <w:spacing w:after="0" w:line="240" w:lineRule="auto"/>
              <w:rPr>
                <w:rFonts w:cs="Arial"/>
                <w:sz w:val="20"/>
                <w:szCs w:val="20"/>
              </w:rPr>
            </w:pPr>
            <w:r>
              <w:rPr>
                <w:rFonts w:cs="Arial"/>
                <w:sz w:val="20"/>
                <w:szCs w:val="20"/>
              </w:rPr>
              <w:t>Hormone therapy</w:t>
            </w:r>
          </w:p>
        </w:tc>
        <w:tc>
          <w:tcPr>
            <w:tcW w:w="999" w:type="dxa"/>
            <w:tcBorders>
              <w:top w:val="nil"/>
              <w:left w:val="nil"/>
              <w:bottom w:val="nil"/>
              <w:right w:val="nil"/>
            </w:tcBorders>
            <w:shd w:val="clear" w:color="auto" w:fill="auto"/>
            <w:tcMar>
              <w:top w:w="80" w:type="dxa"/>
              <w:left w:w="80" w:type="dxa"/>
              <w:bottom w:w="80" w:type="dxa"/>
              <w:right w:w="80" w:type="dxa"/>
            </w:tcMar>
          </w:tcPr>
          <w:p w14:paraId="2C6EC933" w14:textId="77777777" w:rsidR="00E73C9D" w:rsidRPr="00AA6C8A" w:rsidRDefault="00C57731">
            <w:pPr>
              <w:pStyle w:val="Body"/>
              <w:spacing w:after="0" w:line="240" w:lineRule="auto"/>
              <w:rPr>
                <w:rFonts w:cs="Arial"/>
                <w:sz w:val="20"/>
                <w:szCs w:val="20"/>
              </w:rPr>
            </w:pPr>
            <w:r w:rsidRPr="00AA6C8A">
              <w:rPr>
                <w:rFonts w:cs="Arial"/>
                <w:sz w:val="20"/>
                <w:szCs w:val="20"/>
              </w:rPr>
              <w:t>29991</w:t>
            </w:r>
          </w:p>
        </w:tc>
        <w:tc>
          <w:tcPr>
            <w:tcW w:w="767" w:type="dxa"/>
            <w:tcBorders>
              <w:top w:val="nil"/>
              <w:left w:val="nil"/>
              <w:bottom w:val="nil"/>
              <w:right w:val="nil"/>
            </w:tcBorders>
            <w:shd w:val="clear" w:color="auto" w:fill="auto"/>
            <w:tcMar>
              <w:top w:w="80" w:type="dxa"/>
              <w:left w:w="80" w:type="dxa"/>
              <w:bottom w:w="80" w:type="dxa"/>
              <w:right w:w="80" w:type="dxa"/>
            </w:tcMar>
          </w:tcPr>
          <w:p w14:paraId="31296A7E" w14:textId="77777777" w:rsidR="00E73C9D" w:rsidRPr="00AA6C8A" w:rsidRDefault="00C57731">
            <w:pPr>
              <w:pStyle w:val="Body"/>
              <w:spacing w:after="0" w:line="240" w:lineRule="auto"/>
              <w:rPr>
                <w:rFonts w:cs="Arial"/>
                <w:sz w:val="20"/>
                <w:szCs w:val="20"/>
              </w:rPr>
            </w:pPr>
            <w:r w:rsidRPr="00AA6C8A">
              <w:rPr>
                <w:rFonts w:cs="Arial"/>
                <w:sz w:val="20"/>
                <w:szCs w:val="20"/>
              </w:rPr>
              <w:t>75.3</w:t>
            </w:r>
          </w:p>
        </w:tc>
        <w:tc>
          <w:tcPr>
            <w:tcW w:w="1063" w:type="dxa"/>
            <w:tcBorders>
              <w:top w:val="nil"/>
              <w:left w:val="nil"/>
              <w:bottom w:val="nil"/>
              <w:right w:val="nil"/>
            </w:tcBorders>
            <w:shd w:val="clear" w:color="auto" w:fill="auto"/>
            <w:tcMar>
              <w:top w:w="80" w:type="dxa"/>
              <w:left w:w="80" w:type="dxa"/>
              <w:bottom w:w="80" w:type="dxa"/>
              <w:right w:w="80" w:type="dxa"/>
            </w:tcMar>
          </w:tcPr>
          <w:p w14:paraId="1CE729C2" w14:textId="77777777" w:rsidR="00E73C9D" w:rsidRPr="00AA6C8A" w:rsidRDefault="00C57731">
            <w:pPr>
              <w:pStyle w:val="Body"/>
              <w:spacing w:after="0" w:line="240" w:lineRule="auto"/>
              <w:rPr>
                <w:rFonts w:cs="Arial"/>
                <w:sz w:val="20"/>
                <w:szCs w:val="20"/>
              </w:rPr>
            </w:pPr>
            <w:r w:rsidRPr="00AA6C8A">
              <w:rPr>
                <w:rFonts w:cs="Arial"/>
                <w:sz w:val="20"/>
                <w:szCs w:val="20"/>
              </w:rPr>
              <w:t>7822</w:t>
            </w:r>
          </w:p>
        </w:tc>
        <w:tc>
          <w:tcPr>
            <w:tcW w:w="815" w:type="dxa"/>
            <w:tcBorders>
              <w:top w:val="nil"/>
              <w:left w:val="nil"/>
              <w:bottom w:val="nil"/>
              <w:right w:val="nil"/>
            </w:tcBorders>
            <w:shd w:val="clear" w:color="auto" w:fill="auto"/>
            <w:tcMar>
              <w:top w:w="80" w:type="dxa"/>
              <w:left w:w="80" w:type="dxa"/>
              <w:bottom w:w="80" w:type="dxa"/>
              <w:right w:w="80" w:type="dxa"/>
            </w:tcMar>
          </w:tcPr>
          <w:p w14:paraId="6B39C3FA" w14:textId="77777777" w:rsidR="00E73C9D" w:rsidRPr="00AA6C8A" w:rsidRDefault="00C57731">
            <w:pPr>
              <w:pStyle w:val="Body"/>
              <w:spacing w:after="0" w:line="240" w:lineRule="auto"/>
              <w:rPr>
                <w:rFonts w:cs="Arial"/>
                <w:sz w:val="20"/>
                <w:szCs w:val="20"/>
              </w:rPr>
            </w:pPr>
            <w:r w:rsidRPr="00AA6C8A">
              <w:rPr>
                <w:rFonts w:cs="Arial"/>
                <w:sz w:val="20"/>
                <w:szCs w:val="20"/>
              </w:rPr>
              <w:t>60.8</w:t>
            </w:r>
          </w:p>
        </w:tc>
      </w:tr>
      <w:tr w:rsidR="00E73C9D" w:rsidRPr="00AA6C8A" w14:paraId="6DE01BBC"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493C11EF" w14:textId="073D981E" w:rsidR="00E73C9D" w:rsidRPr="00AA6C8A" w:rsidRDefault="00C57731">
            <w:pPr>
              <w:pStyle w:val="Body"/>
              <w:spacing w:after="0" w:line="240" w:lineRule="auto"/>
              <w:rPr>
                <w:rFonts w:cs="Arial"/>
                <w:sz w:val="20"/>
                <w:szCs w:val="20"/>
              </w:rPr>
            </w:pPr>
            <w:r w:rsidRPr="00AA6C8A">
              <w:rPr>
                <w:rFonts w:cs="Arial"/>
                <w:sz w:val="20"/>
                <w:szCs w:val="20"/>
              </w:rPr>
              <w:t>Chemo + hormone</w:t>
            </w:r>
            <w:r w:rsidR="00D528B2">
              <w:rPr>
                <w:rFonts w:cs="Arial"/>
                <w:sz w:val="20"/>
                <w:szCs w:val="20"/>
              </w:rPr>
              <w:t xml:space="preserve"> therapy</w:t>
            </w:r>
          </w:p>
        </w:tc>
        <w:tc>
          <w:tcPr>
            <w:tcW w:w="999" w:type="dxa"/>
            <w:tcBorders>
              <w:top w:val="nil"/>
              <w:left w:val="nil"/>
              <w:bottom w:val="nil"/>
              <w:right w:val="nil"/>
            </w:tcBorders>
            <w:shd w:val="clear" w:color="auto" w:fill="auto"/>
            <w:tcMar>
              <w:top w:w="80" w:type="dxa"/>
              <w:left w:w="80" w:type="dxa"/>
              <w:bottom w:w="80" w:type="dxa"/>
              <w:right w:w="80" w:type="dxa"/>
            </w:tcMar>
          </w:tcPr>
          <w:p w14:paraId="2088D618" w14:textId="77777777" w:rsidR="00E73C9D" w:rsidRPr="00AA6C8A" w:rsidRDefault="00C57731">
            <w:pPr>
              <w:pStyle w:val="Body"/>
              <w:spacing w:after="0" w:line="240" w:lineRule="auto"/>
              <w:rPr>
                <w:rFonts w:cs="Arial"/>
                <w:sz w:val="20"/>
                <w:szCs w:val="20"/>
              </w:rPr>
            </w:pPr>
            <w:r w:rsidRPr="00AA6C8A">
              <w:rPr>
                <w:rFonts w:cs="Arial"/>
                <w:sz w:val="20"/>
                <w:szCs w:val="20"/>
              </w:rPr>
              <w:t>8875</w:t>
            </w:r>
          </w:p>
        </w:tc>
        <w:tc>
          <w:tcPr>
            <w:tcW w:w="767" w:type="dxa"/>
            <w:tcBorders>
              <w:top w:val="nil"/>
              <w:left w:val="nil"/>
              <w:bottom w:val="nil"/>
              <w:right w:val="nil"/>
            </w:tcBorders>
            <w:shd w:val="clear" w:color="auto" w:fill="auto"/>
            <w:tcMar>
              <w:top w:w="80" w:type="dxa"/>
              <w:left w:w="80" w:type="dxa"/>
              <w:bottom w:w="80" w:type="dxa"/>
              <w:right w:w="80" w:type="dxa"/>
            </w:tcMar>
          </w:tcPr>
          <w:p w14:paraId="3C8A0925" w14:textId="77777777" w:rsidR="00E73C9D" w:rsidRPr="00AA6C8A" w:rsidRDefault="00C57731">
            <w:pPr>
              <w:pStyle w:val="Body"/>
              <w:spacing w:after="0" w:line="240" w:lineRule="auto"/>
              <w:rPr>
                <w:rFonts w:cs="Arial"/>
                <w:sz w:val="20"/>
                <w:szCs w:val="20"/>
              </w:rPr>
            </w:pPr>
            <w:r w:rsidRPr="00AA6C8A">
              <w:rPr>
                <w:rFonts w:cs="Arial"/>
                <w:sz w:val="20"/>
                <w:szCs w:val="20"/>
              </w:rPr>
              <w:t>22.3</w:t>
            </w:r>
          </w:p>
        </w:tc>
        <w:tc>
          <w:tcPr>
            <w:tcW w:w="1063" w:type="dxa"/>
            <w:tcBorders>
              <w:top w:val="nil"/>
              <w:left w:val="nil"/>
              <w:bottom w:val="nil"/>
              <w:right w:val="nil"/>
            </w:tcBorders>
            <w:shd w:val="clear" w:color="auto" w:fill="auto"/>
            <w:tcMar>
              <w:top w:w="80" w:type="dxa"/>
              <w:left w:w="80" w:type="dxa"/>
              <w:bottom w:w="80" w:type="dxa"/>
              <w:right w:w="80" w:type="dxa"/>
            </w:tcMar>
          </w:tcPr>
          <w:p w14:paraId="168DB3A6" w14:textId="77777777" w:rsidR="00E73C9D" w:rsidRPr="00AA6C8A" w:rsidRDefault="00C57731">
            <w:pPr>
              <w:pStyle w:val="Body"/>
              <w:spacing w:after="0" w:line="240" w:lineRule="auto"/>
              <w:rPr>
                <w:rFonts w:cs="Arial"/>
                <w:sz w:val="20"/>
                <w:szCs w:val="20"/>
              </w:rPr>
            </w:pPr>
            <w:r w:rsidRPr="00AA6C8A">
              <w:rPr>
                <w:rFonts w:cs="Arial"/>
                <w:sz w:val="20"/>
                <w:szCs w:val="20"/>
              </w:rPr>
              <w:t>6060</w:t>
            </w:r>
          </w:p>
        </w:tc>
        <w:tc>
          <w:tcPr>
            <w:tcW w:w="815" w:type="dxa"/>
            <w:tcBorders>
              <w:top w:val="nil"/>
              <w:left w:val="nil"/>
              <w:bottom w:val="nil"/>
              <w:right w:val="nil"/>
            </w:tcBorders>
            <w:shd w:val="clear" w:color="auto" w:fill="auto"/>
            <w:tcMar>
              <w:top w:w="80" w:type="dxa"/>
              <w:left w:w="80" w:type="dxa"/>
              <w:bottom w:w="80" w:type="dxa"/>
              <w:right w:w="80" w:type="dxa"/>
            </w:tcMar>
          </w:tcPr>
          <w:p w14:paraId="5531ADA9" w14:textId="77777777" w:rsidR="00E73C9D" w:rsidRPr="00AA6C8A" w:rsidRDefault="00C57731">
            <w:pPr>
              <w:pStyle w:val="Body"/>
              <w:spacing w:after="0" w:line="240" w:lineRule="auto"/>
              <w:rPr>
                <w:rFonts w:cs="Arial"/>
                <w:sz w:val="20"/>
                <w:szCs w:val="20"/>
              </w:rPr>
            </w:pPr>
            <w:r w:rsidRPr="00AA6C8A">
              <w:rPr>
                <w:rFonts w:cs="Arial"/>
                <w:sz w:val="20"/>
                <w:szCs w:val="20"/>
              </w:rPr>
              <w:t>47.1</w:t>
            </w:r>
          </w:p>
        </w:tc>
      </w:tr>
      <w:tr w:rsidR="00E73C9D" w:rsidRPr="00AA6C8A" w14:paraId="7BD4A7CD"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4994F85A" w14:textId="77777777" w:rsidR="00E73C9D" w:rsidRPr="00AA6C8A" w:rsidRDefault="00C57731">
            <w:pPr>
              <w:pStyle w:val="Body"/>
              <w:spacing w:after="0" w:line="240" w:lineRule="auto"/>
              <w:rPr>
                <w:rFonts w:cs="Arial"/>
                <w:sz w:val="20"/>
                <w:szCs w:val="20"/>
              </w:rPr>
            </w:pPr>
            <w:r w:rsidRPr="00AA6C8A">
              <w:rPr>
                <w:rFonts w:cs="Arial"/>
                <w:sz w:val="20"/>
                <w:szCs w:val="20"/>
              </w:rPr>
              <w:t>Screen detected</w:t>
            </w:r>
          </w:p>
        </w:tc>
        <w:tc>
          <w:tcPr>
            <w:tcW w:w="999" w:type="dxa"/>
            <w:tcBorders>
              <w:top w:val="nil"/>
              <w:left w:val="nil"/>
              <w:bottom w:val="nil"/>
              <w:right w:val="nil"/>
            </w:tcBorders>
            <w:shd w:val="clear" w:color="auto" w:fill="auto"/>
            <w:tcMar>
              <w:top w:w="80" w:type="dxa"/>
              <w:left w:w="80" w:type="dxa"/>
              <w:bottom w:w="80" w:type="dxa"/>
              <w:right w:w="80" w:type="dxa"/>
            </w:tcMar>
          </w:tcPr>
          <w:p w14:paraId="730874AD" w14:textId="77777777" w:rsidR="00E73C9D" w:rsidRPr="00AA6C8A" w:rsidRDefault="00C57731">
            <w:pPr>
              <w:pStyle w:val="Body"/>
              <w:spacing w:after="0" w:line="240" w:lineRule="auto"/>
              <w:rPr>
                <w:rFonts w:cs="Arial"/>
                <w:sz w:val="20"/>
                <w:szCs w:val="20"/>
              </w:rPr>
            </w:pPr>
            <w:r w:rsidRPr="00AA6C8A">
              <w:rPr>
                <w:rFonts w:cs="Arial"/>
                <w:sz w:val="20"/>
                <w:szCs w:val="20"/>
              </w:rPr>
              <w:t>14887</w:t>
            </w:r>
          </w:p>
        </w:tc>
        <w:tc>
          <w:tcPr>
            <w:tcW w:w="767" w:type="dxa"/>
            <w:tcBorders>
              <w:top w:val="nil"/>
              <w:left w:val="nil"/>
              <w:bottom w:val="nil"/>
              <w:right w:val="nil"/>
            </w:tcBorders>
            <w:shd w:val="clear" w:color="auto" w:fill="auto"/>
            <w:tcMar>
              <w:top w:w="80" w:type="dxa"/>
              <w:left w:w="80" w:type="dxa"/>
              <w:bottom w:w="80" w:type="dxa"/>
              <w:right w:w="80" w:type="dxa"/>
            </w:tcMar>
          </w:tcPr>
          <w:p w14:paraId="267104D7" w14:textId="77777777" w:rsidR="00E73C9D" w:rsidRPr="00AA6C8A" w:rsidRDefault="00C57731">
            <w:pPr>
              <w:pStyle w:val="Body"/>
              <w:spacing w:after="0" w:line="240" w:lineRule="auto"/>
              <w:rPr>
                <w:rFonts w:cs="Arial"/>
                <w:sz w:val="20"/>
                <w:szCs w:val="20"/>
              </w:rPr>
            </w:pPr>
            <w:r w:rsidRPr="00AA6C8A">
              <w:rPr>
                <w:rFonts w:cs="Arial"/>
                <w:sz w:val="20"/>
                <w:szCs w:val="20"/>
              </w:rPr>
              <w:t>37.4</w:t>
            </w:r>
          </w:p>
        </w:tc>
        <w:tc>
          <w:tcPr>
            <w:tcW w:w="1063" w:type="dxa"/>
            <w:tcBorders>
              <w:top w:val="nil"/>
              <w:left w:val="nil"/>
              <w:bottom w:val="nil"/>
              <w:right w:val="nil"/>
            </w:tcBorders>
            <w:shd w:val="clear" w:color="auto" w:fill="auto"/>
            <w:tcMar>
              <w:top w:w="80" w:type="dxa"/>
              <w:left w:w="80" w:type="dxa"/>
              <w:bottom w:w="80" w:type="dxa"/>
              <w:right w:w="80" w:type="dxa"/>
            </w:tcMar>
          </w:tcPr>
          <w:p w14:paraId="58D36679" w14:textId="77777777" w:rsidR="00E73C9D" w:rsidRPr="00AA6C8A" w:rsidRDefault="00C57731">
            <w:pPr>
              <w:pStyle w:val="Body"/>
              <w:spacing w:after="0" w:line="240" w:lineRule="auto"/>
              <w:rPr>
                <w:rFonts w:cs="Arial"/>
                <w:sz w:val="20"/>
                <w:szCs w:val="20"/>
              </w:rPr>
            </w:pPr>
            <w:r w:rsidRPr="00AA6C8A">
              <w:rPr>
                <w:rFonts w:cs="Arial"/>
                <w:sz w:val="20"/>
                <w:szCs w:val="20"/>
              </w:rPr>
              <w:t>3602</w:t>
            </w:r>
          </w:p>
        </w:tc>
        <w:tc>
          <w:tcPr>
            <w:tcW w:w="815" w:type="dxa"/>
            <w:tcBorders>
              <w:top w:val="nil"/>
              <w:left w:val="nil"/>
              <w:bottom w:val="nil"/>
              <w:right w:val="nil"/>
            </w:tcBorders>
            <w:shd w:val="clear" w:color="auto" w:fill="auto"/>
            <w:tcMar>
              <w:top w:w="80" w:type="dxa"/>
              <w:left w:w="80" w:type="dxa"/>
              <w:bottom w:w="80" w:type="dxa"/>
              <w:right w:w="80" w:type="dxa"/>
            </w:tcMar>
          </w:tcPr>
          <w:p w14:paraId="410F1CE7" w14:textId="77777777" w:rsidR="00E73C9D" w:rsidRPr="00AA6C8A" w:rsidRDefault="00C57731">
            <w:pPr>
              <w:pStyle w:val="Body"/>
              <w:spacing w:after="0" w:line="240" w:lineRule="auto"/>
              <w:rPr>
                <w:rFonts w:cs="Arial"/>
                <w:sz w:val="20"/>
                <w:szCs w:val="20"/>
              </w:rPr>
            </w:pPr>
            <w:r w:rsidRPr="00AA6C8A">
              <w:rPr>
                <w:rFonts w:cs="Arial"/>
                <w:sz w:val="20"/>
                <w:szCs w:val="20"/>
              </w:rPr>
              <w:t>28</w:t>
            </w:r>
          </w:p>
        </w:tc>
      </w:tr>
      <w:tr w:rsidR="00E73C9D" w:rsidRPr="00AA6C8A" w14:paraId="2ACF2E88"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2836542B" w14:textId="77777777" w:rsidR="00E73C9D" w:rsidRPr="00AA6C8A" w:rsidRDefault="00C57731">
            <w:pPr>
              <w:pStyle w:val="Body"/>
              <w:spacing w:after="0" w:line="240" w:lineRule="auto"/>
              <w:rPr>
                <w:rFonts w:cs="Arial"/>
                <w:sz w:val="20"/>
                <w:szCs w:val="20"/>
              </w:rPr>
            </w:pPr>
            <w:r w:rsidRPr="00AA6C8A">
              <w:rPr>
                <w:rFonts w:cs="Arial"/>
                <w:sz w:val="20"/>
                <w:szCs w:val="20"/>
              </w:rPr>
              <w:t>Symptomatic</w:t>
            </w:r>
          </w:p>
        </w:tc>
        <w:tc>
          <w:tcPr>
            <w:tcW w:w="999" w:type="dxa"/>
            <w:tcBorders>
              <w:top w:val="nil"/>
              <w:left w:val="nil"/>
              <w:bottom w:val="nil"/>
              <w:right w:val="nil"/>
            </w:tcBorders>
            <w:shd w:val="clear" w:color="auto" w:fill="auto"/>
            <w:tcMar>
              <w:top w:w="80" w:type="dxa"/>
              <w:left w:w="80" w:type="dxa"/>
              <w:bottom w:w="80" w:type="dxa"/>
              <w:right w:w="80" w:type="dxa"/>
            </w:tcMar>
          </w:tcPr>
          <w:p w14:paraId="4747B04A" w14:textId="77777777" w:rsidR="00E73C9D" w:rsidRPr="00AA6C8A" w:rsidRDefault="00C57731">
            <w:pPr>
              <w:pStyle w:val="Body"/>
              <w:spacing w:after="0" w:line="240" w:lineRule="auto"/>
              <w:rPr>
                <w:rFonts w:cs="Arial"/>
                <w:sz w:val="20"/>
                <w:szCs w:val="20"/>
              </w:rPr>
            </w:pPr>
            <w:r w:rsidRPr="00AA6C8A">
              <w:rPr>
                <w:rFonts w:cs="Arial"/>
                <w:sz w:val="20"/>
                <w:szCs w:val="20"/>
              </w:rPr>
              <w:t>24827</w:t>
            </w:r>
          </w:p>
        </w:tc>
        <w:tc>
          <w:tcPr>
            <w:tcW w:w="767" w:type="dxa"/>
            <w:tcBorders>
              <w:top w:val="nil"/>
              <w:left w:val="nil"/>
              <w:bottom w:val="nil"/>
              <w:right w:val="nil"/>
            </w:tcBorders>
            <w:shd w:val="clear" w:color="auto" w:fill="auto"/>
            <w:tcMar>
              <w:top w:w="80" w:type="dxa"/>
              <w:left w:w="80" w:type="dxa"/>
              <w:bottom w:w="80" w:type="dxa"/>
              <w:right w:w="80" w:type="dxa"/>
            </w:tcMar>
          </w:tcPr>
          <w:p w14:paraId="2442E957" w14:textId="77777777" w:rsidR="00E73C9D" w:rsidRPr="00AA6C8A" w:rsidRDefault="00C57731">
            <w:pPr>
              <w:pStyle w:val="Body"/>
              <w:spacing w:after="0" w:line="240" w:lineRule="auto"/>
              <w:rPr>
                <w:rFonts w:cs="Arial"/>
                <w:sz w:val="20"/>
                <w:szCs w:val="20"/>
              </w:rPr>
            </w:pPr>
            <w:r w:rsidRPr="00AA6C8A">
              <w:rPr>
                <w:rFonts w:cs="Arial"/>
                <w:sz w:val="20"/>
                <w:szCs w:val="20"/>
              </w:rPr>
              <w:t>62.4</w:t>
            </w:r>
          </w:p>
        </w:tc>
        <w:tc>
          <w:tcPr>
            <w:tcW w:w="1063" w:type="dxa"/>
            <w:tcBorders>
              <w:top w:val="nil"/>
              <w:left w:val="nil"/>
              <w:bottom w:val="nil"/>
              <w:right w:val="nil"/>
            </w:tcBorders>
            <w:shd w:val="clear" w:color="auto" w:fill="auto"/>
            <w:tcMar>
              <w:top w:w="80" w:type="dxa"/>
              <w:left w:w="80" w:type="dxa"/>
              <w:bottom w:w="80" w:type="dxa"/>
              <w:right w:w="80" w:type="dxa"/>
            </w:tcMar>
          </w:tcPr>
          <w:p w14:paraId="35FE7C02" w14:textId="77777777" w:rsidR="00E73C9D" w:rsidRPr="00AA6C8A" w:rsidRDefault="00C57731">
            <w:pPr>
              <w:pStyle w:val="Body"/>
              <w:spacing w:after="0" w:line="240" w:lineRule="auto"/>
              <w:rPr>
                <w:rFonts w:cs="Arial"/>
                <w:sz w:val="20"/>
                <w:szCs w:val="20"/>
              </w:rPr>
            </w:pPr>
            <w:r w:rsidRPr="00AA6C8A">
              <w:rPr>
                <w:rFonts w:cs="Arial"/>
                <w:sz w:val="20"/>
                <w:szCs w:val="20"/>
              </w:rPr>
              <w:t>9205</w:t>
            </w:r>
          </w:p>
        </w:tc>
        <w:tc>
          <w:tcPr>
            <w:tcW w:w="815" w:type="dxa"/>
            <w:tcBorders>
              <w:top w:val="nil"/>
              <w:left w:val="nil"/>
              <w:bottom w:val="nil"/>
              <w:right w:val="nil"/>
            </w:tcBorders>
            <w:shd w:val="clear" w:color="auto" w:fill="auto"/>
            <w:tcMar>
              <w:top w:w="80" w:type="dxa"/>
              <w:left w:w="80" w:type="dxa"/>
              <w:bottom w:w="80" w:type="dxa"/>
              <w:right w:w="80" w:type="dxa"/>
            </w:tcMar>
          </w:tcPr>
          <w:p w14:paraId="7EE8248D" w14:textId="77777777" w:rsidR="00E73C9D" w:rsidRPr="00AA6C8A" w:rsidRDefault="00C57731">
            <w:pPr>
              <w:pStyle w:val="Body"/>
              <w:spacing w:after="0" w:line="240" w:lineRule="auto"/>
              <w:rPr>
                <w:rFonts w:cs="Arial"/>
                <w:sz w:val="20"/>
                <w:szCs w:val="20"/>
              </w:rPr>
            </w:pPr>
            <w:r w:rsidRPr="00AA6C8A">
              <w:rPr>
                <w:rFonts w:cs="Arial"/>
                <w:sz w:val="20"/>
                <w:szCs w:val="20"/>
              </w:rPr>
              <w:t>71.5</w:t>
            </w:r>
          </w:p>
        </w:tc>
      </w:tr>
      <w:tr w:rsidR="00E73C9D" w:rsidRPr="00AA6C8A" w14:paraId="600A0496"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6938F43D" w14:textId="04F1CB14" w:rsidR="00E73C9D" w:rsidRPr="00AA6C8A" w:rsidRDefault="00C57731">
            <w:pPr>
              <w:pStyle w:val="Body"/>
              <w:spacing w:after="0" w:line="240" w:lineRule="auto"/>
              <w:rPr>
                <w:rFonts w:cs="Arial"/>
                <w:sz w:val="20"/>
                <w:szCs w:val="20"/>
              </w:rPr>
            </w:pPr>
            <w:r w:rsidRPr="00AA6C8A">
              <w:rPr>
                <w:rFonts w:cs="Arial"/>
                <w:sz w:val="20"/>
                <w:szCs w:val="20"/>
              </w:rPr>
              <w:t xml:space="preserve">Charlson </w:t>
            </w:r>
            <w:r w:rsidR="002E7B43" w:rsidRPr="00AA6C8A">
              <w:rPr>
                <w:rFonts w:cs="Arial"/>
                <w:sz w:val="20"/>
                <w:szCs w:val="20"/>
              </w:rPr>
              <w:t xml:space="preserve">Index </w:t>
            </w:r>
            <w:r w:rsidRPr="00AA6C8A">
              <w:rPr>
                <w:rFonts w:cs="Arial"/>
                <w:sz w:val="20"/>
                <w:szCs w:val="20"/>
              </w:rPr>
              <w:t>&gt;= 1</w:t>
            </w:r>
          </w:p>
        </w:tc>
        <w:tc>
          <w:tcPr>
            <w:tcW w:w="999" w:type="dxa"/>
            <w:tcBorders>
              <w:top w:val="nil"/>
              <w:left w:val="nil"/>
              <w:bottom w:val="nil"/>
              <w:right w:val="nil"/>
            </w:tcBorders>
            <w:shd w:val="clear" w:color="auto" w:fill="auto"/>
            <w:tcMar>
              <w:top w:w="80" w:type="dxa"/>
              <w:left w:w="80" w:type="dxa"/>
              <w:bottom w:w="80" w:type="dxa"/>
              <w:right w:w="80" w:type="dxa"/>
            </w:tcMar>
          </w:tcPr>
          <w:p w14:paraId="48FECA63" w14:textId="77777777" w:rsidR="00E73C9D" w:rsidRPr="00AA6C8A" w:rsidRDefault="00C57731">
            <w:pPr>
              <w:pStyle w:val="Body"/>
              <w:spacing w:after="0" w:line="240" w:lineRule="auto"/>
              <w:rPr>
                <w:rFonts w:cs="Arial"/>
                <w:sz w:val="20"/>
                <w:szCs w:val="20"/>
              </w:rPr>
            </w:pPr>
            <w:r w:rsidRPr="00AA6C8A">
              <w:rPr>
                <w:rFonts w:cs="Arial"/>
                <w:sz w:val="20"/>
                <w:szCs w:val="20"/>
              </w:rPr>
              <w:t>2455</w:t>
            </w:r>
          </w:p>
        </w:tc>
        <w:tc>
          <w:tcPr>
            <w:tcW w:w="767" w:type="dxa"/>
            <w:tcBorders>
              <w:top w:val="nil"/>
              <w:left w:val="nil"/>
              <w:bottom w:val="nil"/>
              <w:right w:val="nil"/>
            </w:tcBorders>
            <w:shd w:val="clear" w:color="auto" w:fill="auto"/>
            <w:tcMar>
              <w:top w:w="80" w:type="dxa"/>
              <w:left w:w="80" w:type="dxa"/>
              <w:bottom w:w="80" w:type="dxa"/>
              <w:right w:w="80" w:type="dxa"/>
            </w:tcMar>
          </w:tcPr>
          <w:p w14:paraId="71A705F6" w14:textId="77777777" w:rsidR="00E73C9D" w:rsidRPr="00AA6C8A" w:rsidRDefault="00C57731">
            <w:pPr>
              <w:pStyle w:val="Body"/>
              <w:spacing w:after="0" w:line="240" w:lineRule="auto"/>
              <w:rPr>
                <w:rFonts w:cs="Arial"/>
                <w:sz w:val="20"/>
                <w:szCs w:val="20"/>
              </w:rPr>
            </w:pPr>
            <w:r w:rsidRPr="00AA6C8A">
              <w:rPr>
                <w:rFonts w:cs="Arial"/>
                <w:sz w:val="20"/>
                <w:szCs w:val="20"/>
              </w:rPr>
              <w:t>6.2</w:t>
            </w:r>
          </w:p>
        </w:tc>
        <w:tc>
          <w:tcPr>
            <w:tcW w:w="1063" w:type="dxa"/>
            <w:tcBorders>
              <w:top w:val="nil"/>
              <w:left w:val="nil"/>
              <w:bottom w:val="nil"/>
              <w:right w:val="nil"/>
            </w:tcBorders>
            <w:shd w:val="clear" w:color="auto" w:fill="auto"/>
            <w:tcMar>
              <w:top w:w="80" w:type="dxa"/>
              <w:left w:w="80" w:type="dxa"/>
              <w:bottom w:w="80" w:type="dxa"/>
              <w:right w:w="80" w:type="dxa"/>
            </w:tcMar>
          </w:tcPr>
          <w:p w14:paraId="2F9CB1F1" w14:textId="77777777" w:rsidR="00E73C9D" w:rsidRPr="00AA6C8A" w:rsidRDefault="00C57731">
            <w:pPr>
              <w:pStyle w:val="Body"/>
              <w:spacing w:after="0" w:line="240" w:lineRule="auto"/>
              <w:rPr>
                <w:rFonts w:cs="Arial"/>
                <w:sz w:val="20"/>
                <w:szCs w:val="20"/>
              </w:rPr>
            </w:pPr>
            <w:r w:rsidRPr="00AA6C8A">
              <w:rPr>
                <w:rFonts w:cs="Arial"/>
                <w:sz w:val="20"/>
                <w:szCs w:val="20"/>
              </w:rPr>
              <w:t>0</w:t>
            </w:r>
          </w:p>
        </w:tc>
        <w:tc>
          <w:tcPr>
            <w:tcW w:w="815" w:type="dxa"/>
            <w:tcBorders>
              <w:top w:val="nil"/>
              <w:left w:val="nil"/>
              <w:bottom w:val="nil"/>
              <w:right w:val="nil"/>
            </w:tcBorders>
            <w:shd w:val="clear" w:color="auto" w:fill="auto"/>
            <w:tcMar>
              <w:top w:w="80" w:type="dxa"/>
              <w:left w:w="80" w:type="dxa"/>
              <w:bottom w:w="80" w:type="dxa"/>
              <w:right w:w="80" w:type="dxa"/>
            </w:tcMar>
          </w:tcPr>
          <w:p w14:paraId="296342E5" w14:textId="77777777" w:rsidR="00E73C9D" w:rsidRPr="00AA6C8A" w:rsidRDefault="00C57731">
            <w:pPr>
              <w:pStyle w:val="Body"/>
              <w:spacing w:after="0" w:line="240" w:lineRule="auto"/>
              <w:rPr>
                <w:rFonts w:cs="Arial"/>
                <w:sz w:val="20"/>
                <w:szCs w:val="20"/>
              </w:rPr>
            </w:pPr>
            <w:r w:rsidRPr="00AA6C8A">
              <w:rPr>
                <w:rFonts w:cs="Arial"/>
                <w:sz w:val="20"/>
                <w:szCs w:val="20"/>
              </w:rPr>
              <w:t>0</w:t>
            </w:r>
          </w:p>
        </w:tc>
      </w:tr>
      <w:tr w:rsidR="00E73C9D" w:rsidRPr="00AA6C8A" w14:paraId="283F6CE9"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7B5ECD93" w14:textId="2F53F67F" w:rsidR="00E73C9D" w:rsidRPr="00AA6C8A" w:rsidRDefault="00C57731">
            <w:pPr>
              <w:pStyle w:val="Body"/>
              <w:spacing w:after="0" w:line="240" w:lineRule="auto"/>
              <w:rPr>
                <w:rFonts w:cs="Arial"/>
                <w:sz w:val="20"/>
                <w:szCs w:val="20"/>
              </w:rPr>
            </w:pPr>
            <w:r w:rsidRPr="00AA6C8A">
              <w:rPr>
                <w:rFonts w:cs="Arial"/>
                <w:sz w:val="20"/>
                <w:szCs w:val="20"/>
              </w:rPr>
              <w:t xml:space="preserve">Charlson </w:t>
            </w:r>
            <w:r w:rsidR="002E7B43" w:rsidRPr="00AA6C8A">
              <w:rPr>
                <w:rFonts w:cs="Arial"/>
                <w:sz w:val="20"/>
                <w:szCs w:val="20"/>
              </w:rPr>
              <w:t xml:space="preserve">Index </w:t>
            </w:r>
            <w:r w:rsidRPr="00AA6C8A">
              <w:rPr>
                <w:rFonts w:cs="Arial"/>
                <w:sz w:val="20"/>
                <w:szCs w:val="20"/>
              </w:rPr>
              <w:t>= 0</w:t>
            </w:r>
          </w:p>
        </w:tc>
        <w:tc>
          <w:tcPr>
            <w:tcW w:w="999" w:type="dxa"/>
            <w:tcBorders>
              <w:top w:val="nil"/>
              <w:left w:val="nil"/>
              <w:bottom w:val="nil"/>
              <w:right w:val="nil"/>
            </w:tcBorders>
            <w:shd w:val="clear" w:color="auto" w:fill="auto"/>
            <w:tcMar>
              <w:top w:w="80" w:type="dxa"/>
              <w:left w:w="80" w:type="dxa"/>
              <w:bottom w:w="80" w:type="dxa"/>
              <w:right w:w="80" w:type="dxa"/>
            </w:tcMar>
          </w:tcPr>
          <w:p w14:paraId="7F016D7F" w14:textId="77777777" w:rsidR="00E73C9D" w:rsidRPr="00AA6C8A" w:rsidRDefault="00C57731">
            <w:pPr>
              <w:pStyle w:val="Body"/>
              <w:spacing w:after="0" w:line="240" w:lineRule="auto"/>
              <w:rPr>
                <w:rFonts w:cs="Arial"/>
                <w:sz w:val="20"/>
                <w:szCs w:val="20"/>
              </w:rPr>
            </w:pPr>
            <w:r w:rsidRPr="00AA6C8A">
              <w:rPr>
                <w:rFonts w:cs="Arial"/>
                <w:sz w:val="20"/>
                <w:szCs w:val="20"/>
              </w:rPr>
              <w:t>37350</w:t>
            </w:r>
          </w:p>
        </w:tc>
        <w:tc>
          <w:tcPr>
            <w:tcW w:w="767" w:type="dxa"/>
            <w:tcBorders>
              <w:top w:val="nil"/>
              <w:left w:val="nil"/>
              <w:bottom w:val="nil"/>
              <w:right w:val="nil"/>
            </w:tcBorders>
            <w:shd w:val="clear" w:color="auto" w:fill="auto"/>
            <w:tcMar>
              <w:top w:w="80" w:type="dxa"/>
              <w:left w:w="80" w:type="dxa"/>
              <w:bottom w:w="80" w:type="dxa"/>
              <w:right w:w="80" w:type="dxa"/>
            </w:tcMar>
          </w:tcPr>
          <w:p w14:paraId="74D28CF5" w14:textId="77777777" w:rsidR="00E73C9D" w:rsidRPr="00AA6C8A" w:rsidRDefault="00C57731">
            <w:pPr>
              <w:pStyle w:val="Body"/>
              <w:spacing w:after="0" w:line="240" w:lineRule="auto"/>
              <w:rPr>
                <w:rFonts w:cs="Arial"/>
                <w:sz w:val="20"/>
                <w:szCs w:val="20"/>
              </w:rPr>
            </w:pPr>
            <w:r w:rsidRPr="00AA6C8A">
              <w:rPr>
                <w:rFonts w:cs="Arial"/>
                <w:sz w:val="20"/>
                <w:szCs w:val="20"/>
              </w:rPr>
              <w:t>93.8</w:t>
            </w:r>
          </w:p>
        </w:tc>
        <w:tc>
          <w:tcPr>
            <w:tcW w:w="1063" w:type="dxa"/>
            <w:tcBorders>
              <w:top w:val="nil"/>
              <w:left w:val="nil"/>
              <w:bottom w:val="nil"/>
              <w:right w:val="nil"/>
            </w:tcBorders>
            <w:shd w:val="clear" w:color="auto" w:fill="auto"/>
            <w:tcMar>
              <w:top w:w="80" w:type="dxa"/>
              <w:left w:w="80" w:type="dxa"/>
              <w:bottom w:w="80" w:type="dxa"/>
              <w:right w:w="80" w:type="dxa"/>
            </w:tcMar>
          </w:tcPr>
          <w:p w14:paraId="4C767B87" w14:textId="77777777" w:rsidR="00E73C9D" w:rsidRPr="00AA6C8A" w:rsidRDefault="00C57731">
            <w:pPr>
              <w:pStyle w:val="Body"/>
              <w:spacing w:after="0" w:line="240" w:lineRule="auto"/>
              <w:rPr>
                <w:rFonts w:cs="Arial"/>
                <w:sz w:val="20"/>
                <w:szCs w:val="20"/>
              </w:rPr>
            </w:pPr>
            <w:r w:rsidRPr="00AA6C8A">
              <w:rPr>
                <w:rFonts w:cs="Arial"/>
                <w:sz w:val="20"/>
                <w:szCs w:val="20"/>
              </w:rPr>
              <w:t>12870</w:t>
            </w:r>
          </w:p>
        </w:tc>
        <w:tc>
          <w:tcPr>
            <w:tcW w:w="815" w:type="dxa"/>
            <w:tcBorders>
              <w:top w:val="nil"/>
              <w:left w:val="nil"/>
              <w:bottom w:val="nil"/>
              <w:right w:val="nil"/>
            </w:tcBorders>
            <w:shd w:val="clear" w:color="auto" w:fill="auto"/>
            <w:tcMar>
              <w:top w:w="80" w:type="dxa"/>
              <w:left w:w="80" w:type="dxa"/>
              <w:bottom w:w="80" w:type="dxa"/>
              <w:right w:w="80" w:type="dxa"/>
            </w:tcMar>
          </w:tcPr>
          <w:p w14:paraId="786DD2DD" w14:textId="77777777" w:rsidR="00E73C9D" w:rsidRPr="00AA6C8A" w:rsidRDefault="00C57731">
            <w:pPr>
              <w:pStyle w:val="Body"/>
              <w:spacing w:after="0" w:line="240" w:lineRule="auto"/>
              <w:rPr>
                <w:rFonts w:cs="Arial"/>
                <w:sz w:val="20"/>
                <w:szCs w:val="20"/>
              </w:rPr>
            </w:pPr>
            <w:r w:rsidRPr="00AA6C8A">
              <w:rPr>
                <w:rFonts w:cs="Arial"/>
                <w:sz w:val="20"/>
                <w:szCs w:val="20"/>
              </w:rPr>
              <w:t>100</w:t>
            </w:r>
          </w:p>
        </w:tc>
      </w:tr>
      <w:tr w:rsidR="00E73C9D" w:rsidRPr="00AA6C8A" w14:paraId="726F9B60"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2441ED9B" w14:textId="6CB9A80C" w:rsidR="00E73C9D" w:rsidRPr="00AA6C8A" w:rsidRDefault="00C57731">
            <w:pPr>
              <w:pStyle w:val="Body"/>
              <w:spacing w:after="0" w:line="240" w:lineRule="auto"/>
              <w:rPr>
                <w:rFonts w:cs="Arial"/>
                <w:sz w:val="20"/>
                <w:szCs w:val="20"/>
              </w:rPr>
            </w:pPr>
            <w:r w:rsidRPr="00AA6C8A">
              <w:rPr>
                <w:rFonts w:cs="Arial"/>
                <w:sz w:val="20"/>
                <w:szCs w:val="20"/>
              </w:rPr>
              <w:t xml:space="preserve">SIMD </w:t>
            </w:r>
            <w:r w:rsidR="00D528B2">
              <w:rPr>
                <w:rFonts w:cs="Arial"/>
                <w:sz w:val="20"/>
                <w:szCs w:val="20"/>
              </w:rPr>
              <w:t xml:space="preserve">deprivation quintile </w:t>
            </w:r>
            <w:r w:rsidRPr="00AA6C8A">
              <w:rPr>
                <w:rFonts w:cs="Arial"/>
                <w:sz w:val="20"/>
                <w:szCs w:val="20"/>
              </w:rPr>
              <w:t>1</w:t>
            </w:r>
            <w:r w:rsidR="00D528B2">
              <w:rPr>
                <w:rFonts w:cs="Arial"/>
                <w:sz w:val="20"/>
                <w:szCs w:val="20"/>
              </w:rPr>
              <w:t xml:space="preserve"> (most deprived</w:t>
            </w:r>
          </w:p>
        </w:tc>
        <w:tc>
          <w:tcPr>
            <w:tcW w:w="999" w:type="dxa"/>
            <w:tcBorders>
              <w:top w:val="nil"/>
              <w:left w:val="nil"/>
              <w:bottom w:val="nil"/>
              <w:right w:val="nil"/>
            </w:tcBorders>
            <w:shd w:val="clear" w:color="auto" w:fill="auto"/>
            <w:tcMar>
              <w:top w:w="80" w:type="dxa"/>
              <w:left w:w="80" w:type="dxa"/>
              <w:bottom w:w="80" w:type="dxa"/>
              <w:right w:w="80" w:type="dxa"/>
            </w:tcMar>
          </w:tcPr>
          <w:p w14:paraId="10450750" w14:textId="77777777" w:rsidR="00E73C9D" w:rsidRPr="00AA6C8A" w:rsidRDefault="00C57731">
            <w:pPr>
              <w:pStyle w:val="Body"/>
              <w:spacing w:after="0" w:line="240" w:lineRule="auto"/>
              <w:rPr>
                <w:rFonts w:cs="Arial"/>
                <w:sz w:val="20"/>
                <w:szCs w:val="20"/>
              </w:rPr>
            </w:pPr>
            <w:r w:rsidRPr="00AA6C8A">
              <w:rPr>
                <w:rFonts w:cs="Arial"/>
                <w:sz w:val="20"/>
                <w:szCs w:val="20"/>
              </w:rPr>
              <w:t>6893</w:t>
            </w:r>
          </w:p>
        </w:tc>
        <w:tc>
          <w:tcPr>
            <w:tcW w:w="767" w:type="dxa"/>
            <w:tcBorders>
              <w:top w:val="nil"/>
              <w:left w:val="nil"/>
              <w:bottom w:val="nil"/>
              <w:right w:val="nil"/>
            </w:tcBorders>
            <w:shd w:val="clear" w:color="auto" w:fill="auto"/>
            <w:tcMar>
              <w:top w:w="80" w:type="dxa"/>
              <w:left w:w="80" w:type="dxa"/>
              <w:bottom w:w="80" w:type="dxa"/>
              <w:right w:w="80" w:type="dxa"/>
            </w:tcMar>
          </w:tcPr>
          <w:p w14:paraId="43363DC9" w14:textId="77777777" w:rsidR="00E73C9D" w:rsidRPr="00AA6C8A" w:rsidRDefault="00C57731">
            <w:pPr>
              <w:pStyle w:val="Body"/>
              <w:spacing w:after="0" w:line="240" w:lineRule="auto"/>
              <w:rPr>
                <w:rFonts w:cs="Arial"/>
                <w:sz w:val="20"/>
                <w:szCs w:val="20"/>
              </w:rPr>
            </w:pPr>
            <w:r w:rsidRPr="00AA6C8A">
              <w:rPr>
                <w:rFonts w:cs="Arial"/>
                <w:sz w:val="20"/>
                <w:szCs w:val="20"/>
              </w:rPr>
              <w:t>17.3</w:t>
            </w:r>
          </w:p>
        </w:tc>
        <w:tc>
          <w:tcPr>
            <w:tcW w:w="1063" w:type="dxa"/>
            <w:tcBorders>
              <w:top w:val="nil"/>
              <w:left w:val="nil"/>
              <w:bottom w:val="nil"/>
              <w:right w:val="nil"/>
            </w:tcBorders>
            <w:shd w:val="clear" w:color="auto" w:fill="auto"/>
            <w:tcMar>
              <w:top w:w="80" w:type="dxa"/>
              <w:left w:w="80" w:type="dxa"/>
              <w:bottom w:w="80" w:type="dxa"/>
              <w:right w:w="80" w:type="dxa"/>
            </w:tcMar>
          </w:tcPr>
          <w:p w14:paraId="12ED2AEE" w14:textId="77777777" w:rsidR="00E73C9D" w:rsidRPr="00AA6C8A" w:rsidRDefault="00C57731">
            <w:pPr>
              <w:pStyle w:val="Body"/>
              <w:spacing w:after="0" w:line="240" w:lineRule="auto"/>
              <w:rPr>
                <w:rFonts w:cs="Arial"/>
                <w:sz w:val="20"/>
                <w:szCs w:val="20"/>
              </w:rPr>
            </w:pPr>
            <w:r w:rsidRPr="00AA6C8A">
              <w:rPr>
                <w:rFonts w:cs="Arial"/>
                <w:sz w:val="20"/>
                <w:szCs w:val="20"/>
              </w:rPr>
              <w:t>2377</w:t>
            </w:r>
          </w:p>
        </w:tc>
        <w:tc>
          <w:tcPr>
            <w:tcW w:w="815" w:type="dxa"/>
            <w:tcBorders>
              <w:top w:val="nil"/>
              <w:left w:val="nil"/>
              <w:bottom w:val="nil"/>
              <w:right w:val="nil"/>
            </w:tcBorders>
            <w:shd w:val="clear" w:color="auto" w:fill="auto"/>
            <w:tcMar>
              <w:top w:w="80" w:type="dxa"/>
              <w:left w:w="80" w:type="dxa"/>
              <w:bottom w:w="80" w:type="dxa"/>
              <w:right w:w="80" w:type="dxa"/>
            </w:tcMar>
          </w:tcPr>
          <w:p w14:paraId="2F9496F2" w14:textId="77777777" w:rsidR="00E73C9D" w:rsidRPr="00AA6C8A" w:rsidRDefault="00C57731">
            <w:pPr>
              <w:pStyle w:val="Body"/>
              <w:spacing w:after="0" w:line="240" w:lineRule="auto"/>
              <w:rPr>
                <w:rFonts w:cs="Arial"/>
                <w:sz w:val="20"/>
                <w:szCs w:val="20"/>
              </w:rPr>
            </w:pPr>
            <w:r w:rsidRPr="00AA6C8A">
              <w:rPr>
                <w:rFonts w:cs="Arial"/>
                <w:sz w:val="20"/>
                <w:szCs w:val="20"/>
              </w:rPr>
              <w:t>18.5</w:t>
            </w:r>
          </w:p>
        </w:tc>
      </w:tr>
      <w:tr w:rsidR="00E73C9D" w:rsidRPr="00AA6C8A" w14:paraId="5DC424B0"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3EA8AD6F" w14:textId="77777777" w:rsidR="00E73C9D" w:rsidRPr="00AA6C8A" w:rsidRDefault="00C57731">
            <w:pPr>
              <w:pStyle w:val="Body"/>
              <w:spacing w:after="0" w:line="240" w:lineRule="auto"/>
              <w:rPr>
                <w:rFonts w:cs="Arial"/>
                <w:sz w:val="20"/>
                <w:szCs w:val="20"/>
              </w:rPr>
            </w:pPr>
            <w:r w:rsidRPr="00AA6C8A">
              <w:rPr>
                <w:rFonts w:cs="Arial"/>
                <w:sz w:val="20"/>
                <w:szCs w:val="20"/>
              </w:rPr>
              <w:t>SIMD 2</w:t>
            </w:r>
          </w:p>
        </w:tc>
        <w:tc>
          <w:tcPr>
            <w:tcW w:w="999" w:type="dxa"/>
            <w:tcBorders>
              <w:top w:val="nil"/>
              <w:left w:val="nil"/>
              <w:bottom w:val="nil"/>
              <w:right w:val="nil"/>
            </w:tcBorders>
            <w:shd w:val="clear" w:color="auto" w:fill="auto"/>
            <w:tcMar>
              <w:top w:w="80" w:type="dxa"/>
              <w:left w:w="80" w:type="dxa"/>
              <w:bottom w:w="80" w:type="dxa"/>
              <w:right w:w="80" w:type="dxa"/>
            </w:tcMar>
          </w:tcPr>
          <w:p w14:paraId="68124307" w14:textId="77777777" w:rsidR="00E73C9D" w:rsidRPr="00AA6C8A" w:rsidRDefault="00C57731">
            <w:pPr>
              <w:pStyle w:val="Body"/>
              <w:spacing w:after="0" w:line="240" w:lineRule="auto"/>
              <w:rPr>
                <w:rFonts w:cs="Arial"/>
                <w:sz w:val="20"/>
                <w:szCs w:val="20"/>
              </w:rPr>
            </w:pPr>
            <w:r w:rsidRPr="00AA6C8A">
              <w:rPr>
                <w:rFonts w:cs="Arial"/>
                <w:sz w:val="20"/>
                <w:szCs w:val="20"/>
              </w:rPr>
              <w:t>7823</w:t>
            </w:r>
          </w:p>
        </w:tc>
        <w:tc>
          <w:tcPr>
            <w:tcW w:w="767" w:type="dxa"/>
            <w:tcBorders>
              <w:top w:val="nil"/>
              <w:left w:val="nil"/>
              <w:bottom w:val="nil"/>
              <w:right w:val="nil"/>
            </w:tcBorders>
            <w:shd w:val="clear" w:color="auto" w:fill="auto"/>
            <w:tcMar>
              <w:top w:w="80" w:type="dxa"/>
              <w:left w:w="80" w:type="dxa"/>
              <w:bottom w:w="80" w:type="dxa"/>
              <w:right w:w="80" w:type="dxa"/>
            </w:tcMar>
          </w:tcPr>
          <w:p w14:paraId="1FA25D3B" w14:textId="77777777" w:rsidR="00E73C9D" w:rsidRPr="00AA6C8A" w:rsidRDefault="00C57731">
            <w:pPr>
              <w:pStyle w:val="Body"/>
              <w:spacing w:after="0" w:line="240" w:lineRule="auto"/>
              <w:rPr>
                <w:rFonts w:cs="Arial"/>
                <w:sz w:val="20"/>
                <w:szCs w:val="20"/>
              </w:rPr>
            </w:pPr>
            <w:r w:rsidRPr="00AA6C8A">
              <w:rPr>
                <w:rFonts w:cs="Arial"/>
                <w:sz w:val="20"/>
                <w:szCs w:val="20"/>
              </w:rPr>
              <w:t>19.7</w:t>
            </w:r>
          </w:p>
        </w:tc>
        <w:tc>
          <w:tcPr>
            <w:tcW w:w="1063" w:type="dxa"/>
            <w:tcBorders>
              <w:top w:val="nil"/>
              <w:left w:val="nil"/>
              <w:bottom w:val="nil"/>
              <w:right w:val="nil"/>
            </w:tcBorders>
            <w:shd w:val="clear" w:color="auto" w:fill="auto"/>
            <w:tcMar>
              <w:top w:w="80" w:type="dxa"/>
              <w:left w:w="80" w:type="dxa"/>
              <w:bottom w:w="80" w:type="dxa"/>
              <w:right w:w="80" w:type="dxa"/>
            </w:tcMar>
          </w:tcPr>
          <w:p w14:paraId="32DF5350" w14:textId="77777777" w:rsidR="00E73C9D" w:rsidRPr="00AA6C8A" w:rsidRDefault="00C57731">
            <w:pPr>
              <w:pStyle w:val="Body"/>
              <w:spacing w:after="0" w:line="240" w:lineRule="auto"/>
              <w:rPr>
                <w:rFonts w:cs="Arial"/>
                <w:sz w:val="20"/>
                <w:szCs w:val="20"/>
              </w:rPr>
            </w:pPr>
            <w:r w:rsidRPr="00AA6C8A">
              <w:rPr>
                <w:rFonts w:cs="Arial"/>
                <w:sz w:val="20"/>
                <w:szCs w:val="20"/>
              </w:rPr>
              <w:t>2480</w:t>
            </w:r>
          </w:p>
        </w:tc>
        <w:tc>
          <w:tcPr>
            <w:tcW w:w="815" w:type="dxa"/>
            <w:tcBorders>
              <w:top w:val="nil"/>
              <w:left w:val="nil"/>
              <w:bottom w:val="nil"/>
              <w:right w:val="nil"/>
            </w:tcBorders>
            <w:shd w:val="clear" w:color="auto" w:fill="auto"/>
            <w:tcMar>
              <w:top w:w="80" w:type="dxa"/>
              <w:left w:w="80" w:type="dxa"/>
              <w:bottom w:w="80" w:type="dxa"/>
              <w:right w:w="80" w:type="dxa"/>
            </w:tcMar>
          </w:tcPr>
          <w:p w14:paraId="3C8BE45A" w14:textId="77777777" w:rsidR="00E73C9D" w:rsidRPr="00AA6C8A" w:rsidRDefault="00C57731">
            <w:pPr>
              <w:pStyle w:val="Body"/>
              <w:spacing w:after="0" w:line="240" w:lineRule="auto"/>
              <w:rPr>
                <w:rFonts w:cs="Arial"/>
                <w:sz w:val="20"/>
                <w:szCs w:val="20"/>
              </w:rPr>
            </w:pPr>
            <w:r w:rsidRPr="00AA6C8A">
              <w:rPr>
                <w:rFonts w:cs="Arial"/>
                <w:sz w:val="20"/>
                <w:szCs w:val="20"/>
              </w:rPr>
              <w:t>19.3</w:t>
            </w:r>
          </w:p>
        </w:tc>
      </w:tr>
      <w:tr w:rsidR="00E73C9D" w:rsidRPr="00AA6C8A" w14:paraId="7B64F393"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48C06587" w14:textId="77777777" w:rsidR="00E73C9D" w:rsidRPr="00AA6C8A" w:rsidRDefault="00C57731">
            <w:pPr>
              <w:pStyle w:val="Body"/>
              <w:spacing w:after="0" w:line="240" w:lineRule="auto"/>
              <w:rPr>
                <w:rFonts w:cs="Arial"/>
                <w:sz w:val="20"/>
                <w:szCs w:val="20"/>
              </w:rPr>
            </w:pPr>
            <w:r w:rsidRPr="00AA6C8A">
              <w:rPr>
                <w:rFonts w:cs="Arial"/>
                <w:sz w:val="20"/>
                <w:szCs w:val="20"/>
              </w:rPr>
              <w:t>SIMD 3</w:t>
            </w:r>
          </w:p>
        </w:tc>
        <w:tc>
          <w:tcPr>
            <w:tcW w:w="999" w:type="dxa"/>
            <w:tcBorders>
              <w:top w:val="nil"/>
              <w:left w:val="nil"/>
              <w:bottom w:val="nil"/>
              <w:right w:val="nil"/>
            </w:tcBorders>
            <w:shd w:val="clear" w:color="auto" w:fill="auto"/>
            <w:tcMar>
              <w:top w:w="80" w:type="dxa"/>
              <w:left w:w="80" w:type="dxa"/>
              <w:bottom w:w="80" w:type="dxa"/>
              <w:right w:w="80" w:type="dxa"/>
            </w:tcMar>
          </w:tcPr>
          <w:p w14:paraId="1803D3F9" w14:textId="77777777" w:rsidR="00E73C9D" w:rsidRPr="00AA6C8A" w:rsidRDefault="00C57731">
            <w:pPr>
              <w:pStyle w:val="Body"/>
              <w:spacing w:after="0" w:line="240" w:lineRule="auto"/>
              <w:rPr>
                <w:rFonts w:cs="Arial"/>
                <w:sz w:val="20"/>
                <w:szCs w:val="20"/>
              </w:rPr>
            </w:pPr>
            <w:r w:rsidRPr="00AA6C8A">
              <w:rPr>
                <w:rFonts w:cs="Arial"/>
                <w:sz w:val="20"/>
                <w:szCs w:val="20"/>
              </w:rPr>
              <w:t>8478</w:t>
            </w:r>
          </w:p>
        </w:tc>
        <w:tc>
          <w:tcPr>
            <w:tcW w:w="767" w:type="dxa"/>
            <w:tcBorders>
              <w:top w:val="nil"/>
              <w:left w:val="nil"/>
              <w:bottom w:val="nil"/>
              <w:right w:val="nil"/>
            </w:tcBorders>
            <w:shd w:val="clear" w:color="auto" w:fill="auto"/>
            <w:tcMar>
              <w:top w:w="80" w:type="dxa"/>
              <w:left w:w="80" w:type="dxa"/>
              <w:bottom w:w="80" w:type="dxa"/>
              <w:right w:w="80" w:type="dxa"/>
            </w:tcMar>
          </w:tcPr>
          <w:p w14:paraId="65E7A875" w14:textId="77777777" w:rsidR="00E73C9D" w:rsidRPr="00AA6C8A" w:rsidRDefault="00C57731">
            <w:pPr>
              <w:pStyle w:val="Body"/>
              <w:spacing w:after="0" w:line="240" w:lineRule="auto"/>
              <w:rPr>
                <w:rFonts w:cs="Arial"/>
                <w:sz w:val="20"/>
                <w:szCs w:val="20"/>
              </w:rPr>
            </w:pPr>
            <w:r w:rsidRPr="00AA6C8A">
              <w:rPr>
                <w:rFonts w:cs="Arial"/>
                <w:sz w:val="20"/>
                <w:szCs w:val="20"/>
              </w:rPr>
              <w:t>21.3</w:t>
            </w:r>
          </w:p>
        </w:tc>
        <w:tc>
          <w:tcPr>
            <w:tcW w:w="1063" w:type="dxa"/>
            <w:tcBorders>
              <w:top w:val="nil"/>
              <w:left w:val="nil"/>
              <w:bottom w:val="nil"/>
              <w:right w:val="nil"/>
            </w:tcBorders>
            <w:shd w:val="clear" w:color="auto" w:fill="auto"/>
            <w:tcMar>
              <w:top w:w="80" w:type="dxa"/>
              <w:left w:w="80" w:type="dxa"/>
              <w:bottom w:w="80" w:type="dxa"/>
              <w:right w:w="80" w:type="dxa"/>
            </w:tcMar>
          </w:tcPr>
          <w:p w14:paraId="033688C5" w14:textId="77777777" w:rsidR="00E73C9D" w:rsidRPr="00AA6C8A" w:rsidRDefault="00C57731">
            <w:pPr>
              <w:pStyle w:val="Body"/>
              <w:spacing w:after="0" w:line="240" w:lineRule="auto"/>
              <w:rPr>
                <w:rFonts w:cs="Arial"/>
                <w:sz w:val="20"/>
                <w:szCs w:val="20"/>
              </w:rPr>
            </w:pPr>
            <w:r w:rsidRPr="00AA6C8A">
              <w:rPr>
                <w:rFonts w:cs="Arial"/>
                <w:sz w:val="20"/>
                <w:szCs w:val="20"/>
              </w:rPr>
              <w:t>2705</w:t>
            </w:r>
          </w:p>
        </w:tc>
        <w:tc>
          <w:tcPr>
            <w:tcW w:w="815" w:type="dxa"/>
            <w:tcBorders>
              <w:top w:val="nil"/>
              <w:left w:val="nil"/>
              <w:bottom w:val="nil"/>
              <w:right w:val="nil"/>
            </w:tcBorders>
            <w:shd w:val="clear" w:color="auto" w:fill="auto"/>
            <w:tcMar>
              <w:top w:w="80" w:type="dxa"/>
              <w:left w:w="80" w:type="dxa"/>
              <w:bottom w:w="80" w:type="dxa"/>
              <w:right w:w="80" w:type="dxa"/>
            </w:tcMar>
          </w:tcPr>
          <w:p w14:paraId="5E298F22" w14:textId="77777777" w:rsidR="00E73C9D" w:rsidRPr="00AA6C8A" w:rsidRDefault="00C57731">
            <w:pPr>
              <w:pStyle w:val="Body"/>
              <w:spacing w:after="0" w:line="240" w:lineRule="auto"/>
              <w:rPr>
                <w:rFonts w:cs="Arial"/>
                <w:sz w:val="20"/>
                <w:szCs w:val="20"/>
              </w:rPr>
            </w:pPr>
            <w:r w:rsidRPr="00AA6C8A">
              <w:rPr>
                <w:rFonts w:cs="Arial"/>
                <w:sz w:val="20"/>
                <w:szCs w:val="20"/>
              </w:rPr>
              <w:t>21</w:t>
            </w:r>
          </w:p>
        </w:tc>
      </w:tr>
      <w:tr w:rsidR="00E73C9D" w:rsidRPr="00AA6C8A" w14:paraId="7D79BB88"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6AE158A5" w14:textId="77777777" w:rsidR="00E73C9D" w:rsidRPr="00AA6C8A" w:rsidRDefault="00C57731">
            <w:pPr>
              <w:pStyle w:val="Body"/>
              <w:spacing w:after="0" w:line="240" w:lineRule="auto"/>
              <w:rPr>
                <w:rFonts w:cs="Arial"/>
                <w:sz w:val="20"/>
                <w:szCs w:val="20"/>
              </w:rPr>
            </w:pPr>
            <w:r w:rsidRPr="00AA6C8A">
              <w:rPr>
                <w:rFonts w:cs="Arial"/>
                <w:sz w:val="20"/>
                <w:szCs w:val="20"/>
              </w:rPr>
              <w:t>SIMD 4</w:t>
            </w:r>
          </w:p>
        </w:tc>
        <w:tc>
          <w:tcPr>
            <w:tcW w:w="999" w:type="dxa"/>
            <w:tcBorders>
              <w:top w:val="nil"/>
              <w:left w:val="nil"/>
              <w:bottom w:val="nil"/>
              <w:right w:val="nil"/>
            </w:tcBorders>
            <w:shd w:val="clear" w:color="auto" w:fill="auto"/>
            <w:tcMar>
              <w:top w:w="80" w:type="dxa"/>
              <w:left w:w="80" w:type="dxa"/>
              <w:bottom w:w="80" w:type="dxa"/>
              <w:right w:w="80" w:type="dxa"/>
            </w:tcMar>
          </w:tcPr>
          <w:p w14:paraId="621290B9" w14:textId="77777777" w:rsidR="00E73C9D" w:rsidRPr="00AA6C8A" w:rsidRDefault="00C57731">
            <w:pPr>
              <w:pStyle w:val="Body"/>
              <w:spacing w:after="0" w:line="240" w:lineRule="auto"/>
              <w:rPr>
                <w:rFonts w:cs="Arial"/>
                <w:sz w:val="20"/>
                <w:szCs w:val="20"/>
              </w:rPr>
            </w:pPr>
            <w:r w:rsidRPr="00AA6C8A">
              <w:rPr>
                <w:rFonts w:cs="Arial"/>
                <w:sz w:val="20"/>
                <w:szCs w:val="20"/>
              </w:rPr>
              <w:t>8300</w:t>
            </w:r>
          </w:p>
        </w:tc>
        <w:tc>
          <w:tcPr>
            <w:tcW w:w="767" w:type="dxa"/>
            <w:tcBorders>
              <w:top w:val="nil"/>
              <w:left w:val="nil"/>
              <w:bottom w:val="nil"/>
              <w:right w:val="nil"/>
            </w:tcBorders>
            <w:shd w:val="clear" w:color="auto" w:fill="auto"/>
            <w:tcMar>
              <w:top w:w="80" w:type="dxa"/>
              <w:left w:w="80" w:type="dxa"/>
              <w:bottom w:w="80" w:type="dxa"/>
              <w:right w:w="80" w:type="dxa"/>
            </w:tcMar>
          </w:tcPr>
          <w:p w14:paraId="7D4700DD" w14:textId="77777777" w:rsidR="00E73C9D" w:rsidRPr="00AA6C8A" w:rsidRDefault="00C57731">
            <w:pPr>
              <w:pStyle w:val="Body"/>
              <w:spacing w:after="0" w:line="240" w:lineRule="auto"/>
              <w:rPr>
                <w:rFonts w:cs="Arial"/>
                <w:sz w:val="20"/>
                <w:szCs w:val="20"/>
              </w:rPr>
            </w:pPr>
            <w:r w:rsidRPr="00AA6C8A">
              <w:rPr>
                <w:rFonts w:cs="Arial"/>
                <w:sz w:val="20"/>
                <w:szCs w:val="20"/>
              </w:rPr>
              <w:t>20.9</w:t>
            </w:r>
          </w:p>
        </w:tc>
        <w:tc>
          <w:tcPr>
            <w:tcW w:w="1063" w:type="dxa"/>
            <w:tcBorders>
              <w:top w:val="nil"/>
              <w:left w:val="nil"/>
              <w:bottom w:val="nil"/>
              <w:right w:val="nil"/>
            </w:tcBorders>
            <w:shd w:val="clear" w:color="auto" w:fill="auto"/>
            <w:tcMar>
              <w:top w:w="80" w:type="dxa"/>
              <w:left w:w="80" w:type="dxa"/>
              <w:bottom w:w="80" w:type="dxa"/>
              <w:right w:w="80" w:type="dxa"/>
            </w:tcMar>
          </w:tcPr>
          <w:p w14:paraId="27F92190" w14:textId="77777777" w:rsidR="00E73C9D" w:rsidRPr="00AA6C8A" w:rsidRDefault="00C57731">
            <w:pPr>
              <w:pStyle w:val="Body"/>
              <w:spacing w:after="0" w:line="240" w:lineRule="auto"/>
              <w:rPr>
                <w:rFonts w:cs="Arial"/>
                <w:sz w:val="20"/>
                <w:szCs w:val="20"/>
              </w:rPr>
            </w:pPr>
            <w:r w:rsidRPr="00AA6C8A">
              <w:rPr>
                <w:rFonts w:cs="Arial"/>
                <w:sz w:val="20"/>
                <w:szCs w:val="20"/>
              </w:rPr>
              <w:t>2719</w:t>
            </w:r>
          </w:p>
        </w:tc>
        <w:tc>
          <w:tcPr>
            <w:tcW w:w="815" w:type="dxa"/>
            <w:tcBorders>
              <w:top w:val="nil"/>
              <w:left w:val="nil"/>
              <w:bottom w:val="nil"/>
              <w:right w:val="nil"/>
            </w:tcBorders>
            <w:shd w:val="clear" w:color="auto" w:fill="auto"/>
            <w:tcMar>
              <w:top w:w="80" w:type="dxa"/>
              <w:left w:w="80" w:type="dxa"/>
              <w:bottom w:w="80" w:type="dxa"/>
              <w:right w:w="80" w:type="dxa"/>
            </w:tcMar>
          </w:tcPr>
          <w:p w14:paraId="1B894DC8" w14:textId="77777777" w:rsidR="00E73C9D" w:rsidRPr="00AA6C8A" w:rsidRDefault="00C57731">
            <w:pPr>
              <w:pStyle w:val="Body"/>
              <w:spacing w:after="0" w:line="240" w:lineRule="auto"/>
              <w:rPr>
                <w:rFonts w:cs="Arial"/>
                <w:sz w:val="20"/>
                <w:szCs w:val="20"/>
              </w:rPr>
            </w:pPr>
            <w:r w:rsidRPr="00AA6C8A">
              <w:rPr>
                <w:rFonts w:cs="Arial"/>
                <w:sz w:val="20"/>
                <w:szCs w:val="20"/>
              </w:rPr>
              <w:t>21.1</w:t>
            </w:r>
          </w:p>
        </w:tc>
      </w:tr>
      <w:tr w:rsidR="00E73C9D" w:rsidRPr="00AA6C8A" w14:paraId="6D670E1D"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421C545B" w14:textId="5C156B85" w:rsidR="00E73C9D" w:rsidRPr="00AA6C8A" w:rsidRDefault="00C57731">
            <w:pPr>
              <w:pStyle w:val="Body"/>
              <w:spacing w:after="0" w:line="240" w:lineRule="auto"/>
              <w:rPr>
                <w:rFonts w:cs="Arial"/>
                <w:sz w:val="20"/>
                <w:szCs w:val="20"/>
              </w:rPr>
            </w:pPr>
            <w:r w:rsidRPr="00AA6C8A">
              <w:rPr>
                <w:rFonts w:cs="Arial"/>
                <w:sz w:val="20"/>
                <w:szCs w:val="20"/>
              </w:rPr>
              <w:t>SIMD 5</w:t>
            </w:r>
            <w:r w:rsidR="00D528B2">
              <w:rPr>
                <w:rFonts w:cs="Arial"/>
                <w:sz w:val="20"/>
                <w:szCs w:val="20"/>
              </w:rPr>
              <w:t xml:space="preserve"> (least deprived)</w:t>
            </w:r>
          </w:p>
        </w:tc>
        <w:tc>
          <w:tcPr>
            <w:tcW w:w="999" w:type="dxa"/>
            <w:tcBorders>
              <w:top w:val="nil"/>
              <w:left w:val="nil"/>
              <w:bottom w:val="nil"/>
              <w:right w:val="nil"/>
            </w:tcBorders>
            <w:shd w:val="clear" w:color="auto" w:fill="auto"/>
            <w:tcMar>
              <w:top w:w="80" w:type="dxa"/>
              <w:left w:w="80" w:type="dxa"/>
              <w:bottom w:w="80" w:type="dxa"/>
              <w:right w:w="80" w:type="dxa"/>
            </w:tcMar>
          </w:tcPr>
          <w:p w14:paraId="53DCFBF4" w14:textId="77777777" w:rsidR="00E73C9D" w:rsidRPr="00AA6C8A" w:rsidRDefault="00C57731">
            <w:pPr>
              <w:pStyle w:val="Body"/>
              <w:spacing w:after="0" w:line="240" w:lineRule="auto"/>
              <w:rPr>
                <w:rFonts w:cs="Arial"/>
                <w:sz w:val="20"/>
                <w:szCs w:val="20"/>
              </w:rPr>
            </w:pPr>
            <w:r w:rsidRPr="00AA6C8A">
              <w:rPr>
                <w:rFonts w:cs="Arial"/>
                <w:sz w:val="20"/>
                <w:szCs w:val="20"/>
              </w:rPr>
              <w:t>8310</w:t>
            </w:r>
          </w:p>
        </w:tc>
        <w:tc>
          <w:tcPr>
            <w:tcW w:w="767" w:type="dxa"/>
            <w:tcBorders>
              <w:top w:val="nil"/>
              <w:left w:val="nil"/>
              <w:bottom w:val="nil"/>
              <w:right w:val="nil"/>
            </w:tcBorders>
            <w:shd w:val="clear" w:color="auto" w:fill="auto"/>
            <w:tcMar>
              <w:top w:w="80" w:type="dxa"/>
              <w:left w:w="80" w:type="dxa"/>
              <w:bottom w:w="80" w:type="dxa"/>
              <w:right w:w="80" w:type="dxa"/>
            </w:tcMar>
          </w:tcPr>
          <w:p w14:paraId="5FBA91C3" w14:textId="77777777" w:rsidR="00E73C9D" w:rsidRPr="00AA6C8A" w:rsidRDefault="00C57731">
            <w:pPr>
              <w:pStyle w:val="Body"/>
              <w:spacing w:after="0" w:line="240" w:lineRule="auto"/>
              <w:rPr>
                <w:rFonts w:cs="Arial"/>
                <w:sz w:val="20"/>
                <w:szCs w:val="20"/>
              </w:rPr>
            </w:pPr>
            <w:r w:rsidRPr="00AA6C8A">
              <w:rPr>
                <w:rFonts w:cs="Arial"/>
                <w:sz w:val="20"/>
                <w:szCs w:val="20"/>
              </w:rPr>
              <w:t>20.9</w:t>
            </w:r>
          </w:p>
        </w:tc>
        <w:tc>
          <w:tcPr>
            <w:tcW w:w="1063" w:type="dxa"/>
            <w:tcBorders>
              <w:top w:val="nil"/>
              <w:left w:val="nil"/>
              <w:bottom w:val="nil"/>
              <w:right w:val="nil"/>
            </w:tcBorders>
            <w:shd w:val="clear" w:color="auto" w:fill="auto"/>
            <w:tcMar>
              <w:top w:w="80" w:type="dxa"/>
              <w:left w:w="80" w:type="dxa"/>
              <w:bottom w:w="80" w:type="dxa"/>
              <w:right w:w="80" w:type="dxa"/>
            </w:tcMar>
          </w:tcPr>
          <w:p w14:paraId="1376C2AE" w14:textId="77777777" w:rsidR="00E73C9D" w:rsidRPr="00AA6C8A" w:rsidRDefault="00C57731">
            <w:pPr>
              <w:pStyle w:val="Body"/>
              <w:spacing w:after="0" w:line="240" w:lineRule="auto"/>
              <w:rPr>
                <w:rFonts w:cs="Arial"/>
                <w:sz w:val="20"/>
                <w:szCs w:val="20"/>
              </w:rPr>
            </w:pPr>
            <w:r w:rsidRPr="00AA6C8A">
              <w:rPr>
                <w:rFonts w:cs="Arial"/>
                <w:sz w:val="20"/>
                <w:szCs w:val="20"/>
              </w:rPr>
              <w:t>2588</w:t>
            </w:r>
          </w:p>
        </w:tc>
        <w:tc>
          <w:tcPr>
            <w:tcW w:w="815" w:type="dxa"/>
            <w:tcBorders>
              <w:top w:val="nil"/>
              <w:left w:val="nil"/>
              <w:bottom w:val="nil"/>
              <w:right w:val="nil"/>
            </w:tcBorders>
            <w:shd w:val="clear" w:color="auto" w:fill="auto"/>
            <w:tcMar>
              <w:top w:w="80" w:type="dxa"/>
              <w:left w:w="80" w:type="dxa"/>
              <w:bottom w:w="80" w:type="dxa"/>
              <w:right w:w="80" w:type="dxa"/>
            </w:tcMar>
          </w:tcPr>
          <w:p w14:paraId="4E1742B6" w14:textId="77777777" w:rsidR="00E73C9D" w:rsidRPr="00AA6C8A" w:rsidRDefault="00C57731">
            <w:pPr>
              <w:pStyle w:val="Body"/>
              <w:spacing w:after="0" w:line="240" w:lineRule="auto"/>
              <w:rPr>
                <w:rFonts w:cs="Arial"/>
                <w:sz w:val="20"/>
                <w:szCs w:val="20"/>
              </w:rPr>
            </w:pPr>
            <w:r w:rsidRPr="00AA6C8A">
              <w:rPr>
                <w:rFonts w:cs="Arial"/>
                <w:sz w:val="20"/>
                <w:szCs w:val="20"/>
              </w:rPr>
              <w:t>20.1</w:t>
            </w:r>
          </w:p>
        </w:tc>
      </w:tr>
      <w:tr w:rsidR="00E73C9D" w:rsidRPr="00AA6C8A" w14:paraId="3E02DC8D"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2595721C" w14:textId="77970FF9" w:rsidR="00E73C9D" w:rsidRPr="00AA6C8A" w:rsidRDefault="00C57731">
            <w:pPr>
              <w:pStyle w:val="Body"/>
              <w:spacing w:after="0" w:line="240" w:lineRule="auto"/>
              <w:rPr>
                <w:rFonts w:cs="Arial"/>
                <w:sz w:val="20"/>
                <w:szCs w:val="20"/>
              </w:rPr>
            </w:pPr>
            <w:r w:rsidRPr="00AA6C8A">
              <w:rPr>
                <w:rFonts w:cs="Arial"/>
                <w:sz w:val="20"/>
                <w:szCs w:val="20"/>
              </w:rPr>
              <w:t>&lt;3% Chemo ben</w:t>
            </w:r>
            <w:r w:rsidR="002E7B43" w:rsidRPr="00AA6C8A">
              <w:rPr>
                <w:rFonts w:cs="Arial"/>
                <w:sz w:val="20"/>
                <w:szCs w:val="20"/>
              </w:rPr>
              <w:t>efit PREDICT</w:t>
            </w:r>
          </w:p>
        </w:tc>
        <w:tc>
          <w:tcPr>
            <w:tcW w:w="999" w:type="dxa"/>
            <w:tcBorders>
              <w:top w:val="nil"/>
              <w:left w:val="nil"/>
              <w:bottom w:val="nil"/>
              <w:right w:val="nil"/>
            </w:tcBorders>
            <w:shd w:val="clear" w:color="auto" w:fill="auto"/>
            <w:tcMar>
              <w:top w:w="80" w:type="dxa"/>
              <w:left w:w="80" w:type="dxa"/>
              <w:bottom w:w="80" w:type="dxa"/>
              <w:right w:w="80" w:type="dxa"/>
            </w:tcMar>
          </w:tcPr>
          <w:p w14:paraId="71477482" w14:textId="77777777" w:rsidR="00E73C9D" w:rsidRPr="00AA6C8A" w:rsidRDefault="00C57731">
            <w:pPr>
              <w:pStyle w:val="Body"/>
              <w:spacing w:after="0" w:line="240" w:lineRule="auto"/>
              <w:rPr>
                <w:rFonts w:cs="Arial"/>
                <w:sz w:val="20"/>
                <w:szCs w:val="20"/>
              </w:rPr>
            </w:pPr>
            <w:r w:rsidRPr="00AA6C8A">
              <w:rPr>
                <w:rFonts w:cs="Arial"/>
                <w:sz w:val="20"/>
                <w:szCs w:val="20"/>
              </w:rPr>
              <w:t>24475</w:t>
            </w:r>
          </w:p>
        </w:tc>
        <w:tc>
          <w:tcPr>
            <w:tcW w:w="767" w:type="dxa"/>
            <w:tcBorders>
              <w:top w:val="nil"/>
              <w:left w:val="nil"/>
              <w:bottom w:val="nil"/>
              <w:right w:val="nil"/>
            </w:tcBorders>
            <w:shd w:val="clear" w:color="auto" w:fill="auto"/>
            <w:tcMar>
              <w:top w:w="80" w:type="dxa"/>
              <w:left w:w="80" w:type="dxa"/>
              <w:bottom w:w="80" w:type="dxa"/>
              <w:right w:w="80" w:type="dxa"/>
            </w:tcMar>
          </w:tcPr>
          <w:p w14:paraId="5D4DA559" w14:textId="77777777" w:rsidR="00E73C9D" w:rsidRPr="00AA6C8A" w:rsidRDefault="00C57731">
            <w:pPr>
              <w:pStyle w:val="Body"/>
              <w:spacing w:after="0" w:line="240" w:lineRule="auto"/>
              <w:rPr>
                <w:rFonts w:cs="Arial"/>
                <w:sz w:val="20"/>
                <w:szCs w:val="20"/>
              </w:rPr>
            </w:pPr>
            <w:r w:rsidRPr="00AA6C8A">
              <w:rPr>
                <w:rFonts w:cs="Arial"/>
                <w:sz w:val="20"/>
                <w:szCs w:val="20"/>
              </w:rPr>
              <w:t>61.5</w:t>
            </w:r>
          </w:p>
        </w:tc>
        <w:tc>
          <w:tcPr>
            <w:tcW w:w="1063" w:type="dxa"/>
            <w:tcBorders>
              <w:top w:val="nil"/>
              <w:left w:val="nil"/>
              <w:bottom w:val="nil"/>
              <w:right w:val="nil"/>
            </w:tcBorders>
            <w:shd w:val="clear" w:color="auto" w:fill="auto"/>
            <w:tcMar>
              <w:top w:w="80" w:type="dxa"/>
              <w:left w:w="80" w:type="dxa"/>
              <w:bottom w:w="80" w:type="dxa"/>
              <w:right w:w="80" w:type="dxa"/>
            </w:tcMar>
          </w:tcPr>
          <w:p w14:paraId="06CD2692" w14:textId="77777777" w:rsidR="00E73C9D" w:rsidRPr="00AA6C8A" w:rsidRDefault="00C57731">
            <w:pPr>
              <w:pStyle w:val="Body"/>
              <w:spacing w:after="0" w:line="240" w:lineRule="auto"/>
              <w:rPr>
                <w:rFonts w:cs="Arial"/>
                <w:sz w:val="20"/>
                <w:szCs w:val="20"/>
              </w:rPr>
            </w:pPr>
            <w:r w:rsidRPr="00AA6C8A">
              <w:rPr>
                <w:rFonts w:cs="Arial"/>
                <w:sz w:val="20"/>
                <w:szCs w:val="20"/>
              </w:rPr>
              <w:t>3357</w:t>
            </w:r>
          </w:p>
        </w:tc>
        <w:tc>
          <w:tcPr>
            <w:tcW w:w="815" w:type="dxa"/>
            <w:tcBorders>
              <w:top w:val="nil"/>
              <w:left w:val="nil"/>
              <w:bottom w:val="nil"/>
              <w:right w:val="nil"/>
            </w:tcBorders>
            <w:shd w:val="clear" w:color="auto" w:fill="auto"/>
            <w:tcMar>
              <w:top w:w="80" w:type="dxa"/>
              <w:left w:w="80" w:type="dxa"/>
              <w:bottom w:w="80" w:type="dxa"/>
              <w:right w:w="80" w:type="dxa"/>
            </w:tcMar>
          </w:tcPr>
          <w:p w14:paraId="074D5D59" w14:textId="77777777" w:rsidR="00E73C9D" w:rsidRPr="00AA6C8A" w:rsidRDefault="00C57731">
            <w:pPr>
              <w:pStyle w:val="Body"/>
              <w:spacing w:after="0" w:line="240" w:lineRule="auto"/>
              <w:rPr>
                <w:rFonts w:cs="Arial"/>
                <w:sz w:val="20"/>
                <w:szCs w:val="20"/>
              </w:rPr>
            </w:pPr>
            <w:r w:rsidRPr="00AA6C8A">
              <w:rPr>
                <w:rFonts w:cs="Arial"/>
                <w:sz w:val="20"/>
                <w:szCs w:val="20"/>
              </w:rPr>
              <w:t>26.1</w:t>
            </w:r>
          </w:p>
        </w:tc>
      </w:tr>
      <w:tr w:rsidR="00E73C9D" w:rsidRPr="00AA6C8A" w14:paraId="5C033652"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0ED3D010" w14:textId="77777777" w:rsidR="00E73C9D" w:rsidRPr="00AA6C8A" w:rsidRDefault="00C57731">
            <w:pPr>
              <w:pStyle w:val="Body"/>
              <w:spacing w:after="0" w:line="240" w:lineRule="auto"/>
              <w:rPr>
                <w:rFonts w:cs="Arial"/>
                <w:sz w:val="20"/>
                <w:szCs w:val="20"/>
              </w:rPr>
            </w:pPr>
            <w:r w:rsidRPr="00AA6C8A">
              <w:rPr>
                <w:rFonts w:cs="Arial"/>
                <w:sz w:val="20"/>
                <w:szCs w:val="20"/>
              </w:rPr>
              <w:t>3-5%</w:t>
            </w:r>
          </w:p>
        </w:tc>
        <w:tc>
          <w:tcPr>
            <w:tcW w:w="999" w:type="dxa"/>
            <w:tcBorders>
              <w:top w:val="nil"/>
              <w:left w:val="nil"/>
              <w:bottom w:val="nil"/>
              <w:right w:val="nil"/>
            </w:tcBorders>
            <w:shd w:val="clear" w:color="auto" w:fill="auto"/>
            <w:tcMar>
              <w:top w:w="80" w:type="dxa"/>
              <w:left w:w="80" w:type="dxa"/>
              <w:bottom w:w="80" w:type="dxa"/>
              <w:right w:w="80" w:type="dxa"/>
            </w:tcMar>
          </w:tcPr>
          <w:p w14:paraId="6EE1AA2F" w14:textId="77777777" w:rsidR="00E73C9D" w:rsidRPr="00AA6C8A" w:rsidRDefault="00C57731">
            <w:pPr>
              <w:pStyle w:val="Body"/>
              <w:spacing w:after="0" w:line="240" w:lineRule="auto"/>
              <w:rPr>
                <w:rFonts w:cs="Arial"/>
                <w:sz w:val="20"/>
                <w:szCs w:val="20"/>
              </w:rPr>
            </w:pPr>
            <w:r w:rsidRPr="00AA6C8A">
              <w:rPr>
                <w:rFonts w:cs="Arial"/>
                <w:sz w:val="20"/>
                <w:szCs w:val="20"/>
              </w:rPr>
              <w:t>8382</w:t>
            </w:r>
          </w:p>
        </w:tc>
        <w:tc>
          <w:tcPr>
            <w:tcW w:w="767" w:type="dxa"/>
            <w:tcBorders>
              <w:top w:val="nil"/>
              <w:left w:val="nil"/>
              <w:bottom w:val="nil"/>
              <w:right w:val="nil"/>
            </w:tcBorders>
            <w:shd w:val="clear" w:color="auto" w:fill="auto"/>
            <w:tcMar>
              <w:top w:w="80" w:type="dxa"/>
              <w:left w:w="80" w:type="dxa"/>
              <w:bottom w:w="80" w:type="dxa"/>
              <w:right w:w="80" w:type="dxa"/>
            </w:tcMar>
          </w:tcPr>
          <w:p w14:paraId="624ACC00" w14:textId="77777777" w:rsidR="00E73C9D" w:rsidRPr="00AA6C8A" w:rsidRDefault="00C57731">
            <w:pPr>
              <w:pStyle w:val="Body"/>
              <w:spacing w:after="0" w:line="240" w:lineRule="auto"/>
              <w:rPr>
                <w:rFonts w:cs="Arial"/>
                <w:sz w:val="20"/>
                <w:szCs w:val="20"/>
              </w:rPr>
            </w:pPr>
            <w:r w:rsidRPr="00AA6C8A">
              <w:rPr>
                <w:rFonts w:cs="Arial"/>
                <w:sz w:val="20"/>
                <w:szCs w:val="20"/>
              </w:rPr>
              <w:t>21.1</w:t>
            </w:r>
          </w:p>
        </w:tc>
        <w:tc>
          <w:tcPr>
            <w:tcW w:w="1063" w:type="dxa"/>
            <w:tcBorders>
              <w:top w:val="nil"/>
              <w:left w:val="nil"/>
              <w:bottom w:val="nil"/>
              <w:right w:val="nil"/>
            </w:tcBorders>
            <w:shd w:val="clear" w:color="auto" w:fill="auto"/>
            <w:tcMar>
              <w:top w:w="80" w:type="dxa"/>
              <w:left w:w="80" w:type="dxa"/>
              <w:bottom w:w="80" w:type="dxa"/>
              <w:right w:w="80" w:type="dxa"/>
            </w:tcMar>
          </w:tcPr>
          <w:p w14:paraId="6A8110D0" w14:textId="77777777" w:rsidR="00E73C9D" w:rsidRPr="00AA6C8A" w:rsidRDefault="00C57731">
            <w:pPr>
              <w:pStyle w:val="Body"/>
              <w:spacing w:after="0" w:line="240" w:lineRule="auto"/>
              <w:rPr>
                <w:rFonts w:cs="Arial"/>
                <w:sz w:val="20"/>
                <w:szCs w:val="20"/>
              </w:rPr>
            </w:pPr>
            <w:r w:rsidRPr="00AA6C8A">
              <w:rPr>
                <w:rFonts w:cs="Arial"/>
                <w:sz w:val="20"/>
                <w:szCs w:val="20"/>
              </w:rPr>
              <w:t>4570</w:t>
            </w:r>
          </w:p>
        </w:tc>
        <w:tc>
          <w:tcPr>
            <w:tcW w:w="815" w:type="dxa"/>
            <w:tcBorders>
              <w:top w:val="nil"/>
              <w:left w:val="nil"/>
              <w:bottom w:val="nil"/>
              <w:right w:val="nil"/>
            </w:tcBorders>
            <w:shd w:val="clear" w:color="auto" w:fill="auto"/>
            <w:tcMar>
              <w:top w:w="80" w:type="dxa"/>
              <w:left w:w="80" w:type="dxa"/>
              <w:bottom w:w="80" w:type="dxa"/>
              <w:right w:w="80" w:type="dxa"/>
            </w:tcMar>
          </w:tcPr>
          <w:p w14:paraId="746EDC38" w14:textId="77777777" w:rsidR="00E73C9D" w:rsidRPr="00AA6C8A" w:rsidRDefault="00C57731">
            <w:pPr>
              <w:pStyle w:val="Body"/>
              <w:spacing w:after="0" w:line="240" w:lineRule="auto"/>
              <w:rPr>
                <w:rFonts w:cs="Arial"/>
                <w:sz w:val="20"/>
                <w:szCs w:val="20"/>
              </w:rPr>
            </w:pPr>
            <w:r w:rsidRPr="00AA6C8A">
              <w:rPr>
                <w:rFonts w:cs="Arial"/>
                <w:sz w:val="20"/>
                <w:szCs w:val="20"/>
              </w:rPr>
              <w:t>35.5</w:t>
            </w:r>
          </w:p>
        </w:tc>
      </w:tr>
      <w:tr w:rsidR="00E73C9D" w:rsidRPr="00AA6C8A" w14:paraId="02CC2F34"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0247C9E0" w14:textId="77777777" w:rsidR="00E73C9D" w:rsidRPr="00AA6C8A" w:rsidRDefault="00C57731">
            <w:pPr>
              <w:pStyle w:val="Body"/>
              <w:spacing w:after="0" w:line="240" w:lineRule="auto"/>
              <w:rPr>
                <w:rFonts w:cs="Arial"/>
                <w:sz w:val="20"/>
                <w:szCs w:val="20"/>
              </w:rPr>
            </w:pPr>
            <w:r w:rsidRPr="00AA6C8A">
              <w:rPr>
                <w:rFonts w:cs="Arial"/>
                <w:sz w:val="20"/>
                <w:szCs w:val="20"/>
              </w:rPr>
              <w:t>&gt;5%</w:t>
            </w:r>
          </w:p>
        </w:tc>
        <w:tc>
          <w:tcPr>
            <w:tcW w:w="999" w:type="dxa"/>
            <w:tcBorders>
              <w:top w:val="nil"/>
              <w:left w:val="nil"/>
              <w:bottom w:val="nil"/>
              <w:right w:val="nil"/>
            </w:tcBorders>
            <w:shd w:val="clear" w:color="auto" w:fill="auto"/>
            <w:tcMar>
              <w:top w:w="80" w:type="dxa"/>
              <w:left w:w="80" w:type="dxa"/>
              <w:bottom w:w="80" w:type="dxa"/>
              <w:right w:w="80" w:type="dxa"/>
            </w:tcMar>
          </w:tcPr>
          <w:p w14:paraId="171840F0" w14:textId="77777777" w:rsidR="00E73C9D" w:rsidRPr="00AA6C8A" w:rsidRDefault="00C57731">
            <w:pPr>
              <w:pStyle w:val="Body"/>
              <w:spacing w:after="0" w:line="240" w:lineRule="auto"/>
              <w:rPr>
                <w:rFonts w:cs="Arial"/>
                <w:sz w:val="20"/>
                <w:szCs w:val="20"/>
              </w:rPr>
            </w:pPr>
            <w:r w:rsidRPr="00AA6C8A">
              <w:rPr>
                <w:rFonts w:cs="Arial"/>
                <w:sz w:val="20"/>
                <w:szCs w:val="20"/>
              </w:rPr>
              <w:t>6948</w:t>
            </w:r>
          </w:p>
        </w:tc>
        <w:tc>
          <w:tcPr>
            <w:tcW w:w="767" w:type="dxa"/>
            <w:tcBorders>
              <w:top w:val="nil"/>
              <w:left w:val="nil"/>
              <w:bottom w:val="nil"/>
              <w:right w:val="nil"/>
            </w:tcBorders>
            <w:shd w:val="clear" w:color="auto" w:fill="auto"/>
            <w:tcMar>
              <w:top w:w="80" w:type="dxa"/>
              <w:left w:w="80" w:type="dxa"/>
              <w:bottom w:w="80" w:type="dxa"/>
              <w:right w:w="80" w:type="dxa"/>
            </w:tcMar>
          </w:tcPr>
          <w:p w14:paraId="187FF143" w14:textId="77777777" w:rsidR="00E73C9D" w:rsidRPr="00AA6C8A" w:rsidRDefault="00C57731">
            <w:pPr>
              <w:pStyle w:val="Body"/>
              <w:spacing w:after="0" w:line="240" w:lineRule="auto"/>
              <w:rPr>
                <w:rFonts w:cs="Arial"/>
                <w:sz w:val="20"/>
                <w:szCs w:val="20"/>
              </w:rPr>
            </w:pPr>
            <w:r w:rsidRPr="00AA6C8A">
              <w:rPr>
                <w:rFonts w:cs="Arial"/>
                <w:sz w:val="20"/>
                <w:szCs w:val="20"/>
              </w:rPr>
              <w:t>17.5</w:t>
            </w:r>
          </w:p>
        </w:tc>
        <w:tc>
          <w:tcPr>
            <w:tcW w:w="1063" w:type="dxa"/>
            <w:tcBorders>
              <w:top w:val="nil"/>
              <w:left w:val="nil"/>
              <w:bottom w:val="nil"/>
              <w:right w:val="nil"/>
            </w:tcBorders>
            <w:shd w:val="clear" w:color="auto" w:fill="auto"/>
            <w:tcMar>
              <w:top w:w="80" w:type="dxa"/>
              <w:left w:w="80" w:type="dxa"/>
              <w:bottom w:w="80" w:type="dxa"/>
              <w:right w:w="80" w:type="dxa"/>
            </w:tcMar>
          </w:tcPr>
          <w:p w14:paraId="7F57590C" w14:textId="77777777" w:rsidR="00E73C9D" w:rsidRPr="00AA6C8A" w:rsidRDefault="00C57731">
            <w:pPr>
              <w:pStyle w:val="Body"/>
              <w:spacing w:after="0" w:line="240" w:lineRule="auto"/>
              <w:rPr>
                <w:rFonts w:cs="Arial"/>
                <w:sz w:val="20"/>
                <w:szCs w:val="20"/>
              </w:rPr>
            </w:pPr>
            <w:r w:rsidRPr="00AA6C8A">
              <w:rPr>
                <w:rFonts w:cs="Arial"/>
                <w:sz w:val="20"/>
                <w:szCs w:val="20"/>
              </w:rPr>
              <w:t>4943</w:t>
            </w:r>
          </w:p>
        </w:tc>
        <w:tc>
          <w:tcPr>
            <w:tcW w:w="815" w:type="dxa"/>
            <w:tcBorders>
              <w:top w:val="nil"/>
              <w:left w:val="nil"/>
              <w:bottom w:val="nil"/>
              <w:right w:val="nil"/>
            </w:tcBorders>
            <w:shd w:val="clear" w:color="auto" w:fill="auto"/>
            <w:tcMar>
              <w:top w:w="80" w:type="dxa"/>
              <w:left w:w="80" w:type="dxa"/>
              <w:bottom w:w="80" w:type="dxa"/>
              <w:right w:w="80" w:type="dxa"/>
            </w:tcMar>
          </w:tcPr>
          <w:p w14:paraId="55002D06" w14:textId="77777777" w:rsidR="00E73C9D" w:rsidRPr="00AA6C8A" w:rsidRDefault="00C57731">
            <w:pPr>
              <w:pStyle w:val="Body"/>
              <w:spacing w:after="0" w:line="240" w:lineRule="auto"/>
              <w:rPr>
                <w:rFonts w:cs="Arial"/>
                <w:sz w:val="20"/>
                <w:szCs w:val="20"/>
              </w:rPr>
            </w:pPr>
            <w:r w:rsidRPr="00AA6C8A">
              <w:rPr>
                <w:rFonts w:cs="Arial"/>
                <w:sz w:val="20"/>
                <w:szCs w:val="20"/>
              </w:rPr>
              <w:t>38.4</w:t>
            </w:r>
          </w:p>
        </w:tc>
      </w:tr>
      <w:tr w:rsidR="00DA1FAA" w:rsidRPr="00AA6C8A" w14:paraId="1A84E6CD"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05F87EF1" w14:textId="77777777" w:rsidR="00DA1FAA" w:rsidRPr="00AA6C8A" w:rsidRDefault="00DA1FAA">
            <w:pPr>
              <w:pStyle w:val="Body"/>
              <w:spacing w:after="0" w:line="240" w:lineRule="auto"/>
              <w:rPr>
                <w:rFonts w:cs="Arial"/>
                <w:sz w:val="20"/>
                <w:szCs w:val="20"/>
              </w:rPr>
            </w:pPr>
          </w:p>
        </w:tc>
        <w:tc>
          <w:tcPr>
            <w:tcW w:w="999" w:type="dxa"/>
            <w:tcBorders>
              <w:top w:val="nil"/>
              <w:left w:val="nil"/>
              <w:bottom w:val="nil"/>
              <w:right w:val="nil"/>
            </w:tcBorders>
            <w:shd w:val="clear" w:color="auto" w:fill="auto"/>
            <w:tcMar>
              <w:top w:w="80" w:type="dxa"/>
              <w:left w:w="80" w:type="dxa"/>
              <w:bottom w:w="80" w:type="dxa"/>
              <w:right w:w="80" w:type="dxa"/>
            </w:tcMar>
          </w:tcPr>
          <w:p w14:paraId="292AA03F" w14:textId="1DC15971" w:rsidR="00DA1FAA" w:rsidRPr="00AA6C8A" w:rsidRDefault="00DA1FAA">
            <w:pPr>
              <w:pStyle w:val="Body"/>
              <w:spacing w:after="0" w:line="240" w:lineRule="auto"/>
              <w:rPr>
                <w:rFonts w:cs="Arial"/>
                <w:sz w:val="20"/>
                <w:szCs w:val="20"/>
              </w:rPr>
            </w:pPr>
            <w:r w:rsidRPr="00AA6C8A">
              <w:rPr>
                <w:rFonts w:cs="Arial"/>
                <w:sz w:val="20"/>
                <w:szCs w:val="20"/>
              </w:rPr>
              <w:t>Mean</w:t>
            </w:r>
          </w:p>
        </w:tc>
        <w:tc>
          <w:tcPr>
            <w:tcW w:w="767" w:type="dxa"/>
            <w:tcBorders>
              <w:top w:val="nil"/>
              <w:left w:val="nil"/>
              <w:bottom w:val="nil"/>
              <w:right w:val="nil"/>
            </w:tcBorders>
            <w:shd w:val="clear" w:color="auto" w:fill="auto"/>
            <w:tcMar>
              <w:top w:w="80" w:type="dxa"/>
              <w:left w:w="80" w:type="dxa"/>
              <w:bottom w:w="80" w:type="dxa"/>
              <w:right w:w="80" w:type="dxa"/>
            </w:tcMar>
          </w:tcPr>
          <w:p w14:paraId="6352494E" w14:textId="1C7429B8" w:rsidR="00DA1FAA" w:rsidRPr="00AA6C8A" w:rsidRDefault="00DA1FAA">
            <w:pPr>
              <w:pStyle w:val="Body"/>
              <w:spacing w:after="0" w:line="240" w:lineRule="auto"/>
              <w:rPr>
                <w:rFonts w:cs="Arial"/>
                <w:sz w:val="20"/>
                <w:szCs w:val="20"/>
              </w:rPr>
            </w:pPr>
            <w:r w:rsidRPr="00AA6C8A">
              <w:rPr>
                <w:rFonts w:cs="Arial"/>
                <w:sz w:val="20"/>
                <w:szCs w:val="20"/>
              </w:rPr>
              <w:t>s.d.</w:t>
            </w:r>
          </w:p>
        </w:tc>
        <w:tc>
          <w:tcPr>
            <w:tcW w:w="1063" w:type="dxa"/>
            <w:tcBorders>
              <w:top w:val="nil"/>
              <w:left w:val="nil"/>
              <w:bottom w:val="nil"/>
              <w:right w:val="nil"/>
            </w:tcBorders>
            <w:shd w:val="clear" w:color="auto" w:fill="auto"/>
            <w:tcMar>
              <w:top w:w="80" w:type="dxa"/>
              <w:left w:w="80" w:type="dxa"/>
              <w:bottom w:w="80" w:type="dxa"/>
              <w:right w:w="80" w:type="dxa"/>
            </w:tcMar>
          </w:tcPr>
          <w:p w14:paraId="66D32CEB" w14:textId="232FF207" w:rsidR="00DA1FAA" w:rsidRPr="00AA6C8A" w:rsidRDefault="00DA1FAA">
            <w:pPr>
              <w:pStyle w:val="Body"/>
              <w:spacing w:after="0" w:line="240" w:lineRule="auto"/>
              <w:rPr>
                <w:rFonts w:cs="Arial"/>
                <w:sz w:val="20"/>
                <w:szCs w:val="20"/>
              </w:rPr>
            </w:pPr>
            <w:r w:rsidRPr="00AA6C8A">
              <w:rPr>
                <w:rFonts w:cs="Arial"/>
                <w:sz w:val="20"/>
                <w:szCs w:val="20"/>
              </w:rPr>
              <w:t>Mean</w:t>
            </w:r>
          </w:p>
        </w:tc>
        <w:tc>
          <w:tcPr>
            <w:tcW w:w="815" w:type="dxa"/>
            <w:tcBorders>
              <w:top w:val="nil"/>
              <w:left w:val="nil"/>
              <w:bottom w:val="nil"/>
              <w:right w:val="nil"/>
            </w:tcBorders>
            <w:shd w:val="clear" w:color="auto" w:fill="auto"/>
            <w:tcMar>
              <w:top w:w="80" w:type="dxa"/>
              <w:left w:w="80" w:type="dxa"/>
              <w:bottom w:w="80" w:type="dxa"/>
              <w:right w:w="80" w:type="dxa"/>
            </w:tcMar>
          </w:tcPr>
          <w:p w14:paraId="4E6F2FAD" w14:textId="396DBD42" w:rsidR="00DA1FAA" w:rsidRPr="00AA6C8A" w:rsidRDefault="00DA1FAA">
            <w:pPr>
              <w:pStyle w:val="Body"/>
              <w:spacing w:after="0" w:line="240" w:lineRule="auto"/>
              <w:rPr>
                <w:rFonts w:cs="Arial"/>
                <w:sz w:val="20"/>
                <w:szCs w:val="20"/>
              </w:rPr>
            </w:pPr>
            <w:r w:rsidRPr="00AA6C8A">
              <w:rPr>
                <w:rFonts w:cs="Arial"/>
                <w:sz w:val="20"/>
                <w:szCs w:val="20"/>
              </w:rPr>
              <w:t>s.d.</w:t>
            </w:r>
          </w:p>
        </w:tc>
      </w:tr>
      <w:tr w:rsidR="00E73C9D" w:rsidRPr="00AA6C8A" w14:paraId="74776698"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6E3B8035" w14:textId="6D87F685" w:rsidR="00E73C9D" w:rsidRPr="00AA6C8A" w:rsidRDefault="00C57731">
            <w:pPr>
              <w:pStyle w:val="Body"/>
              <w:spacing w:after="0" w:line="240" w:lineRule="auto"/>
              <w:rPr>
                <w:rFonts w:cs="Arial"/>
                <w:sz w:val="20"/>
                <w:szCs w:val="20"/>
              </w:rPr>
            </w:pPr>
            <w:r w:rsidRPr="00AA6C8A">
              <w:rPr>
                <w:rFonts w:cs="Arial"/>
                <w:sz w:val="20"/>
                <w:szCs w:val="20"/>
              </w:rPr>
              <w:t xml:space="preserve">Age </w:t>
            </w:r>
          </w:p>
        </w:tc>
        <w:tc>
          <w:tcPr>
            <w:tcW w:w="999" w:type="dxa"/>
            <w:tcBorders>
              <w:top w:val="nil"/>
              <w:left w:val="nil"/>
              <w:bottom w:val="nil"/>
              <w:right w:val="nil"/>
            </w:tcBorders>
            <w:shd w:val="clear" w:color="auto" w:fill="auto"/>
            <w:tcMar>
              <w:top w:w="80" w:type="dxa"/>
              <w:left w:w="80" w:type="dxa"/>
              <w:bottom w:w="80" w:type="dxa"/>
              <w:right w:w="80" w:type="dxa"/>
            </w:tcMar>
          </w:tcPr>
          <w:p w14:paraId="7BB2526F" w14:textId="77777777" w:rsidR="00E73C9D" w:rsidRPr="00AA6C8A" w:rsidRDefault="00C57731">
            <w:pPr>
              <w:pStyle w:val="Body"/>
              <w:spacing w:after="0" w:line="240" w:lineRule="auto"/>
              <w:rPr>
                <w:rFonts w:cs="Arial"/>
                <w:sz w:val="20"/>
                <w:szCs w:val="20"/>
              </w:rPr>
            </w:pPr>
            <w:r w:rsidRPr="00AA6C8A">
              <w:rPr>
                <w:rFonts w:cs="Arial"/>
                <w:sz w:val="20"/>
                <w:szCs w:val="20"/>
              </w:rPr>
              <w:t>60.72</w:t>
            </w:r>
          </w:p>
        </w:tc>
        <w:tc>
          <w:tcPr>
            <w:tcW w:w="767" w:type="dxa"/>
            <w:tcBorders>
              <w:top w:val="nil"/>
              <w:left w:val="nil"/>
              <w:bottom w:val="nil"/>
              <w:right w:val="nil"/>
            </w:tcBorders>
            <w:shd w:val="clear" w:color="auto" w:fill="auto"/>
            <w:tcMar>
              <w:top w:w="80" w:type="dxa"/>
              <w:left w:w="80" w:type="dxa"/>
              <w:bottom w:w="80" w:type="dxa"/>
              <w:right w:w="80" w:type="dxa"/>
            </w:tcMar>
          </w:tcPr>
          <w:p w14:paraId="031173B9" w14:textId="77777777" w:rsidR="00E73C9D" w:rsidRPr="00AA6C8A" w:rsidRDefault="00C57731">
            <w:pPr>
              <w:pStyle w:val="Body"/>
              <w:spacing w:after="0" w:line="240" w:lineRule="auto"/>
              <w:rPr>
                <w:rFonts w:cs="Arial"/>
                <w:sz w:val="20"/>
                <w:szCs w:val="20"/>
              </w:rPr>
            </w:pPr>
            <w:r w:rsidRPr="00AA6C8A">
              <w:rPr>
                <w:rFonts w:cs="Arial"/>
                <w:sz w:val="20"/>
                <w:szCs w:val="20"/>
              </w:rPr>
              <w:t>0.067</w:t>
            </w:r>
          </w:p>
        </w:tc>
        <w:tc>
          <w:tcPr>
            <w:tcW w:w="1063" w:type="dxa"/>
            <w:tcBorders>
              <w:top w:val="nil"/>
              <w:left w:val="nil"/>
              <w:bottom w:val="nil"/>
              <w:right w:val="nil"/>
            </w:tcBorders>
            <w:shd w:val="clear" w:color="auto" w:fill="auto"/>
            <w:tcMar>
              <w:top w:w="80" w:type="dxa"/>
              <w:left w:w="80" w:type="dxa"/>
              <w:bottom w:w="80" w:type="dxa"/>
              <w:right w:w="80" w:type="dxa"/>
            </w:tcMar>
          </w:tcPr>
          <w:p w14:paraId="4F913C60" w14:textId="77777777" w:rsidR="00E73C9D" w:rsidRPr="00AA6C8A" w:rsidRDefault="00C57731">
            <w:pPr>
              <w:pStyle w:val="Body"/>
              <w:spacing w:after="0" w:line="240" w:lineRule="auto"/>
              <w:rPr>
                <w:rFonts w:cs="Arial"/>
                <w:sz w:val="20"/>
                <w:szCs w:val="20"/>
              </w:rPr>
            </w:pPr>
            <w:r w:rsidRPr="00AA6C8A">
              <w:rPr>
                <w:rFonts w:cs="Arial"/>
                <w:sz w:val="20"/>
                <w:szCs w:val="20"/>
              </w:rPr>
              <w:t>53.47</w:t>
            </w:r>
          </w:p>
        </w:tc>
        <w:tc>
          <w:tcPr>
            <w:tcW w:w="815" w:type="dxa"/>
            <w:tcBorders>
              <w:top w:val="nil"/>
              <w:left w:val="nil"/>
              <w:bottom w:val="nil"/>
              <w:right w:val="nil"/>
            </w:tcBorders>
            <w:shd w:val="clear" w:color="auto" w:fill="auto"/>
            <w:tcMar>
              <w:top w:w="80" w:type="dxa"/>
              <w:left w:w="80" w:type="dxa"/>
              <w:bottom w:w="80" w:type="dxa"/>
              <w:right w:w="80" w:type="dxa"/>
            </w:tcMar>
          </w:tcPr>
          <w:p w14:paraId="11C60340" w14:textId="77777777" w:rsidR="00E73C9D" w:rsidRPr="00AA6C8A" w:rsidRDefault="00C57731">
            <w:pPr>
              <w:pStyle w:val="Body"/>
              <w:spacing w:after="0" w:line="240" w:lineRule="auto"/>
              <w:rPr>
                <w:rFonts w:cs="Arial"/>
                <w:sz w:val="20"/>
                <w:szCs w:val="20"/>
              </w:rPr>
            </w:pPr>
            <w:r w:rsidRPr="00AA6C8A">
              <w:rPr>
                <w:rFonts w:cs="Arial"/>
                <w:sz w:val="20"/>
                <w:szCs w:val="20"/>
              </w:rPr>
              <w:t>0.089</w:t>
            </w:r>
          </w:p>
        </w:tc>
      </w:tr>
      <w:tr w:rsidR="00E73C9D" w:rsidRPr="00AA6C8A" w14:paraId="2BFA0879"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23A7C5D7" w14:textId="6D60BD70" w:rsidR="00E73C9D" w:rsidRPr="00AA6C8A" w:rsidRDefault="00C57731">
            <w:pPr>
              <w:pStyle w:val="Body"/>
              <w:spacing w:after="0" w:line="240" w:lineRule="auto"/>
              <w:rPr>
                <w:rFonts w:cs="Arial"/>
                <w:sz w:val="20"/>
                <w:szCs w:val="20"/>
              </w:rPr>
            </w:pPr>
            <w:r w:rsidRPr="00AA6C8A">
              <w:rPr>
                <w:rFonts w:cs="Arial"/>
                <w:sz w:val="20"/>
                <w:szCs w:val="20"/>
              </w:rPr>
              <w:lastRenderedPageBreak/>
              <w:t xml:space="preserve">Tumour size </w:t>
            </w:r>
          </w:p>
        </w:tc>
        <w:tc>
          <w:tcPr>
            <w:tcW w:w="999" w:type="dxa"/>
            <w:tcBorders>
              <w:top w:val="nil"/>
              <w:left w:val="nil"/>
              <w:bottom w:val="nil"/>
              <w:right w:val="nil"/>
            </w:tcBorders>
            <w:shd w:val="clear" w:color="auto" w:fill="auto"/>
            <w:tcMar>
              <w:top w:w="80" w:type="dxa"/>
              <w:left w:w="80" w:type="dxa"/>
              <w:bottom w:w="80" w:type="dxa"/>
              <w:right w:w="80" w:type="dxa"/>
            </w:tcMar>
          </w:tcPr>
          <w:p w14:paraId="765D7CE1" w14:textId="77777777" w:rsidR="00E73C9D" w:rsidRPr="00AA6C8A" w:rsidRDefault="00C57731">
            <w:pPr>
              <w:pStyle w:val="Body"/>
              <w:spacing w:after="0" w:line="240" w:lineRule="auto"/>
              <w:rPr>
                <w:rFonts w:cs="Arial"/>
                <w:sz w:val="20"/>
                <w:szCs w:val="20"/>
              </w:rPr>
            </w:pPr>
            <w:r w:rsidRPr="00AA6C8A">
              <w:rPr>
                <w:rFonts w:cs="Arial"/>
                <w:sz w:val="20"/>
                <w:szCs w:val="20"/>
              </w:rPr>
              <w:t>22.03</w:t>
            </w:r>
          </w:p>
        </w:tc>
        <w:tc>
          <w:tcPr>
            <w:tcW w:w="767" w:type="dxa"/>
            <w:tcBorders>
              <w:top w:val="nil"/>
              <w:left w:val="nil"/>
              <w:bottom w:val="nil"/>
              <w:right w:val="nil"/>
            </w:tcBorders>
            <w:shd w:val="clear" w:color="auto" w:fill="auto"/>
            <w:tcMar>
              <w:top w:w="80" w:type="dxa"/>
              <w:left w:w="80" w:type="dxa"/>
              <w:bottom w:w="80" w:type="dxa"/>
              <w:right w:w="80" w:type="dxa"/>
            </w:tcMar>
          </w:tcPr>
          <w:p w14:paraId="7B8CB148" w14:textId="77777777" w:rsidR="00E73C9D" w:rsidRPr="00AA6C8A" w:rsidRDefault="00C57731">
            <w:pPr>
              <w:pStyle w:val="Body"/>
              <w:spacing w:after="0" w:line="240" w:lineRule="auto"/>
              <w:rPr>
                <w:rFonts w:cs="Arial"/>
                <w:sz w:val="20"/>
                <w:szCs w:val="20"/>
              </w:rPr>
            </w:pPr>
            <w:r w:rsidRPr="00AA6C8A">
              <w:rPr>
                <w:rFonts w:cs="Arial"/>
                <w:sz w:val="20"/>
                <w:szCs w:val="20"/>
              </w:rPr>
              <w:t>0.076</w:t>
            </w:r>
          </w:p>
        </w:tc>
        <w:tc>
          <w:tcPr>
            <w:tcW w:w="1063" w:type="dxa"/>
            <w:tcBorders>
              <w:top w:val="nil"/>
              <w:left w:val="nil"/>
              <w:bottom w:val="nil"/>
              <w:right w:val="nil"/>
            </w:tcBorders>
            <w:shd w:val="clear" w:color="auto" w:fill="auto"/>
            <w:tcMar>
              <w:top w:w="80" w:type="dxa"/>
              <w:left w:w="80" w:type="dxa"/>
              <w:bottom w:w="80" w:type="dxa"/>
              <w:right w:w="80" w:type="dxa"/>
            </w:tcMar>
          </w:tcPr>
          <w:p w14:paraId="5F7A0693" w14:textId="77777777" w:rsidR="00E73C9D" w:rsidRPr="00AA6C8A" w:rsidRDefault="00C57731">
            <w:pPr>
              <w:pStyle w:val="Body"/>
              <w:spacing w:after="0" w:line="240" w:lineRule="auto"/>
              <w:rPr>
                <w:rFonts w:cs="Arial"/>
                <w:sz w:val="20"/>
                <w:szCs w:val="20"/>
              </w:rPr>
            </w:pPr>
            <w:r w:rsidRPr="00AA6C8A">
              <w:rPr>
                <w:rFonts w:cs="Arial"/>
                <w:sz w:val="20"/>
                <w:szCs w:val="20"/>
              </w:rPr>
              <w:t>27.02</w:t>
            </w:r>
          </w:p>
        </w:tc>
        <w:tc>
          <w:tcPr>
            <w:tcW w:w="815" w:type="dxa"/>
            <w:tcBorders>
              <w:top w:val="nil"/>
              <w:left w:val="nil"/>
              <w:bottom w:val="nil"/>
              <w:right w:val="nil"/>
            </w:tcBorders>
            <w:shd w:val="clear" w:color="auto" w:fill="auto"/>
            <w:tcMar>
              <w:top w:w="80" w:type="dxa"/>
              <w:left w:w="80" w:type="dxa"/>
              <w:bottom w:w="80" w:type="dxa"/>
              <w:right w:w="80" w:type="dxa"/>
            </w:tcMar>
          </w:tcPr>
          <w:p w14:paraId="675B1323" w14:textId="77777777" w:rsidR="00E73C9D" w:rsidRPr="00AA6C8A" w:rsidRDefault="00C57731">
            <w:pPr>
              <w:pStyle w:val="Body"/>
              <w:spacing w:after="0" w:line="240" w:lineRule="auto"/>
              <w:rPr>
                <w:rFonts w:cs="Arial"/>
                <w:sz w:val="20"/>
                <w:szCs w:val="20"/>
              </w:rPr>
            </w:pPr>
            <w:r w:rsidRPr="00AA6C8A">
              <w:rPr>
                <w:rFonts w:cs="Arial"/>
                <w:sz w:val="20"/>
                <w:szCs w:val="20"/>
              </w:rPr>
              <w:t>0.149</w:t>
            </w:r>
          </w:p>
        </w:tc>
      </w:tr>
      <w:tr w:rsidR="00E73C9D" w:rsidRPr="00AA6C8A" w14:paraId="3A4BAF7E" w14:textId="77777777">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3223CCDF" w14:textId="612B5BDF" w:rsidR="00E73C9D" w:rsidRPr="00AA6C8A" w:rsidRDefault="00DA1FAA">
            <w:pPr>
              <w:pStyle w:val="Body"/>
              <w:spacing w:after="0" w:line="240" w:lineRule="auto"/>
              <w:rPr>
                <w:rFonts w:cs="Arial"/>
                <w:sz w:val="20"/>
                <w:szCs w:val="20"/>
              </w:rPr>
            </w:pPr>
            <w:r w:rsidRPr="00AA6C8A">
              <w:rPr>
                <w:rFonts w:cs="Arial"/>
                <w:sz w:val="20"/>
                <w:szCs w:val="20"/>
              </w:rPr>
              <w:t>Total i</w:t>
            </w:r>
            <w:r w:rsidR="00C57731" w:rsidRPr="00AA6C8A">
              <w:rPr>
                <w:rFonts w:cs="Arial"/>
                <w:sz w:val="20"/>
                <w:szCs w:val="20"/>
              </w:rPr>
              <w:t>npatient days</w:t>
            </w:r>
          </w:p>
        </w:tc>
        <w:tc>
          <w:tcPr>
            <w:tcW w:w="999" w:type="dxa"/>
            <w:tcBorders>
              <w:top w:val="nil"/>
              <w:left w:val="nil"/>
              <w:bottom w:val="nil"/>
              <w:right w:val="nil"/>
            </w:tcBorders>
            <w:shd w:val="clear" w:color="auto" w:fill="auto"/>
            <w:tcMar>
              <w:top w:w="80" w:type="dxa"/>
              <w:left w:w="80" w:type="dxa"/>
              <w:bottom w:w="80" w:type="dxa"/>
              <w:right w:w="80" w:type="dxa"/>
            </w:tcMar>
          </w:tcPr>
          <w:p w14:paraId="2277425B" w14:textId="77777777" w:rsidR="00E73C9D" w:rsidRPr="00AA6C8A" w:rsidRDefault="00C57731">
            <w:pPr>
              <w:pStyle w:val="Body"/>
              <w:spacing w:after="0" w:line="240" w:lineRule="auto"/>
              <w:rPr>
                <w:rFonts w:cs="Arial"/>
                <w:sz w:val="20"/>
                <w:szCs w:val="20"/>
              </w:rPr>
            </w:pPr>
            <w:r w:rsidRPr="00AA6C8A">
              <w:rPr>
                <w:rFonts w:cs="Arial"/>
                <w:sz w:val="20"/>
                <w:szCs w:val="20"/>
              </w:rPr>
              <w:t>2.88</w:t>
            </w:r>
          </w:p>
        </w:tc>
        <w:tc>
          <w:tcPr>
            <w:tcW w:w="767" w:type="dxa"/>
            <w:tcBorders>
              <w:top w:val="nil"/>
              <w:left w:val="nil"/>
              <w:bottom w:val="nil"/>
              <w:right w:val="nil"/>
            </w:tcBorders>
            <w:shd w:val="clear" w:color="auto" w:fill="auto"/>
            <w:tcMar>
              <w:top w:w="80" w:type="dxa"/>
              <w:left w:w="80" w:type="dxa"/>
              <w:bottom w:w="80" w:type="dxa"/>
              <w:right w:w="80" w:type="dxa"/>
            </w:tcMar>
          </w:tcPr>
          <w:p w14:paraId="54397180" w14:textId="77777777" w:rsidR="00E73C9D" w:rsidRPr="00AA6C8A" w:rsidRDefault="00C57731">
            <w:pPr>
              <w:pStyle w:val="Body"/>
              <w:spacing w:after="0" w:line="240" w:lineRule="auto"/>
              <w:rPr>
                <w:rFonts w:cs="Arial"/>
                <w:sz w:val="20"/>
                <w:szCs w:val="20"/>
              </w:rPr>
            </w:pPr>
            <w:r w:rsidRPr="00AA6C8A">
              <w:rPr>
                <w:rFonts w:cs="Arial"/>
                <w:sz w:val="20"/>
                <w:szCs w:val="20"/>
              </w:rPr>
              <w:t>0.065</w:t>
            </w:r>
          </w:p>
        </w:tc>
        <w:tc>
          <w:tcPr>
            <w:tcW w:w="1063" w:type="dxa"/>
            <w:tcBorders>
              <w:top w:val="nil"/>
              <w:left w:val="nil"/>
              <w:bottom w:val="nil"/>
              <w:right w:val="nil"/>
            </w:tcBorders>
            <w:shd w:val="clear" w:color="auto" w:fill="auto"/>
            <w:tcMar>
              <w:top w:w="80" w:type="dxa"/>
              <w:left w:w="80" w:type="dxa"/>
              <w:bottom w:w="80" w:type="dxa"/>
              <w:right w:w="80" w:type="dxa"/>
            </w:tcMar>
          </w:tcPr>
          <w:p w14:paraId="3AC4308A" w14:textId="77777777" w:rsidR="00E73C9D" w:rsidRPr="00AA6C8A" w:rsidRDefault="00C57731">
            <w:pPr>
              <w:pStyle w:val="Body"/>
              <w:spacing w:after="0" w:line="240" w:lineRule="auto"/>
              <w:rPr>
                <w:rFonts w:cs="Arial"/>
                <w:sz w:val="20"/>
                <w:szCs w:val="20"/>
              </w:rPr>
            </w:pPr>
            <w:r w:rsidRPr="00AA6C8A">
              <w:rPr>
                <w:rFonts w:cs="Arial"/>
                <w:sz w:val="20"/>
                <w:szCs w:val="20"/>
              </w:rPr>
              <w:t>1.35</w:t>
            </w:r>
          </w:p>
        </w:tc>
        <w:tc>
          <w:tcPr>
            <w:tcW w:w="815" w:type="dxa"/>
            <w:tcBorders>
              <w:top w:val="nil"/>
              <w:left w:val="nil"/>
              <w:bottom w:val="nil"/>
              <w:right w:val="nil"/>
            </w:tcBorders>
            <w:shd w:val="clear" w:color="auto" w:fill="auto"/>
            <w:tcMar>
              <w:top w:w="80" w:type="dxa"/>
              <w:left w:w="80" w:type="dxa"/>
              <w:bottom w:w="80" w:type="dxa"/>
              <w:right w:w="80" w:type="dxa"/>
            </w:tcMar>
          </w:tcPr>
          <w:p w14:paraId="1386ED56" w14:textId="77777777" w:rsidR="00E73C9D" w:rsidRPr="00AA6C8A" w:rsidRDefault="00C57731">
            <w:pPr>
              <w:pStyle w:val="Body"/>
              <w:spacing w:after="0" w:line="240" w:lineRule="auto"/>
              <w:rPr>
                <w:rFonts w:cs="Arial"/>
                <w:sz w:val="20"/>
                <w:szCs w:val="20"/>
              </w:rPr>
            </w:pPr>
            <w:r w:rsidRPr="00AA6C8A">
              <w:rPr>
                <w:rFonts w:cs="Arial"/>
                <w:sz w:val="20"/>
                <w:szCs w:val="20"/>
              </w:rPr>
              <w:t>0.061</w:t>
            </w:r>
          </w:p>
        </w:tc>
      </w:tr>
      <w:tr w:rsidR="00DA1FAA" w:rsidRPr="00AA6C8A" w14:paraId="11C1D1A4" w14:textId="77777777" w:rsidTr="00DA1FAA">
        <w:trPr>
          <w:trHeight w:val="253"/>
        </w:trPr>
        <w:tc>
          <w:tcPr>
            <w:tcW w:w="3774" w:type="dxa"/>
            <w:tcBorders>
              <w:top w:val="nil"/>
              <w:left w:val="nil"/>
              <w:bottom w:val="nil"/>
              <w:right w:val="nil"/>
            </w:tcBorders>
            <w:shd w:val="clear" w:color="auto" w:fill="auto"/>
            <w:tcMar>
              <w:top w:w="80" w:type="dxa"/>
              <w:left w:w="80" w:type="dxa"/>
              <w:bottom w:w="80" w:type="dxa"/>
              <w:right w:w="80" w:type="dxa"/>
            </w:tcMar>
            <w:vAlign w:val="bottom"/>
          </w:tcPr>
          <w:p w14:paraId="5F7AD875" w14:textId="780FFB84" w:rsidR="00DA1FAA" w:rsidRPr="00AA6C8A" w:rsidRDefault="00DA1FAA" w:rsidP="00DA1FAA">
            <w:pPr>
              <w:pStyle w:val="Body"/>
              <w:spacing w:after="0" w:line="240" w:lineRule="auto"/>
              <w:rPr>
                <w:rFonts w:cs="Arial"/>
                <w:sz w:val="20"/>
                <w:szCs w:val="20"/>
              </w:rPr>
            </w:pPr>
            <w:r w:rsidRPr="00AA6C8A">
              <w:rPr>
                <w:rFonts w:cs="Arial"/>
                <w:sz w:val="20"/>
                <w:szCs w:val="20"/>
              </w:rPr>
              <w:t>Total outpatient visits</w:t>
            </w:r>
          </w:p>
        </w:tc>
        <w:tc>
          <w:tcPr>
            <w:tcW w:w="999" w:type="dxa"/>
            <w:tcBorders>
              <w:top w:val="nil"/>
              <w:left w:val="nil"/>
              <w:bottom w:val="nil"/>
              <w:right w:val="nil"/>
            </w:tcBorders>
            <w:shd w:val="clear" w:color="auto" w:fill="auto"/>
            <w:tcMar>
              <w:top w:w="80" w:type="dxa"/>
              <w:left w:w="80" w:type="dxa"/>
              <w:bottom w:w="80" w:type="dxa"/>
              <w:right w:w="80" w:type="dxa"/>
            </w:tcMar>
          </w:tcPr>
          <w:p w14:paraId="06CEFB77" w14:textId="1830E16E" w:rsidR="00DA1FAA" w:rsidRPr="00AA6C8A" w:rsidRDefault="00DA1FAA" w:rsidP="00DA1FAA">
            <w:pPr>
              <w:pStyle w:val="Body"/>
              <w:spacing w:after="0" w:line="240" w:lineRule="auto"/>
              <w:rPr>
                <w:rFonts w:cs="Arial"/>
                <w:sz w:val="20"/>
                <w:szCs w:val="20"/>
              </w:rPr>
            </w:pPr>
            <w:r w:rsidRPr="00AA6C8A">
              <w:rPr>
                <w:rFonts w:cs="Arial"/>
                <w:sz w:val="20"/>
                <w:szCs w:val="20"/>
              </w:rPr>
              <w:t>6.2</w:t>
            </w:r>
          </w:p>
        </w:tc>
        <w:tc>
          <w:tcPr>
            <w:tcW w:w="767" w:type="dxa"/>
            <w:tcBorders>
              <w:top w:val="nil"/>
              <w:left w:val="nil"/>
              <w:bottom w:val="nil"/>
              <w:right w:val="nil"/>
            </w:tcBorders>
            <w:shd w:val="clear" w:color="auto" w:fill="auto"/>
            <w:tcMar>
              <w:top w:w="80" w:type="dxa"/>
              <w:left w:w="80" w:type="dxa"/>
              <w:bottom w:w="80" w:type="dxa"/>
              <w:right w:w="80" w:type="dxa"/>
            </w:tcMar>
          </w:tcPr>
          <w:p w14:paraId="4D91BA7A" w14:textId="2644F0C9" w:rsidR="00DA1FAA" w:rsidRPr="00AA6C8A" w:rsidRDefault="00DA1FAA" w:rsidP="00DA1FAA">
            <w:pPr>
              <w:pStyle w:val="Body"/>
              <w:spacing w:after="0" w:line="240" w:lineRule="auto"/>
              <w:rPr>
                <w:rFonts w:cs="Arial"/>
                <w:sz w:val="20"/>
                <w:szCs w:val="20"/>
              </w:rPr>
            </w:pPr>
            <w:r w:rsidRPr="00AA6C8A">
              <w:rPr>
                <w:rFonts w:cs="Arial"/>
                <w:sz w:val="20"/>
                <w:szCs w:val="20"/>
              </w:rPr>
              <w:t>0.048</w:t>
            </w:r>
          </w:p>
        </w:tc>
        <w:tc>
          <w:tcPr>
            <w:tcW w:w="1063" w:type="dxa"/>
            <w:tcBorders>
              <w:top w:val="nil"/>
              <w:left w:val="nil"/>
              <w:bottom w:val="nil"/>
              <w:right w:val="nil"/>
            </w:tcBorders>
            <w:shd w:val="clear" w:color="auto" w:fill="auto"/>
            <w:tcMar>
              <w:top w:w="80" w:type="dxa"/>
              <w:left w:w="80" w:type="dxa"/>
              <w:bottom w:w="80" w:type="dxa"/>
              <w:right w:w="80" w:type="dxa"/>
            </w:tcMar>
          </w:tcPr>
          <w:p w14:paraId="6AABC7A3" w14:textId="3DD60EDC" w:rsidR="00DA1FAA" w:rsidRPr="00AA6C8A" w:rsidRDefault="00DA1FAA" w:rsidP="00DA1FAA">
            <w:pPr>
              <w:pStyle w:val="Body"/>
              <w:spacing w:after="0" w:line="240" w:lineRule="auto"/>
              <w:rPr>
                <w:rFonts w:cs="Arial"/>
                <w:sz w:val="20"/>
                <w:szCs w:val="20"/>
              </w:rPr>
            </w:pPr>
            <w:r w:rsidRPr="00AA6C8A">
              <w:rPr>
                <w:rFonts w:cs="Arial"/>
                <w:sz w:val="20"/>
                <w:szCs w:val="20"/>
              </w:rPr>
              <w:t>5.33</w:t>
            </w:r>
          </w:p>
        </w:tc>
        <w:tc>
          <w:tcPr>
            <w:tcW w:w="815" w:type="dxa"/>
            <w:tcBorders>
              <w:top w:val="nil"/>
              <w:left w:val="nil"/>
              <w:bottom w:val="nil"/>
              <w:right w:val="nil"/>
            </w:tcBorders>
            <w:shd w:val="clear" w:color="auto" w:fill="auto"/>
            <w:tcMar>
              <w:top w:w="80" w:type="dxa"/>
              <w:left w:w="80" w:type="dxa"/>
              <w:bottom w:w="80" w:type="dxa"/>
              <w:right w:w="80" w:type="dxa"/>
            </w:tcMar>
          </w:tcPr>
          <w:p w14:paraId="5B16B8F1" w14:textId="5804DE78" w:rsidR="00DA1FAA" w:rsidRPr="00AA6C8A" w:rsidRDefault="00DA1FAA" w:rsidP="00DA1FAA">
            <w:pPr>
              <w:pStyle w:val="Body"/>
              <w:spacing w:after="0" w:line="240" w:lineRule="auto"/>
              <w:rPr>
                <w:rFonts w:cs="Arial"/>
                <w:sz w:val="20"/>
                <w:szCs w:val="20"/>
              </w:rPr>
            </w:pPr>
            <w:r w:rsidRPr="00AA6C8A">
              <w:rPr>
                <w:rFonts w:cs="Arial"/>
                <w:sz w:val="20"/>
                <w:szCs w:val="20"/>
              </w:rPr>
              <w:t>0.07</w:t>
            </w:r>
          </w:p>
        </w:tc>
      </w:tr>
      <w:tr w:rsidR="00E73C9D" w:rsidRPr="00AA6C8A" w14:paraId="555670C0" w14:textId="77777777" w:rsidTr="00DA1FAA">
        <w:trPr>
          <w:trHeight w:val="253"/>
        </w:trPr>
        <w:tc>
          <w:tcPr>
            <w:tcW w:w="3774" w:type="dxa"/>
            <w:tcBorders>
              <w:top w:val="nil"/>
              <w:left w:val="nil"/>
              <w:bottom w:val="single" w:sz="8" w:space="0" w:color="auto"/>
              <w:right w:val="nil"/>
            </w:tcBorders>
            <w:shd w:val="clear" w:color="auto" w:fill="auto"/>
            <w:tcMar>
              <w:top w:w="80" w:type="dxa"/>
              <w:left w:w="80" w:type="dxa"/>
              <w:bottom w:w="80" w:type="dxa"/>
              <w:right w:w="80" w:type="dxa"/>
            </w:tcMar>
            <w:vAlign w:val="bottom"/>
          </w:tcPr>
          <w:p w14:paraId="049857E8" w14:textId="77777777" w:rsidR="00E73C9D" w:rsidRPr="00AA6C8A" w:rsidRDefault="00C57731">
            <w:pPr>
              <w:pStyle w:val="Body"/>
              <w:spacing w:after="0" w:line="240" w:lineRule="auto"/>
              <w:rPr>
                <w:rFonts w:cs="Arial"/>
                <w:sz w:val="20"/>
                <w:szCs w:val="20"/>
              </w:rPr>
            </w:pPr>
            <w:r w:rsidRPr="00AA6C8A">
              <w:rPr>
                <w:rFonts w:cs="Arial"/>
                <w:sz w:val="20"/>
                <w:szCs w:val="20"/>
              </w:rPr>
              <w:t>PREDICT benefit score</w:t>
            </w:r>
          </w:p>
        </w:tc>
        <w:tc>
          <w:tcPr>
            <w:tcW w:w="999" w:type="dxa"/>
            <w:tcBorders>
              <w:top w:val="nil"/>
              <w:left w:val="nil"/>
              <w:bottom w:val="single" w:sz="8" w:space="0" w:color="auto"/>
              <w:right w:val="nil"/>
            </w:tcBorders>
            <w:shd w:val="clear" w:color="auto" w:fill="auto"/>
            <w:tcMar>
              <w:top w:w="80" w:type="dxa"/>
              <w:left w:w="80" w:type="dxa"/>
              <w:bottom w:w="80" w:type="dxa"/>
              <w:right w:w="80" w:type="dxa"/>
            </w:tcMar>
          </w:tcPr>
          <w:p w14:paraId="63711EAB" w14:textId="77777777" w:rsidR="00E73C9D" w:rsidRPr="00AA6C8A" w:rsidRDefault="00C57731">
            <w:pPr>
              <w:pStyle w:val="Body"/>
              <w:spacing w:after="0" w:line="240" w:lineRule="auto"/>
              <w:rPr>
                <w:rFonts w:cs="Arial"/>
                <w:sz w:val="20"/>
                <w:szCs w:val="20"/>
              </w:rPr>
            </w:pPr>
            <w:r w:rsidRPr="00AA6C8A">
              <w:rPr>
                <w:rFonts w:cs="Arial"/>
                <w:sz w:val="20"/>
                <w:szCs w:val="20"/>
              </w:rPr>
              <w:t>2.93</w:t>
            </w:r>
          </w:p>
        </w:tc>
        <w:tc>
          <w:tcPr>
            <w:tcW w:w="767" w:type="dxa"/>
            <w:tcBorders>
              <w:top w:val="nil"/>
              <w:left w:val="nil"/>
              <w:bottom w:val="single" w:sz="8" w:space="0" w:color="auto"/>
              <w:right w:val="nil"/>
            </w:tcBorders>
            <w:shd w:val="clear" w:color="auto" w:fill="auto"/>
            <w:tcMar>
              <w:top w:w="80" w:type="dxa"/>
              <w:left w:w="80" w:type="dxa"/>
              <w:bottom w:w="80" w:type="dxa"/>
              <w:right w:w="80" w:type="dxa"/>
            </w:tcMar>
          </w:tcPr>
          <w:p w14:paraId="05B27997" w14:textId="77777777" w:rsidR="00E73C9D" w:rsidRPr="00AA6C8A" w:rsidRDefault="00C57731">
            <w:pPr>
              <w:pStyle w:val="Body"/>
              <w:spacing w:after="0" w:line="240" w:lineRule="auto"/>
              <w:rPr>
                <w:rFonts w:cs="Arial"/>
                <w:sz w:val="20"/>
                <w:szCs w:val="20"/>
              </w:rPr>
            </w:pPr>
            <w:r w:rsidRPr="00AA6C8A">
              <w:rPr>
                <w:rFonts w:cs="Arial"/>
                <w:sz w:val="20"/>
                <w:szCs w:val="20"/>
              </w:rPr>
              <w:t>0.012</w:t>
            </w:r>
          </w:p>
        </w:tc>
        <w:tc>
          <w:tcPr>
            <w:tcW w:w="1063" w:type="dxa"/>
            <w:tcBorders>
              <w:top w:val="nil"/>
              <w:left w:val="nil"/>
              <w:bottom w:val="single" w:sz="8" w:space="0" w:color="auto"/>
              <w:right w:val="nil"/>
            </w:tcBorders>
            <w:shd w:val="clear" w:color="auto" w:fill="auto"/>
            <w:tcMar>
              <w:top w:w="80" w:type="dxa"/>
              <w:left w:w="80" w:type="dxa"/>
              <w:bottom w:w="80" w:type="dxa"/>
              <w:right w:w="80" w:type="dxa"/>
            </w:tcMar>
          </w:tcPr>
          <w:p w14:paraId="2AEF45D0" w14:textId="77777777" w:rsidR="00E73C9D" w:rsidRPr="00AA6C8A" w:rsidRDefault="00C57731">
            <w:pPr>
              <w:pStyle w:val="Body"/>
              <w:spacing w:after="0" w:line="240" w:lineRule="auto"/>
              <w:rPr>
                <w:rFonts w:cs="Arial"/>
                <w:sz w:val="20"/>
                <w:szCs w:val="20"/>
              </w:rPr>
            </w:pPr>
            <w:r w:rsidRPr="00AA6C8A">
              <w:rPr>
                <w:rFonts w:cs="Arial"/>
                <w:sz w:val="20"/>
                <w:szCs w:val="20"/>
              </w:rPr>
              <w:t>4.66</w:t>
            </w:r>
          </w:p>
        </w:tc>
        <w:tc>
          <w:tcPr>
            <w:tcW w:w="815" w:type="dxa"/>
            <w:tcBorders>
              <w:top w:val="nil"/>
              <w:left w:val="nil"/>
              <w:bottom w:val="single" w:sz="8" w:space="0" w:color="auto"/>
              <w:right w:val="nil"/>
            </w:tcBorders>
            <w:shd w:val="clear" w:color="auto" w:fill="auto"/>
            <w:tcMar>
              <w:top w:w="80" w:type="dxa"/>
              <w:left w:w="80" w:type="dxa"/>
              <w:bottom w:w="80" w:type="dxa"/>
              <w:right w:w="80" w:type="dxa"/>
            </w:tcMar>
          </w:tcPr>
          <w:p w14:paraId="3855F9A1" w14:textId="77777777" w:rsidR="00E73C9D" w:rsidRPr="00AA6C8A" w:rsidRDefault="00C57731">
            <w:pPr>
              <w:pStyle w:val="Body"/>
              <w:spacing w:after="0" w:line="240" w:lineRule="auto"/>
              <w:rPr>
                <w:rFonts w:cs="Arial"/>
                <w:sz w:val="20"/>
                <w:szCs w:val="20"/>
              </w:rPr>
            </w:pPr>
            <w:r w:rsidRPr="00AA6C8A">
              <w:rPr>
                <w:rFonts w:cs="Arial"/>
                <w:sz w:val="20"/>
                <w:szCs w:val="20"/>
              </w:rPr>
              <w:t>0.02</w:t>
            </w:r>
          </w:p>
        </w:tc>
      </w:tr>
    </w:tbl>
    <w:p w14:paraId="40953817" w14:textId="2EDF5FCD" w:rsidR="00E73C9D" w:rsidRDefault="007D2FFF">
      <w:pPr>
        <w:pStyle w:val="BodyA"/>
      </w:pPr>
      <w:r>
        <w:t>s.d.: standard deviation.</w:t>
      </w:r>
    </w:p>
    <w:p w14:paraId="3795A1F3" w14:textId="281184E1" w:rsidR="00E73C9D" w:rsidRDefault="00C57731">
      <w:pPr>
        <w:pStyle w:val="Heading2"/>
      </w:pPr>
      <w:r>
        <w:rPr>
          <w:lang w:val="en-US"/>
        </w:rPr>
        <w:t>Feasibility</w:t>
      </w:r>
    </w:p>
    <w:p w14:paraId="0272A7B8" w14:textId="5B863EED" w:rsidR="00E73C9D" w:rsidRDefault="00C57731">
      <w:pPr>
        <w:pStyle w:val="Body"/>
      </w:pPr>
      <w:r>
        <w:t>RA using Cox regression was feasible in both TR and full cohort groups. PSM was also determined to be feasible. The distribution of propensity scores are displaye</w:t>
      </w:r>
      <w:r w:rsidR="00AA6C8A">
        <w:t>d in supplementary appendix (SA3</w:t>
      </w:r>
      <w:r>
        <w:t>). The region of common support was sufficient in both the trial represented and full cohort groups. The balance of baseline covariates between matched treated and non-treated units in both groups was compar</w:t>
      </w:r>
      <w:r w:rsidR="00AA6C8A">
        <w:t>ed for each matching method (SA3</w:t>
      </w:r>
      <w:r>
        <w:t>).  PSM 1 showed some imbal</w:t>
      </w:r>
      <w:r w:rsidR="00D528B2">
        <w:t>ances for the TR group</w:t>
      </w:r>
      <w:r>
        <w:t xml:space="preserve"> and more severe imbalance in the full cohort. PSM 2 achieved good balance in</w:t>
      </w:r>
      <w:r w:rsidR="00D528B2">
        <w:t xml:space="preserve"> the TR</w:t>
      </w:r>
      <w:r>
        <w:t xml:space="preserve"> but not in the full cohort. PSM 3 a</w:t>
      </w:r>
      <w:r w:rsidR="00D528B2">
        <w:t>chieved good balance for both TR</w:t>
      </w:r>
      <w:r>
        <w:t xml:space="preserve"> and full cohort</w:t>
      </w:r>
      <w:r w:rsidR="00D528B2">
        <w:t>s</w:t>
      </w:r>
      <w:r>
        <w:t>. Consequently, PSM 3 was selected as the primary analysis. Results for all PSM methods are available in SA</w:t>
      </w:r>
      <w:r w:rsidR="00AA6C8A">
        <w:t>3</w:t>
      </w:r>
      <w:r>
        <w:t xml:space="preserve">. </w:t>
      </w:r>
    </w:p>
    <w:p w14:paraId="0398F96A" w14:textId="1D69D4F1" w:rsidR="00E73C9D" w:rsidRDefault="00C57731">
      <w:pPr>
        <w:pStyle w:val="Body"/>
      </w:pPr>
      <w:r>
        <w:t>Both IV approaches demonstrated feasibility. The first-stage regression results are displayed in appendix SA</w:t>
      </w:r>
      <w:r w:rsidR="00AA6C8A">
        <w:t>4</w:t>
      </w:r>
      <w:r>
        <w:t>. Both instruments showed promise in having statistically significant associations with chemotherapy use in the first stage regressions. Note that much of the variation in chemotherapy use caused by the instruments may b</w:t>
      </w:r>
      <w:r w:rsidR="000A2521">
        <w:t>e in node negative patients who</w:t>
      </w:r>
      <w:r>
        <w:t xml:space="preserve"> would not meet the defined trial represented criteria</w:t>
      </w:r>
      <w:r w:rsidR="00C20681">
        <w:t>,</w:t>
      </w:r>
      <w:r>
        <w:t xml:space="preserve"> therefore these instruments may be more powerful in the full cohort. </w:t>
      </w:r>
    </w:p>
    <w:p w14:paraId="1EA51A80" w14:textId="24C41B46" w:rsidR="00E73C9D" w:rsidRDefault="00C57731">
      <w:pPr>
        <w:pStyle w:val="Body"/>
      </w:pPr>
      <w:r>
        <w:t xml:space="preserve">RDD was not feasible. </w:t>
      </w:r>
      <w:r w:rsidR="00B61EC3">
        <w:t xml:space="preserve">Inspection </w:t>
      </w:r>
      <w:r>
        <w:t>of histograms confirmed that the requirement of continuity in the region of the</w:t>
      </w:r>
      <w:r w:rsidR="00B61EC3">
        <w:t xml:space="preserve"> 3% and 5%</w:t>
      </w:r>
      <w:r>
        <w:t xml:space="preserve"> threshold</w:t>
      </w:r>
      <w:r w:rsidR="00B61EC3">
        <w:t>s</w:t>
      </w:r>
      <w:r>
        <w:t xml:space="preserve"> was met for PREDICT v2 but not v1.2 (</w:t>
      </w:r>
      <w:r w:rsidR="00AA6C8A">
        <w:t>figures SA5.1 and SA5</w:t>
      </w:r>
      <w:r w:rsidR="00E06CC7">
        <w:t>.2</w:t>
      </w:r>
      <w:r w:rsidR="00B61EC3">
        <w:t xml:space="preserve">), eliminating PREDICT 1.2 was </w:t>
      </w:r>
      <w:r>
        <w:t>as a candidate assignment v</w:t>
      </w:r>
      <w:r w:rsidR="00B61EC3">
        <w:t>ariable</w:t>
      </w:r>
      <w:r>
        <w:t xml:space="preserve">. </w:t>
      </w:r>
    </w:p>
    <w:p w14:paraId="3EF65371" w14:textId="64F6E8B7" w:rsidR="00E73C9D" w:rsidRDefault="00C57731">
      <w:pPr>
        <w:pStyle w:val="Body"/>
      </w:pPr>
      <w:r>
        <w:t>The PREDICT version 2 benefit score with 3% and 5% thresholds had potential for an RDD. To determine whether or not treatment guidelines and norms actually create such a discontinuity</w:t>
      </w:r>
      <w:r w:rsidR="00B61EC3">
        <w:t xml:space="preserve"> we inspected the binned scatterplots displayed in</w:t>
      </w:r>
      <w:r>
        <w:t xml:space="preserve"> Figures </w:t>
      </w:r>
      <w:r w:rsidR="00016CAF">
        <w:t>SA</w:t>
      </w:r>
      <w:r w:rsidR="00AA6C8A">
        <w:t>5</w:t>
      </w:r>
      <w:r w:rsidR="00E06CC7">
        <w:t>.3</w:t>
      </w:r>
      <w:r>
        <w:t xml:space="preserve"> and </w:t>
      </w:r>
      <w:r w:rsidR="00AA6C8A">
        <w:t>S5</w:t>
      </w:r>
      <w:r w:rsidR="00E06CC7">
        <w:t>.4</w:t>
      </w:r>
      <w:r w:rsidR="00B61EC3">
        <w:t>,</w:t>
      </w:r>
      <w:r>
        <w:t xml:space="preserve"> </w:t>
      </w:r>
      <w:r w:rsidR="00B61EC3">
        <w:t xml:space="preserve">to </w:t>
      </w:r>
      <w:r>
        <w:t>visualise the relationship between the assignment variable and the probability of chemotherapy use.</w:t>
      </w:r>
    </w:p>
    <w:p w14:paraId="190CB7A4" w14:textId="22C06A28" w:rsidR="00E73C9D" w:rsidRDefault="00C57731">
      <w:pPr>
        <w:pStyle w:val="Body"/>
      </w:pPr>
      <w:r>
        <w:t xml:space="preserve">The binned scatterplots </w:t>
      </w:r>
      <w:r w:rsidR="00B61EC3">
        <w:t xml:space="preserve">show no clear </w:t>
      </w:r>
      <w:r>
        <w:t>discontinuity in the probability of using chemotherapy at the 3% or 5% thresholds in the trial represented group. The plots suggest that the probability of chemotherapy use is already high by 3% chemotherapy benefit and increases only gradually past this threshold. Based on the</w:t>
      </w:r>
      <w:r w:rsidR="00B61EC3">
        <w:t>se core assumptions</w:t>
      </w:r>
      <w:r>
        <w:t xml:space="preserve"> not being met, estimation of the treatment ef</w:t>
      </w:r>
      <w:r w:rsidR="00B61EC3">
        <w:t>fect using RDD was halted</w:t>
      </w:r>
      <w:r>
        <w:t>.</w:t>
      </w:r>
      <w:r w:rsidR="006E244E">
        <w:t xml:space="preserve"> </w:t>
      </w:r>
    </w:p>
    <w:p w14:paraId="43FC34E1" w14:textId="77777777" w:rsidR="00E73C9D" w:rsidRDefault="00C57731">
      <w:pPr>
        <w:pStyle w:val="Heading2"/>
      </w:pPr>
      <w:r>
        <w:rPr>
          <w:lang w:val="en-US"/>
        </w:rPr>
        <w:lastRenderedPageBreak/>
        <w:t>Comparison with trial meta-analysis estimates</w:t>
      </w:r>
    </w:p>
    <w:p w14:paraId="3D857B1F" w14:textId="4EAF42FB" w:rsidR="00E73C9D" w:rsidRDefault="00C57731">
      <w:pPr>
        <w:pStyle w:val="Body"/>
      </w:pPr>
      <w:r>
        <w:t>Full details of the randomised trial evidence and network meta-analysis</w:t>
      </w:r>
      <w:r w:rsidR="003B5801">
        <w:t xml:space="preserve"> (NMA)</w:t>
      </w:r>
      <w:r>
        <w:t xml:space="preserve"> results are </w:t>
      </w:r>
      <w:r w:rsidR="00AA6C8A">
        <w:t>in</w:t>
      </w:r>
      <w:r w:rsidR="003B5801">
        <w:t xml:space="preserve"> the</w:t>
      </w:r>
      <w:r w:rsidR="00AA6C8A">
        <w:t xml:space="preserve"> Supplementary Appendix (SA6</w:t>
      </w:r>
      <w:r>
        <w:t xml:space="preserve">). Comparisons are made with only the direct randomised evidence </w:t>
      </w:r>
      <w:r w:rsidR="000B1BDA">
        <w:t>to simplify the analysis and presentation, and because the NMA results indicate little difference from including the indirect evidence.</w:t>
      </w:r>
      <w:r>
        <w:t xml:space="preserve"> All the preceding RWE estimates of the effectiveness of adjuvant chemotherapy are summarised together in table 6, together with the combined estimates from a random effects meta-analysis and results of a test of the difference in estimated HR between RWE and trial meta-analysis. </w:t>
      </w:r>
      <w:r w:rsidR="00513751">
        <w:t xml:space="preserve">Forest plots displaying the estimated HRs for </w:t>
      </w:r>
      <w:r w:rsidR="008E71A1">
        <w:t>individual trials and RWE method</w:t>
      </w:r>
      <w:r w:rsidR="00513751">
        <w:t xml:space="preserve">s are displayed in figure 2. </w:t>
      </w:r>
      <w:r>
        <w:t>Forest plots displaying the individual and pooled estimates are available in SA</w:t>
      </w:r>
      <w:r w:rsidR="00AA6C8A">
        <w:t>6</w:t>
      </w:r>
      <w:r>
        <w:t xml:space="preserve">. </w:t>
      </w:r>
    </w:p>
    <w:p w14:paraId="44D136DE" w14:textId="164619BE" w:rsidR="00E73C9D" w:rsidRDefault="00C57731">
      <w:pPr>
        <w:pStyle w:val="Body"/>
      </w:pPr>
      <w:r>
        <w:t xml:space="preserve">Breast cancer mortality estimates from each </w:t>
      </w:r>
      <w:r w:rsidR="00C20681">
        <w:t xml:space="preserve">RWE </w:t>
      </w:r>
      <w:r w:rsidR="00B94256">
        <w:t>method lie</w:t>
      </w:r>
      <w:r>
        <w:t xml:space="preserve"> relatively close to the pooled randomised trial estimates</w:t>
      </w:r>
      <w:r w:rsidR="00B94256">
        <w:t>,</w:t>
      </w:r>
      <w:r>
        <w:t xml:space="preserve"> except for IV1. In contrast</w:t>
      </w:r>
      <w:r w:rsidR="00B94256">
        <w:t>,</w:t>
      </w:r>
      <w:r>
        <w:t xml:space="preserve"> there is some evidence of differences between RWE and trial evidence in relation to all-cause mortality</w:t>
      </w:r>
      <w:r w:rsidR="00B94256">
        <w:t xml:space="preserve">, with the PSM estimating </w:t>
      </w:r>
      <w:r>
        <w:t>lower hazard ratios</w:t>
      </w:r>
      <w:r w:rsidR="00B94256">
        <w:t xml:space="preserve"> than trials</w:t>
      </w:r>
      <w:r>
        <w:t xml:space="preserve">. </w:t>
      </w:r>
    </w:p>
    <w:p w14:paraId="2932BDFD" w14:textId="2C7A4DDD" w:rsidR="00E73C9D" w:rsidRDefault="00B94256">
      <w:pPr>
        <w:pStyle w:val="Body"/>
      </w:pPr>
      <w:r>
        <w:t xml:space="preserve">For </w:t>
      </w:r>
      <w:r w:rsidR="00C57731">
        <w:t xml:space="preserve">all </w:t>
      </w:r>
      <w:r>
        <w:t>RWE methods</w:t>
      </w:r>
      <w:r w:rsidR="00C57731">
        <w:t xml:space="preserve"> except PSM</w:t>
      </w:r>
      <w:r w:rsidR="004C5A88">
        <w:t xml:space="preserve"> Cox</w:t>
      </w:r>
      <w:r w:rsidR="00C57731">
        <w:t>, estimates of the hazard ratios for all-cause mortality are lower than for BC-specific mortality</w:t>
      </w:r>
      <w:r w:rsidR="00C20681">
        <w:t>,</w:t>
      </w:r>
      <w:r w:rsidR="00C57731">
        <w:t xml:space="preserve"> in contrast to the trial estimates. This suggests a downward bias in the all-cause mortality estimates</w:t>
      </w:r>
      <w:r>
        <w:t>,</w:t>
      </w:r>
      <w:r w:rsidR="00C57731">
        <w:t xml:space="preserve"> as the effect</w:t>
      </w:r>
      <w:r>
        <w:t xml:space="preserve"> of chemotherapy</w:t>
      </w:r>
      <w:r w:rsidR="00C57731">
        <w:t xml:space="preserve"> on all-cause mortality is expected to be </w:t>
      </w:r>
      <w:r>
        <w:t xml:space="preserve">smaller and proportional to its </w:t>
      </w:r>
      <w:r w:rsidR="00C57731">
        <w:t>effec</w:t>
      </w:r>
      <w:r>
        <w:t xml:space="preserve">t on BC mortality. This is </w:t>
      </w:r>
      <w:r w:rsidR="00C57731">
        <w:t xml:space="preserve">based on the mechanism of action and was demonstrated in the randomised trial meta-analysis results. </w:t>
      </w:r>
    </w:p>
    <w:p w14:paraId="1AAF5680" w14:textId="5E4F028B" w:rsidR="00E73C9D" w:rsidRDefault="00C57731">
      <w:pPr>
        <w:pStyle w:val="Body"/>
      </w:pPr>
      <w:r>
        <w:t>Som</w:t>
      </w:r>
      <w:r w:rsidR="00B10E89">
        <w:t xml:space="preserve">e differences between RWE </w:t>
      </w:r>
      <w:r w:rsidR="00C20681">
        <w:t>estimate</w:t>
      </w:r>
      <w:r>
        <w:t>s are large enough to produce differences in the combined HRs which may be of clinical importance. Estimates from the IV analyses are relatively imprecise in the TR group</w:t>
      </w:r>
      <w:r w:rsidR="00C20681">
        <w:t>,</w:t>
      </w:r>
      <w:r>
        <w:t xml:space="preserve"> which may be due to the rel</w:t>
      </w:r>
      <w:r w:rsidR="00B10E89">
        <w:t xml:space="preserve">atively small proportion of </w:t>
      </w:r>
      <w:r>
        <w:t xml:space="preserve">variation in the use of chemotherapy explained by the instruments. </w:t>
      </w:r>
      <w:r w:rsidR="00B10E89">
        <w:t>Despite our relatively large sample sizes, t</w:t>
      </w:r>
      <w:r>
        <w:t>he synthesis of RWE and trial evidence in a random effects meta-analysis reduces the uncertainty about the HR by only a small amount compared to using the randomised trial data alone, irrespective of using the TR or full cohort samples.</w:t>
      </w:r>
    </w:p>
    <w:p w14:paraId="78F4843A" w14:textId="77777777" w:rsidR="005B6D6D" w:rsidRDefault="005B6D6D">
      <w:pPr>
        <w:pStyle w:val="Caption"/>
      </w:pPr>
      <w:r>
        <w:br w:type="page"/>
      </w:r>
    </w:p>
    <w:p w14:paraId="539619D5" w14:textId="6F7AB07D" w:rsidR="00E73C9D" w:rsidRDefault="00C57731">
      <w:pPr>
        <w:pStyle w:val="Caption"/>
      </w:pPr>
      <w:r>
        <w:lastRenderedPageBreak/>
        <w:t>Table 3 - Comparison of</w:t>
      </w:r>
      <w:r w:rsidR="00B10E89">
        <w:t xml:space="preserve"> effect sizes (HR, 95% confidence intervals) and pooled estimates from randomised trials, RWE (trial represented and RWE full cohort </w:t>
      </w:r>
    </w:p>
    <w:tbl>
      <w:tblPr>
        <w:tblW w:w="901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26"/>
        <w:gridCol w:w="1979"/>
        <w:gridCol w:w="2004"/>
        <w:gridCol w:w="2004"/>
        <w:gridCol w:w="2004"/>
      </w:tblGrid>
      <w:tr w:rsidR="00E73C9D" w14:paraId="117D038B" w14:textId="77777777" w:rsidTr="00E26B0D">
        <w:trPr>
          <w:trHeight w:val="255"/>
        </w:trPr>
        <w:tc>
          <w:tcPr>
            <w:tcW w:w="102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4069D619" w14:textId="77777777" w:rsidR="00E73C9D" w:rsidRDefault="00E73C9D"/>
        </w:tc>
        <w:tc>
          <w:tcPr>
            <w:tcW w:w="3983" w:type="dxa"/>
            <w:gridSpan w:val="2"/>
            <w:tcBorders>
              <w:top w:val="single" w:sz="4" w:space="0" w:color="000000"/>
              <w:left w:val="nil"/>
              <w:bottom w:val="nil"/>
              <w:right w:val="nil"/>
            </w:tcBorders>
            <w:shd w:val="clear" w:color="auto" w:fill="auto"/>
            <w:tcMar>
              <w:top w:w="80" w:type="dxa"/>
              <w:left w:w="80" w:type="dxa"/>
              <w:bottom w:w="80" w:type="dxa"/>
              <w:right w:w="80" w:type="dxa"/>
            </w:tcMar>
            <w:vAlign w:val="bottom"/>
          </w:tcPr>
          <w:p w14:paraId="37474F21" w14:textId="77777777" w:rsidR="00E73C9D" w:rsidRDefault="00C57731">
            <w:pPr>
              <w:pStyle w:val="NoSpacing"/>
              <w:jc w:val="center"/>
            </w:pPr>
            <w:r>
              <w:rPr>
                <w:b/>
                <w:bCs/>
              </w:rPr>
              <w:t>Breast cancer mortality</w:t>
            </w:r>
          </w:p>
        </w:tc>
        <w:tc>
          <w:tcPr>
            <w:tcW w:w="4008" w:type="dxa"/>
            <w:gridSpan w:val="2"/>
            <w:tcBorders>
              <w:top w:val="single" w:sz="4" w:space="0" w:color="000000"/>
              <w:left w:val="nil"/>
              <w:bottom w:val="nil"/>
              <w:right w:val="nil"/>
            </w:tcBorders>
            <w:shd w:val="clear" w:color="auto" w:fill="auto"/>
            <w:tcMar>
              <w:top w:w="80" w:type="dxa"/>
              <w:left w:w="80" w:type="dxa"/>
              <w:bottom w:w="80" w:type="dxa"/>
              <w:right w:w="80" w:type="dxa"/>
            </w:tcMar>
            <w:vAlign w:val="bottom"/>
          </w:tcPr>
          <w:p w14:paraId="45B37ADB" w14:textId="77777777" w:rsidR="00E73C9D" w:rsidRDefault="00C57731">
            <w:pPr>
              <w:pStyle w:val="NoSpacing"/>
              <w:jc w:val="center"/>
            </w:pPr>
            <w:r>
              <w:rPr>
                <w:b/>
                <w:bCs/>
              </w:rPr>
              <w:t>All-cause mortality</w:t>
            </w:r>
          </w:p>
        </w:tc>
      </w:tr>
      <w:tr w:rsidR="00E73C9D" w14:paraId="498E33DF" w14:textId="77777777" w:rsidTr="00E26B0D">
        <w:trPr>
          <w:trHeight w:val="233"/>
        </w:trPr>
        <w:tc>
          <w:tcPr>
            <w:tcW w:w="1026" w:type="dxa"/>
            <w:tcBorders>
              <w:top w:val="nil"/>
              <w:left w:val="nil"/>
              <w:bottom w:val="nil"/>
              <w:right w:val="nil"/>
            </w:tcBorders>
            <w:shd w:val="clear" w:color="auto" w:fill="auto"/>
            <w:tcMar>
              <w:top w:w="80" w:type="dxa"/>
              <w:left w:w="80" w:type="dxa"/>
              <w:bottom w:w="80" w:type="dxa"/>
              <w:right w:w="80" w:type="dxa"/>
            </w:tcMar>
            <w:vAlign w:val="bottom"/>
          </w:tcPr>
          <w:p w14:paraId="03FDB920" w14:textId="77777777" w:rsidR="00E73C9D" w:rsidRDefault="00E73C9D"/>
        </w:tc>
        <w:tc>
          <w:tcPr>
            <w:tcW w:w="1979" w:type="dxa"/>
            <w:tcBorders>
              <w:top w:val="nil"/>
              <w:left w:val="nil"/>
              <w:bottom w:val="nil"/>
              <w:right w:val="nil"/>
            </w:tcBorders>
            <w:shd w:val="clear" w:color="auto" w:fill="auto"/>
            <w:tcMar>
              <w:top w:w="80" w:type="dxa"/>
              <w:left w:w="80" w:type="dxa"/>
              <w:bottom w:w="80" w:type="dxa"/>
              <w:right w:w="80" w:type="dxa"/>
            </w:tcMar>
            <w:vAlign w:val="bottom"/>
          </w:tcPr>
          <w:p w14:paraId="37B3BAFF" w14:textId="77777777" w:rsidR="00E73C9D" w:rsidRDefault="00C57731">
            <w:pPr>
              <w:pStyle w:val="NoSpacing"/>
              <w:jc w:val="center"/>
            </w:pPr>
            <w:r>
              <w:rPr>
                <w:rFonts w:ascii="Arial" w:hAnsi="Arial"/>
                <w:b/>
                <w:bCs/>
                <w:sz w:val="20"/>
                <w:szCs w:val="20"/>
              </w:rPr>
              <w:t>HR</w:t>
            </w:r>
          </w:p>
        </w:tc>
        <w:tc>
          <w:tcPr>
            <w:tcW w:w="2004" w:type="dxa"/>
            <w:tcBorders>
              <w:top w:val="nil"/>
              <w:left w:val="nil"/>
              <w:bottom w:val="nil"/>
              <w:right w:val="nil"/>
            </w:tcBorders>
            <w:shd w:val="clear" w:color="auto" w:fill="auto"/>
            <w:tcMar>
              <w:top w:w="80" w:type="dxa"/>
              <w:left w:w="80" w:type="dxa"/>
              <w:bottom w:w="80" w:type="dxa"/>
              <w:right w:w="80" w:type="dxa"/>
            </w:tcMar>
            <w:vAlign w:val="bottom"/>
          </w:tcPr>
          <w:p w14:paraId="05198F39" w14:textId="77777777" w:rsidR="00E73C9D" w:rsidRDefault="00C57731">
            <w:pPr>
              <w:pStyle w:val="NoSpacing"/>
              <w:jc w:val="center"/>
            </w:pPr>
            <w:r>
              <w:rPr>
                <w:rFonts w:ascii="Arial" w:hAnsi="Arial"/>
                <w:b/>
                <w:bCs/>
                <w:sz w:val="20"/>
                <w:szCs w:val="20"/>
              </w:rPr>
              <w:t>Combined HR</w:t>
            </w:r>
          </w:p>
        </w:tc>
        <w:tc>
          <w:tcPr>
            <w:tcW w:w="2004" w:type="dxa"/>
            <w:tcBorders>
              <w:top w:val="nil"/>
              <w:left w:val="nil"/>
              <w:bottom w:val="nil"/>
              <w:right w:val="nil"/>
            </w:tcBorders>
            <w:shd w:val="clear" w:color="auto" w:fill="auto"/>
            <w:tcMar>
              <w:top w:w="80" w:type="dxa"/>
              <w:left w:w="80" w:type="dxa"/>
              <w:bottom w:w="80" w:type="dxa"/>
              <w:right w:w="80" w:type="dxa"/>
            </w:tcMar>
            <w:vAlign w:val="bottom"/>
          </w:tcPr>
          <w:p w14:paraId="4098353B" w14:textId="77777777" w:rsidR="00E73C9D" w:rsidRDefault="00C57731">
            <w:pPr>
              <w:pStyle w:val="NoSpacing"/>
              <w:jc w:val="center"/>
            </w:pPr>
            <w:r>
              <w:rPr>
                <w:rFonts w:ascii="Arial" w:hAnsi="Arial"/>
                <w:b/>
                <w:bCs/>
                <w:sz w:val="20"/>
                <w:szCs w:val="20"/>
              </w:rPr>
              <w:t>HR</w:t>
            </w:r>
          </w:p>
        </w:tc>
        <w:tc>
          <w:tcPr>
            <w:tcW w:w="2004" w:type="dxa"/>
            <w:tcBorders>
              <w:top w:val="nil"/>
              <w:left w:val="nil"/>
              <w:bottom w:val="nil"/>
              <w:right w:val="nil"/>
            </w:tcBorders>
            <w:shd w:val="clear" w:color="auto" w:fill="auto"/>
            <w:tcMar>
              <w:top w:w="80" w:type="dxa"/>
              <w:left w:w="80" w:type="dxa"/>
              <w:bottom w:w="80" w:type="dxa"/>
              <w:right w:w="80" w:type="dxa"/>
            </w:tcMar>
            <w:vAlign w:val="bottom"/>
          </w:tcPr>
          <w:p w14:paraId="2A3EE2C4" w14:textId="77777777" w:rsidR="00E73C9D" w:rsidRDefault="00C57731">
            <w:pPr>
              <w:pStyle w:val="NoSpacing"/>
              <w:jc w:val="center"/>
            </w:pPr>
            <w:r>
              <w:rPr>
                <w:rFonts w:ascii="Arial" w:hAnsi="Arial"/>
                <w:b/>
                <w:bCs/>
                <w:sz w:val="20"/>
                <w:szCs w:val="20"/>
              </w:rPr>
              <w:t>Combined HR</w:t>
            </w:r>
          </w:p>
        </w:tc>
      </w:tr>
      <w:tr w:rsidR="00E73C9D" w14:paraId="23ABCCFF" w14:textId="77777777">
        <w:trPr>
          <w:trHeight w:val="294"/>
        </w:trPr>
        <w:tc>
          <w:tcPr>
            <w:tcW w:w="9017" w:type="dxa"/>
            <w:gridSpan w:val="5"/>
            <w:tcBorders>
              <w:top w:val="nil"/>
              <w:left w:val="nil"/>
              <w:bottom w:val="single" w:sz="4" w:space="0" w:color="000000"/>
              <w:right w:val="nil"/>
            </w:tcBorders>
            <w:shd w:val="clear" w:color="auto" w:fill="auto"/>
            <w:tcMar>
              <w:top w:w="80" w:type="dxa"/>
              <w:left w:w="80" w:type="dxa"/>
              <w:bottom w:w="80" w:type="dxa"/>
              <w:right w:w="80" w:type="dxa"/>
            </w:tcMar>
            <w:vAlign w:val="bottom"/>
          </w:tcPr>
          <w:p w14:paraId="6F68D477" w14:textId="62914D24" w:rsidR="00E73C9D" w:rsidRDefault="00C57731">
            <w:pPr>
              <w:pStyle w:val="NoSpacing"/>
            </w:pPr>
            <w:r>
              <w:rPr>
                <w:rFonts w:ascii="Arial" w:hAnsi="Arial"/>
                <w:b/>
                <w:bCs/>
                <w:sz w:val="20"/>
                <w:szCs w:val="20"/>
              </w:rPr>
              <w:t>EBCTCG</w:t>
            </w:r>
            <w:r w:rsidR="0027439C">
              <w:rPr>
                <w:rFonts w:ascii="Arial" w:hAnsi="Arial"/>
                <w:b/>
                <w:bCs/>
                <w:sz w:val="20"/>
                <w:szCs w:val="20"/>
              </w:rPr>
              <w:t xml:space="preserve"> meta-analysis</w:t>
            </w:r>
            <w:r>
              <w:rPr>
                <w:rFonts w:ascii="Arial" w:hAnsi="Arial"/>
                <w:b/>
                <w:bCs/>
                <w:sz w:val="20"/>
                <w:szCs w:val="20"/>
              </w:rPr>
              <w:t>: Direct evidence newer anthracycline regimens vs placebo</w:t>
            </w:r>
          </w:p>
        </w:tc>
      </w:tr>
      <w:tr w:rsidR="00E73C9D" w14:paraId="2BE7DD18" w14:textId="77777777" w:rsidTr="00E26B0D">
        <w:trPr>
          <w:trHeight w:val="228"/>
        </w:trPr>
        <w:tc>
          <w:tcPr>
            <w:tcW w:w="1026"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tcPr>
          <w:p w14:paraId="10E41E8B" w14:textId="77777777" w:rsidR="00E73C9D" w:rsidRDefault="00E73C9D"/>
        </w:tc>
        <w:tc>
          <w:tcPr>
            <w:tcW w:w="1979"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tcPr>
          <w:p w14:paraId="1A746E0D" w14:textId="77777777" w:rsidR="00E73C9D" w:rsidRDefault="00C57731">
            <w:pPr>
              <w:pStyle w:val="NoSpacing"/>
            </w:pPr>
            <w:r>
              <w:rPr>
                <w:rFonts w:ascii="Arial" w:hAnsi="Arial"/>
                <w:sz w:val="20"/>
                <w:szCs w:val="20"/>
              </w:rPr>
              <w:t>0.71 (0.62; 0.83)</w:t>
            </w:r>
          </w:p>
        </w:tc>
        <w:tc>
          <w:tcPr>
            <w:tcW w:w="2004"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tcPr>
          <w:p w14:paraId="7FAE9AFF" w14:textId="77777777" w:rsidR="00E73C9D" w:rsidRDefault="00C57731">
            <w:pPr>
              <w:pStyle w:val="NoSpacing"/>
            </w:pPr>
            <w:r>
              <w:rPr>
                <w:rFonts w:ascii="Arial" w:hAnsi="Arial"/>
                <w:sz w:val="20"/>
                <w:szCs w:val="20"/>
              </w:rPr>
              <w:t>-</w:t>
            </w:r>
          </w:p>
        </w:tc>
        <w:tc>
          <w:tcPr>
            <w:tcW w:w="2004"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tcPr>
          <w:p w14:paraId="687D2444" w14:textId="77777777" w:rsidR="00E73C9D" w:rsidRDefault="00C57731">
            <w:pPr>
              <w:pStyle w:val="NoSpacing"/>
            </w:pPr>
            <w:r>
              <w:rPr>
                <w:rFonts w:ascii="Arial" w:hAnsi="Arial"/>
                <w:sz w:val="20"/>
                <w:szCs w:val="20"/>
              </w:rPr>
              <w:t>0.83 (0.73; 0.94)</w:t>
            </w:r>
          </w:p>
        </w:tc>
        <w:tc>
          <w:tcPr>
            <w:tcW w:w="2004"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tcPr>
          <w:p w14:paraId="23E539D1" w14:textId="77777777" w:rsidR="00E73C9D" w:rsidRDefault="00C57731">
            <w:pPr>
              <w:pStyle w:val="NoSpacing"/>
            </w:pPr>
            <w:r>
              <w:rPr>
                <w:rFonts w:ascii="Arial" w:hAnsi="Arial"/>
                <w:sz w:val="20"/>
                <w:szCs w:val="20"/>
              </w:rPr>
              <w:t>-</w:t>
            </w:r>
          </w:p>
        </w:tc>
      </w:tr>
      <w:tr w:rsidR="005B6D6D" w14:paraId="42F273D1" w14:textId="77777777" w:rsidTr="005B6D6D">
        <w:trPr>
          <w:trHeight w:val="257"/>
        </w:trPr>
        <w:tc>
          <w:tcPr>
            <w:tcW w:w="9017" w:type="dxa"/>
            <w:gridSpan w:val="5"/>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79BC2C0A" w14:textId="4675DDA4" w:rsidR="005B6D6D" w:rsidRDefault="005B6D6D" w:rsidP="005B6D6D">
            <w:pPr>
              <w:pStyle w:val="NoSpacing"/>
            </w:pPr>
            <w:r>
              <w:rPr>
                <w:rFonts w:ascii="Arial" w:hAnsi="Arial"/>
                <w:b/>
                <w:bCs/>
                <w:sz w:val="20"/>
                <w:szCs w:val="20"/>
              </w:rPr>
              <w:t>RWE estimates (trial represented)</w:t>
            </w:r>
          </w:p>
        </w:tc>
      </w:tr>
      <w:tr w:rsidR="00E26B0D" w14:paraId="26A0AF9E" w14:textId="77777777" w:rsidTr="00E26B0D">
        <w:trPr>
          <w:trHeight w:val="233"/>
        </w:trPr>
        <w:tc>
          <w:tcPr>
            <w:tcW w:w="1026" w:type="dxa"/>
            <w:tcBorders>
              <w:top w:val="single" w:sz="8" w:space="0" w:color="000000"/>
              <w:left w:val="nil"/>
              <w:bottom w:val="nil"/>
              <w:right w:val="nil"/>
            </w:tcBorders>
            <w:shd w:val="clear" w:color="auto" w:fill="auto"/>
            <w:tcMar>
              <w:top w:w="80" w:type="dxa"/>
              <w:left w:w="80" w:type="dxa"/>
              <w:bottom w:w="80" w:type="dxa"/>
              <w:right w:w="80" w:type="dxa"/>
            </w:tcMar>
          </w:tcPr>
          <w:p w14:paraId="6A520040" w14:textId="7FF00047" w:rsidR="00E26B0D" w:rsidRPr="00E26B0D" w:rsidRDefault="00E26B0D" w:rsidP="00E26B0D">
            <w:pPr>
              <w:pStyle w:val="NoSpacing"/>
              <w:rPr>
                <w:rFonts w:ascii="Arial" w:hAnsi="Arial" w:cs="Arial"/>
                <w:sz w:val="20"/>
                <w:szCs w:val="20"/>
              </w:rPr>
            </w:pPr>
            <w:r w:rsidRPr="00E26B0D">
              <w:rPr>
                <w:rFonts w:ascii="Arial" w:hAnsi="Arial" w:cs="Arial"/>
                <w:sz w:val="20"/>
                <w:szCs w:val="20"/>
              </w:rPr>
              <w:t>RA</w:t>
            </w:r>
          </w:p>
        </w:tc>
        <w:tc>
          <w:tcPr>
            <w:tcW w:w="1979" w:type="dxa"/>
            <w:tcBorders>
              <w:top w:val="single" w:sz="8" w:space="0" w:color="000000"/>
              <w:left w:val="nil"/>
              <w:bottom w:val="nil"/>
              <w:right w:val="nil"/>
            </w:tcBorders>
            <w:shd w:val="clear" w:color="auto" w:fill="auto"/>
            <w:tcMar>
              <w:top w:w="80" w:type="dxa"/>
              <w:left w:w="80" w:type="dxa"/>
              <w:bottom w:w="80" w:type="dxa"/>
              <w:right w:w="80" w:type="dxa"/>
            </w:tcMar>
          </w:tcPr>
          <w:p w14:paraId="66E08398" w14:textId="15D8FD14" w:rsidR="00E26B0D" w:rsidRPr="00E26B0D" w:rsidRDefault="00E26B0D" w:rsidP="00E26B0D">
            <w:pPr>
              <w:pStyle w:val="Body"/>
              <w:spacing w:after="0"/>
              <w:rPr>
                <w:rFonts w:cs="Arial"/>
                <w:sz w:val="20"/>
                <w:szCs w:val="20"/>
              </w:rPr>
            </w:pPr>
            <w:r w:rsidRPr="00E26B0D">
              <w:rPr>
                <w:rFonts w:cs="Arial"/>
                <w:sz w:val="20"/>
                <w:szCs w:val="20"/>
              </w:rPr>
              <w:t>0.76 (0.67; 0.87)</w:t>
            </w:r>
          </w:p>
        </w:tc>
        <w:tc>
          <w:tcPr>
            <w:tcW w:w="2004" w:type="dxa"/>
            <w:tcBorders>
              <w:top w:val="single" w:sz="8" w:space="0" w:color="000000"/>
              <w:left w:val="nil"/>
              <w:bottom w:val="nil"/>
              <w:right w:val="nil"/>
            </w:tcBorders>
            <w:shd w:val="clear" w:color="auto" w:fill="auto"/>
            <w:tcMar>
              <w:top w:w="80" w:type="dxa"/>
              <w:left w:w="80" w:type="dxa"/>
              <w:bottom w:w="80" w:type="dxa"/>
              <w:right w:w="80" w:type="dxa"/>
            </w:tcMar>
          </w:tcPr>
          <w:p w14:paraId="4E255115" w14:textId="6128BCED" w:rsidR="00E26B0D" w:rsidRPr="00E26B0D" w:rsidRDefault="00E26B0D" w:rsidP="00E26B0D">
            <w:pPr>
              <w:pStyle w:val="NoSpacing"/>
              <w:rPr>
                <w:rFonts w:ascii="Arial" w:hAnsi="Arial" w:cs="Arial"/>
                <w:sz w:val="20"/>
                <w:szCs w:val="20"/>
              </w:rPr>
            </w:pPr>
            <w:r w:rsidRPr="00E26B0D">
              <w:rPr>
                <w:rFonts w:ascii="Arial" w:hAnsi="Arial" w:cs="Arial"/>
                <w:sz w:val="20"/>
                <w:szCs w:val="20"/>
              </w:rPr>
              <w:t>0.74 (0.67; 0.82)</w:t>
            </w:r>
          </w:p>
        </w:tc>
        <w:tc>
          <w:tcPr>
            <w:tcW w:w="2004" w:type="dxa"/>
            <w:tcBorders>
              <w:top w:val="single" w:sz="8" w:space="0" w:color="000000"/>
              <w:left w:val="nil"/>
              <w:bottom w:val="nil"/>
              <w:right w:val="nil"/>
            </w:tcBorders>
            <w:shd w:val="clear" w:color="auto" w:fill="auto"/>
            <w:tcMar>
              <w:top w:w="80" w:type="dxa"/>
              <w:left w:w="80" w:type="dxa"/>
              <w:bottom w:w="80" w:type="dxa"/>
              <w:right w:w="80" w:type="dxa"/>
            </w:tcMar>
          </w:tcPr>
          <w:p w14:paraId="08A47DEE" w14:textId="4D37E13E" w:rsidR="00E26B0D" w:rsidRPr="00E26B0D" w:rsidRDefault="00E26B0D" w:rsidP="00E26B0D">
            <w:pPr>
              <w:pStyle w:val="NoSpacing"/>
              <w:rPr>
                <w:rFonts w:ascii="Arial" w:hAnsi="Arial" w:cs="Arial"/>
                <w:b/>
                <w:sz w:val="20"/>
                <w:szCs w:val="20"/>
              </w:rPr>
            </w:pPr>
            <w:r w:rsidRPr="00E26B0D">
              <w:rPr>
                <w:rFonts w:ascii="Arial" w:hAnsi="Arial" w:cs="Arial"/>
                <w:b/>
                <w:sz w:val="20"/>
                <w:szCs w:val="20"/>
              </w:rPr>
              <w:t>0.69** (0.62; 0.77)</w:t>
            </w:r>
          </w:p>
        </w:tc>
        <w:tc>
          <w:tcPr>
            <w:tcW w:w="2004" w:type="dxa"/>
            <w:tcBorders>
              <w:top w:val="single" w:sz="8" w:space="0" w:color="000000"/>
              <w:left w:val="nil"/>
              <w:bottom w:val="nil"/>
              <w:right w:val="nil"/>
            </w:tcBorders>
            <w:shd w:val="clear" w:color="auto" w:fill="auto"/>
            <w:tcMar>
              <w:top w:w="80" w:type="dxa"/>
              <w:left w:w="80" w:type="dxa"/>
              <w:bottom w:w="80" w:type="dxa"/>
              <w:right w:w="80" w:type="dxa"/>
            </w:tcMar>
          </w:tcPr>
          <w:p w14:paraId="297FCB22" w14:textId="7C13031C" w:rsidR="00E26B0D" w:rsidRPr="00E26B0D" w:rsidRDefault="00E26B0D" w:rsidP="00E26B0D">
            <w:pPr>
              <w:pStyle w:val="NoSpacing"/>
              <w:rPr>
                <w:rFonts w:ascii="Arial" w:hAnsi="Arial" w:cs="Arial"/>
                <w:sz w:val="20"/>
                <w:szCs w:val="20"/>
              </w:rPr>
            </w:pPr>
            <w:r w:rsidRPr="00E26B0D">
              <w:rPr>
                <w:rFonts w:ascii="Arial" w:hAnsi="Arial" w:cs="Arial"/>
                <w:sz w:val="20"/>
                <w:szCs w:val="20"/>
              </w:rPr>
              <w:t>0.75 (0.69; 0.81)</w:t>
            </w:r>
          </w:p>
        </w:tc>
      </w:tr>
      <w:tr w:rsidR="00E26B0D" w14:paraId="033D62CB" w14:textId="77777777" w:rsidTr="00E26B0D">
        <w:trPr>
          <w:trHeight w:val="233"/>
        </w:trPr>
        <w:tc>
          <w:tcPr>
            <w:tcW w:w="1026" w:type="dxa"/>
            <w:tcBorders>
              <w:top w:val="nil"/>
              <w:left w:val="nil"/>
              <w:bottom w:val="nil"/>
              <w:right w:val="nil"/>
            </w:tcBorders>
            <w:shd w:val="clear" w:color="auto" w:fill="auto"/>
            <w:tcMar>
              <w:top w:w="80" w:type="dxa"/>
              <w:left w:w="80" w:type="dxa"/>
              <w:bottom w:w="80" w:type="dxa"/>
              <w:right w:w="80" w:type="dxa"/>
            </w:tcMar>
          </w:tcPr>
          <w:p w14:paraId="7D7E192F" w14:textId="2E1BC2EF" w:rsidR="00E26B0D" w:rsidRPr="00E26B0D" w:rsidRDefault="00E26B0D" w:rsidP="00E26B0D">
            <w:pPr>
              <w:pStyle w:val="NoSpacing"/>
              <w:rPr>
                <w:rFonts w:ascii="Arial" w:hAnsi="Arial" w:cs="Arial"/>
                <w:sz w:val="20"/>
                <w:szCs w:val="20"/>
              </w:rPr>
            </w:pPr>
            <w:r w:rsidRPr="00E26B0D">
              <w:rPr>
                <w:rFonts w:ascii="Arial" w:hAnsi="Arial" w:cs="Arial"/>
                <w:sz w:val="20"/>
                <w:szCs w:val="20"/>
              </w:rPr>
              <w:t>PSM Cox</w:t>
            </w:r>
          </w:p>
        </w:tc>
        <w:tc>
          <w:tcPr>
            <w:tcW w:w="1979" w:type="dxa"/>
            <w:tcBorders>
              <w:top w:val="nil"/>
              <w:left w:val="nil"/>
              <w:bottom w:val="nil"/>
              <w:right w:val="nil"/>
            </w:tcBorders>
            <w:shd w:val="clear" w:color="auto" w:fill="auto"/>
            <w:tcMar>
              <w:top w:w="80" w:type="dxa"/>
              <w:left w:w="80" w:type="dxa"/>
              <w:bottom w:w="80" w:type="dxa"/>
              <w:right w:w="80" w:type="dxa"/>
            </w:tcMar>
          </w:tcPr>
          <w:p w14:paraId="699929A4" w14:textId="24889145" w:rsidR="00E26B0D" w:rsidRPr="00E26B0D" w:rsidRDefault="00E26B0D" w:rsidP="00E26B0D">
            <w:pPr>
              <w:pStyle w:val="Body"/>
              <w:spacing w:after="0"/>
              <w:rPr>
                <w:rFonts w:cs="Arial"/>
                <w:sz w:val="20"/>
                <w:szCs w:val="20"/>
              </w:rPr>
            </w:pPr>
            <w:r w:rsidRPr="00E26B0D">
              <w:rPr>
                <w:rFonts w:cs="Arial"/>
                <w:sz w:val="20"/>
                <w:szCs w:val="20"/>
              </w:rPr>
              <w:t>0.69 (0.57; 0.84)</w:t>
            </w:r>
          </w:p>
        </w:tc>
        <w:tc>
          <w:tcPr>
            <w:tcW w:w="2004" w:type="dxa"/>
            <w:tcBorders>
              <w:top w:val="nil"/>
              <w:left w:val="nil"/>
              <w:bottom w:val="nil"/>
              <w:right w:val="nil"/>
            </w:tcBorders>
            <w:shd w:val="clear" w:color="auto" w:fill="auto"/>
            <w:tcMar>
              <w:top w:w="80" w:type="dxa"/>
              <w:left w:w="80" w:type="dxa"/>
              <w:bottom w:w="80" w:type="dxa"/>
              <w:right w:w="80" w:type="dxa"/>
            </w:tcMar>
          </w:tcPr>
          <w:p w14:paraId="33DF654D" w14:textId="12EC3703" w:rsidR="00E26B0D" w:rsidRPr="00E26B0D" w:rsidRDefault="00E26B0D" w:rsidP="00E26B0D">
            <w:pPr>
              <w:pStyle w:val="NoSpacing"/>
              <w:rPr>
                <w:rFonts w:ascii="Arial" w:hAnsi="Arial" w:cs="Arial"/>
                <w:sz w:val="20"/>
                <w:szCs w:val="20"/>
              </w:rPr>
            </w:pPr>
            <w:r w:rsidRPr="00E26B0D">
              <w:rPr>
                <w:rFonts w:ascii="Arial" w:hAnsi="Arial" w:cs="Arial"/>
                <w:sz w:val="20"/>
                <w:szCs w:val="20"/>
              </w:rPr>
              <w:t>0.71 (0.63; 0.79)</w:t>
            </w:r>
          </w:p>
        </w:tc>
        <w:tc>
          <w:tcPr>
            <w:tcW w:w="2004" w:type="dxa"/>
            <w:tcBorders>
              <w:top w:val="nil"/>
              <w:left w:val="nil"/>
              <w:bottom w:val="nil"/>
              <w:right w:val="nil"/>
            </w:tcBorders>
            <w:shd w:val="clear" w:color="auto" w:fill="auto"/>
            <w:tcMar>
              <w:top w:w="80" w:type="dxa"/>
              <w:left w:w="80" w:type="dxa"/>
              <w:bottom w:w="80" w:type="dxa"/>
              <w:right w:w="80" w:type="dxa"/>
            </w:tcMar>
          </w:tcPr>
          <w:p w14:paraId="1C3E03F5" w14:textId="2B718B6B" w:rsidR="00E26B0D" w:rsidRPr="00E26B0D" w:rsidRDefault="00E26B0D" w:rsidP="00E26B0D">
            <w:pPr>
              <w:pStyle w:val="NoSpacing"/>
              <w:rPr>
                <w:rFonts w:ascii="Arial" w:hAnsi="Arial" w:cs="Arial"/>
                <w:sz w:val="20"/>
                <w:szCs w:val="20"/>
              </w:rPr>
            </w:pPr>
            <w:r w:rsidRPr="00E26B0D">
              <w:rPr>
                <w:rFonts w:ascii="Arial" w:hAnsi="Arial" w:cs="Arial"/>
                <w:sz w:val="20"/>
                <w:szCs w:val="20"/>
              </w:rPr>
              <w:t>0.71 (0.61; 0.83)</w:t>
            </w:r>
          </w:p>
        </w:tc>
        <w:tc>
          <w:tcPr>
            <w:tcW w:w="2004" w:type="dxa"/>
            <w:tcBorders>
              <w:top w:val="nil"/>
              <w:left w:val="nil"/>
              <w:bottom w:val="nil"/>
              <w:right w:val="nil"/>
            </w:tcBorders>
            <w:shd w:val="clear" w:color="auto" w:fill="auto"/>
            <w:tcMar>
              <w:top w:w="80" w:type="dxa"/>
              <w:left w:w="80" w:type="dxa"/>
              <w:bottom w:w="80" w:type="dxa"/>
              <w:right w:w="80" w:type="dxa"/>
            </w:tcMar>
          </w:tcPr>
          <w:p w14:paraId="122A7E56" w14:textId="61482830" w:rsidR="00E26B0D" w:rsidRPr="00E26B0D" w:rsidRDefault="00E26B0D" w:rsidP="00E26B0D">
            <w:pPr>
              <w:pStyle w:val="NoSpacing"/>
              <w:rPr>
                <w:rFonts w:ascii="Arial" w:hAnsi="Arial" w:cs="Arial"/>
                <w:sz w:val="20"/>
                <w:szCs w:val="20"/>
              </w:rPr>
            </w:pPr>
            <w:r w:rsidRPr="00E26B0D">
              <w:rPr>
                <w:rFonts w:ascii="Arial" w:hAnsi="Arial" w:cs="Arial"/>
                <w:sz w:val="20"/>
                <w:szCs w:val="20"/>
              </w:rPr>
              <w:t>0.78 (0.71; 0.86)</w:t>
            </w:r>
          </w:p>
        </w:tc>
      </w:tr>
      <w:tr w:rsidR="00E26B0D" w14:paraId="09D670D9" w14:textId="77777777" w:rsidTr="00E26B0D">
        <w:trPr>
          <w:trHeight w:val="233"/>
        </w:trPr>
        <w:tc>
          <w:tcPr>
            <w:tcW w:w="1026" w:type="dxa"/>
            <w:tcBorders>
              <w:top w:val="nil"/>
              <w:left w:val="nil"/>
              <w:bottom w:val="nil"/>
              <w:right w:val="nil"/>
            </w:tcBorders>
            <w:shd w:val="clear" w:color="auto" w:fill="auto"/>
            <w:tcMar>
              <w:top w:w="80" w:type="dxa"/>
              <w:left w:w="80" w:type="dxa"/>
              <w:bottom w:w="80" w:type="dxa"/>
              <w:right w:w="80" w:type="dxa"/>
            </w:tcMar>
          </w:tcPr>
          <w:p w14:paraId="6503A60A" w14:textId="6AC655BD" w:rsidR="00E26B0D" w:rsidRPr="00E26B0D" w:rsidRDefault="00E26B0D" w:rsidP="00E26B0D">
            <w:pPr>
              <w:pStyle w:val="NoSpacing"/>
              <w:rPr>
                <w:rFonts w:ascii="Arial" w:hAnsi="Arial" w:cs="Arial"/>
                <w:sz w:val="20"/>
                <w:szCs w:val="20"/>
              </w:rPr>
            </w:pPr>
            <w:r w:rsidRPr="00E26B0D">
              <w:rPr>
                <w:rFonts w:ascii="Arial" w:hAnsi="Arial" w:cs="Arial"/>
                <w:sz w:val="20"/>
                <w:szCs w:val="20"/>
              </w:rPr>
              <w:t>PSM LR</w:t>
            </w:r>
          </w:p>
        </w:tc>
        <w:tc>
          <w:tcPr>
            <w:tcW w:w="1979" w:type="dxa"/>
            <w:tcBorders>
              <w:top w:val="nil"/>
              <w:left w:val="nil"/>
              <w:bottom w:val="nil"/>
              <w:right w:val="nil"/>
            </w:tcBorders>
            <w:shd w:val="clear" w:color="auto" w:fill="auto"/>
            <w:tcMar>
              <w:top w:w="80" w:type="dxa"/>
              <w:left w:w="80" w:type="dxa"/>
              <w:bottom w:w="80" w:type="dxa"/>
              <w:right w:w="80" w:type="dxa"/>
            </w:tcMar>
          </w:tcPr>
          <w:p w14:paraId="5805B27D" w14:textId="4566DE9B" w:rsidR="00E26B0D" w:rsidRPr="00E26B0D" w:rsidRDefault="00E26B0D" w:rsidP="00E26B0D">
            <w:pPr>
              <w:pStyle w:val="Body"/>
              <w:spacing w:after="0"/>
              <w:rPr>
                <w:rFonts w:cs="Arial"/>
                <w:sz w:val="20"/>
                <w:szCs w:val="20"/>
              </w:rPr>
            </w:pPr>
            <w:r w:rsidRPr="00E26B0D">
              <w:rPr>
                <w:rFonts w:cs="Arial"/>
                <w:sz w:val="20"/>
                <w:szCs w:val="20"/>
              </w:rPr>
              <w:t>0.77 (0.64; 0.93)</w:t>
            </w:r>
          </w:p>
        </w:tc>
        <w:tc>
          <w:tcPr>
            <w:tcW w:w="2004" w:type="dxa"/>
            <w:tcBorders>
              <w:top w:val="nil"/>
              <w:left w:val="nil"/>
              <w:bottom w:val="nil"/>
              <w:right w:val="nil"/>
            </w:tcBorders>
            <w:shd w:val="clear" w:color="auto" w:fill="auto"/>
            <w:tcMar>
              <w:top w:w="80" w:type="dxa"/>
              <w:left w:w="80" w:type="dxa"/>
              <w:bottom w:w="80" w:type="dxa"/>
              <w:right w:w="80" w:type="dxa"/>
            </w:tcMar>
          </w:tcPr>
          <w:p w14:paraId="6D9D429E" w14:textId="640C72C2" w:rsidR="00E26B0D" w:rsidRPr="00E26B0D" w:rsidRDefault="00E26B0D" w:rsidP="00E26B0D">
            <w:pPr>
              <w:pStyle w:val="NoSpacing"/>
              <w:rPr>
                <w:rFonts w:ascii="Arial" w:hAnsi="Arial" w:cs="Arial"/>
                <w:sz w:val="20"/>
                <w:szCs w:val="20"/>
              </w:rPr>
            </w:pPr>
            <w:r w:rsidRPr="00E26B0D">
              <w:rPr>
                <w:rFonts w:ascii="Arial" w:hAnsi="Arial" w:cs="Arial"/>
                <w:sz w:val="20"/>
                <w:szCs w:val="20"/>
              </w:rPr>
              <w:t>0.74 (0.66; 0.82)</w:t>
            </w:r>
          </w:p>
        </w:tc>
        <w:tc>
          <w:tcPr>
            <w:tcW w:w="2004" w:type="dxa"/>
            <w:tcBorders>
              <w:top w:val="nil"/>
              <w:left w:val="nil"/>
              <w:bottom w:val="nil"/>
              <w:right w:val="nil"/>
            </w:tcBorders>
            <w:shd w:val="clear" w:color="auto" w:fill="auto"/>
            <w:tcMar>
              <w:top w:w="80" w:type="dxa"/>
              <w:left w:w="80" w:type="dxa"/>
              <w:bottom w:w="80" w:type="dxa"/>
              <w:right w:w="80" w:type="dxa"/>
            </w:tcMar>
          </w:tcPr>
          <w:p w14:paraId="4511A61A" w14:textId="0281229B" w:rsidR="00E26B0D" w:rsidRPr="00E26B0D" w:rsidRDefault="00E26B0D" w:rsidP="00E26B0D">
            <w:pPr>
              <w:pStyle w:val="NoSpacing"/>
              <w:rPr>
                <w:rFonts w:ascii="Arial" w:hAnsi="Arial" w:cs="Arial"/>
                <w:b/>
                <w:sz w:val="20"/>
                <w:szCs w:val="20"/>
              </w:rPr>
            </w:pPr>
            <w:r w:rsidRPr="00E26B0D">
              <w:rPr>
                <w:rFonts w:ascii="Arial" w:hAnsi="Arial" w:cs="Arial"/>
                <w:sz w:val="20"/>
                <w:szCs w:val="20"/>
              </w:rPr>
              <w:t>0.73 (0.63; 0.85)</w:t>
            </w:r>
          </w:p>
        </w:tc>
        <w:tc>
          <w:tcPr>
            <w:tcW w:w="2004" w:type="dxa"/>
            <w:tcBorders>
              <w:top w:val="nil"/>
              <w:left w:val="nil"/>
              <w:bottom w:val="nil"/>
              <w:right w:val="nil"/>
            </w:tcBorders>
            <w:shd w:val="clear" w:color="auto" w:fill="auto"/>
            <w:tcMar>
              <w:top w:w="80" w:type="dxa"/>
              <w:left w:w="80" w:type="dxa"/>
              <w:bottom w:w="80" w:type="dxa"/>
              <w:right w:w="80" w:type="dxa"/>
            </w:tcMar>
          </w:tcPr>
          <w:p w14:paraId="511E1347" w14:textId="7631AF38" w:rsidR="00E26B0D" w:rsidRPr="00E26B0D" w:rsidRDefault="00E26B0D" w:rsidP="00E26B0D">
            <w:pPr>
              <w:pStyle w:val="NoSpacing"/>
              <w:rPr>
                <w:rFonts w:ascii="Arial" w:hAnsi="Arial" w:cs="Arial"/>
                <w:sz w:val="20"/>
                <w:szCs w:val="20"/>
              </w:rPr>
            </w:pPr>
            <w:r w:rsidRPr="00E26B0D">
              <w:rPr>
                <w:rFonts w:ascii="Arial" w:hAnsi="Arial" w:cs="Arial"/>
                <w:sz w:val="20"/>
                <w:szCs w:val="20"/>
              </w:rPr>
              <w:t>0.79 (0.71; 0.87)</w:t>
            </w:r>
          </w:p>
        </w:tc>
      </w:tr>
      <w:tr w:rsidR="00E26B0D" w14:paraId="5057D1AD" w14:textId="77777777" w:rsidTr="00E26B0D">
        <w:trPr>
          <w:trHeight w:val="233"/>
        </w:trPr>
        <w:tc>
          <w:tcPr>
            <w:tcW w:w="1026" w:type="dxa"/>
            <w:tcBorders>
              <w:top w:val="nil"/>
              <w:left w:val="nil"/>
              <w:bottom w:val="nil"/>
              <w:right w:val="nil"/>
            </w:tcBorders>
            <w:shd w:val="clear" w:color="auto" w:fill="auto"/>
            <w:tcMar>
              <w:top w:w="80" w:type="dxa"/>
              <w:left w:w="80" w:type="dxa"/>
              <w:bottom w:w="80" w:type="dxa"/>
              <w:right w:w="80" w:type="dxa"/>
            </w:tcMar>
          </w:tcPr>
          <w:p w14:paraId="02B3F773" w14:textId="29DAD448" w:rsidR="00E26B0D" w:rsidRPr="00E26B0D" w:rsidRDefault="00E26B0D" w:rsidP="00E26B0D">
            <w:pPr>
              <w:pStyle w:val="NoSpacing"/>
              <w:rPr>
                <w:rFonts w:ascii="Arial" w:hAnsi="Arial" w:cs="Arial"/>
                <w:sz w:val="20"/>
                <w:szCs w:val="20"/>
              </w:rPr>
            </w:pPr>
            <w:r w:rsidRPr="00E26B0D">
              <w:rPr>
                <w:rFonts w:ascii="Arial" w:hAnsi="Arial" w:cs="Arial"/>
                <w:sz w:val="20"/>
                <w:szCs w:val="20"/>
              </w:rPr>
              <w:t>IV1</w:t>
            </w:r>
          </w:p>
        </w:tc>
        <w:tc>
          <w:tcPr>
            <w:tcW w:w="1979" w:type="dxa"/>
            <w:tcBorders>
              <w:top w:val="nil"/>
              <w:left w:val="nil"/>
              <w:bottom w:val="nil"/>
              <w:right w:val="nil"/>
            </w:tcBorders>
            <w:shd w:val="clear" w:color="auto" w:fill="auto"/>
            <w:tcMar>
              <w:top w:w="80" w:type="dxa"/>
              <w:left w:w="80" w:type="dxa"/>
              <w:bottom w:w="80" w:type="dxa"/>
              <w:right w:w="80" w:type="dxa"/>
            </w:tcMar>
          </w:tcPr>
          <w:p w14:paraId="4D28963F" w14:textId="0A95073A" w:rsidR="00E26B0D" w:rsidRPr="00E26B0D" w:rsidRDefault="00E26B0D" w:rsidP="00E26B0D">
            <w:pPr>
              <w:pStyle w:val="Body"/>
              <w:spacing w:after="0"/>
              <w:rPr>
                <w:rFonts w:cs="Arial"/>
                <w:sz w:val="20"/>
                <w:szCs w:val="20"/>
              </w:rPr>
            </w:pPr>
            <w:r w:rsidRPr="00E26B0D">
              <w:rPr>
                <w:rFonts w:cs="Arial"/>
                <w:sz w:val="20"/>
                <w:szCs w:val="20"/>
              </w:rPr>
              <w:t>0.91 (0.70; 1.20)</w:t>
            </w:r>
          </w:p>
        </w:tc>
        <w:tc>
          <w:tcPr>
            <w:tcW w:w="2004" w:type="dxa"/>
            <w:tcBorders>
              <w:top w:val="nil"/>
              <w:left w:val="nil"/>
              <w:bottom w:val="nil"/>
              <w:right w:val="nil"/>
            </w:tcBorders>
            <w:shd w:val="clear" w:color="auto" w:fill="auto"/>
            <w:tcMar>
              <w:top w:w="80" w:type="dxa"/>
              <w:left w:w="80" w:type="dxa"/>
              <w:bottom w:w="80" w:type="dxa"/>
              <w:right w:w="80" w:type="dxa"/>
            </w:tcMar>
          </w:tcPr>
          <w:p w14:paraId="2918D3D2" w14:textId="2FFA7C5B" w:rsidR="00E26B0D" w:rsidRPr="00E26B0D" w:rsidRDefault="00E26B0D" w:rsidP="00E26B0D">
            <w:pPr>
              <w:pStyle w:val="NoSpacing"/>
              <w:rPr>
                <w:rFonts w:ascii="Arial" w:hAnsi="Arial" w:cs="Arial"/>
                <w:sz w:val="20"/>
                <w:szCs w:val="20"/>
              </w:rPr>
            </w:pPr>
            <w:r w:rsidRPr="00E26B0D">
              <w:rPr>
                <w:rFonts w:ascii="Arial" w:hAnsi="Arial" w:cs="Arial"/>
                <w:sz w:val="20"/>
                <w:szCs w:val="20"/>
              </w:rPr>
              <w:t>0.75 (0.66; 0.86)</w:t>
            </w:r>
          </w:p>
        </w:tc>
        <w:tc>
          <w:tcPr>
            <w:tcW w:w="2004" w:type="dxa"/>
            <w:tcBorders>
              <w:top w:val="nil"/>
              <w:left w:val="nil"/>
              <w:bottom w:val="nil"/>
              <w:right w:val="nil"/>
            </w:tcBorders>
            <w:shd w:val="clear" w:color="auto" w:fill="auto"/>
            <w:tcMar>
              <w:top w:w="80" w:type="dxa"/>
              <w:left w:w="80" w:type="dxa"/>
              <w:bottom w:w="80" w:type="dxa"/>
              <w:right w:w="80" w:type="dxa"/>
            </w:tcMar>
          </w:tcPr>
          <w:p w14:paraId="3882DD1B" w14:textId="7E1A807C" w:rsidR="00E26B0D" w:rsidRPr="00E26B0D" w:rsidRDefault="00E26B0D" w:rsidP="00E26B0D">
            <w:pPr>
              <w:pStyle w:val="NoSpacing"/>
              <w:rPr>
                <w:rFonts w:ascii="Arial" w:hAnsi="Arial" w:cs="Arial"/>
                <w:sz w:val="20"/>
                <w:szCs w:val="20"/>
              </w:rPr>
            </w:pPr>
            <w:r w:rsidRPr="00E26B0D">
              <w:rPr>
                <w:rFonts w:ascii="Arial" w:hAnsi="Arial" w:cs="Arial"/>
                <w:sz w:val="20"/>
                <w:szCs w:val="20"/>
              </w:rPr>
              <w:t>0.78 (0.61; 1.00)</w:t>
            </w:r>
          </w:p>
        </w:tc>
        <w:tc>
          <w:tcPr>
            <w:tcW w:w="2004" w:type="dxa"/>
            <w:tcBorders>
              <w:top w:val="nil"/>
              <w:left w:val="nil"/>
              <w:bottom w:val="nil"/>
              <w:right w:val="nil"/>
            </w:tcBorders>
            <w:shd w:val="clear" w:color="auto" w:fill="auto"/>
            <w:tcMar>
              <w:top w:w="80" w:type="dxa"/>
              <w:left w:w="80" w:type="dxa"/>
              <w:bottom w:w="80" w:type="dxa"/>
              <w:right w:w="80" w:type="dxa"/>
            </w:tcMar>
          </w:tcPr>
          <w:p w14:paraId="0F692908" w14:textId="370DA03E" w:rsidR="00E26B0D" w:rsidRPr="00E26B0D" w:rsidRDefault="00E26B0D" w:rsidP="00E26B0D">
            <w:pPr>
              <w:pStyle w:val="NoSpacing"/>
              <w:rPr>
                <w:rFonts w:ascii="Arial" w:hAnsi="Arial" w:cs="Arial"/>
                <w:sz w:val="20"/>
                <w:szCs w:val="20"/>
              </w:rPr>
            </w:pPr>
            <w:r w:rsidRPr="00E26B0D">
              <w:rPr>
                <w:rFonts w:ascii="Arial" w:hAnsi="Arial" w:cs="Arial"/>
                <w:sz w:val="20"/>
                <w:szCs w:val="20"/>
              </w:rPr>
              <w:t>0.82 (0.73; 0.91)</w:t>
            </w:r>
          </w:p>
        </w:tc>
      </w:tr>
      <w:tr w:rsidR="00E26B0D" w14:paraId="7E5E91C9" w14:textId="77777777" w:rsidTr="00E26B0D">
        <w:trPr>
          <w:trHeight w:val="233"/>
        </w:trPr>
        <w:tc>
          <w:tcPr>
            <w:tcW w:w="1026" w:type="dxa"/>
            <w:tcBorders>
              <w:top w:val="nil"/>
              <w:left w:val="nil"/>
              <w:bottom w:val="single" w:sz="8" w:space="0" w:color="000000"/>
              <w:right w:val="nil"/>
            </w:tcBorders>
            <w:shd w:val="clear" w:color="auto" w:fill="auto"/>
            <w:tcMar>
              <w:top w:w="80" w:type="dxa"/>
              <w:left w:w="80" w:type="dxa"/>
              <w:bottom w:w="80" w:type="dxa"/>
              <w:right w:w="80" w:type="dxa"/>
            </w:tcMar>
          </w:tcPr>
          <w:p w14:paraId="5413B569" w14:textId="62482CDD" w:rsidR="00E26B0D" w:rsidRPr="00E26B0D" w:rsidRDefault="00E26B0D" w:rsidP="00E26B0D">
            <w:pPr>
              <w:pStyle w:val="NoSpacing"/>
              <w:rPr>
                <w:rFonts w:ascii="Arial" w:hAnsi="Arial" w:cs="Arial"/>
                <w:sz w:val="20"/>
                <w:szCs w:val="20"/>
              </w:rPr>
            </w:pPr>
            <w:r w:rsidRPr="00E26B0D">
              <w:rPr>
                <w:rFonts w:ascii="Arial" w:hAnsi="Arial" w:cs="Arial"/>
                <w:sz w:val="20"/>
                <w:szCs w:val="20"/>
              </w:rPr>
              <w:t>IV2</w:t>
            </w:r>
          </w:p>
        </w:tc>
        <w:tc>
          <w:tcPr>
            <w:tcW w:w="1979" w:type="dxa"/>
            <w:tcBorders>
              <w:top w:val="nil"/>
              <w:left w:val="nil"/>
              <w:bottom w:val="single" w:sz="8" w:space="0" w:color="000000"/>
              <w:right w:val="nil"/>
            </w:tcBorders>
            <w:shd w:val="clear" w:color="auto" w:fill="auto"/>
            <w:tcMar>
              <w:top w:w="80" w:type="dxa"/>
              <w:left w:w="80" w:type="dxa"/>
              <w:bottom w:w="80" w:type="dxa"/>
              <w:right w:w="80" w:type="dxa"/>
            </w:tcMar>
          </w:tcPr>
          <w:p w14:paraId="132355A3" w14:textId="173684B8" w:rsidR="00E26B0D" w:rsidRPr="00E26B0D" w:rsidRDefault="00E26B0D" w:rsidP="00E26B0D">
            <w:pPr>
              <w:pStyle w:val="Body"/>
              <w:spacing w:after="0"/>
              <w:rPr>
                <w:rFonts w:cs="Arial"/>
                <w:sz w:val="20"/>
                <w:szCs w:val="20"/>
              </w:rPr>
            </w:pPr>
            <w:r w:rsidRPr="00E26B0D">
              <w:rPr>
                <w:rFonts w:cs="Arial"/>
                <w:sz w:val="20"/>
                <w:szCs w:val="20"/>
              </w:rPr>
              <w:t>0.85 (0.64; 1.13)</w:t>
            </w:r>
          </w:p>
        </w:tc>
        <w:tc>
          <w:tcPr>
            <w:tcW w:w="2004" w:type="dxa"/>
            <w:tcBorders>
              <w:top w:val="nil"/>
              <w:left w:val="nil"/>
              <w:bottom w:val="single" w:sz="8" w:space="0" w:color="000000"/>
              <w:right w:val="nil"/>
            </w:tcBorders>
            <w:shd w:val="clear" w:color="auto" w:fill="auto"/>
            <w:tcMar>
              <w:top w:w="80" w:type="dxa"/>
              <w:left w:w="80" w:type="dxa"/>
              <w:bottom w:w="80" w:type="dxa"/>
              <w:right w:w="80" w:type="dxa"/>
            </w:tcMar>
          </w:tcPr>
          <w:p w14:paraId="4D99158C" w14:textId="69CD3D09" w:rsidR="00E26B0D" w:rsidRPr="00E26B0D" w:rsidRDefault="00E26B0D" w:rsidP="00E26B0D">
            <w:pPr>
              <w:pStyle w:val="NoSpacing"/>
              <w:rPr>
                <w:rFonts w:ascii="Arial" w:hAnsi="Arial" w:cs="Arial"/>
                <w:sz w:val="20"/>
                <w:szCs w:val="20"/>
              </w:rPr>
            </w:pPr>
            <w:r w:rsidRPr="00E26B0D">
              <w:rPr>
                <w:rFonts w:ascii="Arial" w:hAnsi="Arial" w:cs="Arial"/>
                <w:sz w:val="20"/>
                <w:szCs w:val="20"/>
              </w:rPr>
              <w:t>0.74 (0.65; 0.84)</w:t>
            </w:r>
          </w:p>
        </w:tc>
        <w:tc>
          <w:tcPr>
            <w:tcW w:w="2004" w:type="dxa"/>
            <w:tcBorders>
              <w:top w:val="nil"/>
              <w:left w:val="nil"/>
              <w:bottom w:val="single" w:sz="8" w:space="0" w:color="000000"/>
              <w:right w:val="nil"/>
            </w:tcBorders>
            <w:shd w:val="clear" w:color="auto" w:fill="auto"/>
            <w:tcMar>
              <w:top w:w="80" w:type="dxa"/>
              <w:left w:w="80" w:type="dxa"/>
              <w:bottom w:w="80" w:type="dxa"/>
              <w:right w:w="80" w:type="dxa"/>
            </w:tcMar>
          </w:tcPr>
          <w:p w14:paraId="04DC72B5" w14:textId="27F638F4" w:rsidR="00E26B0D" w:rsidRPr="00E26B0D" w:rsidRDefault="00E26B0D" w:rsidP="00E26B0D">
            <w:pPr>
              <w:pStyle w:val="NoSpacing"/>
              <w:rPr>
                <w:rFonts w:ascii="Arial" w:hAnsi="Arial" w:cs="Arial"/>
                <w:sz w:val="20"/>
                <w:szCs w:val="20"/>
              </w:rPr>
            </w:pPr>
            <w:r w:rsidRPr="00E26B0D">
              <w:rPr>
                <w:rFonts w:ascii="Arial" w:hAnsi="Arial" w:cs="Arial"/>
                <w:sz w:val="20"/>
                <w:szCs w:val="20"/>
              </w:rPr>
              <w:t>0.74 (0.57; 0.95)</w:t>
            </w:r>
          </w:p>
        </w:tc>
        <w:tc>
          <w:tcPr>
            <w:tcW w:w="2004" w:type="dxa"/>
            <w:tcBorders>
              <w:top w:val="nil"/>
              <w:left w:val="nil"/>
              <w:bottom w:val="single" w:sz="8" w:space="0" w:color="000000"/>
              <w:right w:val="nil"/>
            </w:tcBorders>
            <w:shd w:val="clear" w:color="auto" w:fill="auto"/>
            <w:tcMar>
              <w:top w:w="80" w:type="dxa"/>
              <w:left w:w="80" w:type="dxa"/>
              <w:bottom w:w="80" w:type="dxa"/>
              <w:right w:w="80" w:type="dxa"/>
            </w:tcMar>
          </w:tcPr>
          <w:p w14:paraId="18292AE0" w14:textId="4153730A" w:rsidR="00E26B0D" w:rsidRPr="00E26B0D" w:rsidRDefault="00E26B0D" w:rsidP="00E26B0D">
            <w:pPr>
              <w:pStyle w:val="NoSpacing"/>
              <w:rPr>
                <w:rFonts w:ascii="Arial" w:hAnsi="Arial" w:cs="Arial"/>
                <w:sz w:val="20"/>
                <w:szCs w:val="20"/>
              </w:rPr>
            </w:pPr>
            <w:r w:rsidRPr="00E26B0D">
              <w:rPr>
                <w:rFonts w:ascii="Arial" w:hAnsi="Arial" w:cs="Arial"/>
                <w:sz w:val="20"/>
                <w:szCs w:val="20"/>
              </w:rPr>
              <w:t>0.81 (0.72; 0.91)</w:t>
            </w:r>
          </w:p>
        </w:tc>
      </w:tr>
      <w:tr w:rsidR="005B6D6D" w14:paraId="49B6EA16" w14:textId="77777777" w:rsidTr="005B6D6D">
        <w:trPr>
          <w:trHeight w:val="257"/>
        </w:trPr>
        <w:tc>
          <w:tcPr>
            <w:tcW w:w="9017" w:type="dxa"/>
            <w:gridSpan w:val="5"/>
            <w:tcBorders>
              <w:top w:val="single" w:sz="8" w:space="0" w:color="000000"/>
              <w:left w:val="nil"/>
              <w:bottom w:val="single" w:sz="8" w:space="0" w:color="auto"/>
              <w:right w:val="nil"/>
            </w:tcBorders>
            <w:shd w:val="clear" w:color="auto" w:fill="auto"/>
            <w:tcMar>
              <w:top w:w="80" w:type="dxa"/>
              <w:left w:w="80" w:type="dxa"/>
              <w:bottom w:w="80" w:type="dxa"/>
              <w:right w:w="80" w:type="dxa"/>
            </w:tcMar>
          </w:tcPr>
          <w:p w14:paraId="12650D2B" w14:textId="229FCE68" w:rsidR="005B6D6D" w:rsidRDefault="005B6D6D" w:rsidP="005B6D6D">
            <w:pPr>
              <w:pStyle w:val="NoSpacing"/>
            </w:pPr>
            <w:r>
              <w:rPr>
                <w:rFonts w:ascii="Arial" w:hAnsi="Arial"/>
                <w:b/>
                <w:bCs/>
                <w:sz w:val="20"/>
                <w:szCs w:val="20"/>
              </w:rPr>
              <w:t>RWE estimates (full cohort)</w:t>
            </w:r>
          </w:p>
        </w:tc>
      </w:tr>
      <w:tr w:rsidR="00E26B0D" w14:paraId="2F1B0146" w14:textId="77777777" w:rsidTr="00E26B0D">
        <w:trPr>
          <w:trHeight w:val="233"/>
        </w:trPr>
        <w:tc>
          <w:tcPr>
            <w:tcW w:w="1026" w:type="dxa"/>
            <w:tcBorders>
              <w:top w:val="single" w:sz="8" w:space="0" w:color="auto"/>
              <w:left w:val="nil"/>
              <w:bottom w:val="nil"/>
              <w:right w:val="nil"/>
            </w:tcBorders>
            <w:shd w:val="clear" w:color="auto" w:fill="auto"/>
            <w:tcMar>
              <w:top w:w="80" w:type="dxa"/>
              <w:left w:w="80" w:type="dxa"/>
              <w:bottom w:w="80" w:type="dxa"/>
              <w:right w:w="80" w:type="dxa"/>
            </w:tcMar>
          </w:tcPr>
          <w:p w14:paraId="093F2211" w14:textId="65183BD5" w:rsidR="00E26B0D" w:rsidRPr="00E26B0D" w:rsidRDefault="00E26B0D" w:rsidP="00E26B0D">
            <w:pPr>
              <w:pStyle w:val="NoSpacing"/>
              <w:rPr>
                <w:rFonts w:ascii="Arial" w:hAnsi="Arial" w:cs="Arial"/>
                <w:sz w:val="20"/>
                <w:szCs w:val="20"/>
              </w:rPr>
            </w:pPr>
            <w:r w:rsidRPr="00E26B0D">
              <w:rPr>
                <w:rFonts w:ascii="Arial" w:hAnsi="Arial" w:cs="Arial"/>
                <w:sz w:val="20"/>
                <w:szCs w:val="20"/>
              </w:rPr>
              <w:t>RA</w:t>
            </w:r>
          </w:p>
        </w:tc>
        <w:tc>
          <w:tcPr>
            <w:tcW w:w="1979" w:type="dxa"/>
            <w:tcBorders>
              <w:top w:val="single" w:sz="8" w:space="0" w:color="auto"/>
              <w:left w:val="nil"/>
              <w:bottom w:val="nil"/>
              <w:right w:val="nil"/>
            </w:tcBorders>
            <w:shd w:val="clear" w:color="auto" w:fill="auto"/>
            <w:tcMar>
              <w:top w:w="80" w:type="dxa"/>
              <w:left w:w="80" w:type="dxa"/>
              <w:bottom w:w="80" w:type="dxa"/>
              <w:right w:w="80" w:type="dxa"/>
            </w:tcMar>
          </w:tcPr>
          <w:p w14:paraId="560A9202" w14:textId="6B11B8A6" w:rsidR="00E26B0D" w:rsidRPr="00E26B0D" w:rsidRDefault="00E26B0D" w:rsidP="00E26B0D">
            <w:pPr>
              <w:pStyle w:val="NoSpacing"/>
              <w:rPr>
                <w:rFonts w:ascii="Arial" w:hAnsi="Arial" w:cs="Arial"/>
                <w:sz w:val="20"/>
                <w:szCs w:val="20"/>
              </w:rPr>
            </w:pPr>
            <w:r w:rsidRPr="00E26B0D">
              <w:rPr>
                <w:rFonts w:ascii="Arial" w:hAnsi="Arial" w:cs="Arial"/>
                <w:sz w:val="20"/>
                <w:szCs w:val="20"/>
              </w:rPr>
              <w:t>0.82 (0.75; 0.89)</w:t>
            </w:r>
          </w:p>
        </w:tc>
        <w:tc>
          <w:tcPr>
            <w:tcW w:w="2004" w:type="dxa"/>
            <w:tcBorders>
              <w:top w:val="single" w:sz="8" w:space="0" w:color="auto"/>
              <w:left w:val="nil"/>
              <w:bottom w:val="nil"/>
              <w:right w:val="nil"/>
            </w:tcBorders>
            <w:shd w:val="clear" w:color="auto" w:fill="auto"/>
            <w:tcMar>
              <w:top w:w="80" w:type="dxa"/>
              <w:left w:w="80" w:type="dxa"/>
              <w:bottom w:w="80" w:type="dxa"/>
              <w:right w:w="80" w:type="dxa"/>
            </w:tcMar>
          </w:tcPr>
          <w:p w14:paraId="6E903A87" w14:textId="00B6D516" w:rsidR="00E26B0D" w:rsidRPr="00E26B0D" w:rsidRDefault="00E26B0D" w:rsidP="00E26B0D">
            <w:pPr>
              <w:pStyle w:val="NoSpacing"/>
              <w:rPr>
                <w:rFonts w:ascii="Arial" w:hAnsi="Arial" w:cs="Arial"/>
                <w:sz w:val="20"/>
                <w:szCs w:val="20"/>
              </w:rPr>
            </w:pPr>
            <w:r w:rsidRPr="00E26B0D">
              <w:rPr>
                <w:rFonts w:ascii="Arial" w:hAnsi="Arial" w:cs="Arial"/>
                <w:sz w:val="20"/>
                <w:szCs w:val="20"/>
              </w:rPr>
              <w:t>0.79 (0.73; 0.85)</w:t>
            </w:r>
          </w:p>
        </w:tc>
        <w:tc>
          <w:tcPr>
            <w:tcW w:w="2004" w:type="dxa"/>
            <w:tcBorders>
              <w:top w:val="single" w:sz="8" w:space="0" w:color="auto"/>
              <w:left w:val="nil"/>
              <w:bottom w:val="nil"/>
              <w:right w:val="nil"/>
            </w:tcBorders>
            <w:shd w:val="clear" w:color="auto" w:fill="auto"/>
            <w:tcMar>
              <w:top w:w="80" w:type="dxa"/>
              <w:left w:w="80" w:type="dxa"/>
              <w:bottom w:w="80" w:type="dxa"/>
              <w:right w:w="80" w:type="dxa"/>
            </w:tcMar>
          </w:tcPr>
          <w:p w14:paraId="2E224B26" w14:textId="4657449A" w:rsidR="00E26B0D" w:rsidRPr="00E26B0D" w:rsidRDefault="00E26B0D" w:rsidP="00E26B0D">
            <w:pPr>
              <w:pStyle w:val="NoSpacing"/>
              <w:rPr>
                <w:rFonts w:ascii="Arial" w:hAnsi="Arial" w:cs="Arial"/>
                <w:sz w:val="20"/>
                <w:szCs w:val="20"/>
              </w:rPr>
            </w:pPr>
            <w:r w:rsidRPr="00E26B0D">
              <w:rPr>
                <w:rFonts w:ascii="Arial" w:hAnsi="Arial" w:cs="Arial"/>
                <w:sz w:val="20"/>
                <w:szCs w:val="20"/>
              </w:rPr>
              <w:t>0.77 (0.72; 0.83)</w:t>
            </w:r>
          </w:p>
        </w:tc>
        <w:tc>
          <w:tcPr>
            <w:tcW w:w="2004" w:type="dxa"/>
            <w:tcBorders>
              <w:top w:val="single" w:sz="8" w:space="0" w:color="auto"/>
              <w:left w:val="nil"/>
              <w:bottom w:val="nil"/>
              <w:right w:val="nil"/>
            </w:tcBorders>
            <w:shd w:val="clear" w:color="auto" w:fill="auto"/>
            <w:tcMar>
              <w:top w:w="80" w:type="dxa"/>
              <w:left w:w="80" w:type="dxa"/>
              <w:bottom w:w="80" w:type="dxa"/>
              <w:right w:w="80" w:type="dxa"/>
            </w:tcMar>
          </w:tcPr>
          <w:p w14:paraId="74A9BF40" w14:textId="30A400B7" w:rsidR="00E26B0D" w:rsidRPr="00E26B0D" w:rsidRDefault="00E26B0D" w:rsidP="00E26B0D">
            <w:pPr>
              <w:pStyle w:val="NoSpacing"/>
              <w:rPr>
                <w:rFonts w:ascii="Arial" w:hAnsi="Arial" w:cs="Arial"/>
                <w:sz w:val="20"/>
                <w:szCs w:val="20"/>
              </w:rPr>
            </w:pPr>
            <w:r w:rsidRPr="00E26B0D">
              <w:rPr>
                <w:rFonts w:ascii="Arial" w:hAnsi="Arial" w:cs="Arial"/>
                <w:sz w:val="20"/>
                <w:szCs w:val="20"/>
              </w:rPr>
              <w:t>0.78 (0.74; 0.83)</w:t>
            </w:r>
          </w:p>
        </w:tc>
      </w:tr>
      <w:tr w:rsidR="00E26B0D" w14:paraId="10649172" w14:textId="77777777" w:rsidTr="00E26B0D">
        <w:trPr>
          <w:trHeight w:val="233"/>
        </w:trPr>
        <w:tc>
          <w:tcPr>
            <w:tcW w:w="1026" w:type="dxa"/>
            <w:tcBorders>
              <w:top w:val="nil"/>
              <w:left w:val="nil"/>
              <w:bottom w:val="nil"/>
              <w:right w:val="nil"/>
            </w:tcBorders>
            <w:shd w:val="clear" w:color="auto" w:fill="auto"/>
            <w:tcMar>
              <w:top w:w="80" w:type="dxa"/>
              <w:left w:w="80" w:type="dxa"/>
              <w:bottom w:w="80" w:type="dxa"/>
              <w:right w:w="80" w:type="dxa"/>
            </w:tcMar>
          </w:tcPr>
          <w:p w14:paraId="3A0C9A32" w14:textId="33FA3678" w:rsidR="00E26B0D" w:rsidRPr="00E26B0D" w:rsidRDefault="00E26B0D" w:rsidP="00E26B0D">
            <w:pPr>
              <w:pStyle w:val="NoSpacing"/>
              <w:rPr>
                <w:rFonts w:ascii="Arial" w:hAnsi="Arial" w:cs="Arial"/>
                <w:sz w:val="20"/>
                <w:szCs w:val="20"/>
              </w:rPr>
            </w:pPr>
            <w:r w:rsidRPr="00E26B0D">
              <w:rPr>
                <w:rFonts w:ascii="Arial" w:hAnsi="Arial" w:cs="Arial"/>
                <w:sz w:val="20"/>
                <w:szCs w:val="20"/>
              </w:rPr>
              <w:t>PSM Cox</w:t>
            </w:r>
          </w:p>
        </w:tc>
        <w:tc>
          <w:tcPr>
            <w:tcW w:w="1979" w:type="dxa"/>
            <w:tcBorders>
              <w:top w:val="nil"/>
              <w:left w:val="nil"/>
              <w:bottom w:val="nil"/>
              <w:right w:val="nil"/>
            </w:tcBorders>
            <w:shd w:val="clear" w:color="auto" w:fill="auto"/>
            <w:tcMar>
              <w:top w:w="80" w:type="dxa"/>
              <w:left w:w="80" w:type="dxa"/>
              <w:bottom w:w="80" w:type="dxa"/>
              <w:right w:w="80" w:type="dxa"/>
            </w:tcMar>
          </w:tcPr>
          <w:p w14:paraId="108439BF" w14:textId="58A3A4A3" w:rsidR="00E26B0D" w:rsidRPr="00E26B0D" w:rsidRDefault="00E26B0D" w:rsidP="00E26B0D">
            <w:pPr>
              <w:pStyle w:val="NoSpacing"/>
              <w:rPr>
                <w:rFonts w:ascii="Arial" w:hAnsi="Arial" w:cs="Arial"/>
                <w:sz w:val="20"/>
                <w:szCs w:val="20"/>
              </w:rPr>
            </w:pPr>
            <w:r w:rsidRPr="00E26B0D">
              <w:rPr>
                <w:rFonts w:ascii="Arial" w:hAnsi="Arial" w:cs="Arial"/>
                <w:sz w:val="20"/>
                <w:szCs w:val="20"/>
              </w:rPr>
              <w:t>0.66 (0.59; 0.74)</w:t>
            </w:r>
          </w:p>
        </w:tc>
        <w:tc>
          <w:tcPr>
            <w:tcW w:w="2004" w:type="dxa"/>
            <w:tcBorders>
              <w:top w:val="nil"/>
              <w:left w:val="nil"/>
              <w:bottom w:val="nil"/>
              <w:right w:val="nil"/>
            </w:tcBorders>
            <w:shd w:val="clear" w:color="auto" w:fill="auto"/>
            <w:tcMar>
              <w:top w:w="80" w:type="dxa"/>
              <w:left w:w="80" w:type="dxa"/>
              <w:bottom w:w="80" w:type="dxa"/>
              <w:right w:w="80" w:type="dxa"/>
            </w:tcMar>
          </w:tcPr>
          <w:p w14:paraId="3BA81619" w14:textId="4806537A" w:rsidR="00E26B0D" w:rsidRPr="00E26B0D" w:rsidRDefault="00E26B0D" w:rsidP="00E26B0D">
            <w:pPr>
              <w:pStyle w:val="NoSpacing"/>
              <w:rPr>
                <w:rFonts w:ascii="Arial" w:hAnsi="Arial" w:cs="Arial"/>
                <w:sz w:val="20"/>
                <w:szCs w:val="20"/>
              </w:rPr>
            </w:pPr>
            <w:r w:rsidRPr="00E26B0D">
              <w:rPr>
                <w:rFonts w:ascii="Arial" w:hAnsi="Arial" w:cs="Arial"/>
                <w:sz w:val="20"/>
                <w:szCs w:val="20"/>
              </w:rPr>
              <w:t>0.68 (0.62; 0.75)</w:t>
            </w:r>
          </w:p>
        </w:tc>
        <w:tc>
          <w:tcPr>
            <w:tcW w:w="2004" w:type="dxa"/>
            <w:tcBorders>
              <w:top w:val="nil"/>
              <w:left w:val="nil"/>
              <w:bottom w:val="nil"/>
              <w:right w:val="nil"/>
            </w:tcBorders>
            <w:shd w:val="clear" w:color="auto" w:fill="auto"/>
            <w:tcMar>
              <w:top w:w="80" w:type="dxa"/>
              <w:left w:w="80" w:type="dxa"/>
              <w:bottom w:w="80" w:type="dxa"/>
              <w:right w:w="80" w:type="dxa"/>
            </w:tcMar>
          </w:tcPr>
          <w:p w14:paraId="3A64A263" w14:textId="3AC62EE5" w:rsidR="00E26B0D" w:rsidRPr="00E26B0D" w:rsidRDefault="00E26B0D" w:rsidP="00E26B0D">
            <w:pPr>
              <w:pStyle w:val="NoSpacing"/>
              <w:rPr>
                <w:rFonts w:ascii="Arial" w:hAnsi="Arial" w:cs="Arial"/>
                <w:b/>
                <w:sz w:val="20"/>
                <w:szCs w:val="20"/>
              </w:rPr>
            </w:pPr>
            <w:r w:rsidRPr="00E26B0D">
              <w:rPr>
                <w:rFonts w:ascii="Arial" w:hAnsi="Arial" w:cs="Arial"/>
                <w:b/>
                <w:sz w:val="20"/>
                <w:szCs w:val="20"/>
              </w:rPr>
              <w:t>0.67** (0.61; 0.74)</w:t>
            </w:r>
          </w:p>
        </w:tc>
        <w:tc>
          <w:tcPr>
            <w:tcW w:w="2004" w:type="dxa"/>
            <w:tcBorders>
              <w:top w:val="nil"/>
              <w:left w:val="nil"/>
              <w:bottom w:val="nil"/>
              <w:right w:val="nil"/>
            </w:tcBorders>
            <w:shd w:val="clear" w:color="auto" w:fill="auto"/>
            <w:tcMar>
              <w:top w:w="80" w:type="dxa"/>
              <w:left w:w="80" w:type="dxa"/>
              <w:bottom w:w="80" w:type="dxa"/>
              <w:right w:w="80" w:type="dxa"/>
            </w:tcMar>
          </w:tcPr>
          <w:p w14:paraId="41B6799F" w14:textId="40096546" w:rsidR="00E26B0D" w:rsidRPr="00E26B0D" w:rsidRDefault="00E26B0D" w:rsidP="00E26B0D">
            <w:pPr>
              <w:pStyle w:val="NoSpacing"/>
              <w:rPr>
                <w:rFonts w:ascii="Arial" w:hAnsi="Arial" w:cs="Arial"/>
                <w:sz w:val="20"/>
                <w:szCs w:val="20"/>
              </w:rPr>
            </w:pPr>
            <w:r w:rsidRPr="00E26B0D">
              <w:rPr>
                <w:rFonts w:ascii="Arial" w:hAnsi="Arial" w:cs="Arial"/>
                <w:sz w:val="20"/>
                <w:szCs w:val="20"/>
              </w:rPr>
              <w:t>0.75 (0.67; 0.85)</w:t>
            </w:r>
          </w:p>
        </w:tc>
      </w:tr>
      <w:tr w:rsidR="00E26B0D" w14:paraId="223625EB" w14:textId="77777777" w:rsidTr="00E26B0D">
        <w:trPr>
          <w:trHeight w:val="233"/>
        </w:trPr>
        <w:tc>
          <w:tcPr>
            <w:tcW w:w="1026" w:type="dxa"/>
            <w:tcBorders>
              <w:top w:val="nil"/>
              <w:left w:val="nil"/>
              <w:bottom w:val="nil"/>
              <w:right w:val="nil"/>
            </w:tcBorders>
            <w:shd w:val="clear" w:color="auto" w:fill="auto"/>
            <w:tcMar>
              <w:top w:w="80" w:type="dxa"/>
              <w:left w:w="80" w:type="dxa"/>
              <w:bottom w:w="80" w:type="dxa"/>
              <w:right w:w="80" w:type="dxa"/>
            </w:tcMar>
          </w:tcPr>
          <w:p w14:paraId="7D2C7D3B" w14:textId="795668CA" w:rsidR="00E26B0D" w:rsidRPr="00E26B0D" w:rsidRDefault="00E26B0D" w:rsidP="00E26B0D">
            <w:pPr>
              <w:pStyle w:val="NoSpacing"/>
              <w:rPr>
                <w:rFonts w:ascii="Arial" w:hAnsi="Arial" w:cs="Arial"/>
                <w:sz w:val="20"/>
                <w:szCs w:val="20"/>
              </w:rPr>
            </w:pPr>
            <w:r w:rsidRPr="00E26B0D">
              <w:rPr>
                <w:rFonts w:ascii="Arial" w:hAnsi="Arial" w:cs="Arial"/>
                <w:sz w:val="20"/>
                <w:szCs w:val="20"/>
              </w:rPr>
              <w:t>PSM LR</w:t>
            </w:r>
          </w:p>
        </w:tc>
        <w:tc>
          <w:tcPr>
            <w:tcW w:w="1979" w:type="dxa"/>
            <w:tcBorders>
              <w:top w:val="nil"/>
              <w:left w:val="nil"/>
              <w:bottom w:val="nil"/>
              <w:right w:val="nil"/>
            </w:tcBorders>
            <w:shd w:val="clear" w:color="auto" w:fill="auto"/>
            <w:tcMar>
              <w:top w:w="80" w:type="dxa"/>
              <w:left w:w="80" w:type="dxa"/>
              <w:bottom w:w="80" w:type="dxa"/>
              <w:right w:w="80" w:type="dxa"/>
            </w:tcMar>
          </w:tcPr>
          <w:p w14:paraId="2ECD30D4" w14:textId="0D8B0750" w:rsidR="00E26B0D" w:rsidRPr="00E26B0D" w:rsidRDefault="00E26B0D" w:rsidP="00E26B0D">
            <w:pPr>
              <w:pStyle w:val="NoSpacing"/>
              <w:rPr>
                <w:rFonts w:ascii="Arial" w:hAnsi="Arial" w:cs="Arial"/>
                <w:sz w:val="20"/>
                <w:szCs w:val="20"/>
              </w:rPr>
            </w:pPr>
            <w:r w:rsidRPr="00E26B0D">
              <w:rPr>
                <w:rFonts w:ascii="Arial" w:hAnsi="Arial" w:cs="Arial"/>
                <w:sz w:val="20"/>
                <w:szCs w:val="20"/>
              </w:rPr>
              <w:t>0.68 (0.61; 0.76)</w:t>
            </w:r>
          </w:p>
        </w:tc>
        <w:tc>
          <w:tcPr>
            <w:tcW w:w="2004" w:type="dxa"/>
            <w:tcBorders>
              <w:top w:val="nil"/>
              <w:left w:val="nil"/>
              <w:bottom w:val="nil"/>
              <w:right w:val="nil"/>
            </w:tcBorders>
            <w:shd w:val="clear" w:color="auto" w:fill="auto"/>
            <w:tcMar>
              <w:top w:w="80" w:type="dxa"/>
              <w:left w:w="80" w:type="dxa"/>
              <w:bottom w:w="80" w:type="dxa"/>
              <w:right w:w="80" w:type="dxa"/>
            </w:tcMar>
          </w:tcPr>
          <w:p w14:paraId="10D6FA2D" w14:textId="1BE92D2F" w:rsidR="00E26B0D" w:rsidRPr="00E26B0D" w:rsidRDefault="00E26B0D" w:rsidP="00E26B0D">
            <w:pPr>
              <w:pStyle w:val="NoSpacing"/>
              <w:rPr>
                <w:rFonts w:ascii="Arial" w:hAnsi="Arial" w:cs="Arial"/>
                <w:sz w:val="20"/>
                <w:szCs w:val="20"/>
              </w:rPr>
            </w:pPr>
            <w:r w:rsidRPr="00E26B0D">
              <w:rPr>
                <w:rFonts w:ascii="Arial" w:hAnsi="Arial" w:cs="Arial"/>
                <w:sz w:val="20"/>
                <w:szCs w:val="20"/>
              </w:rPr>
              <w:t>0.69 (0.63; 0.76)</w:t>
            </w:r>
          </w:p>
        </w:tc>
        <w:tc>
          <w:tcPr>
            <w:tcW w:w="2004" w:type="dxa"/>
            <w:tcBorders>
              <w:top w:val="nil"/>
              <w:left w:val="nil"/>
              <w:bottom w:val="nil"/>
              <w:right w:val="nil"/>
            </w:tcBorders>
            <w:shd w:val="clear" w:color="auto" w:fill="auto"/>
            <w:tcMar>
              <w:top w:w="80" w:type="dxa"/>
              <w:left w:w="80" w:type="dxa"/>
              <w:bottom w:w="80" w:type="dxa"/>
              <w:right w:w="80" w:type="dxa"/>
            </w:tcMar>
          </w:tcPr>
          <w:p w14:paraId="22485CED" w14:textId="0217562D" w:rsidR="00E26B0D" w:rsidRPr="00E26B0D" w:rsidRDefault="00E26B0D" w:rsidP="00E26B0D">
            <w:pPr>
              <w:pStyle w:val="NoSpacing"/>
              <w:rPr>
                <w:rFonts w:ascii="Arial" w:hAnsi="Arial" w:cs="Arial"/>
                <w:b/>
                <w:sz w:val="20"/>
                <w:szCs w:val="20"/>
              </w:rPr>
            </w:pPr>
            <w:r w:rsidRPr="00E26B0D">
              <w:rPr>
                <w:rFonts w:ascii="Arial" w:hAnsi="Arial" w:cs="Arial"/>
                <w:b/>
                <w:sz w:val="20"/>
                <w:szCs w:val="20"/>
              </w:rPr>
              <w:t>0.67** (0.61; 0.73)</w:t>
            </w:r>
          </w:p>
        </w:tc>
        <w:tc>
          <w:tcPr>
            <w:tcW w:w="2004" w:type="dxa"/>
            <w:tcBorders>
              <w:top w:val="nil"/>
              <w:left w:val="nil"/>
              <w:bottom w:val="nil"/>
              <w:right w:val="nil"/>
            </w:tcBorders>
            <w:shd w:val="clear" w:color="auto" w:fill="auto"/>
            <w:tcMar>
              <w:top w:w="80" w:type="dxa"/>
              <w:left w:w="80" w:type="dxa"/>
              <w:bottom w:w="80" w:type="dxa"/>
              <w:right w:w="80" w:type="dxa"/>
            </w:tcMar>
          </w:tcPr>
          <w:p w14:paraId="4D21BC00" w14:textId="5C09CC61" w:rsidR="00E26B0D" w:rsidRPr="00E26B0D" w:rsidRDefault="00E26B0D" w:rsidP="00E26B0D">
            <w:pPr>
              <w:pStyle w:val="NoSpacing"/>
              <w:rPr>
                <w:rFonts w:ascii="Arial" w:hAnsi="Arial" w:cs="Arial"/>
                <w:sz w:val="20"/>
                <w:szCs w:val="20"/>
              </w:rPr>
            </w:pPr>
            <w:r w:rsidRPr="00E26B0D">
              <w:rPr>
                <w:rFonts w:ascii="Arial" w:hAnsi="Arial" w:cs="Arial"/>
                <w:sz w:val="20"/>
                <w:szCs w:val="20"/>
              </w:rPr>
              <w:t>0.76 (0.67; 0.85)</w:t>
            </w:r>
          </w:p>
        </w:tc>
      </w:tr>
      <w:tr w:rsidR="00E26B0D" w14:paraId="79A32A65" w14:textId="77777777" w:rsidTr="00E26B0D">
        <w:trPr>
          <w:trHeight w:val="233"/>
        </w:trPr>
        <w:tc>
          <w:tcPr>
            <w:tcW w:w="1026" w:type="dxa"/>
            <w:tcBorders>
              <w:top w:val="nil"/>
              <w:left w:val="nil"/>
              <w:bottom w:val="nil"/>
              <w:right w:val="nil"/>
            </w:tcBorders>
            <w:shd w:val="clear" w:color="auto" w:fill="auto"/>
            <w:tcMar>
              <w:top w:w="80" w:type="dxa"/>
              <w:left w:w="80" w:type="dxa"/>
              <w:bottom w:w="80" w:type="dxa"/>
              <w:right w:w="80" w:type="dxa"/>
            </w:tcMar>
          </w:tcPr>
          <w:p w14:paraId="12595AA7" w14:textId="38A00CD3" w:rsidR="00E26B0D" w:rsidRPr="00E26B0D" w:rsidRDefault="00E26B0D" w:rsidP="00E26B0D">
            <w:pPr>
              <w:pStyle w:val="NoSpacing"/>
              <w:rPr>
                <w:rFonts w:ascii="Arial" w:hAnsi="Arial" w:cs="Arial"/>
                <w:sz w:val="20"/>
                <w:szCs w:val="20"/>
              </w:rPr>
            </w:pPr>
            <w:r w:rsidRPr="00E26B0D">
              <w:rPr>
                <w:rFonts w:ascii="Arial" w:hAnsi="Arial" w:cs="Arial"/>
                <w:sz w:val="20"/>
                <w:szCs w:val="20"/>
              </w:rPr>
              <w:t>IV1</w:t>
            </w:r>
          </w:p>
        </w:tc>
        <w:tc>
          <w:tcPr>
            <w:tcW w:w="1979" w:type="dxa"/>
            <w:tcBorders>
              <w:top w:val="nil"/>
              <w:left w:val="nil"/>
              <w:bottom w:val="nil"/>
              <w:right w:val="nil"/>
            </w:tcBorders>
            <w:shd w:val="clear" w:color="auto" w:fill="auto"/>
            <w:tcMar>
              <w:top w:w="80" w:type="dxa"/>
              <w:left w:w="80" w:type="dxa"/>
              <w:bottom w:w="80" w:type="dxa"/>
              <w:right w:w="80" w:type="dxa"/>
            </w:tcMar>
          </w:tcPr>
          <w:p w14:paraId="08F76794" w14:textId="27157204" w:rsidR="00E26B0D" w:rsidRPr="00E26B0D" w:rsidRDefault="00E26B0D" w:rsidP="00E26B0D">
            <w:pPr>
              <w:pStyle w:val="NoSpacing"/>
              <w:rPr>
                <w:rFonts w:ascii="Arial" w:hAnsi="Arial" w:cs="Arial"/>
                <w:b/>
                <w:sz w:val="20"/>
                <w:szCs w:val="20"/>
              </w:rPr>
            </w:pPr>
            <w:r w:rsidRPr="00E26B0D">
              <w:rPr>
                <w:rFonts w:ascii="Arial" w:hAnsi="Arial" w:cs="Arial"/>
                <w:b/>
                <w:sz w:val="20"/>
                <w:szCs w:val="20"/>
              </w:rPr>
              <w:t>0.88* (0.75; 1.02)</w:t>
            </w:r>
          </w:p>
        </w:tc>
        <w:tc>
          <w:tcPr>
            <w:tcW w:w="2004" w:type="dxa"/>
            <w:tcBorders>
              <w:top w:val="nil"/>
              <w:left w:val="nil"/>
              <w:bottom w:val="nil"/>
              <w:right w:val="nil"/>
            </w:tcBorders>
            <w:shd w:val="clear" w:color="auto" w:fill="auto"/>
            <w:tcMar>
              <w:top w:w="80" w:type="dxa"/>
              <w:left w:w="80" w:type="dxa"/>
              <w:bottom w:w="80" w:type="dxa"/>
              <w:right w:w="80" w:type="dxa"/>
            </w:tcMar>
          </w:tcPr>
          <w:p w14:paraId="164D4101" w14:textId="7E0AFA93" w:rsidR="00E26B0D" w:rsidRPr="00E26B0D" w:rsidRDefault="00E26B0D" w:rsidP="00E26B0D">
            <w:pPr>
              <w:pStyle w:val="NoSpacing"/>
              <w:rPr>
                <w:rFonts w:ascii="Arial" w:hAnsi="Arial" w:cs="Arial"/>
                <w:sz w:val="20"/>
                <w:szCs w:val="20"/>
              </w:rPr>
            </w:pPr>
            <w:r w:rsidRPr="00E26B0D">
              <w:rPr>
                <w:rFonts w:ascii="Arial" w:hAnsi="Arial" w:cs="Arial"/>
                <w:sz w:val="20"/>
                <w:szCs w:val="20"/>
              </w:rPr>
              <w:t>0.78 (0.68; 0.89)</w:t>
            </w:r>
          </w:p>
        </w:tc>
        <w:tc>
          <w:tcPr>
            <w:tcW w:w="2004" w:type="dxa"/>
            <w:tcBorders>
              <w:top w:val="nil"/>
              <w:left w:val="nil"/>
              <w:bottom w:val="nil"/>
              <w:right w:val="nil"/>
            </w:tcBorders>
            <w:shd w:val="clear" w:color="auto" w:fill="auto"/>
            <w:tcMar>
              <w:top w:w="80" w:type="dxa"/>
              <w:left w:w="80" w:type="dxa"/>
              <w:bottom w:w="80" w:type="dxa"/>
              <w:right w:w="80" w:type="dxa"/>
            </w:tcMar>
          </w:tcPr>
          <w:p w14:paraId="2CC38B98" w14:textId="3FD5EF8A" w:rsidR="00E26B0D" w:rsidRPr="00E26B0D" w:rsidRDefault="00E26B0D" w:rsidP="00E26B0D">
            <w:pPr>
              <w:pStyle w:val="NoSpacing"/>
              <w:rPr>
                <w:rFonts w:ascii="Arial" w:hAnsi="Arial" w:cs="Arial"/>
                <w:sz w:val="20"/>
                <w:szCs w:val="20"/>
              </w:rPr>
            </w:pPr>
            <w:r w:rsidRPr="00E26B0D">
              <w:rPr>
                <w:rFonts w:ascii="Arial" w:hAnsi="Arial" w:cs="Arial"/>
                <w:sz w:val="20"/>
                <w:szCs w:val="20"/>
              </w:rPr>
              <w:t>0.82 (0.73; 0.92)</w:t>
            </w:r>
          </w:p>
        </w:tc>
        <w:tc>
          <w:tcPr>
            <w:tcW w:w="2004" w:type="dxa"/>
            <w:tcBorders>
              <w:top w:val="nil"/>
              <w:left w:val="nil"/>
              <w:bottom w:val="nil"/>
              <w:right w:val="nil"/>
            </w:tcBorders>
            <w:shd w:val="clear" w:color="auto" w:fill="auto"/>
            <w:tcMar>
              <w:top w:w="80" w:type="dxa"/>
              <w:left w:w="80" w:type="dxa"/>
              <w:bottom w:w="80" w:type="dxa"/>
              <w:right w:w="80" w:type="dxa"/>
            </w:tcMar>
          </w:tcPr>
          <w:p w14:paraId="64CF23F4" w14:textId="52FDE6CF" w:rsidR="00E26B0D" w:rsidRPr="00E26B0D" w:rsidRDefault="00E26B0D" w:rsidP="00E26B0D">
            <w:pPr>
              <w:pStyle w:val="NoSpacing"/>
              <w:rPr>
                <w:rFonts w:ascii="Arial" w:hAnsi="Arial" w:cs="Arial"/>
                <w:sz w:val="20"/>
                <w:szCs w:val="20"/>
              </w:rPr>
            </w:pPr>
            <w:r w:rsidRPr="00E26B0D">
              <w:rPr>
                <w:rFonts w:ascii="Arial" w:hAnsi="Arial" w:cs="Arial"/>
                <w:sz w:val="20"/>
                <w:szCs w:val="20"/>
              </w:rPr>
              <w:t>0.82 (0.75; 0.90)</w:t>
            </w:r>
          </w:p>
        </w:tc>
      </w:tr>
      <w:tr w:rsidR="00E26B0D" w14:paraId="3E226702" w14:textId="77777777" w:rsidTr="00E26B0D">
        <w:trPr>
          <w:trHeight w:val="228"/>
        </w:trPr>
        <w:tc>
          <w:tcPr>
            <w:tcW w:w="1026" w:type="dxa"/>
            <w:tcBorders>
              <w:top w:val="nil"/>
              <w:left w:val="nil"/>
              <w:bottom w:val="single" w:sz="4" w:space="0" w:color="000000"/>
              <w:right w:val="nil"/>
            </w:tcBorders>
            <w:shd w:val="clear" w:color="auto" w:fill="auto"/>
            <w:tcMar>
              <w:top w:w="80" w:type="dxa"/>
              <w:left w:w="80" w:type="dxa"/>
              <w:bottom w:w="80" w:type="dxa"/>
              <w:right w:w="80" w:type="dxa"/>
            </w:tcMar>
          </w:tcPr>
          <w:p w14:paraId="039E4DF8" w14:textId="32CFCF59" w:rsidR="00E26B0D" w:rsidRPr="00E26B0D" w:rsidRDefault="00E26B0D" w:rsidP="00E26B0D">
            <w:pPr>
              <w:pStyle w:val="NoSpacing"/>
              <w:rPr>
                <w:rFonts w:ascii="Arial" w:hAnsi="Arial" w:cs="Arial"/>
                <w:sz w:val="20"/>
                <w:szCs w:val="20"/>
              </w:rPr>
            </w:pPr>
            <w:r w:rsidRPr="00E26B0D">
              <w:rPr>
                <w:rFonts w:ascii="Arial" w:hAnsi="Arial" w:cs="Arial"/>
                <w:sz w:val="20"/>
                <w:szCs w:val="20"/>
              </w:rPr>
              <w:t>IV2</w:t>
            </w:r>
          </w:p>
        </w:tc>
        <w:tc>
          <w:tcPr>
            <w:tcW w:w="1979" w:type="dxa"/>
            <w:tcBorders>
              <w:top w:val="nil"/>
              <w:left w:val="nil"/>
              <w:bottom w:val="single" w:sz="4" w:space="0" w:color="000000"/>
              <w:right w:val="nil"/>
            </w:tcBorders>
            <w:shd w:val="clear" w:color="auto" w:fill="auto"/>
            <w:tcMar>
              <w:top w:w="80" w:type="dxa"/>
              <w:left w:w="80" w:type="dxa"/>
              <w:bottom w:w="80" w:type="dxa"/>
              <w:right w:w="80" w:type="dxa"/>
            </w:tcMar>
          </w:tcPr>
          <w:p w14:paraId="6B21DE82" w14:textId="19BBD4C3" w:rsidR="00E26B0D" w:rsidRPr="00E26B0D" w:rsidRDefault="00E26B0D" w:rsidP="00E26B0D">
            <w:pPr>
              <w:pStyle w:val="NoSpacing"/>
              <w:rPr>
                <w:rFonts w:ascii="Arial" w:hAnsi="Arial" w:cs="Arial"/>
                <w:sz w:val="20"/>
                <w:szCs w:val="20"/>
              </w:rPr>
            </w:pPr>
            <w:r w:rsidRPr="00E26B0D">
              <w:rPr>
                <w:rFonts w:ascii="Arial" w:hAnsi="Arial" w:cs="Arial"/>
                <w:sz w:val="20"/>
                <w:szCs w:val="20"/>
              </w:rPr>
              <w:t>0.82 (0.71; 0.96)</w:t>
            </w:r>
          </w:p>
        </w:tc>
        <w:tc>
          <w:tcPr>
            <w:tcW w:w="2004" w:type="dxa"/>
            <w:tcBorders>
              <w:top w:val="nil"/>
              <w:left w:val="nil"/>
              <w:bottom w:val="single" w:sz="4" w:space="0" w:color="000000"/>
              <w:right w:val="nil"/>
            </w:tcBorders>
            <w:shd w:val="clear" w:color="auto" w:fill="auto"/>
            <w:tcMar>
              <w:top w:w="80" w:type="dxa"/>
              <w:left w:w="80" w:type="dxa"/>
              <w:bottom w:w="80" w:type="dxa"/>
              <w:right w:w="80" w:type="dxa"/>
            </w:tcMar>
          </w:tcPr>
          <w:p w14:paraId="0D622301" w14:textId="3EF45E1D" w:rsidR="00E26B0D" w:rsidRPr="00E26B0D" w:rsidRDefault="00E26B0D" w:rsidP="00E26B0D">
            <w:pPr>
              <w:pStyle w:val="NoSpacing"/>
              <w:rPr>
                <w:rFonts w:ascii="Arial" w:hAnsi="Arial" w:cs="Arial"/>
                <w:sz w:val="20"/>
                <w:szCs w:val="20"/>
              </w:rPr>
            </w:pPr>
            <w:r w:rsidRPr="00E26B0D">
              <w:rPr>
                <w:rFonts w:ascii="Arial" w:hAnsi="Arial" w:cs="Arial"/>
                <w:sz w:val="20"/>
                <w:szCs w:val="20"/>
              </w:rPr>
              <w:t>0.76 (0.69; 0.85)</w:t>
            </w:r>
          </w:p>
        </w:tc>
        <w:tc>
          <w:tcPr>
            <w:tcW w:w="2004" w:type="dxa"/>
            <w:tcBorders>
              <w:top w:val="nil"/>
              <w:left w:val="nil"/>
              <w:bottom w:val="single" w:sz="4" w:space="0" w:color="000000"/>
              <w:right w:val="nil"/>
            </w:tcBorders>
            <w:shd w:val="clear" w:color="auto" w:fill="auto"/>
            <w:tcMar>
              <w:top w:w="80" w:type="dxa"/>
              <w:left w:w="80" w:type="dxa"/>
              <w:bottom w:w="80" w:type="dxa"/>
              <w:right w:w="80" w:type="dxa"/>
            </w:tcMar>
          </w:tcPr>
          <w:p w14:paraId="08E5A7EC" w14:textId="781E2021" w:rsidR="00E26B0D" w:rsidRPr="00E26B0D" w:rsidRDefault="00E26B0D" w:rsidP="00E26B0D">
            <w:pPr>
              <w:pStyle w:val="NoSpacing"/>
              <w:rPr>
                <w:rFonts w:ascii="Arial" w:hAnsi="Arial" w:cs="Arial"/>
                <w:sz w:val="20"/>
                <w:szCs w:val="20"/>
              </w:rPr>
            </w:pPr>
            <w:r w:rsidRPr="00E26B0D">
              <w:rPr>
                <w:rFonts w:ascii="Arial" w:hAnsi="Arial" w:cs="Arial"/>
                <w:sz w:val="20"/>
                <w:szCs w:val="20"/>
              </w:rPr>
              <w:t>0.81 (0.72; 0.91)</w:t>
            </w:r>
          </w:p>
        </w:tc>
        <w:tc>
          <w:tcPr>
            <w:tcW w:w="2004" w:type="dxa"/>
            <w:tcBorders>
              <w:top w:val="nil"/>
              <w:left w:val="nil"/>
              <w:bottom w:val="single" w:sz="4" w:space="0" w:color="000000"/>
              <w:right w:val="nil"/>
            </w:tcBorders>
            <w:shd w:val="clear" w:color="auto" w:fill="auto"/>
            <w:tcMar>
              <w:top w:w="80" w:type="dxa"/>
              <w:left w:w="80" w:type="dxa"/>
              <w:bottom w:w="80" w:type="dxa"/>
              <w:right w:w="80" w:type="dxa"/>
            </w:tcMar>
          </w:tcPr>
          <w:p w14:paraId="6D67B1F1" w14:textId="05EF0905" w:rsidR="00E26B0D" w:rsidRPr="00E26B0D" w:rsidRDefault="00E26B0D" w:rsidP="00E26B0D">
            <w:pPr>
              <w:pStyle w:val="NoSpacing"/>
              <w:rPr>
                <w:rFonts w:ascii="Arial" w:hAnsi="Arial" w:cs="Arial"/>
                <w:sz w:val="20"/>
                <w:szCs w:val="20"/>
              </w:rPr>
            </w:pPr>
            <w:r w:rsidRPr="00E26B0D">
              <w:rPr>
                <w:rFonts w:ascii="Arial" w:hAnsi="Arial" w:cs="Arial"/>
                <w:sz w:val="20"/>
                <w:szCs w:val="20"/>
              </w:rPr>
              <w:t>0.82 (0.75; 0.89)</w:t>
            </w:r>
          </w:p>
        </w:tc>
      </w:tr>
    </w:tbl>
    <w:p w14:paraId="2311842F" w14:textId="624ED924" w:rsidR="00513751" w:rsidRDefault="00C57731" w:rsidP="005B6D6D">
      <w:pPr>
        <w:pStyle w:val="NoSpacing"/>
        <w:rPr>
          <w:sz w:val="20"/>
          <w:szCs w:val="20"/>
        </w:rPr>
      </w:pPr>
      <w:r w:rsidRPr="005B6D6D">
        <w:rPr>
          <w:sz w:val="20"/>
          <w:szCs w:val="20"/>
        </w:rPr>
        <w:t xml:space="preserve">Note: * p-value &lt; 10%, ** p-value &lt; 5%. P-values obtained from a student t-test with H0: </w:t>
      </w:r>
      <w:r w:rsidR="00B370A0" w:rsidRPr="005B6D6D">
        <w:rPr>
          <w:sz w:val="20"/>
          <w:szCs w:val="20"/>
        </w:rPr>
        <w:t>RWE</w:t>
      </w:r>
      <w:r w:rsidRPr="005B6D6D">
        <w:rPr>
          <w:sz w:val="20"/>
          <w:szCs w:val="20"/>
        </w:rPr>
        <w:t xml:space="preserve"> hazard ratio = EBCTCG hazard ratio. Forest plot of EBCTCG estimates and </w:t>
      </w:r>
      <w:r w:rsidR="00BC34BC" w:rsidRPr="005B6D6D">
        <w:rPr>
          <w:sz w:val="20"/>
          <w:szCs w:val="20"/>
        </w:rPr>
        <w:t xml:space="preserve">each RWE </w:t>
      </w:r>
      <w:r w:rsidRPr="005B6D6D">
        <w:rPr>
          <w:sz w:val="20"/>
          <w:szCs w:val="20"/>
        </w:rPr>
        <w:t xml:space="preserve">estimate obtained from trial represented sample is provided in </w:t>
      </w:r>
      <w:r w:rsidR="00B370A0" w:rsidRPr="005B6D6D">
        <w:rPr>
          <w:sz w:val="20"/>
          <w:szCs w:val="20"/>
        </w:rPr>
        <w:t>SA</w:t>
      </w:r>
      <w:r w:rsidR="00E26B0D">
        <w:rPr>
          <w:sz w:val="20"/>
          <w:szCs w:val="20"/>
        </w:rPr>
        <w:t>6</w:t>
      </w:r>
      <w:r w:rsidR="007F084D">
        <w:rPr>
          <w:sz w:val="20"/>
          <w:szCs w:val="20"/>
        </w:rPr>
        <w:t xml:space="preserve"> figures SA6.4-SA6.23</w:t>
      </w:r>
      <w:r w:rsidR="009D685F" w:rsidRPr="005B6D6D">
        <w:rPr>
          <w:sz w:val="20"/>
          <w:szCs w:val="20"/>
        </w:rPr>
        <w:t>.</w:t>
      </w:r>
    </w:p>
    <w:p w14:paraId="173C5DA0" w14:textId="6F352276" w:rsidR="00513751" w:rsidRDefault="00513751" w:rsidP="00513751">
      <w:pPr>
        <w:pStyle w:val="Caption"/>
      </w:pPr>
      <w:r>
        <w:t>Figure 2 - Forest plots; Trial and RWE estimated HR for breast cancer and all-cause mortality</w:t>
      </w:r>
    </w:p>
    <w:p w14:paraId="0682B651" w14:textId="2849EC44" w:rsidR="00513751" w:rsidRDefault="00513751">
      <w:pPr>
        <w:pStyle w:val="Body"/>
      </w:pPr>
      <w:r>
        <w:rPr>
          <w:noProof/>
          <w:lang w:val="en-GB"/>
        </w:rPr>
        <w:drawing>
          <wp:inline distT="0" distB="0" distL="0" distR="0" wp14:anchorId="36F9C20C" wp14:editId="5E462DF3">
            <wp:extent cx="5727700" cy="303847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estPlot_table3.png"/>
                    <pic:cNvPicPr/>
                  </pic:nvPicPr>
                  <pic:blipFill rotWithShape="1">
                    <a:blip r:embed="rId8">
                      <a:extLst>
                        <a:ext uri="{28A0092B-C50C-407E-A947-70E740481C1C}">
                          <a14:useLocalDpi xmlns:a14="http://schemas.microsoft.com/office/drawing/2010/main" val="0"/>
                        </a:ext>
                      </a:extLst>
                    </a:blip>
                    <a:srcRect t="13955" b="13070"/>
                    <a:stretch/>
                  </pic:blipFill>
                  <pic:spPr bwMode="auto">
                    <a:xfrm>
                      <a:off x="0" y="0"/>
                      <a:ext cx="5727700" cy="3038475"/>
                    </a:xfrm>
                    <a:prstGeom prst="rect">
                      <a:avLst/>
                    </a:prstGeom>
                    <a:ln>
                      <a:noFill/>
                    </a:ln>
                    <a:extLst>
                      <a:ext uri="{53640926-AAD7-44D8-BBD7-CCE9431645EC}">
                        <a14:shadowObscured xmlns:a14="http://schemas.microsoft.com/office/drawing/2010/main"/>
                      </a:ext>
                    </a:extLst>
                  </pic:spPr>
                </pic:pic>
              </a:graphicData>
            </a:graphic>
          </wp:inline>
        </w:drawing>
      </w:r>
    </w:p>
    <w:p w14:paraId="3BE35D05" w14:textId="77777777" w:rsidR="00E73C9D" w:rsidRDefault="00C57731">
      <w:pPr>
        <w:pStyle w:val="Heading"/>
      </w:pPr>
      <w:r>
        <w:rPr>
          <w:lang w:val="en-US"/>
        </w:rPr>
        <w:lastRenderedPageBreak/>
        <w:t>Discussion</w:t>
      </w:r>
    </w:p>
    <w:p w14:paraId="1C744BBB" w14:textId="6C53470A" w:rsidR="00E73C9D" w:rsidRDefault="00C57731">
      <w:pPr>
        <w:pStyle w:val="Body"/>
      </w:pPr>
      <w:r>
        <w:t>The RWD used in this study is of large size and high quality. Linkage to</w:t>
      </w:r>
      <w:r w:rsidR="00C53281">
        <w:t xml:space="preserve"> a range of</w:t>
      </w:r>
      <w:r>
        <w:t xml:space="preserve"> other routine data sets allows an assessment of patient comorbidities that would not be possible with registry records alone. Use of an existing, validated prognostic score efficiently uses prognostic information in a manner consistent with existing epidemiological evidence.</w:t>
      </w:r>
    </w:p>
    <w:p w14:paraId="348A0047" w14:textId="132C6E26" w:rsidR="00E73C9D" w:rsidRDefault="00C57731">
      <w:pPr>
        <w:pStyle w:val="Body"/>
      </w:pPr>
      <w:r>
        <w:t xml:space="preserve">We have attempted to be comprehensive and transparent in the application </w:t>
      </w:r>
      <w:r w:rsidR="005C3874">
        <w:t xml:space="preserve">and evaluation </w:t>
      </w:r>
      <w:r w:rsidR="008E71A1">
        <w:t>of RWE method</w:t>
      </w:r>
      <w:r>
        <w:t>s</w:t>
      </w:r>
      <w:r w:rsidR="005C3874">
        <w:t>,</w:t>
      </w:r>
      <w:r>
        <w:t xml:space="preserve"> rather t</w:t>
      </w:r>
      <w:r w:rsidR="008E71A1">
        <w:t>han simply presenting one method</w:t>
      </w:r>
      <w:r>
        <w:t xml:space="preserve"> with</w:t>
      </w:r>
      <w:r w:rsidR="00F51072">
        <w:t xml:space="preserve"> what we judge</w:t>
      </w:r>
      <w:r>
        <w:t xml:space="preserve"> the ‘best’ result or justification. This guards against the potential for spurious results arising from a selective </w:t>
      </w:r>
      <w:r w:rsidR="005C3874">
        <w:t xml:space="preserve">post hoc </w:t>
      </w:r>
      <w:r>
        <w:t xml:space="preserve">application of the </w:t>
      </w:r>
      <w:r w:rsidR="008E71A1">
        <w:t>methods</w:t>
      </w:r>
      <w:r>
        <w:t xml:space="preserve"> or selective use of a particular </w:t>
      </w:r>
      <w:r w:rsidR="008E71A1">
        <w:t>specification within each method</w:t>
      </w:r>
      <w:r w:rsidR="005C3874">
        <w:t xml:space="preserve"> based on the results</w:t>
      </w:r>
      <w:r>
        <w:t>. Using RWD there is clearly a wider scope for creating bias in this way</w:t>
      </w:r>
      <w:r w:rsidR="00F51072">
        <w:t>,</w:t>
      </w:r>
      <w:r>
        <w:t xml:space="preserve"> as compared to using trial data. This is an</w:t>
      </w:r>
      <w:r w:rsidR="00F51072">
        <w:t xml:space="preserve"> important</w:t>
      </w:r>
      <w:r>
        <w:t xml:space="preserve"> analytical problem similar to ‘p-hacking’ or a ‘garden of forking paths’ that has been described in other settings </w:t>
      </w:r>
      <w:r>
        <w:fldChar w:fldCharType="begin"/>
      </w:r>
      <w:r w:rsidR="00BB62F7">
        <w:instrText xml:space="preserve"> ADDIN EN.CITE &lt;EndNote&gt;&lt;Cite&gt;&lt;Author&gt;Simmons&lt;/Author&gt;&lt;Year&gt;2011&lt;/Year&gt;&lt;RecNum&gt;113&lt;/RecNum&gt;&lt;DisplayText&gt;(21)&lt;/DisplayText&gt;&lt;record&gt;&lt;rec-number&gt;113&lt;/rec-number&gt;&lt;foreign-keys&gt;&lt;key app="EN" db-id="ftrpw5r2d0tevie2a5gp2tzn2xerrzew2w50" timestamp="1534431746"&gt;113&lt;/key&gt;&lt;/foreign-keys&gt;&lt;ref-type name="Journal Article"&gt;17&lt;/ref-type&gt;&lt;contributors&gt;&lt;authors&gt;&lt;author&gt;Simmons, J. P.&lt;/author&gt;&lt;author&gt;Nelson, L. D.&lt;/author&gt;&lt;author&gt;Simonsohn, U.&lt;/author&gt;&lt;/authors&gt;&lt;/contributors&gt;&lt;auth-address&gt;Univ Penn, Wharton Sch, Philadelphia, PA 19104 USA&amp;#xD;Univ Calif Berkeley, Haas Sch Business, Berkeley, CA 94720 USA&lt;/auth-address&gt;&lt;titles&gt;&lt;title&gt;False-Positive Psychology: Undisclosed Flexibility in Data Collection and Analysis Allows Presenting Anything as Significant&lt;/title&gt;&lt;secondary-title&gt;Psychological Science&lt;/secondary-title&gt;&lt;alt-title&gt;Psychol Sci&lt;/alt-title&gt;&lt;/titles&gt;&lt;periodical&gt;&lt;full-title&gt;Psychological Science&lt;/full-title&gt;&lt;abbr-1&gt;Psychol Sci&lt;/abbr-1&gt;&lt;/periodical&gt;&lt;alt-periodical&gt;&lt;full-title&gt;Psychological Science&lt;/full-title&gt;&lt;abbr-1&gt;Psychol Sci&lt;/abbr-1&gt;&lt;/alt-periodical&gt;&lt;pages&gt;1359-1366&lt;/pages&gt;&lt;volume&gt;22&lt;/volume&gt;&lt;number&gt;11&lt;/number&gt;&lt;keywords&gt;&lt;keyword&gt;methodology&lt;/keyword&gt;&lt;keyword&gt;motivated reasoning&lt;/keyword&gt;&lt;keyword&gt;publication&lt;/keyword&gt;&lt;keyword&gt;disclosure&lt;/keyword&gt;&lt;/keywords&gt;&lt;dates&gt;&lt;year&gt;2011&lt;/year&gt;&lt;pub-dates&gt;&lt;date&gt;Nov&lt;/date&gt;&lt;/pub-dates&gt;&lt;/dates&gt;&lt;isbn&gt;0956-7976&lt;/isbn&gt;&lt;accession-num&gt;WOS:000300826400001&lt;/accession-num&gt;&lt;urls&gt;&lt;related-urls&gt;&lt;url&gt;&amp;lt;Go to ISI&amp;gt;://WOS:000300826400001&lt;/url&gt;&lt;/related-urls&gt;&lt;/urls&gt;&lt;electronic-resource-num&gt;10.1177/0956797611417632&lt;/electronic-resource-num&gt;&lt;language&gt;English&lt;/language&gt;&lt;/record&gt;&lt;/Cite&gt;&lt;/EndNote&gt;</w:instrText>
      </w:r>
      <w:r>
        <w:fldChar w:fldCharType="separate"/>
      </w:r>
      <w:r w:rsidR="00BB62F7">
        <w:rPr>
          <w:noProof/>
        </w:rPr>
        <w:t>(21)</w:t>
      </w:r>
      <w:r>
        <w:fldChar w:fldCharType="end"/>
      </w:r>
      <w:r>
        <w:t>.</w:t>
      </w:r>
    </w:p>
    <w:p w14:paraId="5BC5E646" w14:textId="0EF4C17A" w:rsidR="0020667C" w:rsidRDefault="00C26162" w:rsidP="0020667C">
      <w:pPr>
        <w:pStyle w:val="Body"/>
      </w:pPr>
      <w:r>
        <w:t>A limitation of this study is</w:t>
      </w:r>
      <w:r w:rsidR="00780FC1">
        <w:t xml:space="preserve"> that t</w:t>
      </w:r>
      <w:r w:rsidR="00C57731">
        <w:t xml:space="preserve">he comparison of real world and clinical trial evidence </w:t>
      </w:r>
      <w:r w:rsidR="00780FC1">
        <w:t>may</w:t>
      </w:r>
      <w:r w:rsidR="00C57731">
        <w:t xml:space="preserve"> not directly assess the validity of the real-world evidence</w:t>
      </w:r>
      <w:r w:rsidR="002C6190">
        <w:t xml:space="preserve">. </w:t>
      </w:r>
      <w:r w:rsidR="00C57731">
        <w:t xml:space="preserve">Validating against clinical trials could be misleading if </w:t>
      </w:r>
      <w:r w:rsidR="005C3874">
        <w:t xml:space="preserve">the </w:t>
      </w:r>
      <w:r w:rsidR="00F51072">
        <w:t xml:space="preserve">average treatment effect in a </w:t>
      </w:r>
      <w:r w:rsidR="00C57731">
        <w:t xml:space="preserve">trial represented RWD group and </w:t>
      </w:r>
      <w:r w:rsidR="005C3874">
        <w:t xml:space="preserve">the </w:t>
      </w:r>
      <w:r w:rsidR="00C57731">
        <w:t xml:space="preserve">actual trial samples differs systematically. </w:t>
      </w:r>
      <w:r w:rsidR="00B561A2">
        <w:t xml:space="preserve">At the same time, interpreting the results as estimates of systematic differences in treatment effects between trial and real-world populations will be unwise if the observational methods lack internal validity.  </w:t>
      </w:r>
      <w:r w:rsidR="002C6190">
        <w:t>I</w:t>
      </w:r>
      <w:r w:rsidR="00780FC1">
        <w:t>n this study the selection of a trial represented population</w:t>
      </w:r>
      <w:r w:rsidR="002C0F22">
        <w:t xml:space="preserve"> in the RWD</w:t>
      </w:r>
      <w:r w:rsidR="00780FC1">
        <w:t xml:space="preserve"> should minimi</w:t>
      </w:r>
      <w:r w:rsidR="007B5F04">
        <w:t>s</w:t>
      </w:r>
      <w:r w:rsidR="00780FC1">
        <w:t>e this</w:t>
      </w:r>
      <w:r w:rsidR="002C6190">
        <w:t xml:space="preserve"> potential problem</w:t>
      </w:r>
      <w:r w:rsidR="00780FC1">
        <w:t>.</w:t>
      </w:r>
      <w:r w:rsidR="002C6190">
        <w:t xml:space="preserve"> </w:t>
      </w:r>
      <w:r w:rsidR="00306D69">
        <w:t xml:space="preserve">Other </w:t>
      </w:r>
      <w:r w:rsidR="002C6190">
        <w:t xml:space="preserve">solutions to this problem </w:t>
      </w:r>
      <w:r w:rsidR="0020667C">
        <w:t xml:space="preserve">could be </w:t>
      </w:r>
      <w:r w:rsidR="002C6190">
        <w:t xml:space="preserve">attempted in future research </w:t>
      </w:r>
      <w:r w:rsidR="0020667C">
        <w:t>if additional data are available</w:t>
      </w:r>
      <w:r w:rsidR="002C6190">
        <w:t>.</w:t>
      </w:r>
      <w:r w:rsidR="0020667C">
        <w:t xml:space="preserve"> While we were fortunate that a comprehensive IPD meta-analysis was available, this analysis was restricted to using the summary statistics from the published report. This limited the degree to which we could match the randomised trial and RWD populations for baseline characteristics and treatment protocols or make use of other methods of </w:t>
      </w:r>
      <w:commentRangeStart w:id="1"/>
      <w:r w:rsidR="0020667C">
        <w:t>adjustment</w:t>
      </w:r>
      <w:commentRangeEnd w:id="1"/>
      <w:r w:rsidR="00306D69">
        <w:rPr>
          <w:rStyle w:val="CommentReference"/>
          <w:rFonts w:ascii="Times New Roman" w:hAnsi="Times New Roman" w:cs="Times New Roman"/>
          <w:color w:val="auto"/>
          <w:lang w:eastAsia="en-US"/>
        </w:rPr>
        <w:commentReference w:id="1"/>
      </w:r>
      <w:r w:rsidR="0020667C">
        <w:t xml:space="preserve">.  Future studies should consider a deeper collaboration with trialists to allow more nuanced comparison. </w:t>
      </w:r>
      <w:r w:rsidR="00E31345">
        <w:t>Another area that could be explored in future research is the design of other tests of internal validity</w:t>
      </w:r>
      <w:r w:rsidR="00674901">
        <w:t xml:space="preserve">, such as falsification </w:t>
      </w:r>
      <w:commentRangeStart w:id="2"/>
      <w:r w:rsidR="00674901">
        <w:t>endpoints</w:t>
      </w:r>
      <w:commentRangeEnd w:id="2"/>
      <w:r w:rsidR="00306D69">
        <w:rPr>
          <w:rStyle w:val="CommentReference"/>
          <w:rFonts w:ascii="Times New Roman" w:hAnsi="Times New Roman" w:cs="Times New Roman"/>
          <w:color w:val="auto"/>
          <w:lang w:eastAsia="en-US"/>
        </w:rPr>
        <w:commentReference w:id="2"/>
      </w:r>
      <w:r w:rsidR="00674901">
        <w:t>,</w:t>
      </w:r>
      <w:r w:rsidR="00E31345">
        <w:t xml:space="preserve"> of RWE methods such as IV in this setting.</w:t>
      </w:r>
    </w:p>
    <w:p w14:paraId="2D39783D" w14:textId="1FBEE007" w:rsidR="00E73C9D" w:rsidRDefault="00C57731">
      <w:pPr>
        <w:pStyle w:val="Body"/>
      </w:pPr>
      <w:r>
        <w:t xml:space="preserve"> </w:t>
      </w:r>
    </w:p>
    <w:p w14:paraId="08569041" w14:textId="4F479CC3" w:rsidR="0020667C" w:rsidRDefault="00C57731" w:rsidP="0020667C">
      <w:pPr>
        <w:pStyle w:val="Body"/>
      </w:pPr>
      <w:r>
        <w:t>This analysis would be enhanced if more detailed data were available for specific variables. Chemotherapy use was only available as a binary variable</w:t>
      </w:r>
      <w:r w:rsidR="001B25B4">
        <w:t>,</w:t>
      </w:r>
      <w:r>
        <w:t xml:space="preserve"> rather than the details of the regimens used. Her2 status and trastuzumab use were not available for many observations</w:t>
      </w:r>
      <w:r w:rsidR="009D685F">
        <w:t xml:space="preserve"> (and not available in any </w:t>
      </w:r>
      <w:r w:rsidR="001B25B4">
        <w:t xml:space="preserve">case </w:t>
      </w:r>
      <w:r w:rsidR="009D685F">
        <w:t>prior to 2009)</w:t>
      </w:r>
      <w:r>
        <w:t xml:space="preserve">. 13% of cases were excluded from the analysis </w:t>
      </w:r>
      <w:r>
        <w:lastRenderedPageBreak/>
        <w:t>due to other missing prognostic data.</w:t>
      </w:r>
      <w:r w:rsidR="00D74474">
        <w:t xml:space="preserve"> </w:t>
      </w:r>
      <w:r w:rsidR="00D74474" w:rsidRPr="001B25B4">
        <w:t>Another limitation of this analysis is that it relies on accurate coding of causes of death on death certificates to ascertain breast cancer deaths. This may be less accurate</w:t>
      </w:r>
      <w:r w:rsidR="001B25B4" w:rsidRPr="001B25B4">
        <w:t xml:space="preserve"> in RWD</w:t>
      </w:r>
      <w:r w:rsidR="00D74474" w:rsidRPr="001B25B4">
        <w:t xml:space="preserve"> than in the trial setting, where detailed follow-up to ascertain deaths with recurrence of</w:t>
      </w:r>
      <w:r w:rsidR="009839DF" w:rsidRPr="001B25B4">
        <w:t xml:space="preserve"> breast</w:t>
      </w:r>
      <w:r w:rsidR="00D74474" w:rsidRPr="001B25B4">
        <w:t xml:space="preserve"> cancer has been used.</w:t>
      </w:r>
      <w:r w:rsidR="0020667C">
        <w:t xml:space="preserve"> </w:t>
      </w:r>
      <w:r w:rsidR="0020667C" w:rsidRPr="001B25B4">
        <w:t xml:space="preserve">RWE could also be enhanced by reporting of effects on multiple alternative causes of death (e.g. breast cancer, cardiovascular, other) </w:t>
      </w:r>
      <w:r w:rsidR="0032367A">
        <w:t xml:space="preserve">where such data are available, using </w:t>
      </w:r>
      <w:r w:rsidR="0020667C" w:rsidRPr="001B25B4">
        <w:t>an appropriate methodology to account for competing risks. This would also more nuanced conclusions regarding the potential biases related to each of these outcomes.</w:t>
      </w:r>
    </w:p>
    <w:p w14:paraId="2BC902F1" w14:textId="31F7BE91" w:rsidR="00E73C9D" w:rsidRDefault="00E73C9D">
      <w:pPr>
        <w:pStyle w:val="Body"/>
      </w:pPr>
    </w:p>
    <w:p w14:paraId="5982B12A" w14:textId="586AD723" w:rsidR="00E73C9D" w:rsidRDefault="00E73C9D">
      <w:pPr>
        <w:pStyle w:val="Body"/>
      </w:pPr>
    </w:p>
    <w:p w14:paraId="05D37B64" w14:textId="77777777" w:rsidR="00E73C9D" w:rsidRDefault="00C57731">
      <w:pPr>
        <w:pStyle w:val="Heading2"/>
      </w:pPr>
      <w:r w:rsidRPr="0030215A">
        <w:rPr>
          <w:lang w:val="en-US"/>
        </w:rPr>
        <w:t>Conclusions</w:t>
      </w:r>
    </w:p>
    <w:p w14:paraId="1D316AB8" w14:textId="0F7B2612" w:rsidR="00E73C9D" w:rsidRDefault="00C57731">
      <w:pPr>
        <w:pStyle w:val="Body"/>
      </w:pPr>
      <w:r>
        <w:t xml:space="preserve">Regression adjustment, PSM and IV were feasible </w:t>
      </w:r>
      <w:r w:rsidR="00944340">
        <w:t xml:space="preserve">methods </w:t>
      </w:r>
      <w:r>
        <w:t xml:space="preserve">for obtaining treatment effect estimates from these real-world data while RDD was not. While concordance with randomised trial evidence was demonstrated for cause-specific mortality there was some indication of bias in estimates of </w:t>
      </w:r>
      <w:r w:rsidR="00F0711A">
        <w:t xml:space="preserve">chemotherapy </w:t>
      </w:r>
      <w:r>
        <w:t>effect</w:t>
      </w:r>
      <w:r w:rsidR="00F0711A">
        <w:t>s</w:t>
      </w:r>
      <w:r>
        <w:t xml:space="preserve"> on all-cause mortality. </w:t>
      </w:r>
      <w:r w:rsidR="00F0711A">
        <w:t xml:space="preserve">We conclude that even with large, good quality datasets and careful validation of the assumptions underlying these methods, </w:t>
      </w:r>
      <w:r>
        <w:t xml:space="preserve">RWE should be interpreted cautiously, in the context of the available </w:t>
      </w:r>
      <w:r w:rsidR="00944340">
        <w:t xml:space="preserve">RCT </w:t>
      </w:r>
      <w:r>
        <w:t>evidence and with con</w:t>
      </w:r>
      <w:r w:rsidR="00944340">
        <w:t>sideration of alternative methods that can be implemented using</w:t>
      </w:r>
      <w:r>
        <w:t xml:space="preserve"> observational data.</w:t>
      </w:r>
    </w:p>
    <w:p w14:paraId="0BD7E1F3" w14:textId="3EBFC88C" w:rsidR="00E73C9D" w:rsidRDefault="00C57731">
      <w:pPr>
        <w:pStyle w:val="Body"/>
      </w:pPr>
      <w:r>
        <w:rPr>
          <w:rFonts w:ascii="Arial Unicode MS" w:hAnsi="Arial Unicode MS"/>
        </w:rPr>
        <w:br w:type="page"/>
      </w:r>
    </w:p>
    <w:p w14:paraId="11581BD0" w14:textId="6B6251A6" w:rsidR="0010303B" w:rsidRDefault="00221AF0" w:rsidP="0010303B">
      <w:pPr>
        <w:pStyle w:val="Heading2"/>
        <w:rPr>
          <w:lang w:val="en-US"/>
        </w:rPr>
      </w:pPr>
      <w:r>
        <w:rPr>
          <w:lang w:val="en-US"/>
        </w:rPr>
        <w:lastRenderedPageBreak/>
        <w:t>Acknowledgeme</w:t>
      </w:r>
      <w:r w:rsidR="0010303B">
        <w:rPr>
          <w:lang w:val="en-US"/>
        </w:rPr>
        <w:t>nts</w:t>
      </w:r>
    </w:p>
    <w:p w14:paraId="5F59E174" w14:textId="3C37F889" w:rsidR="0010303B" w:rsidRDefault="0010303B" w:rsidP="0010303B">
      <w:pPr>
        <w:pStyle w:val="Body"/>
      </w:pPr>
      <w:r>
        <w:t>We would like to thank the SATURNE advisory group -</w:t>
      </w:r>
      <w:r w:rsidR="00200F9C" w:rsidRPr="00200F9C">
        <w:rPr>
          <w:rFonts w:cs="Arial"/>
        </w:rPr>
        <w:t xml:space="preserve"> </w:t>
      </w:r>
      <w:r w:rsidR="00200F9C">
        <w:rPr>
          <w:rFonts w:cs="Arial"/>
        </w:rPr>
        <w:t>David Cameron, Fiona Watt, Iain MacPherson, Larry Hayward, Colin McCowen, Gianluca Baio and Paul Pharoah</w:t>
      </w:r>
      <w:r>
        <w:t xml:space="preserve"> - for their generous advice and support .We would also like to thank David MacAllister, Rachel Meacock, Patrick Taffe and the HESG participants for their</w:t>
      </w:r>
      <w:r w:rsidR="00200F9C">
        <w:t xml:space="preserve"> helpful</w:t>
      </w:r>
      <w:r w:rsidR="002D438B">
        <w:t xml:space="preserve"> suggestions. Finally, we would like to thank a</w:t>
      </w:r>
      <w:r w:rsidR="00200F9C">
        <w:t>ll the women who have provided the data that has been used in this study.</w:t>
      </w:r>
    </w:p>
    <w:p w14:paraId="23C8A951" w14:textId="222FAFBF" w:rsidR="00221AF0" w:rsidRDefault="00221AF0" w:rsidP="00221AF0">
      <w:pPr>
        <w:pStyle w:val="Heading2"/>
        <w:rPr>
          <w:lang w:val="en-US"/>
        </w:rPr>
      </w:pPr>
      <w:r>
        <w:rPr>
          <w:lang w:val="en-US"/>
        </w:rPr>
        <w:t>Conflict of interests</w:t>
      </w:r>
    </w:p>
    <w:p w14:paraId="1A7601F7" w14:textId="6A47D251" w:rsidR="00221AF0" w:rsidRPr="00221AF0" w:rsidRDefault="00221AF0" w:rsidP="00221AF0">
      <w:pPr>
        <w:pStyle w:val="Body"/>
      </w:pPr>
      <w:r w:rsidRPr="00221AF0">
        <w:t>All authors have no conflicts of interest to declare.</w:t>
      </w:r>
    </w:p>
    <w:p w14:paraId="128F8A6C" w14:textId="20EB8AED" w:rsidR="00221AF0" w:rsidRDefault="00221AF0" w:rsidP="00221AF0">
      <w:pPr>
        <w:pStyle w:val="Heading2"/>
      </w:pPr>
      <w:r>
        <w:rPr>
          <w:lang w:val="en-US"/>
        </w:rPr>
        <w:t>Funding</w:t>
      </w:r>
    </w:p>
    <w:p w14:paraId="4A28A9B4" w14:textId="3AA8E1E8" w:rsidR="0010303B" w:rsidRDefault="00221AF0" w:rsidP="00221AF0">
      <w:pPr>
        <w:pStyle w:val="Body"/>
      </w:pPr>
      <w:r w:rsidRPr="00221AF0">
        <w:t>This study was funded by the Chief Scientist Office (CSO)</w:t>
      </w:r>
      <w:r>
        <w:t>, Scotland</w:t>
      </w:r>
      <w:r w:rsidRPr="00221AF0">
        <w:t>. The funder had no role in the design or reporting of the study.</w:t>
      </w:r>
    </w:p>
    <w:p w14:paraId="24A166E2" w14:textId="1B055EBB" w:rsidR="007D027A" w:rsidRDefault="00C57731" w:rsidP="0010303B">
      <w:pPr>
        <w:pStyle w:val="Heading2"/>
      </w:pPr>
      <w:r w:rsidRPr="00FE5790">
        <w:rPr>
          <w:lang w:val="en-US"/>
        </w:rPr>
        <w:t>References</w:t>
      </w:r>
    </w:p>
    <w:p w14:paraId="5A306F58" w14:textId="77777777" w:rsidR="007D027A" w:rsidRPr="007D027A" w:rsidRDefault="007D027A" w:rsidP="007D027A">
      <w:pPr>
        <w:pStyle w:val="EndNoteBibliography"/>
        <w:spacing w:after="0"/>
        <w:rPr>
          <w:noProof/>
        </w:rPr>
      </w:pPr>
      <w:r>
        <w:fldChar w:fldCharType="begin"/>
      </w:r>
      <w:r>
        <w:instrText xml:space="preserve"> ADDIN EN.SECTION.REFLIST </w:instrText>
      </w:r>
      <w:r>
        <w:fldChar w:fldCharType="separate"/>
      </w:r>
      <w:r w:rsidRPr="007D027A">
        <w:rPr>
          <w:noProof/>
        </w:rPr>
        <w:t>1.</w:t>
      </w:r>
      <w:r w:rsidRPr="007D027A">
        <w:rPr>
          <w:noProof/>
        </w:rPr>
        <w:tab/>
        <w:t>National Collaborating Centre for Cancer. CG80 Early and locally advanced breast cancer: diagnosis and treatment. National Institute For Health and Clinical Excellence, 2009.</w:t>
      </w:r>
    </w:p>
    <w:p w14:paraId="66C22CE4" w14:textId="77777777" w:rsidR="007D027A" w:rsidRPr="007D027A" w:rsidRDefault="007D027A" w:rsidP="007D027A">
      <w:pPr>
        <w:pStyle w:val="EndNoteBibliography"/>
        <w:spacing w:after="0"/>
        <w:rPr>
          <w:noProof/>
        </w:rPr>
      </w:pPr>
      <w:r w:rsidRPr="007D027A">
        <w:rPr>
          <w:noProof/>
        </w:rPr>
        <w:t>2.</w:t>
      </w:r>
      <w:r w:rsidRPr="007D027A">
        <w:rPr>
          <w:noProof/>
        </w:rPr>
        <w:tab/>
        <w:t>Early Breast Cancer Trialists’ Collaborative Group. Comparisons between different polychemotherapy regimens for early breast cancer: meta-analyses of long-term outcome among 100 000 women in 123 randomised trials. The Lancet. 2012;379(9814):432-44.</w:t>
      </w:r>
    </w:p>
    <w:p w14:paraId="6F2A1586" w14:textId="77777777" w:rsidR="007D027A" w:rsidRPr="007D027A" w:rsidRDefault="007D027A" w:rsidP="007D027A">
      <w:pPr>
        <w:pStyle w:val="EndNoteBibliography"/>
        <w:spacing w:after="0"/>
        <w:rPr>
          <w:noProof/>
        </w:rPr>
      </w:pPr>
      <w:r w:rsidRPr="007D027A">
        <w:rPr>
          <w:noProof/>
        </w:rPr>
        <w:t>3.</w:t>
      </w:r>
      <w:r w:rsidRPr="007D027A">
        <w:rPr>
          <w:noProof/>
        </w:rPr>
        <w:tab/>
        <w:t>Galea MH, Blamey RW, Elston CE, Ellis IO. The Nottingham Prognostic Index in Primary Breast-Cancer. Breast Cancer Res Tr. 1992;22(3):207-19.</w:t>
      </w:r>
    </w:p>
    <w:p w14:paraId="323BC924" w14:textId="77777777" w:rsidR="007D027A" w:rsidRPr="007D027A" w:rsidRDefault="007D027A" w:rsidP="007D027A">
      <w:pPr>
        <w:pStyle w:val="EndNoteBibliography"/>
        <w:spacing w:after="0"/>
        <w:rPr>
          <w:noProof/>
        </w:rPr>
      </w:pPr>
      <w:r w:rsidRPr="007D027A">
        <w:rPr>
          <w:noProof/>
        </w:rPr>
        <w:t>4.</w:t>
      </w:r>
      <w:r w:rsidRPr="007D027A">
        <w:rPr>
          <w:noProof/>
        </w:rPr>
        <w:tab/>
        <w:t>Ravdin PM, Siminoff LA, Davis GJ, Mercer MB, Hewlett J, Gerson N, et al. Computer program to assist in making decisions about adjuvant therapy for women with early breast cancer. J Clin Oncol. 2001;19(4):980-91.</w:t>
      </w:r>
    </w:p>
    <w:p w14:paraId="31F5990F" w14:textId="77777777" w:rsidR="007D027A" w:rsidRPr="007D027A" w:rsidRDefault="007D027A" w:rsidP="007D027A">
      <w:pPr>
        <w:pStyle w:val="EndNoteBibliography"/>
        <w:spacing w:after="0"/>
        <w:rPr>
          <w:noProof/>
        </w:rPr>
      </w:pPr>
      <w:r w:rsidRPr="007D027A">
        <w:rPr>
          <w:noProof/>
        </w:rPr>
        <w:t>5.</w:t>
      </w:r>
      <w:r w:rsidRPr="007D027A">
        <w:rPr>
          <w:noProof/>
        </w:rPr>
        <w:tab/>
        <w:t>Wishart GC, Azzato EM, Greenberg DC, Rashbass J, Kearins O, Lawrence G, et al. PREDICT: a new UK prognostic model that predicts survival following surgery for invasive breast cancer. Breast Cancer Res. 2010;12(1):R1.</w:t>
      </w:r>
    </w:p>
    <w:p w14:paraId="594CBC7A" w14:textId="77777777" w:rsidR="007D027A" w:rsidRPr="007D027A" w:rsidRDefault="007D027A" w:rsidP="007D027A">
      <w:pPr>
        <w:pStyle w:val="EndNoteBibliography"/>
        <w:spacing w:after="0"/>
        <w:rPr>
          <w:noProof/>
        </w:rPr>
      </w:pPr>
      <w:r w:rsidRPr="007D027A">
        <w:rPr>
          <w:noProof/>
        </w:rPr>
        <w:t>6.</w:t>
      </w:r>
      <w:r w:rsidRPr="007D027A">
        <w:rPr>
          <w:noProof/>
        </w:rPr>
        <w:tab/>
        <w:t>Sherman RE, Anderson SA, Dal Pan GJ, Gray GW, Gross T, Hunter NL, et al. Real-World Evidence - What Is It and What Can It Tell Us? New Engl J Med. 2016;375(23):2293-7.</w:t>
      </w:r>
    </w:p>
    <w:p w14:paraId="0BD9BE9C" w14:textId="77777777" w:rsidR="007D027A" w:rsidRPr="007D027A" w:rsidRDefault="007D027A" w:rsidP="007D027A">
      <w:pPr>
        <w:pStyle w:val="EndNoteBibliography"/>
        <w:spacing w:after="0"/>
        <w:rPr>
          <w:noProof/>
        </w:rPr>
      </w:pPr>
      <w:r w:rsidRPr="007D027A">
        <w:rPr>
          <w:noProof/>
        </w:rPr>
        <w:t>7.</w:t>
      </w:r>
      <w:r w:rsidRPr="007D027A">
        <w:rPr>
          <w:noProof/>
        </w:rPr>
        <w:tab/>
        <w:t>Garrison LP, Jr., Neumann PJ, Erickson P, Marshall D, Mullins CD. Using real-world data for coverage and payment decisions: the ISPOR Real-World Data Task Force report. Value Health. 2007;10(5):326-35.</w:t>
      </w:r>
    </w:p>
    <w:p w14:paraId="21804DC3" w14:textId="77777777" w:rsidR="007D027A" w:rsidRPr="007D027A" w:rsidRDefault="007D027A" w:rsidP="007D027A">
      <w:pPr>
        <w:pStyle w:val="EndNoteBibliography"/>
        <w:spacing w:after="0"/>
        <w:rPr>
          <w:noProof/>
        </w:rPr>
      </w:pPr>
      <w:r w:rsidRPr="007D027A">
        <w:rPr>
          <w:noProof/>
        </w:rPr>
        <w:t>8.</w:t>
      </w:r>
      <w:r w:rsidRPr="007D027A">
        <w:rPr>
          <w:noProof/>
        </w:rPr>
        <w:tab/>
        <w:t>Altman DG, Schulz KF, Moher D. Turning a blind eye - Testing the success of blinding and the CONSORT statement. Brit Med J. 2004;328(7448):1135-.</w:t>
      </w:r>
    </w:p>
    <w:p w14:paraId="2BB7A8B0" w14:textId="77777777" w:rsidR="007D027A" w:rsidRPr="007D027A" w:rsidRDefault="007D027A" w:rsidP="007D027A">
      <w:pPr>
        <w:pStyle w:val="EndNoteBibliography"/>
        <w:spacing w:after="0"/>
        <w:rPr>
          <w:noProof/>
        </w:rPr>
      </w:pPr>
      <w:r w:rsidRPr="007D027A">
        <w:rPr>
          <w:noProof/>
        </w:rPr>
        <w:t>9.</w:t>
      </w:r>
      <w:r w:rsidRPr="007D027A">
        <w:rPr>
          <w:noProof/>
        </w:rPr>
        <w:tab/>
        <w:t>Rosenbaum PR. Discussing Hidden Bias in Observational Studies. Ann Intern Med. 1991;115(11):901-5.</w:t>
      </w:r>
    </w:p>
    <w:p w14:paraId="04054973" w14:textId="77777777" w:rsidR="007D027A" w:rsidRPr="007D027A" w:rsidRDefault="007D027A" w:rsidP="007D027A">
      <w:pPr>
        <w:pStyle w:val="EndNoteBibliography"/>
        <w:spacing w:after="0"/>
        <w:rPr>
          <w:noProof/>
        </w:rPr>
      </w:pPr>
      <w:r w:rsidRPr="007D027A">
        <w:rPr>
          <w:noProof/>
        </w:rPr>
        <w:t>10.</w:t>
      </w:r>
      <w:r w:rsidRPr="007D027A">
        <w:rPr>
          <w:noProof/>
        </w:rPr>
        <w:tab/>
        <w:t>Angrist JD, Pischke J-S. The Credibility Revolution in Empirical Economics: How Better Research Design is Taking the Con out of Econometrics. Journal of Economic Perspectives. 2010;24(2):3-30.</w:t>
      </w:r>
    </w:p>
    <w:p w14:paraId="603C7996" w14:textId="77777777" w:rsidR="007D027A" w:rsidRPr="007D027A" w:rsidRDefault="007D027A" w:rsidP="007D027A">
      <w:pPr>
        <w:pStyle w:val="EndNoteBibliography"/>
        <w:spacing w:after="0"/>
        <w:rPr>
          <w:noProof/>
        </w:rPr>
      </w:pPr>
      <w:r w:rsidRPr="007D027A">
        <w:rPr>
          <w:noProof/>
        </w:rPr>
        <w:t>11.</w:t>
      </w:r>
      <w:r w:rsidRPr="007D027A">
        <w:rPr>
          <w:noProof/>
        </w:rPr>
        <w:tab/>
        <w:t>Craig P, Cooper C, Gunnell D, Haw S, Lawson K, Macintyre S, et al. Using natural experiments to evaluate population health interventions: new Medical Research Council guidance. J Epidemiol Community Health. 2012;66(12):1182-6.</w:t>
      </w:r>
    </w:p>
    <w:p w14:paraId="34AC6BB8" w14:textId="77777777" w:rsidR="007D027A" w:rsidRPr="007D027A" w:rsidRDefault="007D027A" w:rsidP="007D027A">
      <w:pPr>
        <w:pStyle w:val="EndNoteBibliography"/>
        <w:spacing w:after="0"/>
        <w:rPr>
          <w:noProof/>
        </w:rPr>
      </w:pPr>
      <w:r w:rsidRPr="007D027A">
        <w:rPr>
          <w:noProof/>
        </w:rPr>
        <w:t>12.</w:t>
      </w:r>
      <w:r w:rsidRPr="007D027A">
        <w:rPr>
          <w:noProof/>
        </w:rPr>
        <w:tab/>
        <w:t>Early Breast Cancer Trialists’ Collaborative Group. Polychemotherapy for early breast cancer: an overview of the randomised trials. The Lancet. 1998;352(9132):930-42.</w:t>
      </w:r>
    </w:p>
    <w:p w14:paraId="64957DBE" w14:textId="77777777" w:rsidR="007D027A" w:rsidRPr="007D027A" w:rsidRDefault="007D027A" w:rsidP="007D027A">
      <w:pPr>
        <w:pStyle w:val="EndNoteBibliography"/>
        <w:spacing w:after="0"/>
        <w:rPr>
          <w:noProof/>
        </w:rPr>
      </w:pPr>
      <w:r w:rsidRPr="007D027A">
        <w:rPr>
          <w:noProof/>
        </w:rPr>
        <w:lastRenderedPageBreak/>
        <w:t>13.</w:t>
      </w:r>
      <w:r w:rsidRPr="007D027A">
        <w:rPr>
          <w:noProof/>
        </w:rPr>
        <w:tab/>
        <w:t>Early Breast Cancer Trialists’ Collaborative Group. Effects of chemotherapy and hormonal therapy for early breast cancer on recurrence and 15-year survival: an overview of the randomised trials. The Lancet. 2005;365(9472):1687-717.</w:t>
      </w:r>
    </w:p>
    <w:p w14:paraId="1C9EE296" w14:textId="77777777" w:rsidR="007D027A" w:rsidRPr="007D027A" w:rsidRDefault="007D027A" w:rsidP="007D027A">
      <w:pPr>
        <w:pStyle w:val="EndNoteBibliography"/>
        <w:rPr>
          <w:noProof/>
        </w:rPr>
      </w:pPr>
      <w:r w:rsidRPr="007D027A">
        <w:rPr>
          <w:noProof/>
        </w:rPr>
        <w:t>14.</w:t>
      </w:r>
      <w:r w:rsidRPr="007D027A">
        <w:rPr>
          <w:noProof/>
        </w:rPr>
        <w:tab/>
        <w:t>Rosenbaum P, Rubin DB. The central role of the propensity score in observational</w:t>
      </w:r>
    </w:p>
    <w:p w14:paraId="179374FA" w14:textId="77777777" w:rsidR="007D027A" w:rsidRPr="007D027A" w:rsidRDefault="007D027A" w:rsidP="007D027A">
      <w:pPr>
        <w:pStyle w:val="EndNoteBibliography"/>
        <w:spacing w:after="0"/>
        <w:rPr>
          <w:noProof/>
        </w:rPr>
      </w:pPr>
      <w:r w:rsidRPr="007D027A">
        <w:rPr>
          <w:noProof/>
        </w:rPr>
        <w:t>studies for causal effects. Biometrika. 1983;70(1):41-55.</w:t>
      </w:r>
    </w:p>
    <w:p w14:paraId="5D980182" w14:textId="77777777" w:rsidR="007D027A" w:rsidRPr="007D027A" w:rsidRDefault="007D027A" w:rsidP="007D027A">
      <w:pPr>
        <w:pStyle w:val="EndNoteBibliography"/>
        <w:spacing w:after="0"/>
        <w:rPr>
          <w:noProof/>
        </w:rPr>
      </w:pPr>
      <w:r w:rsidRPr="007D027A">
        <w:rPr>
          <w:noProof/>
        </w:rPr>
        <w:t>15.</w:t>
      </w:r>
      <w:r w:rsidRPr="007D027A">
        <w:rPr>
          <w:noProof/>
        </w:rPr>
        <w:tab/>
        <w:t>Angrist JD, Imbens GW, Rubin DB. Identification of causal effects using instrumental variables. J Am Stat Assoc. 1996;91(434):444-55.</w:t>
      </w:r>
    </w:p>
    <w:p w14:paraId="646F8AEE" w14:textId="77777777" w:rsidR="007D027A" w:rsidRPr="007D027A" w:rsidRDefault="007D027A" w:rsidP="007D027A">
      <w:pPr>
        <w:pStyle w:val="EndNoteBibliography"/>
        <w:spacing w:after="0"/>
        <w:rPr>
          <w:noProof/>
        </w:rPr>
      </w:pPr>
      <w:r w:rsidRPr="007D027A">
        <w:rPr>
          <w:noProof/>
        </w:rPr>
        <w:t>16.</w:t>
      </w:r>
      <w:r w:rsidRPr="007D027A">
        <w:rPr>
          <w:noProof/>
        </w:rPr>
        <w:tab/>
        <w:t>Oldenburg CE, Moscoe E, Barnighausen T. Regression Discontinuity for Causal Effect Estimation in Epidemiology. Curr Epidemiol Rep. 2016;3:233-41.</w:t>
      </w:r>
    </w:p>
    <w:p w14:paraId="287E3BCE" w14:textId="77777777" w:rsidR="007D027A" w:rsidRPr="007D027A" w:rsidRDefault="007D027A" w:rsidP="007D027A">
      <w:pPr>
        <w:pStyle w:val="EndNoteBibliography"/>
        <w:spacing w:after="0"/>
        <w:rPr>
          <w:noProof/>
        </w:rPr>
      </w:pPr>
      <w:r w:rsidRPr="007D027A">
        <w:rPr>
          <w:noProof/>
        </w:rPr>
        <w:t>17.</w:t>
      </w:r>
      <w:r w:rsidRPr="007D027A">
        <w:rPr>
          <w:noProof/>
        </w:rPr>
        <w:tab/>
        <w:t>General Accounting Office (GAO) United States of America. Breast Conservation versus Mastectomy; Patient Survival in Day-to-Day Medical Practice and in Randomized Studies. Washington, D.C.: 1994.</w:t>
      </w:r>
    </w:p>
    <w:p w14:paraId="75E7AD57" w14:textId="77777777" w:rsidR="007D027A" w:rsidRPr="007D027A" w:rsidRDefault="007D027A" w:rsidP="007D027A">
      <w:pPr>
        <w:pStyle w:val="EndNoteBibliography"/>
        <w:spacing w:after="0"/>
        <w:rPr>
          <w:noProof/>
        </w:rPr>
      </w:pPr>
      <w:r w:rsidRPr="007D027A">
        <w:rPr>
          <w:noProof/>
        </w:rPr>
        <w:t>18.</w:t>
      </w:r>
      <w:r w:rsidRPr="007D027A">
        <w:rPr>
          <w:noProof/>
        </w:rPr>
        <w:tab/>
        <w:t>Moscoe E, Bor J, Barnighausen T. Regression discontinuity designs are underutilized in medicine, epidemiology, and public health: a review of current and best practice. J Clin Epidemiol. 2015;68(2):122-33.</w:t>
      </w:r>
    </w:p>
    <w:p w14:paraId="289B44BA" w14:textId="77777777" w:rsidR="007D027A" w:rsidRPr="007D027A" w:rsidRDefault="007D027A" w:rsidP="007D027A">
      <w:pPr>
        <w:pStyle w:val="EndNoteBibliography"/>
        <w:spacing w:after="0"/>
        <w:rPr>
          <w:noProof/>
        </w:rPr>
      </w:pPr>
      <w:r w:rsidRPr="007D027A">
        <w:rPr>
          <w:noProof/>
        </w:rPr>
        <w:t>19.</w:t>
      </w:r>
      <w:r w:rsidRPr="007D027A">
        <w:rPr>
          <w:noProof/>
        </w:rPr>
        <w:tab/>
        <w:t>White IR, Barrett JK, Jackson D, Higgins JPT. Consistency and inconsistency in network meta-analysis: model estimation using multivariate meta-regression. Res Synth Methods. 2012;3(2):111-25.</w:t>
      </w:r>
    </w:p>
    <w:p w14:paraId="64609D11" w14:textId="77777777" w:rsidR="007D027A" w:rsidRPr="007D027A" w:rsidRDefault="007D027A" w:rsidP="007D027A">
      <w:pPr>
        <w:pStyle w:val="EndNoteBibliography"/>
        <w:spacing w:after="0"/>
        <w:rPr>
          <w:noProof/>
        </w:rPr>
      </w:pPr>
      <w:r w:rsidRPr="007D027A">
        <w:rPr>
          <w:noProof/>
        </w:rPr>
        <w:t>20.</w:t>
      </w:r>
      <w:r w:rsidRPr="007D027A">
        <w:rPr>
          <w:noProof/>
        </w:rPr>
        <w:tab/>
        <w:t>Ioannidis JP, Haidich AB, Pappa M, Pantazis N, Kokori SI, Tektonidou MG, et al. Comparison of evidence of treatment effects in randomized and nonrandomized studies. JAMA. 2001;286(7):821-30.</w:t>
      </w:r>
    </w:p>
    <w:p w14:paraId="3C97FFF1" w14:textId="77777777" w:rsidR="007D027A" w:rsidRPr="007D027A" w:rsidRDefault="007D027A" w:rsidP="007D027A">
      <w:pPr>
        <w:pStyle w:val="EndNoteBibliography"/>
        <w:rPr>
          <w:noProof/>
        </w:rPr>
      </w:pPr>
      <w:r w:rsidRPr="007D027A">
        <w:rPr>
          <w:noProof/>
        </w:rPr>
        <w:t>21.</w:t>
      </w:r>
      <w:r w:rsidRPr="007D027A">
        <w:rPr>
          <w:noProof/>
        </w:rPr>
        <w:tab/>
        <w:t>Simmons JP, Nelson LD, Simonsohn U. False-Positive Psychology: Undisclosed Flexibility in Data Collection and Analysis Allows Presenting Anything as Significant. Psychol Sci. 2011;22(11):1359-66.</w:t>
      </w:r>
    </w:p>
    <w:p w14:paraId="79E9F293" w14:textId="007C5365" w:rsidR="007D027A" w:rsidRDefault="007D027A">
      <w:pPr>
        <w:pStyle w:val="Heading"/>
      </w:pPr>
      <w:r>
        <w:fldChar w:fldCharType="end"/>
      </w:r>
    </w:p>
    <w:p w14:paraId="43F0E59A" w14:textId="6B1403FD" w:rsidR="00E73C9D" w:rsidRDefault="00E73C9D">
      <w:pPr>
        <w:pStyle w:val="Heading"/>
        <w:sectPr w:rsidR="00E73C9D">
          <w:headerReference w:type="default" r:id="rId11"/>
          <w:pgSz w:w="11900" w:h="16840"/>
          <w:pgMar w:top="1440" w:right="1440" w:bottom="1440" w:left="1440" w:header="708" w:footer="708" w:gutter="0"/>
          <w:cols w:space="720"/>
        </w:sectPr>
      </w:pPr>
    </w:p>
    <w:p w14:paraId="6AD111FA" w14:textId="77777777" w:rsidR="007D027A" w:rsidRDefault="007D027A">
      <w:pPr>
        <w:pStyle w:val="Heading"/>
        <w:rPr>
          <w:lang w:val="da-DK"/>
        </w:rPr>
        <w:sectPr w:rsidR="007D027A">
          <w:type w:val="continuous"/>
          <w:pgSz w:w="11900" w:h="16840"/>
          <w:pgMar w:top="1440" w:right="1440" w:bottom="1440" w:left="1440" w:header="708" w:footer="708" w:gutter="0"/>
          <w:cols w:space="720"/>
        </w:sectPr>
      </w:pPr>
    </w:p>
    <w:p w14:paraId="0BA51BCA" w14:textId="35507624" w:rsidR="00E73C9D" w:rsidRDefault="00C57731">
      <w:pPr>
        <w:pStyle w:val="Heading"/>
      </w:pPr>
      <w:r>
        <w:rPr>
          <w:lang w:val="da-DK"/>
        </w:rPr>
        <w:t>Appendix</w:t>
      </w:r>
    </w:p>
    <w:p w14:paraId="5827DBDD" w14:textId="77777777" w:rsidR="00E73C9D" w:rsidRDefault="00C57731">
      <w:pPr>
        <w:pStyle w:val="Heading2"/>
      </w:pPr>
      <w:r>
        <w:rPr>
          <w:lang w:val="en-US"/>
        </w:rPr>
        <w:t>1 Prognostic variables &amp; PREDICT further details</w:t>
      </w:r>
    </w:p>
    <w:p w14:paraId="0C2A9211" w14:textId="77777777" w:rsidR="00E73C9D" w:rsidRDefault="00C57731">
      <w:pPr>
        <w:pStyle w:val="Body"/>
      </w:pPr>
      <w:r>
        <w:t xml:space="preserve">Prognostic factors available in the registry extract included: age at diagnosis, number of lymph nodes examined and number positive, tumour size (maximum pathological diameter in mm), tumour histological grade (categorical: 1-3), mode of detection (screen-detected or symptomatic), Estrogen receptor (ER) status, Her2 status, chemotherapy use (binary) and hormone therapy use (binary). The linked data sets include many variables related to each type of healthcare use. This analysis makes use of three specific derived variables: </w:t>
      </w:r>
    </w:p>
    <w:p w14:paraId="5832556A" w14:textId="77777777" w:rsidR="00E73C9D" w:rsidRDefault="00C57731">
      <w:pPr>
        <w:pStyle w:val="ListParagraph"/>
        <w:numPr>
          <w:ilvl w:val="0"/>
          <w:numId w:val="4"/>
        </w:numPr>
      </w:pPr>
      <w:r>
        <w:t>Total number of inpatient bed days (log transformed) in the previous 5 years.</w:t>
      </w:r>
    </w:p>
    <w:p w14:paraId="1E03A90A" w14:textId="72C2946A" w:rsidR="00E73C9D" w:rsidRDefault="00C57731">
      <w:pPr>
        <w:pStyle w:val="ListParagraph"/>
        <w:numPr>
          <w:ilvl w:val="0"/>
          <w:numId w:val="4"/>
        </w:numPr>
      </w:pPr>
      <w:r>
        <w:t xml:space="preserve">Any inpatient or day case attendance related to a Charlson Index </w:t>
      </w:r>
      <w:r>
        <w:fldChar w:fldCharType="begin"/>
      </w:r>
      <w:r w:rsidR="007D027A">
        <w:instrText xml:space="preserve"> ADDIN EN.CITE &lt;EndNote&gt;&lt;Cite&gt;&lt;Author&gt;Charlson&lt;/Author&gt;&lt;Year&gt;1994&lt;/Year&gt;&lt;RecNum&gt;107&lt;/RecNum&gt;&lt;DisplayText&gt;(1)&lt;/DisplayText&gt;&lt;record&gt;&lt;rec-number&gt;107&lt;/rec-number&gt;&lt;foreign-keys&gt;&lt;key app="EN" db-id="ftrpw5r2d0tevie2a5gp2tzn2xerrzew2w50" timestamp="1511890359"&gt;107&lt;/key&gt;&lt;/foreign-keys&gt;&lt;ref-type name="Journal Article"&gt;17&lt;/ref-type&gt;&lt;contributors&gt;&lt;authors&gt;&lt;author&gt;Charlson, M.&lt;/author&gt;&lt;author&gt;Szatrowski, T. P.&lt;/author&gt;&lt;author&gt;Peterson, J.&lt;/author&gt;&lt;author&gt;Gold, J.&lt;/author&gt;&lt;/authors&gt;&lt;/contributors&gt;&lt;titles&gt;&lt;title&gt;Validation of a Combined Comorbidity Index&lt;/title&gt;&lt;secondary-title&gt;Journal of Clinical Epidemiology&lt;/secondary-title&gt;&lt;/titles&gt;&lt;periodical&gt;&lt;full-title&gt;Journal of Clinical Epidemiology&lt;/full-title&gt;&lt;/periodical&gt;&lt;pages&gt;1245-1251&lt;/pages&gt;&lt;volume&gt;47&lt;/volume&gt;&lt;number&gt;11&lt;/number&gt;&lt;dates&gt;&lt;year&gt;1994&lt;/year&gt;&lt;/dates&gt;&lt;urls&gt;&lt;/urls&gt;&lt;/record&gt;&lt;/Cite&gt;&lt;/EndNote&gt;</w:instrText>
      </w:r>
      <w:r>
        <w:fldChar w:fldCharType="separate"/>
      </w:r>
      <w:r w:rsidR="007D027A">
        <w:rPr>
          <w:noProof/>
        </w:rPr>
        <w:t>(1)</w:t>
      </w:r>
      <w:r>
        <w:fldChar w:fldCharType="end"/>
      </w:r>
      <w:r>
        <w:t xml:space="preserve"> included comorbidity (binary variable) in the previous 5 years.</w:t>
      </w:r>
    </w:p>
    <w:p w14:paraId="0D789CD5" w14:textId="77777777" w:rsidR="00E73C9D" w:rsidRDefault="00C57731">
      <w:pPr>
        <w:pStyle w:val="ListParagraph"/>
        <w:numPr>
          <w:ilvl w:val="0"/>
          <w:numId w:val="4"/>
        </w:numPr>
      </w:pPr>
      <w:r>
        <w:t>Total number of prescribed medications in the previous 12 months (log transformed).</w:t>
      </w:r>
    </w:p>
    <w:p w14:paraId="672553B2" w14:textId="481273D8" w:rsidR="00E73C9D" w:rsidRDefault="00C57731">
      <w:pPr>
        <w:pStyle w:val="Body"/>
      </w:pPr>
      <w:r>
        <w:lastRenderedPageBreak/>
        <w:t xml:space="preserve">PREDICT 10-year prognostic scores were calculated for each individual </w:t>
      </w:r>
      <w:r w:rsidR="00F0711A">
        <w:t xml:space="preserve">woman </w:t>
      </w:r>
      <w:r>
        <w:t>based on their recorded risk factor information using the algorithms supplied by the PREDICT authors (version 1.2 and version 2). Data were unavailable for some variables needed as inputs for the PREDICT model, these included HER2 status (prior to 2009), trastuzumab use and Ki-67 status. Ki-67 status is not recorded in these data</w:t>
      </w:r>
      <w:r w:rsidR="003D50C1">
        <w:t>, as it was not routinely recorded in Scotland,</w:t>
      </w:r>
      <w:r>
        <w:t xml:space="preserve"> therefore all cases were assigned to the “unknown” category for this variable. HER2 status is only recorded from 2009. Cases with missing data for HER2 were assigned the “unknown” category. The scores include the probability of death from all causes, probability of death from breast cancer accounting for competing risk, and adjuvant therapy benefit (chemotherapy, hormone therapy and trastuzumab) as the percentage point reduction in the probability of all-cause mortality for each adjuvant therapy (‘Benefit scores’).  Details of the calculation of the prognostic index are available in </w:t>
      </w:r>
      <w:r>
        <w:fldChar w:fldCharType="begin">
          <w:fldData xml:space="preserve">PEVuZE5vdGU+PENpdGU+PEF1dGhvcj5XaXNoYXJ0PC9BdXRob3I+PFllYXI+MjAxMjwvWWVhcj48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==
</w:fldData>
        </w:fldChar>
      </w:r>
      <w:r w:rsidR="007D027A">
        <w:instrText xml:space="preserve"> ADDIN EN.CITE </w:instrText>
      </w:r>
      <w:r w:rsidR="007D027A">
        <w:fldChar w:fldCharType="begin">
          <w:fldData xml:space="preserve">PEVuZE5vdGU+PENpdGU+PEF1dGhvcj5XaXNoYXJ0PC9BdXRob3I+PFllYXI+MjAxMjwvWWVhcj48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==
</w:fldData>
        </w:fldChar>
      </w:r>
      <w:r w:rsidR="007D027A">
        <w:instrText xml:space="preserve"> ADDIN EN.CITE.DATA </w:instrText>
      </w:r>
      <w:r w:rsidR="007D027A">
        <w:fldChar w:fldCharType="end"/>
      </w:r>
      <w:r>
        <w:fldChar w:fldCharType="separate"/>
      </w:r>
      <w:r w:rsidR="007D027A">
        <w:rPr>
          <w:noProof/>
        </w:rPr>
        <w:t>(2, 3)</w:t>
      </w:r>
      <w:r>
        <w:fldChar w:fldCharType="end"/>
      </w:r>
      <w:r>
        <w:t>.</w:t>
      </w:r>
    </w:p>
    <w:p w14:paraId="1E08B5F9" w14:textId="3BAC43E9" w:rsidR="00E73C9D" w:rsidRDefault="00C57731">
      <w:pPr>
        <w:pStyle w:val="Body"/>
      </w:pPr>
      <w:r>
        <w:t>PREDICT provides personalised prognostic information displayed as 5-year and 10-year survival estimates both with and without adjuvant therapies (chemotherapy, hormone therapy and trastuzumab). Results are presented both in textual format using a frequency based description of risk, and graphically in the form of bar charts with percentages labelled (</w:t>
      </w:r>
      <w:hyperlink r:id="rId12" w:history="1">
        <w:r>
          <w:rPr>
            <w:rStyle w:val="Hyperlink0"/>
          </w:rPr>
          <w:t>http://www.predict.nhs.uk/</w:t>
        </w:r>
      </w:hyperlink>
      <w:r>
        <w:t xml:space="preserve">). The first online version of the tool was published in 2010 </w:t>
      </w:r>
      <w:r>
        <w:fldChar w:fldCharType="begin"/>
      </w:r>
      <w:r w:rsidR="007D027A">
        <w:instrText xml:space="preserve"> ADDIN EN.CITE &lt;EndNote&gt;&lt;Cite&gt;&lt;Author&gt;Wishart&lt;/Author&gt;&lt;Year&gt;2010&lt;/Year&gt;&lt;RecNum&gt;13&lt;/RecNum&gt;&lt;DisplayText&gt;(4)&lt;/DisplayText&gt;&lt;record&gt;&lt;rec-number&gt;13&lt;/rec-number&gt;&lt;foreign-keys&gt;&lt;key app="EN" db-id="ftrpw5r2d0tevie2a5gp2tzn2xerrzew2w50" timestamp="1505919724"&gt;13&lt;/key&gt;&lt;/foreign-keys&gt;&lt;ref-type name="Journal Article"&gt;17&lt;/ref-type&gt;&lt;contributors&gt;&lt;authors&gt;&lt;author&gt;Wishart, G. C.&lt;/author&gt;&lt;author&gt;Azzato, E. M.&lt;/author&gt;&lt;author&gt;Greenberg, D. C.&lt;/author&gt;&lt;author&gt;Rashbass, J.&lt;/author&gt;&lt;author&gt;Kearins, O.&lt;/author&gt;&lt;author&gt;Lawrence, G.&lt;/author&gt;&lt;author&gt;Caldas, C.&lt;/author&gt;&lt;author&gt;Pharoah, P. D.&lt;/author&gt;&lt;/authors&gt;&lt;/contributors&gt;&lt;auth-address&gt;Cambridge Breast Unit, Addenbrooke&amp;apos;s Hospital, Hills Road, Cambridge, CB2 2QQ, UK. gordon.wishart@addenbrookes.nhs.uk&lt;/auth-address&gt;&lt;titles&gt;&lt;title&gt;PREDICT: a new UK prognostic model that predicts survival following surgery for invasive breast cancer&lt;/title&gt;&lt;secondary-title&gt;Breast Cancer Res&lt;/secondary-title&gt;&lt;/titles&gt;&lt;periodical&gt;&lt;full-title&gt;Breast Cancer Res&lt;/full-title&gt;&lt;/periodical&gt;&lt;pages&gt;R1&lt;/pages&gt;&lt;volume&gt;12&lt;/volume&gt;&lt;number&gt;1&lt;/number&gt;&lt;keywords&gt;&lt;keyword&gt;Adult&lt;/keyword&gt;&lt;keyword&gt;Aged&lt;/keyword&gt;&lt;keyword&gt;Aged, 80 and over&lt;/keyword&gt;&lt;keyword&gt;Breast Neoplasms/epidemiology/*mortality/surgery&lt;/keyword&gt;&lt;keyword&gt;Female&lt;/keyword&gt;&lt;keyword&gt;Humans&lt;/keyword&gt;&lt;keyword&gt;Middle Aged&lt;/keyword&gt;&lt;keyword&gt;Models, Statistical&lt;/keyword&gt;&lt;keyword&gt;Neoplasm Invasiveness&lt;/keyword&gt;&lt;keyword&gt;Prognosis&lt;/keyword&gt;&lt;keyword&gt;Receptors, Estrogen/analysis&lt;/keyword&gt;&lt;keyword&gt;Registries&lt;/keyword&gt;&lt;keyword&gt;SEER Program&lt;/keyword&gt;&lt;keyword&gt;United Kingdom&lt;/keyword&gt;&lt;/keywords&gt;&lt;dates&gt;&lt;year&gt;2010&lt;/year&gt;&lt;/dates&gt;&lt;isbn&gt;1465-542X (Electronic)&amp;#xD;1465-5411 (Linking)&lt;/isbn&gt;&lt;accession-num&gt;20053270&lt;/accession-num&gt;&lt;urls&gt;&lt;related-urls&gt;&lt;url&gt;http://www.ncbi.nlm.nih.gov/pubmed/20053270&lt;/url&gt;&lt;/related-urls&gt;&lt;/urls&gt;&lt;custom2&gt;PMC2880419&lt;/custom2&gt;&lt;electronic-resource-num&gt;10.1186/bcr2464&lt;/electronic-resource-num&gt;&lt;/record&gt;&lt;/Cite&gt;&lt;/EndNote&gt;</w:instrText>
      </w:r>
      <w:r>
        <w:fldChar w:fldCharType="separate"/>
      </w:r>
      <w:r w:rsidR="007D027A">
        <w:rPr>
          <w:noProof/>
        </w:rPr>
        <w:t>(4)</w:t>
      </w:r>
      <w:r>
        <w:fldChar w:fldCharType="end"/>
      </w:r>
      <w:r>
        <w:t xml:space="preserve"> (v1). A series of updates made since launch have added new prognostic variables and refined the algorithm’s predictions. The first update published in 2012 </w:t>
      </w:r>
      <w:r>
        <w:fldChar w:fldCharType="begin">
          <w:fldData xml:space="preserve">PEVuZE5vdGU+PENpdGU+PEF1dGhvcj5XaXNoYXJ0PC9BdXRob3I+PFllYXI+MjAxMjwvWWVhcj48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</w:fldData>
        </w:fldChar>
      </w:r>
      <w:r w:rsidR="007D027A">
        <w:instrText xml:space="preserve"> ADDIN EN.CITE </w:instrText>
      </w:r>
      <w:r w:rsidR="007D027A">
        <w:fldChar w:fldCharType="begin">
          <w:fldData xml:space="preserve">PEVuZE5vdGU+PENpdGU+PEF1dGhvcj5XaXNoYXJ0PC9BdXRob3I+PFllYXI+MjAxMjwvWWVhcj48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</w:fldData>
        </w:fldChar>
      </w:r>
      <w:r w:rsidR="007D027A">
        <w:instrText xml:space="preserve"> ADDIN EN.CITE.DATA </w:instrText>
      </w:r>
      <w:r w:rsidR="007D027A">
        <w:fldChar w:fldCharType="end"/>
      </w:r>
      <w:r>
        <w:fldChar w:fldCharType="separate"/>
      </w:r>
      <w:r w:rsidR="007D027A">
        <w:rPr>
          <w:noProof/>
        </w:rPr>
        <w:t>(2)</w:t>
      </w:r>
      <w:r>
        <w:fldChar w:fldCharType="end"/>
      </w:r>
      <w:r>
        <w:t xml:space="preserve">, added HER2 status as a prognostic marker and allowed calculation of Trastuzumab treatment benefit estimates (v.1.2). In 2014, the tumour proliferative marker Ki-67 was added as an optional prognostic variable </w:t>
      </w:r>
      <w:r>
        <w:fldChar w:fldCharType="begin"/>
      </w:r>
      <w:r w:rsidR="007D027A">
        <w:instrText xml:space="preserve"> ADDIN EN.CITE &lt;EndNote&gt;&lt;Cite&gt;&lt;Author&gt;Wishart&lt;/Author&gt;&lt;Year&gt;2014&lt;/Year&gt;&lt;RecNum&gt;33&lt;/RecNum&gt;&lt;DisplayText&gt;(5)&lt;/DisplayText&gt;&lt;record&gt;&lt;rec-number&gt;33&lt;/rec-number&gt;&lt;foreign-keys&gt;&lt;key app="EN" db-id="ftrpw5r2d0tevie2a5gp2tzn2xerrzew2w50" timestamp="1505919750"&gt;33&lt;/key&gt;&lt;/foreign-keys&gt;&lt;ref-type name="Journal Article"&gt;17&lt;/ref-type&gt;&lt;contributors&gt;&lt;authors&gt;&lt;author&gt;Wishart, G. C.&lt;/author&gt;&lt;author&gt;Rakha, E.&lt;/author&gt;&lt;author&gt;Green, A.&lt;/author&gt;&lt;author&gt;Ellis, I.&lt;/author&gt;&lt;author&gt;Ali, H. R.&lt;/author&gt;&lt;author&gt;Provenzano, E.&lt;/author&gt;&lt;author&gt;Blows, F. M.&lt;/author&gt;&lt;author&gt;Caldas, C.&lt;/author&gt;&lt;author&gt;Pharoah, P. D. P.&lt;/author&gt;&lt;/authors&gt;&lt;/contributors&gt;&lt;auth-address&gt;Anglia Ruskin Univ, Fac Hlth Social Care &amp;amp; Educ, Cambridge, England&amp;#xD;Univ Nottingham, Sch Med, Div Oncol, Nottingham, England&amp;#xD;Univ Cambridge, Dept Oncol, Strangeways Res Lab, Cambridge CB1 8RN, England&lt;/auth-address&gt;&lt;titles&gt;&lt;title&gt;Inclusion of KI67 significantly improves performance of the PREDICT prognostication and prediction model for early breast cancer&lt;/title&gt;&lt;secondary-title&gt;Bmc Cancer&lt;/secondary-title&gt;&lt;alt-title&gt;Bmc Cancer&amp;#xD;Bmc Cancer&lt;/alt-title&gt;&lt;/titles&gt;&lt;periodical&gt;&lt;full-title&gt;Bmc Cancer&lt;/full-title&gt;&lt;abbr-1&gt;Bmc Cancer&lt;/abbr-1&gt;&lt;/periodical&gt;&lt;volume&gt;14&lt;/volume&gt;&lt;keywords&gt;&lt;keyword&gt;breast cancer&lt;/keyword&gt;&lt;keyword&gt;ki67&lt;/keyword&gt;&lt;keyword&gt;prognostic model&lt;/keyword&gt;&lt;keyword&gt;recurrence score&lt;/keyword&gt;&lt;keyword&gt;survival&lt;/keyword&gt;&lt;keyword&gt;validation&lt;/keyword&gt;&lt;keyword&gt;subgroups&lt;/keyword&gt;&lt;keyword&gt;subtypes&lt;/keyword&gt;&lt;keyword&gt;therapy&lt;/keyword&gt;&lt;keyword&gt;tumors&lt;/keyword&gt;&lt;keyword&gt;index&lt;/keyword&gt;&lt;keyword&gt;risk&lt;/keyword&gt;&lt;keyword&gt;her2&lt;/keyword&gt;&lt;/keywords&gt;&lt;dates&gt;&lt;year&gt;2014&lt;/year&gt;&lt;pub-dates&gt;&lt;date&gt;Dec 3&lt;/date&gt;&lt;/pub-dates&gt;&lt;/dates&gt;&lt;isbn&gt;1471-2407&lt;/isbn&gt;&lt;accession-num&gt;WOS:000346810600001&lt;/accession-num&gt;&lt;urls&gt;&lt;related-urls&gt;&lt;url&gt;&amp;lt;Go to ISI&amp;gt;://WOS:000346810600001&lt;/url&gt;&lt;/related-urls&gt;&lt;/urls&gt;&lt;language&gt;English&lt;/language&gt;&lt;/record&gt;&lt;/Cite&gt;&lt;/EndNote&gt;</w:instrText>
      </w:r>
      <w:r>
        <w:fldChar w:fldCharType="separate"/>
      </w:r>
      <w:r w:rsidR="007D027A">
        <w:rPr>
          <w:noProof/>
        </w:rPr>
        <w:t>(5)</w:t>
      </w:r>
      <w:r>
        <w:fldChar w:fldCharType="end"/>
      </w:r>
      <w:r>
        <w:t xml:space="preserve"> (v1.3). The most recent update, in 2016, refined the model by including age at diagnosis in the breast cancer-specific death prediction as well as recoding tumour size and nodal status as continuous rather than categorical variables (v2) </w:t>
      </w:r>
      <w:r>
        <w:fldChar w:fldCharType="begin">
          <w:fldData xml:space="preserve">PEVuZE5vdGU+PENpdGU+PEF1dGhvcj5DYW5kaWRvIERvcyBSZWlzPC9BdXRob3I+PFllYXI+MjAx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</w:fldData>
        </w:fldChar>
      </w:r>
      <w:r w:rsidR="007D027A">
        <w:instrText xml:space="preserve"> ADDIN EN.CITE </w:instrText>
      </w:r>
      <w:r w:rsidR="007D027A">
        <w:fldChar w:fldCharType="begin">
          <w:fldData xml:space="preserve">PEVuZE5vdGU+PENpdGU+PEF1dGhvcj5DYW5kaWRvIERvcyBSZWlzPC9BdXRob3I+PFllYXI+MjAx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</w:fldData>
        </w:fldChar>
      </w:r>
      <w:r w:rsidR="007D027A">
        <w:instrText xml:space="preserve"> ADDIN EN.CITE.DATA </w:instrText>
      </w:r>
      <w:r w:rsidR="007D027A">
        <w:fldChar w:fldCharType="end"/>
      </w:r>
      <w:r>
        <w:fldChar w:fldCharType="separate"/>
      </w:r>
      <w:r w:rsidR="007D027A">
        <w:rPr>
          <w:noProof/>
        </w:rPr>
        <w:t>(3)</w:t>
      </w:r>
      <w:r>
        <w:fldChar w:fldCharType="end"/>
      </w:r>
      <w:r>
        <w:t>. In this study we make use of version</w:t>
      </w:r>
      <w:r w:rsidR="00805222">
        <w:t>s</w:t>
      </w:r>
      <w:r>
        <w:t xml:space="preserve"> 1.2 and 2.</w:t>
      </w:r>
    </w:p>
    <w:p w14:paraId="4F39D0EC" w14:textId="4E39474C" w:rsidR="00E73C9D" w:rsidRDefault="00C57731">
      <w:pPr>
        <w:pStyle w:val="Body"/>
      </w:pPr>
      <w:r>
        <w:t>Local treatment protocols in Scotland (and in the rest of UK) have defined thresholds, derived from international consensus,  for recommending treatments based on estimated treatment benefit (personal communication – treatment protocols for NHS Lothian &amp; NHS Greater Glasgow &amp; Clyde)</w:t>
      </w:r>
      <w:r>
        <w:fldChar w:fldCharType="begin"/>
      </w:r>
      <w:r w:rsidR="007D027A">
        <w:instrText xml:space="preserve"> ADDIN EN.CITE &lt;EndNote&gt;&lt;Cite&gt;&lt;Author&gt;Down&lt;/Author&gt;&lt;Year&gt;2014&lt;/Year&gt;&lt;RecNum&gt;56&lt;/RecNum&gt;&lt;DisplayText&gt;(6)&lt;/DisplayText&gt;&lt;record&gt;&lt;rec-number&gt;56&lt;/rec-number&gt;&lt;foreign-keys&gt;&lt;key app="EN" db-id="ftrpw5r2d0tevie2a5gp2tzn2xerrzew2w50" timestamp="1505919750"&gt;56&lt;/key&gt;&lt;/foreign-keys&gt;&lt;ref-type name="Journal Article"&gt;17&lt;/ref-type&gt;&lt;contributors&gt;&lt;authors&gt;&lt;author&gt;Down, S. K.&lt;/author&gt;&lt;author&gt;Lucas, O.&lt;/author&gt;&lt;author&gt;Benson, J. R.&lt;/author&gt;&lt;author&gt;Wishart, G. C.&lt;/author&gt;&lt;/authors&gt;&lt;/contributors&gt;&lt;auth-address&gt;Cambridge Breast Unit, Addenbrooke&amp;apos;s Hospital, Cambridge, UK.&amp;#xD;Faculty of Health, Social Care and Education, Anglia Ruskin University, Cambridge, UK.&lt;/auth-address&gt;&lt;titles&gt;&lt;title&gt;Effect of PREDICT on chemotherapy/trastuzumab recommendations in HER2-positive patients with early-stage breast cancer&lt;/title&gt;&lt;secondary-title&gt;Oncol Lett&lt;/secondary-title&gt;&lt;/titles&gt;&lt;periodical&gt;&lt;full-title&gt;Oncol Lett&lt;/full-title&gt;&lt;/periodical&gt;&lt;pages&gt;2757-2761&lt;/pages&gt;&lt;volume&gt;8&lt;/volume&gt;&lt;number&gt;6&lt;/number&gt;&lt;keywords&gt;&lt;keyword&gt;age&lt;/keyword&gt;&lt;keyword&gt;breast cancer&lt;/keyword&gt;&lt;keyword&gt;erbB-2 receptor&lt;/keyword&gt;&lt;keyword&gt;management&lt;/keyword&gt;&lt;keyword&gt;online predictive tools&lt;/keyword&gt;&lt;keyword&gt;prognostic factors&lt;/keyword&gt;&lt;/keywords&gt;&lt;dates&gt;&lt;year&gt;2014&lt;/year&gt;&lt;pub-dates&gt;&lt;date&gt;Dec&lt;/date&gt;&lt;/pub-dates&gt;&lt;/dates&gt;&lt;isbn&gt;1792-1074 (Print)&amp;#xD;1792-1074 (Linking)&lt;/isbn&gt;&lt;accession-num&gt;25364461&lt;/accession-num&gt;&lt;urls&gt;&lt;related-urls&gt;&lt;url&gt;http://www.ncbi.nlm.nih.gov/pubmed/25364461&lt;/url&gt;&lt;/related-urls&gt;&lt;/urls&gt;&lt;custom2&gt;PMC4214477&lt;/custom2&gt;&lt;electronic-resource-num&gt;10.3892/ol.2014.2589&lt;/electronic-resource-num&gt;&lt;/record&gt;&lt;/Cite&gt;&lt;/EndNote&gt;</w:instrText>
      </w:r>
      <w:r>
        <w:fldChar w:fldCharType="separate"/>
      </w:r>
      <w:r w:rsidR="007D027A">
        <w:rPr>
          <w:noProof/>
        </w:rPr>
        <w:t>(6)</w:t>
      </w:r>
      <w:r>
        <w:fldChar w:fldCharType="end"/>
      </w:r>
      <w:r>
        <w:t>:</w:t>
      </w:r>
    </w:p>
    <w:p w14:paraId="7810C1CD" w14:textId="77777777" w:rsidR="00E73C9D" w:rsidRDefault="00C57731">
      <w:pPr>
        <w:pStyle w:val="ListParagraph"/>
        <w:numPr>
          <w:ilvl w:val="0"/>
          <w:numId w:val="6"/>
        </w:numPr>
      </w:pPr>
      <w:r>
        <w:t>&lt;3% (percentage point) reduction in mortality over 10 years: Do not recommend adjuvant chemotherapy</w:t>
      </w:r>
    </w:p>
    <w:p w14:paraId="35E7CE09" w14:textId="77777777" w:rsidR="00E73C9D" w:rsidRDefault="00C57731">
      <w:pPr>
        <w:pStyle w:val="ListParagraph"/>
        <w:numPr>
          <w:ilvl w:val="0"/>
          <w:numId w:val="6"/>
        </w:numPr>
      </w:pPr>
      <w:r>
        <w:t>3-5% reduction in mortality over 10 years: Discuss adjuvant chemotherapy</w:t>
      </w:r>
    </w:p>
    <w:p w14:paraId="18D7ECCA" w14:textId="77777777" w:rsidR="00E73C9D" w:rsidRDefault="00C57731">
      <w:pPr>
        <w:pStyle w:val="ListParagraph"/>
        <w:numPr>
          <w:ilvl w:val="0"/>
          <w:numId w:val="6"/>
        </w:numPr>
      </w:pPr>
      <w:r>
        <w:t>&gt;5% reduction in mortality over 10 years:  Recommend adjuvant chemotherapy</w:t>
      </w:r>
    </w:p>
    <w:p w14:paraId="2EA3B9BB" w14:textId="029F82C6" w:rsidR="00E73C9D" w:rsidRDefault="00C57731">
      <w:pPr>
        <w:pStyle w:val="Body"/>
      </w:pPr>
      <w:r>
        <w:lastRenderedPageBreak/>
        <w:t xml:space="preserve">Widespread use of local protocols based on explicit thresholds are relatively recent (within approximately the last 5 years). National guidelines have considered the idea of threshold but have left the precise level implicit with statements such as “Adjuvant anthracycline-taxane combination chemotherapy should be considered for all patients with breast cancer where the additional benefit outweighs risk” </w:t>
      </w:r>
      <w:r>
        <w:fldChar w:fldCharType="begin"/>
      </w:r>
      <w:r w:rsidR="007D027A">
        <w:instrText xml:space="preserve"> ADDIN EN.CITE &lt;EndNote&gt;&lt;Cite&gt;&lt;Author&gt;Scottish Intercollegiate Guidelines Network (SIGN)&lt;/Author&gt;&lt;Year&gt;2013&lt;/Year&gt;&lt;RecNum&gt;104&lt;/RecNum&gt;&lt;DisplayText&gt;(7)&lt;/DisplayText&gt;&lt;record&gt;&lt;rec-number&gt;104&lt;/rec-number&gt;&lt;foreign-keys&gt;&lt;key app="EN" db-id="ftrpw5r2d0tevie2a5gp2tzn2xerrzew2w50" timestamp="1511877323"&gt;104&lt;/key&gt;&lt;key app="ENWeb" db-id=""&gt;0&lt;/key&gt;&lt;/foreign-keys&gt;&lt;ref-type name="Report"&gt;27&lt;/ref-type&gt;&lt;contributors&gt;&lt;authors&gt;&lt;author&gt;Scottish Intercollegiate Guidelines Network (SIGN),&lt;/author&gt;&lt;/authors&gt;&lt;/contributors&gt;&lt;titles&gt;&lt;title&gt;SIGN 134: Treatment of primary breast cancer&lt;/title&gt;&lt;/titles&gt;&lt;dates&gt;&lt;year&gt;2013&lt;/year&gt;&lt;/dates&gt;&lt;pub-location&gt;Edinburgh&lt;/pub-location&gt;&lt;urls&gt;&lt;/urls&gt;&lt;/record&gt;&lt;/Cite&gt;&lt;/EndNote&gt;</w:instrText>
      </w:r>
      <w:r>
        <w:fldChar w:fldCharType="separate"/>
      </w:r>
      <w:r w:rsidR="007D027A">
        <w:rPr>
          <w:noProof/>
        </w:rPr>
        <w:t>(7)</w:t>
      </w:r>
      <w:r>
        <w:fldChar w:fldCharType="end"/>
      </w:r>
      <w:r>
        <w:t>. Both local protocols and national guidelines note the need for shared decision making in this area and do not preclude treatment outside of the prescribed thresholds.</w:t>
      </w:r>
    </w:p>
    <w:p w14:paraId="5A190530" w14:textId="5C1E85C0" w:rsidR="00E73C9D" w:rsidRDefault="00C57731">
      <w:pPr>
        <w:pStyle w:val="Body"/>
      </w:pPr>
      <w:r>
        <w:t xml:space="preserve">The preceding introduction described the current context of adjuvant therapy decision making in Scotland. Treatment decisions in the 2001-2015 period covered by the available data were not made under the existing guidelines or with the current PREDICT online tool prior to its inception in 2010. However, we believe the existing guidelines and online tool may be good proxy measures of the implicit thresholds and treatment benefit estimates of past practice. Some evidence exists to suggest similar methods have been in use over this period although in a less standardised manner. A survey of UK breast unit lead clinicians conducted in 2001/2002 to ascertain use of prognostic scoring systems indicated widespread but varied use of such methods. Among the 168 out of 218 units, 53% of units stated that a prognostic index was used as part of a formal treatment protocol. Further analysis of the treatment protocols of 22 of these units revealed a high degree of variation in how prognostic information was used to guide treatment decisions </w:t>
      </w:r>
      <w:r>
        <w:fldChar w:fldCharType="begin">
          <w:fldData xml:space="preserve">PEVuZE5vdGU+PENpdGU+PEF1dGhvcj5XaWxsaWFtczwvQXV0aG9yPjxZZWFyPjIwMDY8L1llYXI+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</w:fldData>
        </w:fldChar>
      </w:r>
      <w:r w:rsidR="007D027A">
        <w:instrText xml:space="preserve"> ADDIN EN.CITE </w:instrText>
      </w:r>
      <w:r w:rsidR="007D027A">
        <w:fldChar w:fldCharType="begin">
          <w:fldData xml:space="preserve">PEVuZE5vdGU+PENpdGU+PEF1dGhvcj5XaWxsaWFtczwvQXV0aG9yPjxZZWFyPjIwMDY8L1llYXI+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</w:fldData>
        </w:fldChar>
      </w:r>
      <w:r w:rsidR="007D027A">
        <w:instrText xml:space="preserve"> ADDIN EN.CITE.DATA </w:instrText>
      </w:r>
      <w:r w:rsidR="007D027A">
        <w:fldChar w:fldCharType="end"/>
      </w:r>
      <w:r>
        <w:fldChar w:fldCharType="separate"/>
      </w:r>
      <w:r w:rsidR="007D027A">
        <w:rPr>
          <w:noProof/>
        </w:rPr>
        <w:t>(8)</w:t>
      </w:r>
      <w:r>
        <w:fldChar w:fldCharType="end"/>
      </w:r>
      <w:r>
        <w:t xml:space="preserve">. A retrospective study of multi-disciplinary team (MDT) decisions conducted in the UK between 2007 and 2011 assessed concordance between a PREDICT protocol (as above: &lt;3, 3-5,&gt;5%) based treatment recommendation and actual treatment recommendation </w:t>
      </w:r>
      <w:r>
        <w:fldChar w:fldCharType="begin"/>
      </w:r>
      <w:r w:rsidR="007D027A">
        <w:instrText xml:space="preserve"> ADDIN EN.CITE &lt;EndNote&gt;&lt;Cite&gt;&lt;Author&gt;Down&lt;/Author&gt;&lt;Year&gt;2014&lt;/Year&gt;&lt;RecNum&gt;56&lt;/RecNum&gt;&lt;DisplayText&gt;(6)&lt;/DisplayText&gt;&lt;record&gt;&lt;rec-number&gt;56&lt;/rec-number&gt;&lt;foreign-keys&gt;&lt;key app="EN" db-id="ftrpw5r2d0tevie2a5gp2tzn2xerrzew2w50" timestamp="1505919750"&gt;56&lt;/key&gt;&lt;/foreign-keys&gt;&lt;ref-type name="Journal Article"&gt;17&lt;/ref-type&gt;&lt;contributors&gt;&lt;authors&gt;&lt;author&gt;Down, S. K.&lt;/author&gt;&lt;author&gt;Lucas, O.&lt;/author&gt;&lt;author&gt;Benson, J. R.&lt;/author&gt;&lt;author&gt;Wishart, G. C.&lt;/author&gt;&lt;/authors&gt;&lt;/contributors&gt;&lt;auth-address&gt;Cambridge Breast Unit, Addenbrooke&amp;apos;s Hospital, Cambridge, UK.&amp;#xD;Faculty of Health, Social Care and Education, Anglia Ruskin University, Cambridge, UK.&lt;/auth-address&gt;&lt;titles&gt;&lt;title&gt;Effect of PREDICT on chemotherapy/trastuzumab recommendations in HER2-positive patients with early-stage breast cancer&lt;/title&gt;&lt;secondary-title&gt;Oncol Lett&lt;/secondary-title&gt;&lt;/titles&gt;&lt;periodical&gt;&lt;full-title&gt;Oncol Lett&lt;/full-title&gt;&lt;/periodical&gt;&lt;pages&gt;2757-2761&lt;/pages&gt;&lt;volume&gt;8&lt;/volume&gt;&lt;number&gt;6&lt;/number&gt;&lt;keywords&gt;&lt;keyword&gt;age&lt;/keyword&gt;&lt;keyword&gt;breast cancer&lt;/keyword&gt;&lt;keyword&gt;erbB-2 receptor&lt;/keyword&gt;&lt;keyword&gt;management&lt;/keyword&gt;&lt;keyword&gt;online predictive tools&lt;/keyword&gt;&lt;keyword&gt;prognostic factors&lt;/keyword&gt;&lt;/keywords&gt;&lt;dates&gt;&lt;year&gt;2014&lt;/year&gt;&lt;pub-dates&gt;&lt;date&gt;Dec&lt;/date&gt;&lt;/pub-dates&gt;&lt;/dates&gt;&lt;isbn&gt;1792-1074 (Print)&amp;#xD;1792-1074 (Linking)&lt;/isbn&gt;&lt;accession-num&gt;25364461&lt;/accession-num&gt;&lt;urls&gt;&lt;related-urls&gt;&lt;url&gt;http://www.ncbi.nlm.nih.gov/pubmed/25364461&lt;/url&gt;&lt;/related-urls&gt;&lt;/urls&gt;&lt;custom2&gt;PMC4214477&lt;/custom2&gt;&lt;electronic-resource-num&gt;10.3892/ol.2014.2589&lt;/electronic-resource-num&gt;&lt;/record&gt;&lt;/Cite&gt;&lt;/EndNote&gt;</w:instrText>
      </w:r>
      <w:r>
        <w:fldChar w:fldCharType="separate"/>
      </w:r>
      <w:r w:rsidR="007D027A">
        <w:rPr>
          <w:noProof/>
        </w:rPr>
        <w:t>(6)</w:t>
      </w:r>
      <w:r>
        <w:fldChar w:fldCharType="end"/>
      </w:r>
      <w:r>
        <w:t>. In total, in 91 out of 109 cases the MDT recommendation was concordant with what would be suggested by the Predict protocol. A higher proportion of discordant cases were observed in the &lt;3% predicted treatment benefit group. In this group, 8 out of 14 patients were recommended chemotherapy in contradiction to the protocol.</w:t>
      </w:r>
    </w:p>
    <w:p w14:paraId="0CE8DC81" w14:textId="77777777" w:rsidR="00E73C9D" w:rsidRDefault="00E73C9D">
      <w:pPr>
        <w:pStyle w:val="Heading2"/>
      </w:pPr>
    </w:p>
    <w:p w14:paraId="5C600113" w14:textId="79B50FCF" w:rsidR="00E73C9D" w:rsidRDefault="00C57731">
      <w:pPr>
        <w:pStyle w:val="Heading2"/>
        <w:rPr>
          <w:lang w:val="en-US"/>
        </w:rPr>
      </w:pPr>
      <w:r>
        <w:rPr>
          <w:lang w:val="en-US"/>
        </w:rPr>
        <w:t xml:space="preserve">2 </w:t>
      </w:r>
      <w:r w:rsidR="0099729D">
        <w:rPr>
          <w:lang w:val="en-US"/>
        </w:rPr>
        <w:t>Econometric Methods</w:t>
      </w:r>
      <w:r w:rsidR="001E6548">
        <w:rPr>
          <w:lang w:val="en-US"/>
        </w:rPr>
        <w:t xml:space="preserve"> </w:t>
      </w:r>
    </w:p>
    <w:p w14:paraId="396BC940" w14:textId="77777777" w:rsidR="0099729D" w:rsidRDefault="0099729D" w:rsidP="0099729D">
      <w:pPr>
        <w:pStyle w:val="Heading3"/>
      </w:pPr>
      <w:r>
        <w:t>Regression Adjustment</w:t>
      </w:r>
    </w:p>
    <w:p w14:paraId="771466A7" w14:textId="77777777" w:rsidR="0099729D" w:rsidRDefault="0099729D" w:rsidP="0099729D">
      <w:pPr>
        <w:pStyle w:val="Body"/>
      </w:pPr>
      <w:r>
        <w:t xml:space="preserve">Regression adjustment (RA) was implemented using Cox regression. Explanatory variables in the Cox regression included: chemotherapy use, PREDICT 10-year probability of mortality, age at diagnosis, number of positive lymph nodes, pathological tumour size, tumour histological grade, mode of detection, ER status, Her2 status, hormone therapy use, radiotherapy use, year of diagnosis, Scottish Index of Multiple Deprivation (SIMD) quintile, Charlson comorbidity status, log total inpatient bed days and log total outpatient visits (5 </w:t>
      </w:r>
      <w:r>
        <w:lastRenderedPageBreak/>
        <w:t xml:space="preserve">years prior to diagnosis). Interactions of other clinical prognostic factors with ER status were also included based on the reported PREDICT modelling process which fits separate models for ER+ and ER- groups. In the analysis with breast cancer death as the outcome PREDICT 10-year probability of breast cancer mortality was used in instead of PREDICT 10-year probability of mortality. </w:t>
      </w:r>
    </w:p>
    <w:p w14:paraId="64B2FCAB" w14:textId="77777777" w:rsidR="0099729D" w:rsidRDefault="0099729D" w:rsidP="0099729D">
      <w:pPr>
        <w:pStyle w:val="Heading3"/>
      </w:pPr>
      <w:r>
        <w:t>PSM Analysis</w:t>
      </w:r>
    </w:p>
    <w:p w14:paraId="41940A75" w14:textId="77777777" w:rsidR="0099729D" w:rsidRDefault="0099729D" w:rsidP="0099729D">
      <w:pPr>
        <w:pStyle w:val="Body"/>
      </w:pPr>
      <w:r>
        <w:t xml:space="preserve">Probit regression was used to generate the propensity scores. Predicted probabilities of a chemotherapy use for each observation were obtained based on regression of the same set of explanatory variables as in the RA analysis on a binary indicator of chemotherapy use. </w:t>
      </w:r>
    </w:p>
    <w:p w14:paraId="6761F847" w14:textId="2155C189" w:rsidR="0099729D" w:rsidRDefault="0099729D" w:rsidP="0099729D">
      <w:pPr>
        <w:pStyle w:val="Body"/>
      </w:pPr>
      <w:r>
        <w:t xml:space="preserve">Matching of treated and non-treated observations was achieved by nearest-neighbour matching on the propensity scores. Three matching methods were investigated: [PSM 1] treated observations were matched 1:1 with non-treated observations with replacement (re-use of non-treated observations), [PSM 2] matching 1:1 without replacement, and [PSM 3] limited 1:1 matching with replacement to matching within calipers set to 0.25 standard deviations of the logit of the propensity score, as suggested by </w:t>
      </w:r>
      <w:r>
        <w:fldChar w:fldCharType="begin"/>
      </w:r>
      <w:r w:rsidR="007D027A">
        <w:instrText xml:space="preserve"> ADDIN EN.CITE &lt;EndNote&gt;&lt;Cite&gt;&lt;Author&gt;Austin&lt;/Author&gt;&lt;Year&gt;2011&lt;/Year&gt;&lt;RecNum&gt;108&lt;/RecNum&gt;&lt;DisplayText&gt;(9)&lt;/DisplayText&gt;&lt;record&gt;&lt;rec-number&gt;108&lt;/rec-number&gt;&lt;foreign-keys&gt;&lt;key app="EN" db-id="ftrpw5r2d0tevie2a5gp2tzn2xerrzew2w50" timestamp="1530017042"&gt;108&lt;/key&gt;&lt;/foreign-keys&gt;&lt;ref-type name="Journal Article"&gt;17&lt;/ref-type&gt;&lt;contributors&gt;&lt;authors&gt;&lt;author&gt;Austin, P. C.&lt;/author&gt;&lt;/authors&gt;&lt;/contributors&gt;&lt;auth-address&gt;Inst Clin Evaluat Sci, Toronto, ON M4N 3M5, Canada&amp;#xD;Univ Toronto, Dalla Lana Sch Publ Hlth Sci, Toronto, ON M5S 1A1, Canada&amp;#xD;Univ Toronto, Dept Hlth Management Policy &amp;amp; Evaluat, Toronto, ON M5S 1A1, Canada&lt;/auth-address&gt;&lt;titles&gt;&lt;title&gt;Optimal caliper widths for propensity-score matching when estimating differences in means and differences in proportions in observational studies&lt;/title&gt;&lt;secondary-title&gt;Pharmaceutical Statistics&lt;/secondary-title&gt;&lt;alt-title&gt;Pharm Stat&lt;/alt-title&gt;&lt;/titles&gt;&lt;periodical&gt;&lt;full-title&gt;Pharmaceutical Statistics&lt;/full-title&gt;&lt;abbr-1&gt;Pharm Stat&lt;/abbr-1&gt;&lt;/periodical&gt;&lt;alt-periodical&gt;&lt;full-title&gt;Pharmaceutical Statistics&lt;/full-title&gt;&lt;abbr-1&gt;Pharm Stat&lt;/abbr-1&gt;&lt;/alt-periodical&gt;&lt;pages&gt;150-161&lt;/pages&gt;&lt;volume&gt;10&lt;/volume&gt;&lt;number&gt;2&lt;/number&gt;&lt;keywords&gt;&lt;keyword&gt;propensity score&lt;/keyword&gt;&lt;keyword&gt;observational study&lt;/keyword&gt;&lt;keyword&gt;binary data&lt;/keyword&gt;&lt;keyword&gt;risk difference&lt;/keyword&gt;&lt;keyword&gt;propensity-score matching&lt;/keyword&gt;&lt;keyword&gt;monte carlo simulations&lt;/keyword&gt;&lt;keyword&gt;bias&lt;/keyword&gt;&lt;keyword&gt;matching&lt;/keyword&gt;&lt;keyword&gt;monte-carlo&lt;/keyword&gt;&lt;keyword&gt;odds ratios&lt;/keyword&gt;&lt;keyword&gt;performance&lt;/keyword&gt;&lt;keyword&gt;treat&lt;/keyword&gt;&lt;keyword&gt;risk&lt;/keyword&gt;&lt;/keywords&gt;&lt;dates&gt;&lt;year&gt;2011&lt;/year&gt;&lt;pub-dates&gt;&lt;date&gt;Mar-Apr&lt;/date&gt;&lt;/pub-dates&gt;&lt;/dates&gt;&lt;isbn&gt;1539-1604&lt;/isbn&gt;&lt;accession-num&gt;WOS:000289512800010&lt;/accession-num&gt;&lt;urls&gt;&lt;related-urls&gt;&lt;url&gt;&amp;lt;Go to ISI&amp;gt;://WOS:000289512800010&lt;/url&gt;&lt;/related-urls&gt;&lt;/urls&gt;&lt;electronic-resource-num&gt;10.1002/pst.433&lt;/electronic-resource-num&gt;&lt;language&gt;English&lt;/language&gt;&lt;/record&gt;&lt;/Cite&gt;&lt;/EndNote&gt;</w:instrText>
      </w:r>
      <w:r>
        <w:fldChar w:fldCharType="separate"/>
      </w:r>
      <w:r w:rsidR="007D027A">
        <w:rPr>
          <w:noProof/>
        </w:rPr>
        <w:t>(9)</w:t>
      </w:r>
      <w:r>
        <w:fldChar w:fldCharType="end"/>
      </w:r>
      <w:r>
        <w:t xml:space="preserve">. In all cases matching was restricted to observations within the region of common support (only treated observations with propensity scores between the maximum and minimum scores in the non-treated observations were included). Furthermore, the sample was trimmed to observations ranging from a propensity score of 0.05 to 0.95 prior to matching. </w:t>
      </w:r>
    </w:p>
    <w:p w14:paraId="347EAA77" w14:textId="77777777" w:rsidR="0099729D" w:rsidRDefault="0099729D" w:rsidP="0099729D">
      <w:pPr>
        <w:pStyle w:val="Body"/>
      </w:pPr>
      <w:r>
        <w:t xml:space="preserve">To examine the quality of the matches achieved by each matching method, baseline covariate balance in the matched treated and non-treated samples was assessed by comparing the means or proportions of baseline covariates. </w:t>
      </w:r>
      <w:r>
        <w:br/>
      </w:r>
    </w:p>
    <w:p w14:paraId="7A5E5591" w14:textId="1E24E74D" w:rsidR="0099729D" w:rsidRDefault="0099729D" w:rsidP="0099729D">
      <w:pPr>
        <w:pStyle w:val="Body"/>
      </w:pPr>
      <w:r w:rsidRPr="00667ABE">
        <w:t>Cox regression</w:t>
      </w:r>
      <w:r>
        <w:t xml:space="preserve"> (PSM Cox) </w:t>
      </w:r>
      <w:r w:rsidRPr="00D110F1">
        <w:t xml:space="preserve">and Peto logrank method </w:t>
      </w:r>
      <w:r>
        <w:fldChar w:fldCharType="begin"/>
      </w:r>
      <w:r w:rsidR="007D027A">
        <w:instrText xml:space="preserve"> ADDIN EN.CITE &lt;EndNote&gt;&lt;Cite&gt;&lt;Author&gt;Berry&lt;/Author&gt;&lt;Year&gt;1991&lt;/Year&gt;&lt;RecNum&gt;117&lt;/RecNum&gt;&lt;DisplayText&gt;(10)&lt;/DisplayText&gt;&lt;record&gt;&lt;rec-number&gt;117&lt;/rec-number&gt;&lt;foreign-keys&gt;&lt;key app="EN" db-id="ftrpw5r2d0tevie2a5gp2tzn2xerrzew2w50" timestamp="1535980273"&gt;117&lt;/key&gt;&lt;/foreign-keys&gt;&lt;ref-type name="Journal Article"&gt;17&lt;/ref-type&gt;&lt;contributors&gt;&lt;authors&gt;&lt;author&gt;Berry, G.&lt;/author&gt;&lt;author&gt;Kitchin, R. M.&lt;/author&gt;&lt;author&gt;Mock, P. A.&lt;/author&gt;&lt;/authors&gt;&lt;/contributors&gt;&lt;auth-address&gt;Department of Public Health, University of Sydney, N.S.W., Australia.&lt;/auth-address&gt;&lt;titles&gt;&lt;title&gt;A comparison of two simple hazard ratio estimators based on the logrank test&lt;/title&gt;&lt;secondary-title&gt;Stat Med&lt;/secondary-title&gt;&lt;/titles&gt;&lt;periodical&gt;&lt;full-title&gt;Stat Med&lt;/full-title&gt;&lt;/periodical&gt;&lt;pages&gt;749-55&lt;/pages&gt;&lt;volume&gt;10&lt;/volume&gt;&lt;number&gt;5&lt;/number&gt;&lt;keywords&gt;&lt;keyword&gt;Confidence Intervals&lt;/keyword&gt;&lt;keyword&gt;*Models, Statistical&lt;/keyword&gt;&lt;keyword&gt;*Proportional Hazards Models&lt;/keyword&gt;&lt;/keywords&gt;&lt;dates&gt;&lt;year&gt;1991&lt;/year&gt;&lt;pub-dates&gt;&lt;date&gt;May&lt;/date&gt;&lt;/pub-dates&gt;&lt;/dates&gt;&lt;isbn&gt;0277-6715 (Print)&amp;#xD;0277-6715 (Linking)&lt;/isbn&gt;&lt;accession-num&gt;2068428&lt;/accession-num&gt;&lt;urls&gt;&lt;related-urls&gt;&lt;url&gt;http://www.ncbi.nlm.nih.gov/pubmed/2068428&lt;/url&gt;&lt;/related-urls&gt;&lt;/urls&gt;&lt;/record&gt;&lt;/Cite&gt;&lt;/EndNote&gt;</w:instrText>
      </w:r>
      <w:r>
        <w:fldChar w:fldCharType="separate"/>
      </w:r>
      <w:r w:rsidR="007D027A">
        <w:rPr>
          <w:noProof/>
        </w:rPr>
        <w:t>(10)</w:t>
      </w:r>
      <w:r>
        <w:fldChar w:fldCharType="end"/>
      </w:r>
      <w:r w:rsidRPr="00D110F1">
        <w:t xml:space="preserve"> (PSM LR) were</w:t>
      </w:r>
      <w:r>
        <w:t xml:space="preserve"> used to estimate hazard ratios for chemotherapy in the matched samples. Proportional hazard was assumed based on reported results from the trial meta-analysis which found no evidence against this assumption </w:t>
      </w:r>
      <w:r>
        <w:fldChar w:fldCharType="begin"/>
      </w:r>
      <w:r w:rsidR="007D027A">
        <w:instrText xml:space="preserve"> ADDIN EN.CITE &lt;EndNote&gt;&lt;Cite&gt;&lt;Author&gt;Group&lt;/Author&gt;&lt;Year&gt;1988&lt;/Year&gt;&lt;RecNum&gt;118&lt;/RecNum&gt;&lt;DisplayText&gt;(11, 12)&lt;/DisplayText&gt;&lt;record&gt;&lt;rec-number&gt;118&lt;/rec-number&gt;&lt;foreign-keys&gt;&lt;key app="EN" db-id="ftrpw5r2d0tevie2a5gp2tzn2xerrzew2w50" timestamp="1535980929"&gt;118&lt;/key&gt;&lt;/foreign-keys&gt;&lt;ref-type name="Journal Article"&gt;17&lt;/ref-type&gt;&lt;contributors&gt;&lt;authors&gt;&lt;author&gt;Early Breast Cancer Trialists&amp;apos; Collaborative Group&lt;/author&gt;&lt;/authors&gt;&lt;/contributors&gt;&lt;titles&gt;&lt;title&gt;Effects of adjuvant tamoxifen and of cytotoxic therapy on mortality in early breast cancer&lt;/title&gt;&lt;secondary-title&gt;New England journal of medicine&lt;/secondary-title&gt;&lt;/titles&gt;&lt;periodical&gt;&lt;full-title&gt;New England Journal of Medicine&lt;/full-title&gt;&lt;abbr-1&gt;New Engl J Med&lt;/abbr-1&gt;&lt;/periodical&gt;&lt;pages&gt;1681-1692&lt;/pages&gt;&lt;volume&gt;319&lt;/volume&gt;&lt;number&gt;26&lt;/number&gt;&lt;dates&gt;&lt;year&gt;1988&lt;/year&gt;&lt;/dates&gt;&lt;isbn&gt;0028-4793&lt;/isbn&gt;&lt;urls&gt;&lt;/urls&gt;&lt;/record&gt;&lt;/Cite&gt;&lt;Cite&gt;&lt;Author&gt;Early Breast Cancer Trialists’ Collaborative Group&lt;/Author&gt;&lt;Year&gt;2012&lt;/Year&gt;&lt;RecNum&gt;87&lt;/RecNum&gt;&lt;record&gt;&lt;rec-number&gt;87&lt;/rec-number&gt;&lt;foreign-keys&gt;&lt;key app="EN" db-id="ftrpw5r2d0tevie2a5gp2tzn2xerrzew2w50" timestamp="1505920746"&gt;87&lt;/key&gt;&lt;key app="ENWeb" db-id=""&gt;0&lt;/key&gt;&lt;/foreign-keys&gt;&lt;ref-type name="Journal Article"&gt;17&lt;/ref-type&gt;&lt;contributors&gt;&lt;authors&gt;&lt;author&gt;Early Breast Cancer Trialists’ Collaborative Group,&lt;/author&gt;&lt;/authors&gt;&lt;/contributors&gt;&lt;titles&gt;&lt;title&gt;Comparisons between different polychemotherapy regimens for early breast cancer: meta-analyses of long-term outcome among 100 000 women in 123 randomised trials&lt;/title&gt;&lt;secondary-title&gt;The Lancet&lt;/secondary-title&gt;&lt;/titles&gt;&lt;periodical&gt;&lt;full-title&gt;The Lancet&lt;/full-title&gt;&lt;/periodical&gt;&lt;pages&gt;432-444&lt;/pages&gt;&lt;volume&gt;379&lt;/volume&gt;&lt;number&gt;9814&lt;/number&gt;&lt;dates&gt;&lt;year&gt;2012&lt;/year&gt;&lt;/dates&gt;&lt;isbn&gt;01406736&lt;/isbn&gt;&lt;urls&gt;&lt;/urls&gt;&lt;electronic-resource-num&gt;10.1016/s0140-6736(11)61625-5&lt;/electronic-resource-num&gt;&lt;/record&gt;&lt;/Cite&gt;&lt;/EndNote&gt;</w:instrText>
      </w:r>
      <w:r>
        <w:fldChar w:fldCharType="separate"/>
      </w:r>
      <w:r w:rsidR="007D027A">
        <w:rPr>
          <w:noProof/>
        </w:rPr>
        <w:t>(11, 12)</w:t>
      </w:r>
      <w:r>
        <w:fldChar w:fldCharType="end"/>
      </w:r>
      <w:r>
        <w:t>, it was assumed this would also hold in the RWD setting. When matching with replacement was used observations were weighted accordingly. Confidence intervals were calculated by a simple bootstrap of individual cases with 1000 iterations.</w:t>
      </w:r>
    </w:p>
    <w:p w14:paraId="08CA405B" w14:textId="606EE492" w:rsidR="00663BB3" w:rsidRDefault="00663BB3" w:rsidP="0099729D">
      <w:pPr>
        <w:pStyle w:val="Body"/>
      </w:pPr>
      <w:r>
        <w:t>A</w:t>
      </w:r>
      <w:r w:rsidR="00EB4748">
        <w:t>n</w:t>
      </w:r>
      <w:r>
        <w:t xml:space="preserve"> additional sensitivity analysis was carried out with the </w:t>
      </w:r>
      <w:r w:rsidR="00883AE1">
        <w:t>proposed instrumental variable removed from the set of explanatory variables in the probit regression used to obtain the propensity scores. This regression model for propensity scores would be more appropriate if the instruments are judged to be valid [</w:t>
      </w:r>
      <w:commentRangeStart w:id="3"/>
      <w:r w:rsidR="00883AE1">
        <w:t>ref</w:t>
      </w:r>
      <w:commentRangeEnd w:id="3"/>
      <w:r w:rsidR="00883AE1">
        <w:rPr>
          <w:rStyle w:val="CommentReference"/>
          <w:rFonts w:ascii="Times New Roman" w:hAnsi="Times New Roman" w:cs="Times New Roman"/>
          <w:color w:val="auto"/>
          <w:lang w:eastAsia="en-US"/>
        </w:rPr>
        <w:commentReference w:id="3"/>
      </w:r>
      <w:r w:rsidR="00883AE1">
        <w:t>].</w:t>
      </w:r>
      <w:r w:rsidR="005839F2">
        <w:t xml:space="preserve"> As the validity of the instruments </w:t>
      </w:r>
      <w:r w:rsidR="005839F2" w:rsidRPr="005839F2">
        <w:t xml:space="preserve">cannot be </w:t>
      </w:r>
      <w:r w:rsidR="005839F2" w:rsidRPr="005839F2">
        <w:lastRenderedPageBreak/>
        <w:t>tested</w:t>
      </w:r>
      <w:r w:rsidR="005839F2">
        <w:t xml:space="preserve"> </w:t>
      </w:r>
      <w:r w:rsidR="00EB4748">
        <w:t>empirically</w:t>
      </w:r>
      <w:r w:rsidR="005839F2" w:rsidRPr="005839F2">
        <w:t xml:space="preserve"> therefore the interpretation of results, and</w:t>
      </w:r>
      <w:r w:rsidR="005839F2">
        <w:t>/or</w:t>
      </w:r>
      <w:r w:rsidR="005839F2" w:rsidRPr="005839F2">
        <w:t xml:space="preserve"> weighting given to each method’s set of results, must depend on the readers judgement and prior beliefs</w:t>
      </w:r>
      <w:r w:rsidR="005839F2">
        <w:t>.</w:t>
      </w:r>
      <w:r w:rsidR="005839F2" w:rsidRPr="005839F2">
        <w:t xml:space="preserve"> </w:t>
      </w:r>
      <w:r w:rsidR="00883AE1">
        <w:t xml:space="preserve"> </w:t>
      </w:r>
    </w:p>
    <w:p w14:paraId="1005A0AD" w14:textId="77777777" w:rsidR="0099729D" w:rsidRDefault="0099729D" w:rsidP="0099729D">
      <w:pPr>
        <w:pStyle w:val="Heading3"/>
      </w:pPr>
      <w:r>
        <w:t>Instrumental Variables Analysis</w:t>
      </w:r>
    </w:p>
    <w:p w14:paraId="42F1D035" w14:textId="77777777" w:rsidR="0099729D" w:rsidRDefault="0099729D" w:rsidP="0099729D">
      <w:pPr>
        <w:pStyle w:val="Body"/>
      </w:pPr>
    </w:p>
    <w:p w14:paraId="51CD6668" w14:textId="3E86DE8E" w:rsidR="0099729D" w:rsidRDefault="0099729D" w:rsidP="0099729D">
      <w:pPr>
        <w:pStyle w:val="Body"/>
      </w:pPr>
      <w:r>
        <w:t>After considering a number of candidate instruments, two were selected to be used in treatment effect estimation: PREDICT benefit score (IV 1) and the PREDICT benefit score interaction with a post 2010 dummy variable (IV 2). The first specification is more efficient (greater statistical power) but with greater potential bias while the second is less efficient but has less potential for bias. See the section below (SA2) for instruments considered and reasons for selection of the instruments. IV1 relies on the benefit score being independent from expected survival conditional on the prognostic score and chemotherapy use. As benefit score is the difference in expected survival with and without chemotherapy this should be the case by construction, however it requires the prognostic model to be well calibrated. IV2 exploits the introduction of the PREDICT online tool and this assumes that the ability to access this information influenced the decisions made across the range of PREDICT benefit scores.</w:t>
      </w:r>
    </w:p>
    <w:p w14:paraId="4FDE85DD" w14:textId="77777777" w:rsidR="0099729D" w:rsidRDefault="0099729D" w:rsidP="0099729D">
      <w:pPr>
        <w:pStyle w:val="Body"/>
      </w:pPr>
      <w:r>
        <w:t>PREDICT scores have the potential to provide a valid instrumental variable but this relies on the prognostic model being perfectly calibrated so that all information about survival available from the input variables is captured by the prognostic score, to guarantee that the benefit score (which is a function of these same inputs) is independent from survival without treatment. An instrument that does not rely on this assumption can be created by interacting PREDICT benefit score with a post-2010 dummy variable. This exploits the change in the relationship between benefit score and the adjuvant therapy decision that is expected to occur when this information is available to clinicians and patients compared to when it was not available. A possible limitation of the second approach is that this instrument is likely to be weaker, in the sense of having a smaller association with the probability of receiving chemotherapy.</w:t>
      </w:r>
    </w:p>
    <w:p w14:paraId="26C24036" w14:textId="00CC02C6" w:rsidR="0099729D" w:rsidRDefault="0099729D" w:rsidP="0099729D">
      <w:pPr>
        <w:pStyle w:val="Body"/>
      </w:pPr>
      <w:r>
        <w:t xml:space="preserve">The two-stage residual inclusion (2SRI) strategy was used in this study </w:t>
      </w:r>
      <w:r>
        <w:fldChar w:fldCharType="begin"/>
      </w:r>
      <w:r w:rsidR="007D027A">
        <w:instrText xml:space="preserve"> ADDIN EN.CITE &lt;EndNote&gt;&lt;Cite&gt;&lt;Author&gt;Terza&lt;/Author&gt;&lt;Year&gt;2008&lt;/Year&gt;&lt;RecNum&gt;109&lt;/RecNum&gt;&lt;DisplayText&gt;(13)&lt;/DisplayText&gt;&lt;record&gt;&lt;rec-number&gt;109&lt;/rec-number&gt;&lt;foreign-keys&gt;&lt;key app="EN" db-id="ftrpw5r2d0tevie2a5gp2tzn2xerrzew2w50" timestamp="1530104984"&gt;109&lt;/key&gt;&lt;key app="ENWeb" db-id=""&gt;0&lt;/key&gt;&lt;/foreign-keys&gt;&lt;ref-type name="Journal Article"&gt;17&lt;/ref-type&gt;&lt;contributors&gt;&lt;authors&gt;&lt;author&gt;Terza, J. V.&lt;/author&gt;&lt;author&gt;Basu, A.&lt;/author&gt;&lt;author&gt;Rathouz, P. J.&lt;/author&gt;&lt;/authors&gt;&lt;/contributors&gt;&lt;auth-address&gt;Department of Epidemiology and Health Policy Research and Department of Economics, University of Florida, 1329 SW, 16th Street, Room 5130, Box 100147,Gainesville, FL 32610-0147, United States. jvt@ichp.ufl.edu&lt;/auth-address&gt;&lt;titles&gt;&lt;title&gt;Two-stage residual inclusion estimation: addressing endogeneity in health econometric modeling&lt;/title&gt;&lt;secondary-title&gt;J Health Econ&lt;/secondary-title&gt;&lt;/titles&gt;&lt;periodical&gt;&lt;full-title&gt;J Health Econ&lt;/full-title&gt;&lt;/periodical&gt;&lt;pages&gt;531-43&lt;/pages&gt;&lt;volume&gt;27&lt;/volume&gt;&lt;number&gt;3&lt;/number&gt;&lt;keywords&gt;&lt;keyword&gt;Confounding Factors (Epidemiology)&lt;/keyword&gt;&lt;keyword&gt;Data Interpretation, Statistical&lt;/keyword&gt;&lt;keyword&gt;Empirical Research&lt;/keyword&gt;&lt;keyword&gt;Humans&lt;/keyword&gt;&lt;keyword&gt;Least-Squares Analysis&lt;/keyword&gt;&lt;keyword&gt;Methods&lt;/keyword&gt;&lt;keyword&gt;*Models, Econometric&lt;/keyword&gt;&lt;keyword&gt;Multivariate Analysis&lt;/keyword&gt;&lt;keyword&gt;*Nonlinear Dynamics&lt;/keyword&gt;&lt;/keywords&gt;&lt;dates&gt;&lt;year&gt;2008&lt;/year&gt;&lt;pub-dates&gt;&lt;date&gt;May&lt;/date&gt;&lt;/pub-dates&gt;&lt;/dates&gt;&lt;isbn&gt;0167-6296 (Print)&amp;#xD;0167-6296 (Linking)&lt;/isbn&gt;&lt;accession-num&gt;18192044&lt;/accession-num&gt;&lt;urls&gt;&lt;related-urls&gt;&lt;url&gt;http://www.ncbi.nlm.nih.gov/pubmed/18192044&lt;/url&gt;&lt;/related-urls&gt;&lt;/urls&gt;&lt;custom2&gt;PMC2494557&lt;/custom2&gt;&lt;electronic-resource-num&gt;10.1016/j.jhealeco.2007.09.009&lt;/electronic-resource-num&gt;&lt;/record&gt;&lt;/Cite&gt;&lt;/EndNote&gt;</w:instrText>
      </w:r>
      <w:r>
        <w:fldChar w:fldCharType="separate"/>
      </w:r>
      <w:r w:rsidR="007D027A">
        <w:rPr>
          <w:noProof/>
        </w:rPr>
        <w:t>(13)</w:t>
      </w:r>
      <w:r>
        <w:fldChar w:fldCharType="end"/>
      </w:r>
      <w:r>
        <w:t>. This method can provide consistent estimates of the treatment effect in situations with non-linear first and second stage regressions (due to limited dependent variables). In this case the first stage was estimated by logistic regression and the second stage was estimated by Cox regression. Confidence intervals were calculated by a simple bootstrap of individual cases with 1000 iterations. A Wald test was used to assess the strength of the proposed instruments in the first stage regression.</w:t>
      </w:r>
      <w:r w:rsidR="007D73F4">
        <w:t xml:space="preserve"> The assumption</w:t>
      </w:r>
      <w:r w:rsidR="0030710E">
        <w:t>s</w:t>
      </w:r>
      <w:r w:rsidR="007D73F4">
        <w:t xml:space="preserve"> of </w:t>
      </w:r>
      <w:r w:rsidR="0030710E">
        <w:t xml:space="preserve">independence of the instrument from unmeasured confounding variables and that the instrument does not affect </w:t>
      </w:r>
      <w:r w:rsidR="0030710E">
        <w:lastRenderedPageBreak/>
        <w:t>outcomes expect through the effect on treatment status cannot be empirically tested. A judgement on their validity in this case must be reached by consideration of theory and the understanding of the decision making process.</w:t>
      </w:r>
    </w:p>
    <w:p w14:paraId="052611B1" w14:textId="77777777" w:rsidR="0099729D" w:rsidRDefault="0099729D" w:rsidP="0099729D">
      <w:pPr>
        <w:pStyle w:val="Heading3"/>
      </w:pPr>
      <w:r>
        <w:t>RDD Analysis</w:t>
      </w:r>
    </w:p>
    <w:p w14:paraId="20815E03" w14:textId="152F21A4" w:rsidR="0099729D" w:rsidRDefault="0099729D" w:rsidP="0099729D">
      <w:pPr>
        <w:pStyle w:val="Body"/>
      </w:pPr>
      <w:r>
        <w:t>Before considering estimation of the RDD treatment effect an assessment of whether the assumptions were met in this scenario was made. For full details of assumptions assessed</w:t>
      </w:r>
      <w:r w:rsidR="003F4890">
        <w:t xml:space="preserve"> see the section below (SA2</w:t>
      </w:r>
      <w:r>
        <w:t>).</w:t>
      </w:r>
    </w:p>
    <w:p w14:paraId="1E006119" w14:textId="4D9055C0" w:rsidR="0099729D" w:rsidRDefault="0099729D" w:rsidP="0099729D">
      <w:pPr>
        <w:pStyle w:val="Body"/>
      </w:pPr>
      <w:r>
        <w:t xml:space="preserve">Assessment of the continuity assumption [A3] was made for both potential assignment variables (PREDICT v1.2 and v2) by a combination of visual inspection of histograms and covariate balance tests for observations +/-0.5% above and below each threshold (3% and 5% probability of chemotherapy benefit). Assumption [A1] was tested by visual inspection of binned scatterplots of chemotherapy use against the assignment variable in two ways; [1] scatterplots with simple binning by quantiles (20 quantiles) and [2] an automated procedure for selecting equally spaced bins using the weighted integrated mean square error (WIMSE) </w:t>
      </w:r>
      <w:r>
        <w:fldChar w:fldCharType="begin"/>
      </w:r>
      <w:r w:rsidR="007D027A">
        <w:instrText xml:space="preserve"> ADDIN EN.CITE &lt;EndNote&gt;&lt;Cite&gt;&lt;Author&gt;Calonico&lt;/Author&gt;&lt;Year&gt;2016&lt;/Year&gt;&lt;RecNum&gt;106&lt;/RecNum&gt;&lt;DisplayText&gt;(14)&lt;/DisplayText&gt;&lt;record&gt;&lt;rec-number&gt;106&lt;/rec-number&gt;&lt;foreign-keys&gt;&lt;key app="EN" db-id="ftrpw5r2d0tevie2a5gp2tzn2xerrzew2w50" timestamp="1511889890"&gt;106&lt;/key&gt;&lt;key app="ENWeb" db-id=""&gt;0&lt;/key&gt;&lt;/foreign-keys&gt;&lt;ref-type name="Journal Article"&gt;17&lt;/ref-type&gt;&lt;contributors&gt;&lt;authors&gt;&lt;author&gt;Calonico, Sebastian&lt;/author&gt;&lt;author&gt;Cattaneo, Matias D.&lt;/author&gt;&lt;author&gt;Titiunik, Rocío&lt;/author&gt;&lt;/authors&gt;&lt;/contributors&gt;&lt;titles&gt;&lt;title&gt;Optimal Data-Driven Regression Discontinuity Plots&lt;/title&gt;&lt;secondary-title&gt;Journal of the American Statistical Association&lt;/secondary-title&gt;&lt;/titles&gt;&lt;periodical&gt;&lt;full-title&gt;Journal of the American Statistical Association&lt;/full-title&gt;&lt;abbr-1&gt;J Am Stat Assoc&lt;/abbr-1&gt;&lt;/periodical&gt;&lt;pages&gt;1753-1769&lt;/pages&gt;&lt;volume&gt;110&lt;/volume&gt;&lt;number&gt;512&lt;/number&gt;&lt;dates&gt;&lt;year&gt;2016&lt;/year&gt;&lt;/dates&gt;&lt;isbn&gt;0162-1459&amp;#xD;1537-274X&lt;/isbn&gt;&lt;urls&gt;&lt;/urls&gt;&lt;electronic-resource-num&gt;10.1080/01621459.2015.1017578&lt;/electronic-resource-num&gt;&lt;/record&gt;&lt;/Cite&gt;&lt;/EndNote&gt;</w:instrText>
      </w:r>
      <w:r>
        <w:fldChar w:fldCharType="separate"/>
      </w:r>
      <w:r w:rsidR="007D027A">
        <w:rPr>
          <w:noProof/>
        </w:rPr>
        <w:t>(14)</w:t>
      </w:r>
      <w:r>
        <w:fldChar w:fldCharType="end"/>
      </w:r>
      <w:r>
        <w:t xml:space="preserve">. In addition, the plots produced using method [2] also include polynomial regression fit by an automated procedure </w:t>
      </w:r>
      <w:r>
        <w:fldChar w:fldCharType="begin"/>
      </w:r>
      <w:r w:rsidR="007D027A">
        <w:instrText xml:space="preserve"> ADDIN EN.CITE &lt;EndNote&gt;&lt;Cite&gt;&lt;Author&gt;Calonico&lt;/Author&gt;&lt;Year&gt;2016&lt;/Year&gt;&lt;RecNum&gt;106&lt;/RecNum&gt;&lt;DisplayText&gt;(14)&lt;/DisplayText&gt;&lt;record&gt;&lt;rec-number&gt;106&lt;/rec-number&gt;&lt;foreign-keys&gt;&lt;key app="EN" db-id="ftrpw5r2d0tevie2a5gp2tzn2xerrzew2w50" timestamp="1511889890"&gt;106&lt;/key&gt;&lt;key app="ENWeb" db-id=""&gt;0&lt;/key&gt;&lt;/foreign-keys&gt;&lt;ref-type name="Journal Article"&gt;17&lt;/ref-type&gt;&lt;contributors&gt;&lt;authors&gt;&lt;author&gt;Calonico, Sebastian&lt;/author&gt;&lt;author&gt;Cattaneo, Matias D.&lt;/author&gt;&lt;author&gt;Titiunik, Rocío&lt;/author&gt;&lt;/authors&gt;&lt;/contributors&gt;&lt;titles&gt;&lt;title&gt;Optimal Data-Driven Regression Discontinuity Plots&lt;/title&gt;&lt;secondary-title&gt;Journal of the American Statistical Association&lt;/secondary-title&gt;&lt;/titles&gt;&lt;periodical&gt;&lt;full-title&gt;Journal of the American Statistical Association&lt;/full-title&gt;&lt;abbr-1&gt;J Am Stat Assoc&lt;/abbr-1&gt;&lt;/periodical&gt;&lt;pages&gt;1753-1769&lt;/pages&gt;&lt;volume&gt;110&lt;/volume&gt;&lt;number&gt;512&lt;/number&gt;&lt;dates&gt;&lt;year&gt;2016&lt;/year&gt;&lt;/dates&gt;&lt;isbn&gt;0162-1459&amp;#xD;1537-274X&lt;/isbn&gt;&lt;urls&gt;&lt;/urls&gt;&lt;electronic-resource-num&gt;10.1080/01621459.2015.1017578&lt;/electronic-resource-num&gt;&lt;/record&gt;&lt;/Cite&gt;&lt;/EndNote&gt;</w:instrText>
      </w:r>
      <w:r>
        <w:fldChar w:fldCharType="separate"/>
      </w:r>
      <w:r w:rsidR="007D027A">
        <w:rPr>
          <w:noProof/>
        </w:rPr>
        <w:t>(14)</w:t>
      </w:r>
      <w:r>
        <w:fldChar w:fldCharType="end"/>
      </w:r>
      <w:r>
        <w:t xml:space="preserve">. </w:t>
      </w:r>
    </w:p>
    <w:p w14:paraId="2340269B" w14:textId="6A5CEC41" w:rsidR="0099729D" w:rsidRPr="0099729D" w:rsidRDefault="0099729D" w:rsidP="0099729D">
      <w:pPr>
        <w:pStyle w:val="Heading3"/>
      </w:pPr>
      <w:r>
        <w:t>Instrumental Variables considerations</w:t>
      </w:r>
    </w:p>
    <w:p w14:paraId="6A16294A" w14:textId="1036D96F" w:rsidR="00E73C9D" w:rsidRDefault="00C57731">
      <w:pPr>
        <w:pStyle w:val="Body"/>
        <w:rPr>
          <w:b/>
          <w:bCs/>
        </w:rPr>
      </w:pPr>
      <w:r>
        <w:rPr>
          <w:b/>
          <w:bCs/>
        </w:rPr>
        <w:t>Table 2.1 Candidate instrumental variables</w:t>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08"/>
        <w:gridCol w:w="4508"/>
      </w:tblGrid>
      <w:tr w:rsidR="00E73C9D" w14:paraId="6B28CF9A" w14:textId="77777777">
        <w:trPr>
          <w:trHeight w:val="243"/>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AF198" w14:textId="526B6DC0" w:rsidR="00E73C9D" w:rsidRDefault="00805222">
            <w:pPr>
              <w:pStyle w:val="Body"/>
            </w:pPr>
            <w:r>
              <w:t>Candidate v</w:t>
            </w:r>
            <w:r w:rsidR="00C57731">
              <w:t>ariable</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33BC5" w14:textId="77777777" w:rsidR="00E73C9D" w:rsidRDefault="00C57731">
            <w:pPr>
              <w:pStyle w:val="Body"/>
              <w:spacing w:after="0"/>
            </w:pPr>
            <w:r>
              <w:t>Notes</w:t>
            </w:r>
          </w:p>
        </w:tc>
      </w:tr>
      <w:tr w:rsidR="00E73C9D" w14:paraId="03BD469F" w14:textId="77777777">
        <w:trPr>
          <w:trHeight w:val="243"/>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EB71F" w14:textId="77777777" w:rsidR="00E73C9D" w:rsidRDefault="00C57731">
            <w:pPr>
              <w:pStyle w:val="Body"/>
              <w:spacing w:after="0"/>
              <w:rPr>
                <w:b/>
                <w:bCs/>
              </w:rPr>
            </w:pPr>
            <w:r>
              <w:rPr>
                <w:b/>
                <w:bCs/>
              </w:rPr>
              <w:t>Temporal:</w:t>
            </w:r>
          </w:p>
          <w:p w14:paraId="17B13B63" w14:textId="672BEA81" w:rsidR="006415B2" w:rsidRDefault="006415B2">
            <w:pPr>
              <w:pStyle w:val="Body"/>
              <w:spacing w:after="0"/>
            </w:pPr>
            <w:r>
              <w:t>(all potentially implemented using binary, multivalue categorical or continuous variables</w:t>
            </w:r>
            <w:r w:rsidR="00EE4403">
              <w:t xml:space="preserve"> related to date of treatment</w:t>
            </w:r>
            <w:r>
              <w:t>)</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002EF" w14:textId="77777777" w:rsidR="00E73C9D" w:rsidRDefault="00E73C9D"/>
        </w:tc>
      </w:tr>
      <w:tr w:rsidR="00E73C9D" w14:paraId="59C28885" w14:textId="77777777">
        <w:trPr>
          <w:trHeight w:val="599"/>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4AF34B" w14:textId="77777777" w:rsidR="00E73C9D" w:rsidRDefault="00C57731">
            <w:pPr>
              <w:pStyle w:val="Body"/>
              <w:spacing w:after="0"/>
            </w:pPr>
            <w:r>
              <w:t>HER2/trastuzumab</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43A32" w14:textId="77777777" w:rsidR="00E73C9D" w:rsidRDefault="00C57731">
            <w:pPr>
              <w:pStyle w:val="Body"/>
              <w:spacing w:after="0"/>
            </w:pPr>
            <w:r>
              <w:t>2006 June – SMC approval</w:t>
            </w:r>
          </w:p>
          <w:p w14:paraId="2519619D" w14:textId="77777777" w:rsidR="00E73C9D" w:rsidRDefault="00C57731">
            <w:pPr>
              <w:pStyle w:val="Body"/>
              <w:spacing w:after="0"/>
            </w:pPr>
            <w:r>
              <w:t>2008/9 – roll-out/recorded in data</w:t>
            </w:r>
          </w:p>
        </w:tc>
      </w:tr>
      <w:tr w:rsidR="00E73C9D" w14:paraId="15FC0731" w14:textId="77777777">
        <w:trPr>
          <w:trHeight w:val="243"/>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C30E8" w14:textId="77777777" w:rsidR="00E73C9D" w:rsidRDefault="00C57731">
            <w:pPr>
              <w:pStyle w:val="Body"/>
              <w:spacing w:after="0"/>
            </w:pPr>
            <w:r>
              <w:t xml:space="preserve"> ‘3</w:t>
            </w:r>
            <w:r>
              <w:rPr>
                <w:vertAlign w:val="superscript"/>
              </w:rPr>
              <w:t>rd</w:t>
            </w:r>
            <w:r>
              <w:t xml:space="preserve"> generation’ chemotherapy (taxanes)</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CFEE8" w14:textId="77777777" w:rsidR="00E73C9D" w:rsidRDefault="00C57731">
            <w:pPr>
              <w:pStyle w:val="Body"/>
              <w:spacing w:after="0"/>
            </w:pPr>
            <w:r>
              <w:t>2005/6, 2007 Cochrane review</w:t>
            </w:r>
          </w:p>
        </w:tc>
      </w:tr>
      <w:tr w:rsidR="00E73C9D" w14:paraId="0F60871B" w14:textId="77777777">
        <w:trPr>
          <w:trHeight w:val="243"/>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C8E6A" w14:textId="77777777" w:rsidR="00E73C9D" w:rsidRDefault="00C57731">
            <w:pPr>
              <w:pStyle w:val="Body"/>
              <w:spacing w:after="0"/>
            </w:pPr>
            <w:r>
              <w:t>PREDICT online tool</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0210A" w14:textId="77777777" w:rsidR="00E73C9D" w:rsidRDefault="00C57731">
            <w:pPr>
              <w:pStyle w:val="Body"/>
              <w:spacing w:after="0"/>
            </w:pPr>
            <w:r>
              <w:t>2010, 2012 v2</w:t>
            </w:r>
          </w:p>
        </w:tc>
      </w:tr>
      <w:tr w:rsidR="00E73C9D" w14:paraId="0B2B7AB9" w14:textId="77777777">
        <w:trPr>
          <w:trHeight w:val="243"/>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BC93D" w14:textId="77777777" w:rsidR="00E73C9D" w:rsidRDefault="00C57731">
            <w:pPr>
              <w:pStyle w:val="Body"/>
              <w:spacing w:after="0"/>
            </w:pPr>
            <w:r>
              <w:t xml:space="preserve">Aromatase Inhibitors (AIs) </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D3E600" w14:textId="77777777" w:rsidR="00E73C9D" w:rsidRDefault="00C57731">
            <w:pPr>
              <w:pStyle w:val="Body"/>
              <w:spacing w:after="0"/>
            </w:pPr>
            <w:r>
              <w:t>2005 trials report, 2007 roll-out</w:t>
            </w:r>
          </w:p>
        </w:tc>
      </w:tr>
      <w:tr w:rsidR="00E73C9D" w14:paraId="4EC097C9" w14:textId="77777777">
        <w:trPr>
          <w:trHeight w:val="243"/>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0FD444" w14:textId="77777777" w:rsidR="00E73C9D" w:rsidRDefault="00C57731">
            <w:pPr>
              <w:pStyle w:val="Body"/>
              <w:spacing w:after="0"/>
            </w:pPr>
            <w:r>
              <w:t>Sentinel Node Biopsy (SNB)</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4EEC00" w14:textId="77777777" w:rsidR="00E73C9D" w:rsidRDefault="00C57731">
            <w:pPr>
              <w:pStyle w:val="Body"/>
              <w:spacing w:after="0"/>
            </w:pPr>
            <w:r>
              <w:t>2003</w:t>
            </w:r>
          </w:p>
        </w:tc>
      </w:tr>
      <w:tr w:rsidR="00E73C9D" w14:paraId="3EF54612" w14:textId="77777777">
        <w:trPr>
          <w:trHeight w:val="599"/>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8BE76A" w14:textId="77777777" w:rsidR="00E73C9D" w:rsidRDefault="00C57731">
            <w:pPr>
              <w:pStyle w:val="Body"/>
              <w:spacing w:after="0"/>
            </w:pPr>
            <w:r>
              <w:lastRenderedPageBreak/>
              <w:t>No dissection of some negative node SNB (guideline?)</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9AED8" w14:textId="77777777" w:rsidR="00E73C9D" w:rsidRDefault="00C57731">
            <w:pPr>
              <w:pStyle w:val="Body"/>
              <w:spacing w:after="0"/>
            </w:pPr>
            <w:r>
              <w:t>2011</w:t>
            </w:r>
          </w:p>
        </w:tc>
      </w:tr>
      <w:tr w:rsidR="00E73C9D" w14:paraId="032EDE43" w14:textId="77777777">
        <w:trPr>
          <w:trHeight w:val="243"/>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8E03D1" w14:textId="77777777" w:rsidR="00E73C9D" w:rsidRDefault="00C57731">
            <w:pPr>
              <w:pStyle w:val="Body"/>
              <w:spacing w:after="0"/>
            </w:pPr>
            <w:r>
              <w:t>Screening extension trial (47-73)</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55C9D" w14:textId="77777777" w:rsidR="00E73C9D" w:rsidRDefault="00C57731">
            <w:pPr>
              <w:pStyle w:val="Body"/>
              <w:spacing w:after="0"/>
            </w:pPr>
            <w:r>
              <w:t>2007</w:t>
            </w:r>
          </w:p>
        </w:tc>
      </w:tr>
      <w:tr w:rsidR="00E73C9D" w14:paraId="3E356BE9" w14:textId="77777777">
        <w:trPr>
          <w:trHeight w:val="243"/>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1611E" w14:textId="77777777" w:rsidR="00E73C9D" w:rsidRDefault="00C57731">
            <w:pPr>
              <w:pStyle w:val="Body"/>
              <w:spacing w:after="0"/>
            </w:pPr>
            <w:r>
              <w:t>Screening double reading</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79F42" w14:textId="77777777" w:rsidR="00E73C9D" w:rsidRDefault="00C57731">
            <w:pPr>
              <w:pStyle w:val="Body"/>
              <w:spacing w:after="0"/>
            </w:pPr>
            <w:r>
              <w:t>2011</w:t>
            </w:r>
          </w:p>
        </w:tc>
      </w:tr>
      <w:tr w:rsidR="00E73C9D" w14:paraId="39F39F1C" w14:textId="77777777">
        <w:trPr>
          <w:trHeight w:val="243"/>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9A7AF" w14:textId="77777777" w:rsidR="00E73C9D" w:rsidRDefault="00C57731">
            <w:pPr>
              <w:pStyle w:val="Body"/>
              <w:spacing w:after="0"/>
            </w:pPr>
            <w:r>
              <w:t>Digital mammography</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22967A" w14:textId="77777777" w:rsidR="00E73C9D" w:rsidRDefault="00C57731">
            <w:pPr>
              <w:pStyle w:val="Body"/>
              <w:spacing w:after="0"/>
            </w:pPr>
            <w:r>
              <w:t>2010 gradual</w:t>
            </w:r>
          </w:p>
        </w:tc>
      </w:tr>
      <w:tr w:rsidR="00E73C9D" w14:paraId="0CAE0191" w14:textId="77777777">
        <w:trPr>
          <w:trHeight w:val="956"/>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BD860" w14:textId="77777777" w:rsidR="00E73C9D" w:rsidRDefault="00C57731">
            <w:pPr>
              <w:pStyle w:val="Body"/>
              <w:spacing w:after="0"/>
            </w:pPr>
            <w:r>
              <w:t>First screening cohort exits programme – max population screening prevalence reached</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8C798" w14:textId="77777777" w:rsidR="00E73C9D" w:rsidRDefault="00C57731">
            <w:pPr>
              <w:pStyle w:val="Body"/>
              <w:spacing w:after="0"/>
            </w:pPr>
            <w:r>
              <w:t>2008</w:t>
            </w:r>
          </w:p>
        </w:tc>
      </w:tr>
      <w:tr w:rsidR="00E73C9D" w14:paraId="49764DDE" w14:textId="77777777">
        <w:trPr>
          <w:trHeight w:val="243"/>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7EC828" w14:textId="77777777" w:rsidR="00E73C9D" w:rsidRDefault="00C57731">
            <w:pPr>
              <w:pStyle w:val="Body"/>
              <w:spacing w:after="0"/>
            </w:pPr>
            <w:r>
              <w:rPr>
                <w:b/>
                <w:bCs/>
              </w:rPr>
              <w:t>Regional:</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16E03" w14:textId="77777777" w:rsidR="00E73C9D" w:rsidRDefault="00E73C9D"/>
        </w:tc>
      </w:tr>
      <w:tr w:rsidR="00E73C9D" w14:paraId="5D7637DA" w14:textId="77777777">
        <w:trPr>
          <w:trHeight w:val="599"/>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62340" w14:textId="77777777" w:rsidR="00E73C9D" w:rsidRDefault="00C57731">
            <w:pPr>
              <w:pStyle w:val="Body"/>
              <w:spacing w:after="0"/>
            </w:pPr>
            <w:r>
              <w:t>Territorial health board (HB) of residence</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333C7" w14:textId="77777777" w:rsidR="00E73C9D" w:rsidRDefault="00C57731">
            <w:pPr>
              <w:pStyle w:val="Body"/>
              <w:spacing w:after="0"/>
            </w:pPr>
            <w:r>
              <w:t>Can be interacted with the events above to use variation in speed of adoption</w:t>
            </w:r>
          </w:p>
        </w:tc>
      </w:tr>
      <w:tr w:rsidR="00E73C9D" w14:paraId="0E3C880B" w14:textId="77777777">
        <w:trPr>
          <w:trHeight w:val="599"/>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4988E1" w14:textId="77777777" w:rsidR="00E73C9D" w:rsidRDefault="00C57731">
            <w:pPr>
              <w:pStyle w:val="Body"/>
              <w:spacing w:after="0"/>
            </w:pPr>
            <w:r>
              <w:t>Specific selected health boards</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4DBAE" w14:textId="77777777" w:rsidR="00E73C9D" w:rsidRDefault="00C57731">
            <w:pPr>
              <w:pStyle w:val="Body"/>
              <w:spacing w:after="0"/>
            </w:pPr>
            <w:r>
              <w:t>Can be interacted with the events above to use variation in speed of adoption</w:t>
            </w:r>
          </w:p>
        </w:tc>
      </w:tr>
      <w:tr w:rsidR="00E73C9D" w14:paraId="36F55A30" w14:textId="77777777">
        <w:trPr>
          <w:trHeight w:val="956"/>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BBBC7" w14:textId="77777777" w:rsidR="00E73C9D" w:rsidRDefault="00C57731">
            <w:pPr>
              <w:pStyle w:val="Body"/>
              <w:spacing w:after="0"/>
            </w:pPr>
            <w:r>
              <w:t xml:space="preserve">Time diagnosis-to-surgery, time surgery-to-chemo/hormone/radiotherapy – HB level mean </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F9A75" w14:textId="77777777" w:rsidR="00E73C9D" w:rsidRDefault="00C57731">
            <w:pPr>
              <w:pStyle w:val="Body"/>
              <w:spacing w:after="0"/>
            </w:pPr>
            <w:r>
              <w:t>Can be calculated by period or as moving average to give measure of demand pressure</w:t>
            </w:r>
          </w:p>
        </w:tc>
      </w:tr>
      <w:tr w:rsidR="00E73C9D" w14:paraId="38A51136" w14:textId="77777777">
        <w:trPr>
          <w:trHeight w:val="243"/>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1BB8D" w14:textId="77777777" w:rsidR="00E73C9D" w:rsidRDefault="00E73C9D"/>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D50170" w14:textId="77777777" w:rsidR="00E73C9D" w:rsidRDefault="00E73C9D"/>
        </w:tc>
      </w:tr>
      <w:tr w:rsidR="00E73C9D" w14:paraId="53A6A117" w14:textId="77777777">
        <w:trPr>
          <w:trHeight w:val="243"/>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21132" w14:textId="77777777" w:rsidR="00E73C9D" w:rsidRDefault="00C57731">
            <w:pPr>
              <w:pStyle w:val="Body"/>
              <w:spacing w:after="0"/>
            </w:pPr>
            <w:r>
              <w:rPr>
                <w:b/>
                <w:bCs/>
              </w:rPr>
              <w:t>Patient level variables:</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A7712" w14:textId="77777777" w:rsidR="00E73C9D" w:rsidRDefault="00E73C9D"/>
        </w:tc>
      </w:tr>
      <w:tr w:rsidR="00E73C9D" w14:paraId="7F473654" w14:textId="77777777">
        <w:trPr>
          <w:trHeight w:val="956"/>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7EC7FF" w14:textId="77777777" w:rsidR="00E73C9D" w:rsidRDefault="00C57731">
            <w:pPr>
              <w:pStyle w:val="Body"/>
              <w:spacing w:after="0"/>
            </w:pPr>
            <w:r>
              <w:t>Urban/rural classification</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B56E8" w14:textId="77777777" w:rsidR="00E73C9D" w:rsidRDefault="00C57731">
            <w:pPr>
              <w:pStyle w:val="Body"/>
              <w:spacing w:after="0"/>
            </w:pPr>
            <w:r>
              <w:t>Can influence convenience of chemotherapy</w:t>
            </w:r>
          </w:p>
          <w:p w14:paraId="0FD1D0E2" w14:textId="77777777" w:rsidR="00E73C9D" w:rsidRDefault="00C57731">
            <w:pPr>
              <w:pStyle w:val="Body"/>
              <w:spacing w:after="0"/>
            </w:pPr>
            <w:r>
              <w:t>Adjusting for deprivation is important</w:t>
            </w:r>
          </w:p>
        </w:tc>
      </w:tr>
      <w:tr w:rsidR="00E73C9D" w14:paraId="135E2B88" w14:textId="77777777">
        <w:trPr>
          <w:trHeight w:val="1312"/>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C389D" w14:textId="77777777" w:rsidR="00E73C9D" w:rsidRDefault="00C57731">
            <w:pPr>
              <w:pStyle w:val="Body"/>
              <w:spacing w:after="0"/>
            </w:pPr>
            <w:r>
              <w:t xml:space="preserve">Age in relation to specific boundaries </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4C1DE" w14:textId="77777777" w:rsidR="00E73C9D" w:rsidRDefault="00C57731">
            <w:pPr>
              <w:pStyle w:val="Body"/>
              <w:spacing w:after="0"/>
            </w:pPr>
            <w:r>
              <w:t>70/75/80 – candidates for ages at which “old age as a contraindication for chemotherapy might be applied”. Known bias for ages that are multiples of 5.</w:t>
            </w:r>
          </w:p>
        </w:tc>
      </w:tr>
      <w:tr w:rsidR="00E73C9D" w14:paraId="2B7FF9F8" w14:textId="77777777">
        <w:trPr>
          <w:trHeight w:val="7727"/>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8B7A1" w14:textId="77777777" w:rsidR="00E73C9D" w:rsidRDefault="00C57731">
            <w:pPr>
              <w:pStyle w:val="Body"/>
              <w:spacing w:after="0"/>
            </w:pPr>
            <w:r>
              <w:lastRenderedPageBreak/>
              <w:t>PREDICT scores</w:t>
            </w:r>
          </w:p>
          <w:p w14:paraId="2F69704F" w14:textId="77777777" w:rsidR="00E73C9D" w:rsidRDefault="00C57731">
            <w:pPr>
              <w:pStyle w:val="ListParagraph"/>
              <w:numPr>
                <w:ilvl w:val="0"/>
                <w:numId w:val="7"/>
              </w:numPr>
              <w:spacing w:after="0"/>
            </w:pPr>
            <w:r>
              <w:rPr>
                <w:b/>
                <w:bCs/>
              </w:rPr>
              <w:t>Prognostic score:</w:t>
            </w:r>
            <w:r>
              <w:t xml:space="preserve"> probability of survival/mortality at X years without adjuvant treatment</w:t>
            </w:r>
          </w:p>
          <w:p w14:paraId="7B0651D9" w14:textId="77777777" w:rsidR="00E73C9D" w:rsidRDefault="00C57731">
            <w:pPr>
              <w:pStyle w:val="ListParagraph"/>
              <w:numPr>
                <w:ilvl w:val="0"/>
                <w:numId w:val="7"/>
              </w:numPr>
              <w:spacing w:after="0"/>
            </w:pPr>
            <w:r>
              <w:rPr>
                <w:b/>
                <w:bCs/>
              </w:rPr>
              <w:t>Benefit score</w:t>
            </w:r>
            <w:r>
              <w:t>: percentage benefit from chemotherapy</w:t>
            </w:r>
          </w:p>
          <w:p w14:paraId="3C7EF927" w14:textId="77777777" w:rsidR="00E73C9D" w:rsidRDefault="00C57731">
            <w:pPr>
              <w:pStyle w:val="ListParagraph"/>
              <w:numPr>
                <w:ilvl w:val="0"/>
                <w:numId w:val="7"/>
              </w:numPr>
              <w:spacing w:after="0"/>
            </w:pPr>
            <w:r>
              <w:t>Higher order transforms, interactions or discontinuities</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928CE" w14:textId="77777777" w:rsidR="00E73C9D" w:rsidRDefault="00E73C9D">
            <w:pPr>
              <w:pStyle w:val="Body"/>
              <w:spacing w:after="0"/>
            </w:pPr>
          </w:p>
          <w:p w14:paraId="3C0F464C" w14:textId="77777777" w:rsidR="00E73C9D" w:rsidRDefault="00C57731">
            <w:pPr>
              <w:pStyle w:val="ListParagraph"/>
              <w:numPr>
                <w:ilvl w:val="0"/>
                <w:numId w:val="8"/>
              </w:numPr>
              <w:spacing w:after="0"/>
            </w:pPr>
            <w:r>
              <w:t xml:space="preserve">Use treatment benefit score conditioned on prognostic score. If model is perfectly calibrated this is guaranteed instrument because benefit score is independent from outcome by design, all effect of benefit score determinants on the outcome are captured in the prognostic score. </w:t>
            </w:r>
          </w:p>
          <w:p w14:paraId="310894F9" w14:textId="77777777" w:rsidR="00E73C9D" w:rsidRDefault="00C57731">
            <w:pPr>
              <w:pStyle w:val="ListParagraph"/>
              <w:numPr>
                <w:ilvl w:val="0"/>
                <w:numId w:val="8"/>
              </w:numPr>
              <w:spacing w:after="0"/>
            </w:pPr>
            <w:r>
              <w:t>Interaction of the chemotherapy benefit score with a post 2010 dummy variable. This takes advantage of effect of the introduction of PREDICT on clinical practice.</w:t>
            </w:r>
          </w:p>
          <w:p w14:paraId="3147D340" w14:textId="77777777" w:rsidR="00E73C9D" w:rsidRDefault="00C57731">
            <w:pPr>
              <w:pStyle w:val="ListParagraph"/>
              <w:numPr>
                <w:ilvl w:val="0"/>
                <w:numId w:val="8"/>
              </w:numPr>
              <w:spacing w:after="0"/>
            </w:pPr>
            <w:r>
              <w:t>Use the apparent discontinuity/non-linearity in chemo uptake in 1-2% benefit range rather than the expected discontinuity at 3%. Extra caution would be needed to protect against chance finding.</w:t>
            </w:r>
          </w:p>
        </w:tc>
      </w:tr>
    </w:tbl>
    <w:p w14:paraId="67A57004" w14:textId="77777777" w:rsidR="00E73C9D" w:rsidRDefault="00E73C9D">
      <w:pPr>
        <w:pStyle w:val="Body"/>
        <w:widowControl w:val="0"/>
        <w:spacing w:line="240" w:lineRule="auto"/>
        <w:rPr>
          <w:b/>
          <w:bCs/>
        </w:rPr>
      </w:pPr>
    </w:p>
    <w:p w14:paraId="50C729E3" w14:textId="77777777" w:rsidR="00E73C9D" w:rsidRDefault="00E73C9D">
      <w:pPr>
        <w:pStyle w:val="Body"/>
      </w:pPr>
    </w:p>
    <w:p w14:paraId="039EBA8B" w14:textId="77777777" w:rsidR="00E73C9D" w:rsidRDefault="00C57731">
      <w:pPr>
        <w:pStyle w:val="Heading3"/>
      </w:pPr>
      <w:r>
        <w:t>Rationale for selecting instruments:</w:t>
      </w:r>
    </w:p>
    <w:p w14:paraId="7B670823" w14:textId="278282B6" w:rsidR="00E73C9D" w:rsidRDefault="00C57731">
      <w:pPr>
        <w:pStyle w:val="Body"/>
      </w:pPr>
      <w:r>
        <w:t>Individual candidate temporal trend variables or event dummy variables were rejected as instruments because of the high potential for confounding by other contemporaneous events. There are too many changing factors in breast cancer incidence and treatment in this time period to reliably estimate the effect of a single factor on adjuvant chemotherapy use.</w:t>
      </w:r>
      <w:r w:rsidR="0073053E">
        <w:t xml:space="preserve"> These include the introduction of new therapies such aromatase inhibitors and targeted therapy with Trastuzumab, changes in the national breast screening programme age range and introduction of digital mammography, changing surgical practices such as greater use of sentinel lymph node biopsy, and long term trends in the incidence of different molecular subtypes of breast cancers (ER+ and ER-) related to factors such as past use of hormone replacement therapy.</w:t>
      </w:r>
    </w:p>
    <w:p w14:paraId="3AB015E9" w14:textId="611899FE" w:rsidR="00E73C9D" w:rsidRDefault="00C57731">
      <w:pPr>
        <w:pStyle w:val="Body"/>
      </w:pPr>
      <w:r>
        <w:lastRenderedPageBreak/>
        <w:t>Regional variation was explored at the health board level</w:t>
      </w:r>
      <w:r w:rsidR="00395E2F">
        <w:t xml:space="preserve"> (geographical units of National Health Service </w:t>
      </w:r>
      <w:r w:rsidR="008D5E5F">
        <w:t>organization roughly equivalent to counties usually with a single large hospital delivering breast cancer care</w:t>
      </w:r>
      <w:r w:rsidR="00395E2F">
        <w:t>)</w:t>
      </w:r>
      <w:r w:rsidR="00805222">
        <w:t>,</w:t>
      </w:r>
      <w:r>
        <w:t xml:space="preserve"> however relatively little variation in adjuvant chemotherapy use was observed after controlling for other factors (prognostic factors and deprivation status).</w:t>
      </w:r>
      <w:r w:rsidR="008D5E5F">
        <w:t xml:space="preserve"> Therefore, regional variables related to provider preferences were not considered viable as instruments.</w:t>
      </w:r>
      <w:r>
        <w:t xml:space="preserve"> Urban/rural status and age-based variables were rejected as being unlikely to satisfy the exclusion restriction.</w:t>
      </w:r>
    </w:p>
    <w:p w14:paraId="10455467" w14:textId="6232BDB9" w:rsidR="00E73C9D" w:rsidRDefault="00C57731">
      <w:pPr>
        <w:pStyle w:val="Body"/>
      </w:pPr>
      <w:r>
        <w:t xml:space="preserve">PREDICT scores have the potential to provide a valid instrumental variable but this relies on the prognostic model being perfectly calibrated so that all information about survival available from the input variables is captured by the prognostic score, </w:t>
      </w:r>
      <w:r w:rsidR="00805222">
        <w:t xml:space="preserve">to </w:t>
      </w:r>
      <w:r>
        <w:t>guarantee that the benefit score (which is a function of these same inputs) is independent from survival without treatment. An instrument that does not rely on this assumption can be created by interacting PREDICT benefit score with a post-2010 dummy variable. This exploits the change in the relationship between benefit score and the adjuvant therapy decision that is expected to occur when this information is available to clinicians and patients compared to when it was not available. A possible limitation of the second approach is that this instrument is likely to be weaker</w:t>
      </w:r>
      <w:r w:rsidR="00805222">
        <w:t xml:space="preserve">, </w:t>
      </w:r>
      <w:r>
        <w:t>in the sense of having a smaller association with the probability of receiving chemotherapy.</w:t>
      </w:r>
    </w:p>
    <w:p w14:paraId="4EC3B534" w14:textId="77777777" w:rsidR="00E73C9D" w:rsidRDefault="00C57731">
      <w:pPr>
        <w:pStyle w:val="Body"/>
      </w:pPr>
      <w:r>
        <w:t>Two specifications were selected to be used in treatment effect estimation: PREDICT benefit score and the PREDICT benefit score interaction with a post 2010 dummy variable. The first specification is more efficient (greater statistical power) but with greater potential bias while the second is less efficient but has less potential for bias.</w:t>
      </w:r>
    </w:p>
    <w:p w14:paraId="70022EBF" w14:textId="74D4281D" w:rsidR="003F4890" w:rsidRDefault="003F4890" w:rsidP="003F4890">
      <w:pPr>
        <w:pStyle w:val="Heading3"/>
      </w:pPr>
      <w:r w:rsidRPr="003F4890">
        <w:t xml:space="preserve">Regression Discontinuity </w:t>
      </w:r>
      <w:r>
        <w:t xml:space="preserve">Assumptions </w:t>
      </w:r>
      <w:r w:rsidRPr="003F4890">
        <w:t xml:space="preserve">Further Details </w:t>
      </w:r>
    </w:p>
    <w:p w14:paraId="640DA8CA" w14:textId="7C9F1CB0" w:rsidR="00E73C9D" w:rsidRDefault="00C57731">
      <w:pPr>
        <w:pStyle w:val="Body"/>
      </w:pPr>
      <w:r>
        <w:t xml:space="preserve">Two broad classes of RDD exist </w:t>
      </w:r>
      <w:r>
        <w:fldChar w:fldCharType="begin"/>
      </w:r>
      <w:r w:rsidR="007D027A">
        <w:instrText xml:space="preserve"> ADDIN EN.CITE &lt;EndNote&gt;&lt;Cite&gt;&lt;Author&gt;Wooldridge&lt;/Author&gt;&lt;Year&gt;2010&lt;/Year&gt;&lt;RecNum&gt;59&lt;/RecNum&gt;&lt;DisplayText&gt;(15)&lt;/DisplayText&gt;&lt;record&gt;&lt;rec-number&gt;59&lt;/rec-number&gt;&lt;foreign-keys&gt;&lt;key app="EN" db-id="ftrpw5r2d0tevie2a5gp2tzn2xerrzew2w50" timestamp="1505919750"&gt;59&lt;/key&gt;&lt;/foreign-keys&gt;&lt;ref-type name="Book"&gt;6&lt;/ref-type&gt;&lt;contributors&gt;&lt;authors&gt;&lt;author&gt;Wooldridge, J.&lt;/author&gt;&lt;/authors&gt;&lt;/contributors&gt;&lt;titles&gt;&lt;title&gt;Econometric analysis of cross section and panel data&lt;/title&gt;&lt;/titles&gt;&lt;dates&gt;&lt;year&gt;2010&lt;/year&gt;&lt;/dates&gt;&lt;publisher&gt;MIT Press&lt;/publisher&gt;&lt;urls&gt;&lt;/urls&gt;&lt;/record&gt;&lt;/Cite&gt;&lt;/EndNote&gt;</w:instrText>
      </w:r>
      <w:r>
        <w:fldChar w:fldCharType="separate"/>
      </w:r>
      <w:r w:rsidR="007D027A">
        <w:rPr>
          <w:noProof/>
        </w:rPr>
        <w:t>(15)</w:t>
      </w:r>
      <w:r>
        <w:fldChar w:fldCharType="end"/>
      </w:r>
      <w:r>
        <w:t xml:space="preserve">. The first class is when the threshold fully determines treatment allocation, i.e. 100% of patients are exposed to treatment above the threshold, and none below; this is called a sharp RDD. The second class is when the treatment rule is less strict, and treatment may occur on either side of the threshold. However, the probability of being treated sharply increases at the threshold. This is called a fuzzy RDD. In this </w:t>
      </w:r>
      <w:r w:rsidR="0009737C">
        <w:t>study</w:t>
      </w:r>
      <w:r>
        <w:t>, as is common when clinical guidelines and decision aids are in use, we have an opportunity to apply a fuzzy RDD.</w:t>
      </w:r>
    </w:p>
    <w:p w14:paraId="7B113CCC" w14:textId="0B4A7339" w:rsidR="00E73C9D" w:rsidRDefault="00C57731">
      <w:pPr>
        <w:pStyle w:val="Body"/>
      </w:pPr>
      <w:r>
        <w:t xml:space="preserve">In fuzzy RDD analysis there is an assignment variable </w:t>
      </w:r>
      <m:oMath>
        <m:r>
          <w:rPr>
            <w:rFonts w:ascii="Cambria Math" w:hAnsi="Cambria Math"/>
          </w:rPr>
          <m:t>A</m:t>
        </m:r>
      </m:oMath>
      <w:r>
        <w:t xml:space="preserve"> with a threshold </w:t>
      </w:r>
      <m:oMath>
        <m:sSub>
          <m:sSubPr>
            <m:ctrlPr>
              <w:rPr>
                <w:rFonts w:ascii="Cambria Math" w:hAnsi="Cambria Math"/>
              </w:rPr>
            </m:ctrlPr>
          </m:sSubPr>
          <m:e>
            <m:r>
              <w:rPr>
                <w:rFonts w:ascii="Cambria Math" w:hAnsi="Cambria Math"/>
              </w:rPr>
              <m:t>a</m:t>
            </m:r>
          </m:e>
          <m:sub>
            <m:r>
              <w:rPr>
                <w:rFonts w:ascii="Cambria Math" w:hAnsi="Cambria Math"/>
              </w:rPr>
              <m:t>0</m:t>
            </m:r>
          </m:sub>
        </m:sSub>
      </m:oMath>
      <w:r>
        <w:t xml:space="preserve">, the treatment status </w:t>
      </w:r>
      <m:oMath>
        <m:r>
          <w:rPr>
            <w:rFonts w:ascii="Cambria Math" w:hAnsi="Cambria Math"/>
          </w:rPr>
          <m:t>(T</m:t>
        </m:r>
      </m:oMath>
      <w:r>
        <w:t xml:space="preserve">) of each individual </w:t>
      </w:r>
      <m:oMath>
        <m:r>
          <w:rPr>
            <w:rFonts w:ascii="Cambria Math" w:hAnsi="Cambria Math"/>
          </w:rPr>
          <m:t>(i)</m:t>
        </m:r>
      </m:oMath>
      <w:r>
        <w:t xml:space="preserve"> is partially determined by the level of </w:t>
      </w:r>
      <w:r>
        <w:rPr>
          <w:rFonts w:ascii="Cambria Math" w:eastAsia="Cambria Math" w:hAnsi="Cambria Math" w:cs="Cambria Math"/>
          <w:i/>
          <w:iCs/>
        </w:rPr>
        <w:t>A</w:t>
      </w:r>
      <w:r>
        <w:t xml:space="preserve"> and there are treated and untreated individuals on both sides of the threshold. The probability of treatment is determined by a different function (i.e. is discontinuous) on either side of the threshold </w:t>
      </w:r>
      <w:r>
        <w:fldChar w:fldCharType="begin"/>
      </w:r>
      <w:r w:rsidR="007D027A">
        <w:instrText xml:space="preserve"> ADDIN EN.CITE &lt;EndNote&gt;&lt;Cite&gt;&lt;Author&gt;Wooldridge&lt;/Author&gt;&lt;Year&gt;2010&lt;/Year&gt;&lt;RecNum&gt;59&lt;/RecNum&gt;&lt;DisplayText&gt;(15)&lt;/DisplayText&gt;&lt;record&gt;&lt;rec-number&gt;59&lt;/rec-number&gt;&lt;foreign-keys&gt;&lt;key app="EN" db-id="ftrpw5r2d0tevie2a5gp2tzn2xerrzew2w50" timestamp="1505919750"&gt;59&lt;/key&gt;&lt;/foreign-keys&gt;&lt;ref-type name="Book"&gt;6&lt;/ref-type&gt;&lt;contributors&gt;&lt;authors&gt;&lt;author&gt;Wooldridge, J.&lt;/author&gt;&lt;/authors&gt;&lt;/contributors&gt;&lt;titles&gt;&lt;title&gt;Econometric analysis of cross section and panel data&lt;/title&gt;&lt;/titles&gt;&lt;dates&gt;&lt;year&gt;2010&lt;/year&gt;&lt;/dates&gt;&lt;publisher&gt;MIT Press&lt;/publisher&gt;&lt;urls&gt;&lt;/urls&gt;&lt;/record&gt;&lt;/Cite&gt;&lt;/EndNote&gt;</w:instrText>
      </w:r>
      <w:r>
        <w:fldChar w:fldCharType="separate"/>
      </w:r>
      <w:r w:rsidR="007D027A">
        <w:rPr>
          <w:noProof/>
        </w:rPr>
        <w:t>(15)</w:t>
      </w:r>
      <w:r>
        <w:fldChar w:fldCharType="end"/>
      </w:r>
      <w:r>
        <w:t xml:space="preserve">: </w:t>
      </w:r>
    </w:p>
    <w:p w14:paraId="5F566222" w14:textId="77777777" w:rsidR="00E73C9D" w:rsidRDefault="00033855">
      <w:pPr>
        <w:pStyle w:val="Body"/>
        <w:jc w:val="center"/>
      </w:pPr>
      <m:oMathPara>
        <m:oMathParaPr>
          <m:jc m:val="center"/>
        </m:oMathParaPr>
        <m:oMath>
          <m:func>
            <m:funcPr>
              <m:ctrlPr>
                <w:rPr>
                  <w:rFonts w:ascii="Cambria Math" w:hAnsi="Cambria Math"/>
                  <w:i/>
                </w:rPr>
              </m:ctrlPr>
            </m:funcPr>
            <m:fName>
              <m:r>
                <w:rPr>
                  <w:rFonts w:ascii="Cambria Math" w:hAnsi="Cambria Math"/>
                </w:rPr>
                <m:t>Pr</m:t>
              </m:r>
            </m:fName>
            <m:e>
              <m:d>
                <m:dPr>
                  <m:ctrlPr>
                    <w:rPr>
                      <w:rFonts w:ascii="Cambria Math" w:hAnsi="Cambria Math"/>
                      <w:i/>
                    </w:rPr>
                  </m:ctrlPr>
                </m:dPr>
                <m:e>
                  <m:sSub>
                    <m:sSubPr>
                      <m:ctrlPr>
                        <w:rPr>
                          <w:rFonts w:ascii="Cambria Math" w:hAnsi="Cambria Math"/>
                        </w:rPr>
                      </m:ctrlPr>
                    </m:sSubPr>
                    <m:e>
                      <m:r>
                        <w:rPr>
                          <w:rFonts w:ascii="Cambria Math" w:hAnsi="Cambria Math"/>
                        </w:rPr>
                        <m:t>T</m:t>
                      </m:r>
                    </m:e>
                    <m:sub>
                      <m:r>
                        <w:rPr>
                          <w:rFonts w:ascii="Cambria Math" w:hAnsi="Cambria Math"/>
                        </w:rPr>
                        <m:t>i</m:t>
                      </m:r>
                    </m:sub>
                  </m:sSub>
                  <m:r>
                    <w:rPr>
                      <w:rFonts w:ascii="Cambria Math" w:hAnsi="Cambria Math"/>
                    </w:rPr>
                    <m:t>=1</m:t>
                  </m:r>
                </m:e>
                <m:e>
                  <m:sSub>
                    <m:sSubPr>
                      <m:ctrlPr>
                        <w:rPr>
                          <w:rFonts w:ascii="Cambria Math" w:hAnsi="Cambria Math"/>
                        </w:rPr>
                      </m:ctrlPr>
                    </m:sSubPr>
                    <m:e>
                      <m:r>
                        <w:rPr>
                          <w:rFonts w:ascii="Cambria Math" w:hAnsi="Cambria Math"/>
                        </w:rPr>
                        <m:t>A</m:t>
                      </m:r>
                    </m:e>
                    <m:sub>
                      <m:r>
                        <w:rPr>
                          <w:rFonts w:ascii="Cambria Math" w:hAnsi="Cambria Math"/>
                        </w:rPr>
                        <m:t>i</m:t>
                      </m:r>
                    </m:sub>
                  </m:sSub>
                </m:e>
              </m:d>
            </m:e>
          </m:func>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rPr>
                      </m:ctrlPr>
                    </m:sSubPr>
                    <m:e>
                      <m:r>
                        <w:rPr>
                          <w:rFonts w:ascii="Cambria Math" w:hAnsi="Cambria Math"/>
                        </w:rPr>
                        <m:t>p</m:t>
                      </m:r>
                    </m:e>
                    <m:sub>
                      <m:r>
                        <w:rPr>
                          <w:rFonts w:ascii="Cambria Math" w:hAnsi="Cambria Math"/>
                        </w:rPr>
                        <m:t>1</m:t>
                      </m:r>
                    </m:sub>
                  </m:sSub>
                  <m:d>
                    <m:dPr>
                      <m:ctrlPr>
                        <w:rPr>
                          <w:rFonts w:ascii="Cambria Math" w:hAnsi="Cambria Math"/>
                          <w:i/>
                        </w:rPr>
                      </m:ctrlPr>
                    </m:dPr>
                    <m:e>
                      <m:sSub>
                        <m:sSubPr>
                          <m:ctrlPr>
                            <w:rPr>
                              <w:rFonts w:ascii="Cambria Math" w:hAnsi="Cambria Math"/>
                            </w:rPr>
                          </m:ctrlPr>
                        </m:sSubPr>
                        <m:e>
                          <m:r>
                            <w:rPr>
                              <w:rFonts w:ascii="Cambria Math" w:hAnsi="Cambria Math"/>
                            </w:rPr>
                            <m:t>A</m:t>
                          </m:r>
                        </m:e>
                        <m:sub>
                          <m:r>
                            <w:rPr>
                              <w:rFonts w:ascii="Cambria Math" w:hAnsi="Cambria Math"/>
                            </w:rPr>
                            <m:t>i</m:t>
                          </m:r>
                        </m:sub>
                      </m:sSub>
                    </m:e>
                  </m:d>
                  <m:r>
                    <w:rPr>
                      <w:rFonts w:ascii="Cambria Math" w:hAnsi="Cambria Math"/>
                    </w:rPr>
                    <m:t>if</m:t>
                  </m:r>
                  <m:sSub>
                    <m:sSubPr>
                      <m:ctrlPr>
                        <w:rPr>
                          <w:rFonts w:ascii="Cambria Math" w:hAnsi="Cambria Math"/>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e>
                <m:e>
                  <m:sSub>
                    <m:sSubPr>
                      <m:ctrlPr>
                        <w:rPr>
                          <w:rFonts w:ascii="Cambria Math" w:hAnsi="Cambria Math"/>
                        </w:rPr>
                      </m:ctrlPr>
                    </m:sSubPr>
                    <m:e>
                      <m:r>
                        <w:rPr>
                          <w:rFonts w:ascii="Cambria Math" w:hAnsi="Cambria Math"/>
                        </w:rPr>
                        <m:t>p</m:t>
                      </m:r>
                    </m:e>
                    <m:sub>
                      <m:r>
                        <w:rPr>
                          <w:rFonts w:ascii="Cambria Math" w:hAnsi="Cambria Math"/>
                        </w:rPr>
                        <m:t>0</m:t>
                      </m:r>
                    </m:sub>
                  </m:sSub>
                  <m:d>
                    <m:dPr>
                      <m:ctrlPr>
                        <w:rPr>
                          <w:rFonts w:ascii="Cambria Math" w:hAnsi="Cambria Math"/>
                          <w:i/>
                        </w:rPr>
                      </m:ctrlPr>
                    </m:dPr>
                    <m:e>
                      <m:sSub>
                        <m:sSubPr>
                          <m:ctrlPr>
                            <w:rPr>
                              <w:rFonts w:ascii="Cambria Math" w:hAnsi="Cambria Math"/>
                            </w:rPr>
                          </m:ctrlPr>
                        </m:sSubPr>
                        <m:e>
                          <m:r>
                            <w:rPr>
                              <w:rFonts w:ascii="Cambria Math" w:hAnsi="Cambria Math"/>
                            </w:rPr>
                            <m:t>A</m:t>
                          </m:r>
                        </m:e>
                        <m:sub>
                          <m:r>
                            <w:rPr>
                              <w:rFonts w:ascii="Cambria Math" w:hAnsi="Cambria Math"/>
                            </w:rPr>
                            <m:t>i</m:t>
                          </m:r>
                        </m:sub>
                      </m:sSub>
                    </m:e>
                  </m:d>
                  <m:r>
                    <w:rPr>
                      <w:rFonts w:ascii="Cambria Math" w:hAnsi="Cambria Math"/>
                    </w:rPr>
                    <m:t>if</m:t>
                  </m:r>
                  <m:sSub>
                    <m:sSubPr>
                      <m:ctrlPr>
                        <w:rPr>
                          <w:rFonts w:ascii="Cambria Math" w:hAnsi="Cambria Math"/>
                        </w:rPr>
                      </m:ctrlPr>
                    </m:sSubPr>
                    <m:e>
                      <m:r>
                        <w:rPr>
                          <w:rFonts w:ascii="Cambria Math" w:hAnsi="Cambria Math"/>
                        </w:rPr>
                        <m:t>A</m:t>
                      </m:r>
                    </m:e>
                    <m:sub>
                      <m:r>
                        <w:rPr>
                          <w:rFonts w:ascii="Cambria Math" w:hAnsi="Cambria Math"/>
                        </w:rPr>
                        <m:t>i</m:t>
                      </m:r>
                    </m:sub>
                  </m:sSub>
                  <m:r>
                    <w:rPr>
                      <w:rFonts w:ascii="Cambria Math" w:hAnsi="Cambria Math"/>
                    </w:rPr>
                    <m:t>&lt;</m:t>
                  </m:r>
                  <m:sSub>
                    <m:sSubPr>
                      <m:ctrlPr>
                        <w:rPr>
                          <w:rFonts w:ascii="Cambria Math" w:hAnsi="Cambria Math"/>
                        </w:rPr>
                      </m:ctrlPr>
                    </m:sSubPr>
                    <m:e>
                      <m:r>
                        <w:rPr>
                          <w:rFonts w:ascii="Cambria Math" w:hAnsi="Cambria Math"/>
                        </w:rPr>
                        <m:t>a</m:t>
                      </m:r>
                    </m:e>
                    <m:sub>
                      <m:r>
                        <w:rPr>
                          <w:rFonts w:ascii="Cambria Math" w:hAnsi="Cambria Math"/>
                        </w:rPr>
                        <m:t>0</m:t>
                      </m:r>
                    </m:sub>
                  </m:sSub>
                </m:e>
              </m:eqArr>
            </m:e>
          </m:d>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0</m:t>
              </m:r>
            </m:sub>
          </m:sSub>
          <m:d>
            <m:dPr>
              <m:ctrlPr>
                <w:rPr>
                  <w:rFonts w:ascii="Cambria Math" w:hAnsi="Cambria Math"/>
                  <w:i/>
                </w:rPr>
              </m:ctrlPr>
            </m:dPr>
            <m:e>
              <m:sSub>
                <m:sSubPr>
                  <m:ctrlPr>
                    <w:rPr>
                      <w:rFonts w:ascii="Cambria Math" w:hAnsi="Cambria Math"/>
                    </w:rPr>
                  </m:ctrlPr>
                </m:sSubPr>
                <m:e>
                  <m:r>
                    <w:rPr>
                      <w:rFonts w:ascii="Cambria Math" w:hAnsi="Cambria Math"/>
                    </w:rPr>
                    <m:t>A</m:t>
                  </m:r>
                </m:e>
                <m:sub>
                  <m:r>
                    <w:rPr>
                      <w:rFonts w:ascii="Cambria Math" w:hAnsi="Cambria Math"/>
                    </w:rPr>
                    <m:t>i</m:t>
                  </m:r>
                </m:sub>
              </m:sSub>
            </m:e>
          </m:d>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m:t>
              </m:r>
            </m:sub>
          </m:sSub>
          <m:d>
            <m:dPr>
              <m:ctrlPr>
                <w:rPr>
                  <w:rFonts w:ascii="Cambria Math" w:hAnsi="Cambria Math"/>
                  <w:i/>
                </w:rPr>
              </m:ctrlPr>
            </m:dPr>
            <m:e>
              <m:sSub>
                <m:sSubPr>
                  <m:ctrlPr>
                    <w:rPr>
                      <w:rFonts w:ascii="Cambria Math" w:hAnsi="Cambria Math"/>
                    </w:rPr>
                  </m:ctrlPr>
                </m:sSubPr>
                <m:e>
                  <m:r>
                    <w:rPr>
                      <w:rFonts w:ascii="Cambria Math" w:hAnsi="Cambria Math"/>
                    </w:rPr>
                    <m:t>A</m:t>
                  </m:r>
                </m:e>
                <m:sub>
                  <m:r>
                    <w:rPr>
                      <w:rFonts w:ascii="Cambria Math" w:hAnsi="Cambria Math"/>
                    </w:rPr>
                    <m:t>i</m:t>
                  </m:r>
                </m:sub>
              </m:sSub>
            </m:e>
          </m:d>
        </m:oMath>
      </m:oMathPara>
    </w:p>
    <w:p w14:paraId="006D063D" w14:textId="06832928" w:rsidR="00E73C9D" w:rsidRDefault="00C57731">
      <w:pPr>
        <w:pStyle w:val="Body"/>
      </w:pPr>
      <w:r>
        <w:t xml:space="preserve">When the assumptions for RDD are met the identified causal effect is typically interpreted as a “local average treatment effect” (LATE) </w:t>
      </w:r>
      <w:r>
        <w:fldChar w:fldCharType="begin"/>
      </w:r>
      <w:r w:rsidR="007D027A">
        <w:instrText xml:space="preserve"> ADDIN EN.CITE &lt;EndNote&gt;&lt;Cite&gt;&lt;Author&gt;Imbens&lt;/Author&gt;&lt;Year&gt;1994&lt;/Year&gt;&lt;RecNum&gt;60&lt;/RecNum&gt;&lt;DisplayText&gt;(16)&lt;/DisplayText&gt;&lt;record&gt;&lt;rec-number&gt;60&lt;/rec-number&gt;&lt;foreign-keys&gt;&lt;key app="EN" db-id="ftrpw5r2d0tevie2a5gp2tzn2xerrzew2w50" timestamp="1505919750"&gt;60&lt;/key&gt;&lt;/foreign-keys&gt;&lt;ref-type name="Journal Article"&gt;17&lt;/ref-type&gt;&lt;contributors&gt;&lt;authors&gt;&lt;author&gt;Imbens, G. W.&lt;/author&gt;&lt;author&gt;Angrist, J. D.&lt;/author&gt;&lt;/authors&gt;&lt;/contributors&gt;&lt;auth-address&gt;Hebrew Univ Jerusalem,Dept Econ,Il-91905 Jerusalem,Israel&amp;#xD;Natl Bur Econ Res,Cambridge,Ma 02138&lt;/auth-address&gt;&lt;titles&gt;&lt;title&gt;Identification and Estimation of Local Average Treatment Effects&lt;/title&gt;&lt;secondary-title&gt;Econometrica&lt;/secondary-title&gt;&lt;alt-title&gt;Econometrica&lt;/alt-title&gt;&lt;/titles&gt;&lt;periodical&gt;&lt;full-title&gt;Econometrica&lt;/full-title&gt;&lt;abbr-1&gt;Econometrica&lt;/abbr-1&gt;&lt;/periodical&gt;&lt;alt-periodical&gt;&lt;full-title&gt;Econometrica&lt;/full-title&gt;&lt;abbr-1&gt;Econometrica&lt;/abbr-1&gt;&lt;/alt-periodical&gt;&lt;pages&gt;467-475&lt;/pages&gt;&lt;volume&gt;62&lt;/volume&gt;&lt;number&gt;2&lt;/number&gt;&lt;keywords&gt;&lt;keyword&gt;earnings&lt;/keyword&gt;&lt;/keywords&gt;&lt;dates&gt;&lt;year&gt;1994&lt;/year&gt;&lt;pub-dates&gt;&lt;date&gt;Mar&lt;/date&gt;&lt;/pub-dates&gt;&lt;/dates&gt;&lt;isbn&gt;0012-9682&lt;/isbn&gt;&lt;accession-num&gt;WOS:A1994ND22400008&lt;/accession-num&gt;&lt;urls&gt;&lt;related-urls&gt;&lt;url&gt;&amp;lt;Go to ISI&amp;gt;://WOS:A1994ND22400008&lt;/url&gt;&lt;/related-urls&gt;&lt;/urls&gt;&lt;electronic-resource-num&gt;Doi 10.2307/2951620&lt;/electronic-resource-num&gt;&lt;language&gt;English&lt;/language&gt;&lt;/record&gt;&lt;/Cite&gt;&lt;/EndNote&gt;</w:instrText>
      </w:r>
      <w:r>
        <w:fldChar w:fldCharType="separate"/>
      </w:r>
      <w:r w:rsidR="007D027A">
        <w:rPr>
          <w:noProof/>
        </w:rPr>
        <w:t>(16)</w:t>
      </w:r>
      <w:r>
        <w:fldChar w:fldCharType="end"/>
      </w:r>
      <w:r w:rsidR="00140688">
        <w:t>.</w:t>
      </w:r>
      <w:r>
        <w:t xml:space="preserve"> It is sometimes also called the complier average treatment effect or complier average causal effect (CATE/CACE) </w:t>
      </w:r>
      <w:r>
        <w:fldChar w:fldCharType="begin">
          <w:fldData xml:space="preserve">PEVuZE5vdGU+PENpdGU+PEF1dGhvcj5Nb3Njb2U8L0F1dGhvcj48WWVhcj4yMDE1PC9ZZWFyPjxS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==
</w:fldData>
        </w:fldChar>
      </w:r>
      <w:r w:rsidR="007D027A">
        <w:instrText xml:space="preserve"> ADDIN EN.CITE </w:instrText>
      </w:r>
      <w:r w:rsidR="007D027A">
        <w:fldChar w:fldCharType="begin">
          <w:fldData xml:space="preserve">PEVuZE5vdGU+PENpdGU+PEF1dGhvcj5Nb3Njb2U8L0F1dGhvcj48WWVhcj4yMDE1PC9ZZWFyPjxS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==
</w:fldData>
        </w:fldChar>
      </w:r>
      <w:r w:rsidR="007D027A">
        <w:instrText xml:space="preserve"> ADDIN EN.CITE.DATA </w:instrText>
      </w:r>
      <w:r w:rsidR="007D027A">
        <w:fldChar w:fldCharType="end"/>
      </w:r>
      <w:r>
        <w:fldChar w:fldCharType="separate"/>
      </w:r>
      <w:r w:rsidR="007D027A">
        <w:rPr>
          <w:noProof/>
        </w:rPr>
        <w:t>(17)</w:t>
      </w:r>
      <w:r>
        <w:fldChar w:fldCharType="end"/>
      </w:r>
      <w:r>
        <w:t xml:space="preserve">. </w:t>
      </w:r>
    </w:p>
    <w:p w14:paraId="71950808" w14:textId="07181520" w:rsidR="00E73C9D" w:rsidRDefault="00C57731">
      <w:pPr>
        <w:pStyle w:val="Body"/>
      </w:pPr>
      <w:r>
        <w:t xml:space="preserve">The assumptions required for a RDD to yield an unbiased estimate relate to the assignment mechanism, the relationship between assignment and outcomes and the relationship between the treatment threshold and potential confounding factors. Following the exposition provided by Geneletti et al </w:t>
      </w:r>
      <w:r>
        <w:fldChar w:fldCharType="begin">
          <w:fldData xml:space="preserve">PEVuZE5vdGU+PENpdGU+PEF1dGhvcj5HZW5lbGV0dGk8L0F1dGhvcj48WWVhcj4yMDE1PC9ZZWFy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</w:fldData>
        </w:fldChar>
      </w:r>
      <w:r w:rsidR="007D027A">
        <w:instrText xml:space="preserve"> ADDIN EN.CITE </w:instrText>
      </w:r>
      <w:r w:rsidR="007D027A">
        <w:fldChar w:fldCharType="begin">
          <w:fldData xml:space="preserve">PEVuZE5vdGU+PENpdGU+PEF1dGhvcj5HZW5lbGV0dGk8L0F1dGhvcj48WWVhcj4yMDE1PC9ZZWFy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</w:fldData>
        </w:fldChar>
      </w:r>
      <w:r w:rsidR="007D027A">
        <w:instrText xml:space="preserve"> ADDIN EN.CITE.DATA </w:instrText>
      </w:r>
      <w:r w:rsidR="007D027A">
        <w:fldChar w:fldCharType="end"/>
      </w:r>
      <w:r>
        <w:fldChar w:fldCharType="separate"/>
      </w:r>
      <w:r w:rsidR="007D027A">
        <w:rPr>
          <w:noProof/>
        </w:rPr>
        <w:t>(18)</w:t>
      </w:r>
      <w:r>
        <w:fldChar w:fldCharType="end"/>
      </w:r>
      <w:r>
        <w:t xml:space="preserve"> these can be explained based on the concept of conditional independence. The context is as above; there is an assignment variable </w:t>
      </w:r>
      <m:oMath>
        <m:r>
          <w:rPr>
            <w:rFonts w:ascii="Cambria Math" w:hAnsi="Cambria Math"/>
          </w:rPr>
          <m:t>A</m:t>
        </m:r>
      </m:oMath>
      <w:r>
        <w:t xml:space="preserve"> with a threshold </w:t>
      </w:r>
      <m:oMath>
        <m:sSub>
          <m:sSubPr>
            <m:ctrlPr>
              <w:rPr>
                <w:rFonts w:ascii="Cambria Math" w:hAnsi="Cambria Math"/>
              </w:rPr>
            </m:ctrlPr>
          </m:sSubPr>
          <m:e>
            <m:r>
              <w:rPr>
                <w:rFonts w:ascii="Cambria Math" w:hAnsi="Cambria Math"/>
              </w:rPr>
              <m:t>a</m:t>
            </m:r>
          </m:e>
          <m:sub>
            <m:r>
              <w:rPr>
                <w:rFonts w:ascii="Cambria Math" w:hAnsi="Cambria Math"/>
              </w:rPr>
              <m:t>0</m:t>
            </m:r>
          </m:sub>
        </m:sSub>
      </m:oMath>
      <w:r>
        <w:t xml:space="preserve">, patients are recommended treatment, or more likely to be recommended treatment, if the level of </w:t>
      </w:r>
      <m:oMath>
        <m:r>
          <w:rPr>
            <w:rFonts w:ascii="Cambria Math" w:hAnsi="Cambria Math"/>
          </w:rPr>
          <m:t>A</m:t>
        </m:r>
      </m:oMath>
      <w:r>
        <w:t xml:space="preserve"> is greater than </w:t>
      </w:r>
      <m:oMath>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oMath>
    </w:p>
    <w:p w14:paraId="7D620BBF" w14:textId="77777777" w:rsidR="00E73C9D" w:rsidRDefault="00C57731">
      <w:pPr>
        <w:pStyle w:val="Body"/>
      </w:pPr>
      <w:r>
        <w:t xml:space="preserve">[1] Firstly, the assignment to treatment must be influenced by the level of the assignment variable being over the threshold; or equivalently, a threshold indicator variable </w:t>
      </w:r>
      <m:oMath>
        <m:r>
          <w:rPr>
            <w:rFonts w:ascii="Cambria Math" w:hAnsi="Cambria Math"/>
          </w:rPr>
          <m:t>Z</m:t>
        </m:r>
      </m:oMath>
      <w:r>
        <w:t xml:space="preserve"> (1 if </w:t>
      </w:r>
      <m:oMath>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oMath>
      <w:r>
        <w:t xml:space="preserve"> , 0 otherwise) is not independent of treatment status variable </w:t>
      </w:r>
      <m:oMath>
        <m:r>
          <w:rPr>
            <w:rFonts w:ascii="Cambria Math" w:hAnsi="Cambria Math"/>
          </w:rPr>
          <m:t>T</m:t>
        </m:r>
      </m:oMath>
      <w:r>
        <w:t>:</w:t>
      </w:r>
    </w:p>
    <w:p w14:paraId="356998E5" w14:textId="77777777" w:rsidR="00E73C9D" w:rsidRDefault="00C57731">
      <w:pPr>
        <w:pStyle w:val="Body"/>
        <w:jc w:val="center"/>
      </w:pPr>
      <m:oMathPara>
        <m:oMathParaPr>
          <m:jc m:val="center"/>
        </m:oMathParaPr>
        <m:oMath>
          <m:r>
            <w:rPr>
              <w:rFonts w:ascii="Cambria Math" w:hAnsi="Cambria Math"/>
            </w:rPr>
            <m:t>Pr</m:t>
          </m:r>
          <m:d>
            <m:dPr>
              <m:ctrlPr>
                <w:rPr>
                  <w:rFonts w:ascii="Cambria Math" w:hAnsi="Cambria Math"/>
                  <w:i/>
                </w:rPr>
              </m:ctrlPr>
            </m:dPr>
            <m:e>
              <m:r>
                <w:rPr>
                  <w:rFonts w:ascii="Cambria Math" w:hAnsi="Cambria Math"/>
                </w:rPr>
                <m:t>T,Z</m:t>
              </m:r>
            </m:e>
          </m:d>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p</m:t>
          </m:r>
          <m:d>
            <m:dPr>
              <m:ctrlPr>
                <w:rPr>
                  <w:rFonts w:ascii="Cambria Math" w:hAnsi="Cambria Math"/>
                  <w:i/>
                </w:rPr>
              </m:ctrlPr>
            </m:dPr>
            <m:e>
              <m:r>
                <w:rPr>
                  <w:rFonts w:ascii="Cambria Math" w:hAnsi="Cambria Math"/>
                </w:rPr>
                <m:t>Z</m:t>
              </m:r>
            </m:e>
          </m:d>
        </m:oMath>
      </m:oMathPara>
    </w:p>
    <w:p w14:paraId="2F1B626F" w14:textId="77777777" w:rsidR="00E73C9D" w:rsidRDefault="00C57731">
      <w:pPr>
        <w:pStyle w:val="Body"/>
      </w:pPr>
      <w:r>
        <w:t>This assumption is tested by visual assessment of the discontinuity and estimation of the first-stage regression.</w:t>
      </w:r>
    </w:p>
    <w:p w14:paraId="489BFC9D" w14:textId="77777777" w:rsidR="00E73C9D" w:rsidRDefault="00C57731">
      <w:pPr>
        <w:pStyle w:val="Body"/>
      </w:pPr>
      <w:r>
        <w:t xml:space="preserve">[2] A second assumption is that the level of threshold is independent of the characteristics of the individual (potential confounders </w:t>
      </w:r>
      <m:oMath>
        <m:r>
          <w:rPr>
            <w:rFonts w:ascii="Cambria Math" w:hAnsi="Cambria Math"/>
          </w:rPr>
          <m:t>C</m:t>
        </m:r>
      </m:oMath>
      <w:r>
        <w:t xml:space="preserve">)  at any level of the assignment variable. Conditional on the assignment variable, </w:t>
      </w:r>
      <m:oMath>
        <m:r>
          <w:rPr>
            <w:rFonts w:ascii="Cambria Math" w:hAnsi="Cambria Math"/>
          </w:rPr>
          <m:t>Z</m:t>
        </m:r>
      </m:oMath>
      <w:r>
        <w:t xml:space="preserve"> is independent from </w:t>
      </w:r>
      <m:oMath>
        <m:r>
          <w:rPr>
            <w:rFonts w:ascii="Cambria Math" w:hAnsi="Cambria Math"/>
          </w:rPr>
          <m:t>C</m:t>
        </m:r>
      </m:oMath>
      <w:r>
        <w:t>:</w:t>
      </w:r>
    </w:p>
    <w:p w14:paraId="2336E708" w14:textId="77777777" w:rsidR="00E73C9D" w:rsidRDefault="00C57731">
      <w:pPr>
        <w:pStyle w:val="Body"/>
        <w:jc w:val="center"/>
      </w:pPr>
      <m:oMathPara>
        <m:oMathParaPr>
          <m:jc m:val="center"/>
        </m:oMathParaPr>
        <m:oMath>
          <m:r>
            <w:rPr>
              <w:rFonts w:ascii="Cambria Math" w:hAnsi="Cambria Math"/>
            </w:rPr>
            <m:t>Pr</m:t>
          </m:r>
          <m:d>
            <m:dPr>
              <m:ctrlPr>
                <w:rPr>
                  <w:rFonts w:ascii="Cambria Math" w:hAnsi="Cambria Math"/>
                  <w:i/>
                </w:rPr>
              </m:ctrlPr>
            </m:dPr>
            <m:e>
              <m:r>
                <w:rPr>
                  <w:rFonts w:ascii="Cambria Math" w:hAnsi="Cambria Math"/>
                </w:rPr>
                <m:t>Z,C</m:t>
              </m:r>
            </m:e>
            <m:e>
              <m:r>
                <w:rPr>
                  <w:rFonts w:ascii="Cambria Math" w:hAnsi="Cambria Math"/>
                </w:rPr>
                <m:t>A</m:t>
              </m:r>
            </m:e>
          </m:d>
          <m:r>
            <w:rPr>
              <w:rFonts w:ascii="Cambria Math" w:hAnsi="Cambria Math"/>
            </w:rPr>
            <m:t>=Pr</m:t>
          </m:r>
          <m:d>
            <m:dPr>
              <m:ctrlPr>
                <w:rPr>
                  <w:rFonts w:ascii="Cambria Math" w:hAnsi="Cambria Math"/>
                  <w:i/>
                </w:rPr>
              </m:ctrlPr>
            </m:dPr>
            <m:e>
              <m:r>
                <w:rPr>
                  <w:rFonts w:ascii="Cambria Math" w:hAnsi="Cambria Math"/>
                </w:rPr>
                <m:t>Z</m:t>
              </m:r>
            </m:e>
            <m:e>
              <m:r>
                <w:rPr>
                  <w:rFonts w:ascii="Cambria Math" w:hAnsi="Cambria Math"/>
                </w:rPr>
                <m:t>A</m:t>
              </m:r>
            </m:e>
          </m:d>
          <m:r>
            <w:rPr>
              <w:rFonts w:ascii="Cambria Math" w:hAnsi="Cambria Math"/>
            </w:rPr>
            <m:t>p</m:t>
          </m:r>
          <m:d>
            <m:dPr>
              <m:ctrlPr>
                <w:rPr>
                  <w:rFonts w:ascii="Cambria Math" w:hAnsi="Cambria Math"/>
                  <w:i/>
                </w:rPr>
              </m:ctrlPr>
            </m:dPr>
            <m:e>
              <m:r>
                <w:rPr>
                  <w:rFonts w:ascii="Cambria Math" w:hAnsi="Cambria Math"/>
                </w:rPr>
                <m:t>C</m:t>
              </m:r>
            </m:e>
            <m:e>
              <m:r>
                <w:rPr>
                  <w:rFonts w:ascii="Cambria Math" w:hAnsi="Cambria Math"/>
                </w:rPr>
                <m:t>A</m:t>
              </m:r>
            </m:e>
          </m:d>
        </m:oMath>
      </m:oMathPara>
    </w:p>
    <w:p w14:paraId="0C49E923" w14:textId="77777777" w:rsidR="00E73C9D" w:rsidRDefault="00C57731">
      <w:pPr>
        <w:pStyle w:val="Body"/>
      </w:pPr>
      <w:r>
        <w:t xml:space="preserve">The assumption would not hold if different thresholds were applied (e.g. to men and women) and this is not accounted for in the analysis (e.g. by separating the analysis). This assumption is verified by external knowledge of the thresholds.  </w:t>
      </w:r>
    </w:p>
    <w:p w14:paraId="0A81A548" w14:textId="77777777" w:rsidR="00E73C9D" w:rsidRDefault="00C57731">
      <w:pPr>
        <w:pStyle w:val="Body"/>
      </w:pPr>
      <w:r>
        <w:rPr>
          <w:lang w:val="pt-PT"/>
        </w:rPr>
        <w:t xml:space="preserve">[3] </w:t>
      </w:r>
      <w:r>
        <w:rPr>
          <w:b/>
          <w:bCs/>
        </w:rPr>
        <w:t>Continuity assumption (exchangeability assumption)</w:t>
      </w:r>
      <w:r>
        <w:t>. To identify the discontinuity in outcome as being causally related to the indicator variable it is also necessary to assume continuity of the expected outcome conditional on the assignment variable (in both treated and non-treated cases). This can be stated as:</w:t>
      </w:r>
    </w:p>
    <w:p w14:paraId="2AAE6C29" w14:textId="77777777" w:rsidR="00E73C9D" w:rsidRDefault="00C57731">
      <w:pPr>
        <w:pStyle w:val="Body"/>
        <w:jc w:val="center"/>
      </w:pPr>
      <m:oMathPara>
        <m:oMathParaPr>
          <m:jc m:val="center"/>
        </m:oMathParaPr>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Z,A=a,T,C</m:t>
              </m:r>
            </m:e>
          </m:d>
          <m:r>
            <w:rPr>
              <w:rFonts w:ascii="Cambria Math" w:hAnsi="Cambria Math"/>
            </w:rPr>
            <m:t>iscontinuousina</m:t>
          </m:r>
          <m:d>
            <m:dPr>
              <m:ctrlPr>
                <w:rPr>
                  <w:rFonts w:ascii="Cambria Math" w:hAnsi="Cambria Math"/>
                  <w:i/>
                </w:rPr>
              </m:ctrlPr>
            </m:dPr>
            <m:e>
              <m:r>
                <w:rPr>
                  <w:rFonts w:ascii="Cambria Math" w:hAnsi="Cambria Math"/>
                </w:rPr>
                <m:t>at</m:t>
              </m:r>
              <m:sSub>
                <m:sSubPr>
                  <m:ctrlPr>
                    <w:rPr>
                      <w:rFonts w:ascii="Cambria Math" w:hAnsi="Cambria Math"/>
                    </w:rPr>
                  </m:ctrlPr>
                </m:sSubPr>
                <m:e>
                  <m:r>
                    <w:rPr>
                      <w:rFonts w:ascii="Cambria Math" w:hAnsi="Cambria Math"/>
                    </w:rPr>
                    <m:t>a</m:t>
                  </m:r>
                </m:e>
                <m:sub>
                  <m:r>
                    <w:rPr>
                      <w:rFonts w:ascii="Cambria Math" w:hAnsi="Cambria Math"/>
                    </w:rPr>
                    <m:t>0</m:t>
                  </m:r>
                </m:sub>
              </m:sSub>
            </m:e>
          </m:d>
          <m:r>
            <w:rPr>
              <w:rFonts w:ascii="Cambria Math" w:hAnsi="Cambria Math"/>
            </w:rPr>
            <m:t>forT=0,1.</m:t>
          </m:r>
        </m:oMath>
      </m:oMathPara>
    </w:p>
    <w:p w14:paraId="007832CC" w14:textId="206D73B8" w:rsidR="00E73C9D" w:rsidRDefault="00C57731">
      <w:pPr>
        <w:pStyle w:val="Body"/>
      </w:pPr>
      <w:r>
        <w:t xml:space="preserve">The assumption would not be valid in cases where individuals can manipulate their assignment scores (without error) so as to be placed on the side of the threshold that they </w:t>
      </w:r>
      <w:r>
        <w:lastRenderedPageBreak/>
        <w:t xml:space="preserve">wish. In this scenario, the outcome is no longer independent from the threshold indicator variable conditional on the assignment variable because the observed assignment variable scores are not the true scores. Visual inspection of histograms and formal testing for a discontinuity in the density function of the assignment variable have been suggested to investigate this assumption </w:t>
      </w:r>
      <w:r>
        <w:fldChar w:fldCharType="begin"/>
      </w:r>
      <w:r w:rsidR="007D027A">
        <w:instrText xml:space="preserve"> ADDIN EN.CITE &lt;EndNote&gt;&lt;Cite&gt;&lt;Author&gt;McCrary&lt;/Author&gt;&lt;Year&gt;2008&lt;/Year&gt;&lt;RecNum&gt;72&lt;/RecNum&gt;&lt;DisplayText&gt;(19)&lt;/DisplayText&gt;&lt;record&gt;&lt;rec-number&gt;72&lt;/rec-number&gt;&lt;foreign-keys&gt;&lt;key app="EN" db-id="ftrpw5r2d0tevie2a5gp2tzn2xerrzew2w50" timestamp="1505919751"&gt;72&lt;/key&gt;&lt;/foreign-keys&gt;&lt;ref-type name="Journal Article"&gt;17&lt;/ref-type&gt;&lt;contributors&gt;&lt;authors&gt;&lt;author&gt;McCrary, Justin&lt;/author&gt;&lt;/authors&gt;&lt;/contributors&gt;&lt;titles&gt;&lt;title&gt;Manipulation of the running variable in the regression discontinuity design: A density test&lt;/title&gt;&lt;secondary-title&gt;Journal of Econometrics&lt;/secondary-title&gt;&lt;/titles&gt;&lt;periodical&gt;&lt;full-title&gt;Journal of Econometrics&lt;/full-title&gt;&lt;/periodical&gt;&lt;pages&gt;698-714&lt;/pages&gt;&lt;volume&gt;142&lt;/volume&gt;&lt;number&gt;2&lt;/number&gt;&lt;dates&gt;&lt;year&gt;2008&lt;/year&gt;&lt;/dates&gt;&lt;isbn&gt;03044076&lt;/isbn&gt;&lt;urls&gt;&lt;/urls&gt;&lt;electronic-resource-num&gt;10.1016/j.jeconom.2007.05.005&lt;/electronic-resource-num&gt;&lt;/record&gt;&lt;/Cite&gt;&lt;/EndNote&gt;</w:instrText>
      </w:r>
      <w:r>
        <w:fldChar w:fldCharType="separate"/>
      </w:r>
      <w:r w:rsidR="007D027A">
        <w:rPr>
          <w:noProof/>
        </w:rPr>
        <w:t>(19)</w:t>
      </w:r>
      <w:r>
        <w:fldChar w:fldCharType="end"/>
      </w:r>
      <w:r>
        <w:t>. Another means of checking this assumption is to perform tests of covariate balance between groups of observations above and below, and close to, the threshold.</w:t>
      </w:r>
    </w:p>
    <w:p w14:paraId="1E415DAE" w14:textId="77777777" w:rsidR="00E73C9D" w:rsidRDefault="00C57731">
      <w:pPr>
        <w:pStyle w:val="Body"/>
      </w:pPr>
      <w:r>
        <w:t>Another case in which the continuity assumption may not hold is when the assignment variable is a categorical variable with a small number of discrete values. In such cases a discontinuity may exist that could be incorrectly attributed as a treatment effect. This can be determined based on knowledge of the assignment variable and visual inspection of histograms of the assignment variable.</w:t>
      </w:r>
      <w:r>
        <w:rPr>
          <w:shd w:val="clear" w:color="auto" w:fill="FFFF00"/>
        </w:rPr>
        <w:t xml:space="preserve"> </w:t>
      </w:r>
    </w:p>
    <w:p w14:paraId="4CB39E13" w14:textId="77777777" w:rsidR="00E73C9D" w:rsidRDefault="00C57731">
      <w:pPr>
        <w:pStyle w:val="Body"/>
      </w:pPr>
      <w:r>
        <w:t xml:space="preserve">[4] It is assumed that outcome </w:t>
      </w:r>
      <m:oMath>
        <m:r>
          <w:rPr>
            <w:rFonts w:ascii="Cambria Math" w:hAnsi="Cambria Math"/>
          </w:rPr>
          <m:t>Y</m:t>
        </m:r>
      </m:oMath>
      <w:r>
        <w:t xml:space="preserve"> is independent from the threshold indicator </w:t>
      </w:r>
      <m:oMath>
        <m:r>
          <w:rPr>
            <w:rFonts w:ascii="Cambria Math" w:hAnsi="Cambria Math"/>
          </w:rPr>
          <m:t>Z</m:t>
        </m:r>
      </m:oMath>
      <w:r>
        <w:t xml:space="preserve"> conditional on the treatment status, assignment variable and confounding variables:</w:t>
      </w:r>
    </w:p>
    <w:p w14:paraId="21C41748" w14:textId="77777777" w:rsidR="00E73C9D" w:rsidRDefault="00C57731">
      <w:pPr>
        <w:pStyle w:val="Body"/>
        <w:jc w:val="center"/>
      </w:pPr>
      <m:oMathPara>
        <m:oMathParaPr>
          <m:jc m:val="center"/>
        </m:oMathParaPr>
        <m:oMath>
          <m:r>
            <w:rPr>
              <w:rFonts w:ascii="Cambria Math" w:hAnsi="Cambria Math"/>
            </w:rPr>
            <m:t>Pr</m:t>
          </m:r>
          <m:d>
            <m:dPr>
              <m:ctrlPr>
                <w:rPr>
                  <w:rFonts w:ascii="Cambria Math" w:hAnsi="Cambria Math"/>
                  <w:i/>
                </w:rPr>
              </m:ctrlPr>
            </m:dPr>
            <m:e>
              <m:r>
                <w:rPr>
                  <w:rFonts w:ascii="Cambria Math" w:hAnsi="Cambria Math"/>
                </w:rPr>
                <m:t>Y,Z</m:t>
              </m:r>
            </m:e>
            <m:e>
              <m:r>
                <w:rPr>
                  <w:rFonts w:ascii="Cambria Math" w:hAnsi="Cambria Math"/>
                </w:rPr>
                <m:t>T,A,C</m:t>
              </m:r>
            </m:e>
          </m:d>
          <m:r>
            <w:rPr>
              <w:rFonts w:ascii="Cambria Math" w:hAnsi="Cambria Math"/>
            </w:rPr>
            <m:t>=Pr</m:t>
          </m:r>
          <m:d>
            <m:dPr>
              <m:ctrlPr>
                <w:rPr>
                  <w:rFonts w:ascii="Cambria Math" w:hAnsi="Cambria Math"/>
                  <w:i/>
                </w:rPr>
              </m:ctrlPr>
            </m:dPr>
            <m:e>
              <m:r>
                <w:rPr>
                  <w:rFonts w:ascii="Cambria Math" w:hAnsi="Cambria Math"/>
                </w:rPr>
                <m:t>Y</m:t>
              </m:r>
            </m:e>
            <m:e>
              <m:r>
                <w:rPr>
                  <w:rFonts w:ascii="Cambria Math" w:hAnsi="Cambria Math"/>
                </w:rPr>
                <m:t>T,A,C</m:t>
              </m:r>
            </m:e>
          </m:d>
          <m:r>
            <w:rPr>
              <w:rFonts w:ascii="Cambria Math" w:hAnsi="Cambria Math"/>
            </w:rPr>
            <m:t>Pr</m:t>
          </m:r>
          <m:d>
            <m:dPr>
              <m:ctrlPr>
                <w:rPr>
                  <w:rFonts w:ascii="Cambria Math" w:hAnsi="Cambria Math"/>
                  <w:i/>
                </w:rPr>
              </m:ctrlPr>
            </m:dPr>
            <m:e>
              <m:r>
                <w:rPr>
                  <w:rFonts w:ascii="Cambria Math" w:hAnsi="Cambria Math"/>
                </w:rPr>
                <m:t>Z</m:t>
              </m:r>
            </m:e>
            <m:e>
              <m:r>
                <w:rPr>
                  <w:rFonts w:ascii="Cambria Math" w:hAnsi="Cambria Math"/>
                </w:rPr>
                <m:t>T,A,C</m:t>
              </m:r>
            </m:e>
          </m:d>
        </m:oMath>
      </m:oMathPara>
    </w:p>
    <w:p w14:paraId="7ABDF52D" w14:textId="77777777" w:rsidR="00E73C9D" w:rsidRDefault="00C57731">
      <w:pPr>
        <w:pStyle w:val="Body"/>
      </w:pPr>
      <w:r>
        <w:t xml:space="preserve">This assumption guarantees that the effect of </w:t>
      </w:r>
      <m:oMath>
        <m:r>
          <w:rPr>
            <w:rFonts w:ascii="Cambria Math" w:hAnsi="Cambria Math"/>
          </w:rPr>
          <m:t>Z</m:t>
        </m:r>
      </m:oMath>
      <w:r>
        <w:t xml:space="preserve"> on the outcome </w:t>
      </w:r>
      <m:oMath>
        <m:r>
          <w:rPr>
            <w:rFonts w:ascii="Cambria Math" w:hAnsi="Cambria Math"/>
          </w:rPr>
          <m:t>Y</m:t>
        </m:r>
      </m:oMath>
      <w:r>
        <w:t xml:space="preserve"> is due entirely to the effect of  </w:t>
      </w:r>
      <m:oMath>
        <m:r>
          <w:rPr>
            <w:rFonts w:ascii="Cambria Math" w:hAnsi="Cambria Math"/>
          </w:rPr>
          <m:t>Z</m:t>
        </m:r>
      </m:oMath>
      <w:r>
        <w:t xml:space="preserve"> on </w:t>
      </w:r>
      <m:oMath>
        <m:r>
          <w:rPr>
            <w:rFonts w:ascii="Cambria Math" w:hAnsi="Cambria Math"/>
          </w:rPr>
          <m:t>T</m:t>
        </m:r>
      </m:oMath>
      <w:r>
        <w:t xml:space="preserve"> and the resulting effect of the change in </w:t>
      </w:r>
      <m:oMath>
        <m:r>
          <w:rPr>
            <w:rFonts w:ascii="Cambria Math" w:hAnsi="Cambria Math"/>
          </w:rPr>
          <m:t>T</m:t>
        </m:r>
      </m:oMath>
      <w:r>
        <w:t xml:space="preserve"> on </w:t>
      </w:r>
      <m:oMath>
        <m:r>
          <w:rPr>
            <w:rFonts w:ascii="Cambria Math" w:hAnsi="Cambria Math"/>
          </w:rPr>
          <m:t>Y</m:t>
        </m:r>
      </m:oMath>
      <w:r>
        <w:t>.  This assumption would not be met if the threshold also influences treatment decisions for other therapies that have effects on the same outcome.</w:t>
      </w:r>
    </w:p>
    <w:p w14:paraId="6473BF40" w14:textId="77777777" w:rsidR="00E73C9D" w:rsidRDefault="00C57731">
      <w:pPr>
        <w:pStyle w:val="Body"/>
      </w:pPr>
      <w:r>
        <w:t>To check this assumption ‘placebo’ analysis could be undertaken replacing the treatment variable with other treatments that are assumed not to be influenced by the threshold.</w:t>
      </w:r>
    </w:p>
    <w:p w14:paraId="477CD67D" w14:textId="77777777" w:rsidR="00E73C9D" w:rsidRDefault="00C57731">
      <w:pPr>
        <w:pStyle w:val="Body"/>
      </w:pPr>
      <w:r>
        <w:t xml:space="preserve">[5] In the case of the fuzzy design only, in which treatment is not fully determined by </w:t>
      </w:r>
      <m:oMath>
        <m:r>
          <w:rPr>
            <w:rFonts w:ascii="Cambria Math" w:hAnsi="Cambria Math"/>
          </w:rPr>
          <m:t>Z</m:t>
        </m:r>
      </m:oMath>
      <w:r>
        <w:t>, it is necessary to assume that the assignment rule is not reversed for some cases, i.e. Patients are treated only if below threshold rather than only if above threshold. This is unlikely to be important in the scenarios considered in health care. Guidelines may not be followed but are unlikely to be followed in reverse.</w:t>
      </w:r>
    </w:p>
    <w:p w14:paraId="1B3D43E4" w14:textId="77777777" w:rsidR="00E73C9D" w:rsidRDefault="00C57731">
      <w:pPr>
        <w:pStyle w:val="Body"/>
      </w:pPr>
      <w:r>
        <w:t>The assumptions of threshold being set independently of potential confounders [A2], that the threshold only influences the outcome through the effect on the treatment of interest [A4], and that the assignment rule is never reversed [A5] were considered met based on knowledge of the clinical scenario.</w:t>
      </w:r>
    </w:p>
    <w:p w14:paraId="18624A70" w14:textId="77777777" w:rsidR="00E73C9D" w:rsidRDefault="00E73C9D">
      <w:pPr>
        <w:pStyle w:val="BodyA"/>
      </w:pPr>
    </w:p>
    <w:p w14:paraId="4F568924" w14:textId="77777777" w:rsidR="003F4890" w:rsidRDefault="003F4890">
      <w:pPr>
        <w:pStyle w:val="Heading2"/>
        <w:rPr>
          <w:lang w:val="en-US"/>
        </w:rPr>
      </w:pPr>
      <w:r>
        <w:rPr>
          <w:lang w:val="en-US"/>
        </w:rPr>
        <w:br w:type="page"/>
      </w:r>
    </w:p>
    <w:p w14:paraId="0DCE5E8B" w14:textId="3FEE21ED" w:rsidR="00E73C9D" w:rsidRDefault="00BB62F7">
      <w:pPr>
        <w:pStyle w:val="Heading2"/>
      </w:pPr>
      <w:r>
        <w:rPr>
          <w:lang w:val="en-US"/>
        </w:rPr>
        <w:lastRenderedPageBreak/>
        <w:t>3</w:t>
      </w:r>
      <w:r w:rsidR="00C57731">
        <w:rPr>
          <w:lang w:val="en-US"/>
        </w:rPr>
        <w:t xml:space="preserve"> PSM Histograms of Propensity Scores, Balance Tests and Full results</w:t>
      </w:r>
    </w:p>
    <w:p w14:paraId="410DA249" w14:textId="152DB576" w:rsidR="00E73C9D" w:rsidRDefault="00C57731">
      <w:pPr>
        <w:pStyle w:val="Body"/>
        <w:rPr>
          <w:b/>
          <w:bCs/>
        </w:rPr>
      </w:pPr>
      <w:r>
        <w:rPr>
          <w:b/>
          <w:bCs/>
          <w:lang w:val="it-IT"/>
        </w:rPr>
        <w:t xml:space="preserve">Figure </w:t>
      </w:r>
      <w:r w:rsidR="00B26A21">
        <w:rPr>
          <w:b/>
          <w:bCs/>
          <w:lang w:val="it-IT"/>
        </w:rPr>
        <w:t>3</w:t>
      </w:r>
      <w:r>
        <w:rPr>
          <w:b/>
          <w:bCs/>
          <w:lang w:val="it-IT"/>
        </w:rPr>
        <w:t xml:space="preserve">.1 </w:t>
      </w:r>
      <w:r>
        <w:t xml:space="preserve">Propensity score histograms </w:t>
      </w:r>
    </w:p>
    <w:p w14:paraId="43178F4E" w14:textId="77777777" w:rsidR="00E73C9D" w:rsidRDefault="00C57731">
      <w:pPr>
        <w:pStyle w:val="Body"/>
      </w:pPr>
      <w:r>
        <w:rPr>
          <w:noProof/>
          <w:lang w:val="en-GB"/>
        </w:rPr>
        <w:drawing>
          <wp:inline distT="0" distB="0" distL="0" distR="0" wp14:anchorId="28863125" wp14:editId="3F181296">
            <wp:extent cx="5727701" cy="2042072"/>
            <wp:effectExtent l="0" t="0" r="0" b="0"/>
            <wp:docPr id="1073741867" name="officeArt object" descr="propensity score histograms.png"/>
            <wp:cNvGraphicFramePr/>
            <a:graphic xmlns:a="http://schemas.openxmlformats.org/drawingml/2006/main">
              <a:graphicData uri="http://schemas.openxmlformats.org/drawingml/2006/picture">
                <pic:pic xmlns:pic="http://schemas.openxmlformats.org/drawingml/2006/picture">
                  <pic:nvPicPr>
                    <pic:cNvPr id="1073741867" name="propensity score histograms.png" descr="propensity score histograms.png"/>
                    <pic:cNvPicPr>
                      <a:picLocks noChangeAspect="1"/>
                    </pic:cNvPicPr>
                  </pic:nvPicPr>
                  <pic:blipFill>
                    <a:blip r:embed="rId13">
                      <a:extLst/>
                    </a:blip>
                    <a:stretch>
                      <a:fillRect/>
                    </a:stretch>
                  </pic:blipFill>
                  <pic:spPr>
                    <a:xfrm>
                      <a:off x="0" y="0"/>
                      <a:ext cx="5727701" cy="2042072"/>
                    </a:xfrm>
                    <a:prstGeom prst="rect">
                      <a:avLst/>
                    </a:prstGeom>
                    <a:ln w="12700" cap="flat">
                      <a:noFill/>
                      <a:miter lim="400000"/>
                    </a:ln>
                    <a:effectLst/>
                  </pic:spPr>
                </pic:pic>
              </a:graphicData>
            </a:graphic>
          </wp:inline>
        </w:drawing>
      </w:r>
    </w:p>
    <w:p w14:paraId="79E1736E" w14:textId="77777777" w:rsidR="00E73C9D" w:rsidRDefault="00C57731">
      <w:pPr>
        <w:pStyle w:val="Body"/>
        <w:rPr>
          <w:sz w:val="20"/>
          <w:szCs w:val="20"/>
        </w:rPr>
      </w:pPr>
      <w:r>
        <w:rPr>
          <w:sz w:val="20"/>
          <w:szCs w:val="20"/>
        </w:rPr>
        <w:t>Left: trial represented population, Right: Full cohort population, 0: no chemotherapy, 1: chemotherapy</w:t>
      </w:r>
    </w:p>
    <w:p w14:paraId="591649D5" w14:textId="20EC98B2" w:rsidR="00E73C9D" w:rsidRDefault="00C57731">
      <w:pPr>
        <w:pStyle w:val="Body"/>
        <w:rPr>
          <w:b/>
          <w:bCs/>
        </w:rPr>
      </w:pPr>
      <w:r w:rsidRPr="0052297B">
        <w:rPr>
          <w:b/>
          <w:bCs/>
        </w:rPr>
        <w:t xml:space="preserve">Table </w:t>
      </w:r>
      <w:r w:rsidR="00B26A21">
        <w:rPr>
          <w:b/>
          <w:bCs/>
        </w:rPr>
        <w:t>3</w:t>
      </w:r>
      <w:r w:rsidRPr="0052297B">
        <w:rPr>
          <w:b/>
          <w:bCs/>
        </w:rPr>
        <w:t xml:space="preserve">.1 Balance PSM V1 </w:t>
      </w:r>
      <w:r>
        <w:rPr>
          <w:b/>
          <w:bCs/>
        </w:rPr>
        <w:t>– 1:1 Nearest Neighbour</w:t>
      </w:r>
    </w:p>
    <w:tbl>
      <w:tblPr>
        <w:tblStyle w:val="TableGrid"/>
        <w:tblW w:w="0" w:type="auto"/>
        <w:tblLook w:val="04A0" w:firstRow="1" w:lastRow="0" w:firstColumn="1" w:lastColumn="0" w:noHBand="0" w:noVBand="1"/>
      </w:tblPr>
      <w:tblGrid>
        <w:gridCol w:w="1720"/>
        <w:gridCol w:w="1106"/>
        <w:gridCol w:w="956"/>
        <w:gridCol w:w="821"/>
        <w:gridCol w:w="762"/>
        <w:gridCol w:w="1106"/>
        <w:gridCol w:w="956"/>
        <w:gridCol w:w="821"/>
        <w:gridCol w:w="762"/>
      </w:tblGrid>
      <w:tr w:rsidR="008C25CF" w:rsidRPr="008C25CF" w14:paraId="1B46368F" w14:textId="77777777" w:rsidTr="008C25CF">
        <w:trPr>
          <w:trHeight w:val="300"/>
        </w:trPr>
        <w:tc>
          <w:tcPr>
            <w:tcW w:w="1720" w:type="dxa"/>
            <w:noWrap/>
          </w:tcPr>
          <w:p w14:paraId="53D42D6C"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Variable</w:t>
            </w:r>
          </w:p>
        </w:tc>
        <w:tc>
          <w:tcPr>
            <w:tcW w:w="3648" w:type="dxa"/>
            <w:gridSpan w:val="4"/>
            <w:noWrap/>
          </w:tcPr>
          <w:p w14:paraId="0DDF5CC2"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Trial Represented</w:t>
            </w:r>
          </w:p>
        </w:tc>
        <w:tc>
          <w:tcPr>
            <w:tcW w:w="3648" w:type="dxa"/>
            <w:gridSpan w:val="4"/>
            <w:noWrap/>
          </w:tcPr>
          <w:p w14:paraId="4CF62DC1"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Full cohort</w:t>
            </w:r>
          </w:p>
        </w:tc>
      </w:tr>
      <w:tr w:rsidR="008C25CF" w:rsidRPr="008C25CF" w14:paraId="2B76F55F" w14:textId="77777777" w:rsidTr="008C25CF">
        <w:trPr>
          <w:trHeight w:val="300"/>
        </w:trPr>
        <w:tc>
          <w:tcPr>
            <w:tcW w:w="1720" w:type="dxa"/>
            <w:noWrap/>
            <w:hideMark/>
          </w:tcPr>
          <w:p w14:paraId="6FA7BF92" w14:textId="77777777" w:rsidR="008C25CF" w:rsidRPr="008C25CF" w:rsidRDefault="008C25CF" w:rsidP="008C25CF">
            <w:pPr>
              <w:rPr>
                <w:rFonts w:ascii="Arial" w:hAnsi="Arial" w:cs="Arial"/>
                <w:sz w:val="18"/>
                <w:szCs w:val="18"/>
                <w:lang w:val="en-GB"/>
              </w:rPr>
            </w:pPr>
          </w:p>
        </w:tc>
        <w:tc>
          <w:tcPr>
            <w:tcW w:w="1107" w:type="dxa"/>
            <w:noWrap/>
            <w:hideMark/>
          </w:tcPr>
          <w:p w14:paraId="116D4A04"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Mean untreated</w:t>
            </w:r>
          </w:p>
        </w:tc>
        <w:tc>
          <w:tcPr>
            <w:tcW w:w="957" w:type="dxa"/>
            <w:noWrap/>
            <w:hideMark/>
          </w:tcPr>
          <w:p w14:paraId="28BD263D"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Mean treated</w:t>
            </w:r>
          </w:p>
        </w:tc>
        <w:tc>
          <w:tcPr>
            <w:tcW w:w="776" w:type="dxa"/>
            <w:noWrap/>
            <w:hideMark/>
          </w:tcPr>
          <w:p w14:paraId="7B70C122"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P NH: m1=m2</w:t>
            </w:r>
          </w:p>
        </w:tc>
        <w:tc>
          <w:tcPr>
            <w:tcW w:w="808" w:type="dxa"/>
          </w:tcPr>
          <w:p w14:paraId="2FAE206D"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SMD</w:t>
            </w:r>
          </w:p>
        </w:tc>
        <w:tc>
          <w:tcPr>
            <w:tcW w:w="1107" w:type="dxa"/>
            <w:noWrap/>
            <w:hideMark/>
          </w:tcPr>
          <w:p w14:paraId="461EBECD"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Mean untreated</w:t>
            </w:r>
          </w:p>
        </w:tc>
        <w:tc>
          <w:tcPr>
            <w:tcW w:w="957" w:type="dxa"/>
            <w:noWrap/>
            <w:hideMark/>
          </w:tcPr>
          <w:p w14:paraId="248AAA12"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Mean treated</w:t>
            </w:r>
          </w:p>
        </w:tc>
        <w:tc>
          <w:tcPr>
            <w:tcW w:w="785" w:type="dxa"/>
            <w:noWrap/>
            <w:hideMark/>
          </w:tcPr>
          <w:p w14:paraId="76AB4815"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P NH: m1=m2</w:t>
            </w:r>
          </w:p>
        </w:tc>
        <w:tc>
          <w:tcPr>
            <w:tcW w:w="799" w:type="dxa"/>
          </w:tcPr>
          <w:p w14:paraId="23F93BC7"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SMD</w:t>
            </w:r>
          </w:p>
        </w:tc>
      </w:tr>
      <w:tr w:rsidR="008C25CF" w:rsidRPr="008C25CF" w14:paraId="7C5776AF" w14:textId="77777777" w:rsidTr="008C25CF">
        <w:trPr>
          <w:trHeight w:val="300"/>
        </w:trPr>
        <w:tc>
          <w:tcPr>
            <w:tcW w:w="1720" w:type="dxa"/>
            <w:noWrap/>
            <w:hideMark/>
          </w:tcPr>
          <w:p w14:paraId="0DAFFA35"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Age</w:t>
            </w:r>
          </w:p>
        </w:tc>
        <w:tc>
          <w:tcPr>
            <w:tcW w:w="1107" w:type="dxa"/>
            <w:noWrap/>
            <w:hideMark/>
          </w:tcPr>
          <w:p w14:paraId="331E7BAD"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56.06</w:t>
            </w:r>
          </w:p>
        </w:tc>
        <w:tc>
          <w:tcPr>
            <w:tcW w:w="957" w:type="dxa"/>
            <w:noWrap/>
            <w:hideMark/>
          </w:tcPr>
          <w:p w14:paraId="337B6D12"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55.55</w:t>
            </w:r>
          </w:p>
        </w:tc>
        <w:tc>
          <w:tcPr>
            <w:tcW w:w="776" w:type="dxa"/>
            <w:noWrap/>
            <w:hideMark/>
          </w:tcPr>
          <w:p w14:paraId="2114217C"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&lt;0.001</w:t>
            </w:r>
          </w:p>
        </w:tc>
        <w:tc>
          <w:tcPr>
            <w:tcW w:w="808" w:type="dxa"/>
          </w:tcPr>
          <w:p w14:paraId="1C5552A3"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0.063</w:t>
            </w:r>
          </w:p>
        </w:tc>
        <w:tc>
          <w:tcPr>
            <w:tcW w:w="1107" w:type="dxa"/>
            <w:noWrap/>
            <w:hideMark/>
          </w:tcPr>
          <w:p w14:paraId="105000B9"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57.32</w:t>
            </w:r>
          </w:p>
        </w:tc>
        <w:tc>
          <w:tcPr>
            <w:tcW w:w="957" w:type="dxa"/>
            <w:noWrap/>
            <w:hideMark/>
          </w:tcPr>
          <w:p w14:paraId="683873F3"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55.91</w:t>
            </w:r>
          </w:p>
        </w:tc>
        <w:tc>
          <w:tcPr>
            <w:tcW w:w="785" w:type="dxa"/>
            <w:noWrap/>
            <w:hideMark/>
          </w:tcPr>
          <w:p w14:paraId="58C51AB3"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&lt;0.001</w:t>
            </w:r>
          </w:p>
        </w:tc>
        <w:tc>
          <w:tcPr>
            <w:tcW w:w="799" w:type="dxa"/>
          </w:tcPr>
          <w:p w14:paraId="1C9E34AC"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0.142</w:t>
            </w:r>
          </w:p>
        </w:tc>
      </w:tr>
      <w:tr w:rsidR="008C25CF" w:rsidRPr="008C25CF" w14:paraId="76EA12C2" w14:textId="77777777" w:rsidTr="008C25CF">
        <w:trPr>
          <w:trHeight w:val="300"/>
        </w:trPr>
        <w:tc>
          <w:tcPr>
            <w:tcW w:w="1720" w:type="dxa"/>
            <w:noWrap/>
            <w:hideMark/>
          </w:tcPr>
          <w:p w14:paraId="42710D5D"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PREDICT 10y mort.</w:t>
            </w:r>
          </w:p>
        </w:tc>
        <w:tc>
          <w:tcPr>
            <w:tcW w:w="1107" w:type="dxa"/>
            <w:noWrap/>
            <w:hideMark/>
          </w:tcPr>
          <w:p w14:paraId="061A70F2"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0.38</w:t>
            </w:r>
          </w:p>
        </w:tc>
        <w:tc>
          <w:tcPr>
            <w:tcW w:w="957" w:type="dxa"/>
            <w:noWrap/>
            <w:hideMark/>
          </w:tcPr>
          <w:p w14:paraId="3F6BA451"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0.38</w:t>
            </w:r>
          </w:p>
        </w:tc>
        <w:tc>
          <w:tcPr>
            <w:tcW w:w="776" w:type="dxa"/>
            <w:noWrap/>
            <w:hideMark/>
          </w:tcPr>
          <w:p w14:paraId="1F8B9E4E"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0.031</w:t>
            </w:r>
          </w:p>
        </w:tc>
        <w:tc>
          <w:tcPr>
            <w:tcW w:w="808" w:type="dxa"/>
          </w:tcPr>
          <w:p w14:paraId="4A44D8DF"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0.035</w:t>
            </w:r>
          </w:p>
        </w:tc>
        <w:tc>
          <w:tcPr>
            <w:tcW w:w="1107" w:type="dxa"/>
            <w:noWrap/>
            <w:hideMark/>
          </w:tcPr>
          <w:p w14:paraId="4E40C83D"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0.38</w:t>
            </w:r>
          </w:p>
        </w:tc>
        <w:tc>
          <w:tcPr>
            <w:tcW w:w="957" w:type="dxa"/>
            <w:noWrap/>
            <w:hideMark/>
          </w:tcPr>
          <w:p w14:paraId="264EB536"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0.36</w:t>
            </w:r>
          </w:p>
        </w:tc>
        <w:tc>
          <w:tcPr>
            <w:tcW w:w="785" w:type="dxa"/>
            <w:noWrap/>
            <w:hideMark/>
          </w:tcPr>
          <w:p w14:paraId="348AA56B"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&lt;0.001</w:t>
            </w:r>
          </w:p>
        </w:tc>
        <w:tc>
          <w:tcPr>
            <w:tcW w:w="799" w:type="dxa"/>
          </w:tcPr>
          <w:p w14:paraId="45F8DAAE"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0.085</w:t>
            </w:r>
          </w:p>
        </w:tc>
      </w:tr>
      <w:tr w:rsidR="008C25CF" w:rsidRPr="008C25CF" w14:paraId="300234C7" w14:textId="77777777" w:rsidTr="008C25CF">
        <w:trPr>
          <w:trHeight w:val="300"/>
        </w:trPr>
        <w:tc>
          <w:tcPr>
            <w:tcW w:w="1720" w:type="dxa"/>
            <w:noWrap/>
            <w:hideMark/>
          </w:tcPr>
          <w:p w14:paraId="0CDE9C9B"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Screen detected</w:t>
            </w:r>
          </w:p>
        </w:tc>
        <w:tc>
          <w:tcPr>
            <w:tcW w:w="1107" w:type="dxa"/>
            <w:noWrap/>
            <w:hideMark/>
          </w:tcPr>
          <w:p w14:paraId="532AB129"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0.31</w:t>
            </w:r>
          </w:p>
        </w:tc>
        <w:tc>
          <w:tcPr>
            <w:tcW w:w="957" w:type="dxa"/>
            <w:noWrap/>
            <w:hideMark/>
          </w:tcPr>
          <w:p w14:paraId="27DB5D58"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0.31</w:t>
            </w:r>
          </w:p>
        </w:tc>
        <w:tc>
          <w:tcPr>
            <w:tcW w:w="776" w:type="dxa"/>
            <w:noWrap/>
            <w:hideMark/>
          </w:tcPr>
          <w:p w14:paraId="2598BE94"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0.669</w:t>
            </w:r>
          </w:p>
        </w:tc>
        <w:tc>
          <w:tcPr>
            <w:tcW w:w="808" w:type="dxa"/>
          </w:tcPr>
          <w:p w14:paraId="6FD403C9"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0.007</w:t>
            </w:r>
          </w:p>
        </w:tc>
        <w:tc>
          <w:tcPr>
            <w:tcW w:w="1107" w:type="dxa"/>
            <w:noWrap/>
            <w:hideMark/>
          </w:tcPr>
          <w:p w14:paraId="33A235EC"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0.28</w:t>
            </w:r>
          </w:p>
        </w:tc>
        <w:tc>
          <w:tcPr>
            <w:tcW w:w="957" w:type="dxa"/>
            <w:noWrap/>
            <w:hideMark/>
          </w:tcPr>
          <w:p w14:paraId="70FB7AF8"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0.28</w:t>
            </w:r>
          </w:p>
        </w:tc>
        <w:tc>
          <w:tcPr>
            <w:tcW w:w="785" w:type="dxa"/>
            <w:noWrap/>
            <w:hideMark/>
          </w:tcPr>
          <w:p w14:paraId="7AA96CEF"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0.435</w:t>
            </w:r>
          </w:p>
        </w:tc>
        <w:tc>
          <w:tcPr>
            <w:tcW w:w="799" w:type="dxa"/>
          </w:tcPr>
          <w:p w14:paraId="50C4FBF1"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-0.011</w:t>
            </w:r>
          </w:p>
        </w:tc>
      </w:tr>
      <w:tr w:rsidR="008C25CF" w:rsidRPr="008C25CF" w14:paraId="45DB96E7" w14:textId="77777777" w:rsidTr="008C25CF">
        <w:trPr>
          <w:trHeight w:val="300"/>
        </w:trPr>
        <w:tc>
          <w:tcPr>
            <w:tcW w:w="1720" w:type="dxa"/>
            <w:noWrap/>
            <w:hideMark/>
          </w:tcPr>
          <w:p w14:paraId="5FAF832B"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No. Positive nodes</w:t>
            </w:r>
          </w:p>
        </w:tc>
        <w:tc>
          <w:tcPr>
            <w:tcW w:w="1107" w:type="dxa"/>
            <w:noWrap/>
            <w:hideMark/>
          </w:tcPr>
          <w:p w14:paraId="6B47F065"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2.55</w:t>
            </w:r>
          </w:p>
        </w:tc>
        <w:tc>
          <w:tcPr>
            <w:tcW w:w="957" w:type="dxa"/>
            <w:noWrap/>
            <w:hideMark/>
          </w:tcPr>
          <w:p w14:paraId="41DE427C"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2.5</w:t>
            </w:r>
          </w:p>
        </w:tc>
        <w:tc>
          <w:tcPr>
            <w:tcW w:w="776" w:type="dxa"/>
            <w:noWrap/>
            <w:hideMark/>
          </w:tcPr>
          <w:p w14:paraId="06A96930"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0.508</w:t>
            </w:r>
          </w:p>
        </w:tc>
        <w:tc>
          <w:tcPr>
            <w:tcW w:w="808" w:type="dxa"/>
          </w:tcPr>
          <w:p w14:paraId="2C351D9F"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0.011</w:t>
            </w:r>
          </w:p>
        </w:tc>
        <w:tc>
          <w:tcPr>
            <w:tcW w:w="1107" w:type="dxa"/>
            <w:noWrap/>
            <w:hideMark/>
          </w:tcPr>
          <w:p w14:paraId="0CBE25AC"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2.07</w:t>
            </w:r>
          </w:p>
        </w:tc>
        <w:tc>
          <w:tcPr>
            <w:tcW w:w="957" w:type="dxa"/>
            <w:noWrap/>
            <w:hideMark/>
          </w:tcPr>
          <w:p w14:paraId="75B7E0D8"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2.14</w:t>
            </w:r>
          </w:p>
        </w:tc>
        <w:tc>
          <w:tcPr>
            <w:tcW w:w="785" w:type="dxa"/>
            <w:noWrap/>
            <w:hideMark/>
          </w:tcPr>
          <w:p w14:paraId="2A39A280"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0.208</w:t>
            </w:r>
          </w:p>
        </w:tc>
        <w:tc>
          <w:tcPr>
            <w:tcW w:w="799" w:type="dxa"/>
          </w:tcPr>
          <w:p w14:paraId="001BCEDD"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-0.017</w:t>
            </w:r>
          </w:p>
        </w:tc>
      </w:tr>
      <w:tr w:rsidR="008C25CF" w:rsidRPr="008C25CF" w14:paraId="564C519E" w14:textId="77777777" w:rsidTr="008C25CF">
        <w:trPr>
          <w:trHeight w:val="300"/>
        </w:trPr>
        <w:tc>
          <w:tcPr>
            <w:tcW w:w="1720" w:type="dxa"/>
            <w:noWrap/>
            <w:hideMark/>
          </w:tcPr>
          <w:p w14:paraId="1438F29D"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Tumour size</w:t>
            </w:r>
          </w:p>
        </w:tc>
        <w:tc>
          <w:tcPr>
            <w:tcW w:w="1107" w:type="dxa"/>
            <w:noWrap/>
            <w:hideMark/>
          </w:tcPr>
          <w:p w14:paraId="67C038F7"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26.18</w:t>
            </w:r>
          </w:p>
        </w:tc>
        <w:tc>
          <w:tcPr>
            <w:tcW w:w="957" w:type="dxa"/>
            <w:noWrap/>
            <w:hideMark/>
          </w:tcPr>
          <w:p w14:paraId="545643F4"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26.01</w:t>
            </w:r>
          </w:p>
        </w:tc>
        <w:tc>
          <w:tcPr>
            <w:tcW w:w="776" w:type="dxa"/>
            <w:noWrap/>
            <w:hideMark/>
          </w:tcPr>
          <w:p w14:paraId="0C79DAE2"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0.538</w:t>
            </w:r>
          </w:p>
        </w:tc>
        <w:tc>
          <w:tcPr>
            <w:tcW w:w="808" w:type="dxa"/>
          </w:tcPr>
          <w:p w14:paraId="39CED184"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0.01</w:t>
            </w:r>
          </w:p>
        </w:tc>
        <w:tc>
          <w:tcPr>
            <w:tcW w:w="1107" w:type="dxa"/>
            <w:noWrap/>
            <w:hideMark/>
          </w:tcPr>
          <w:p w14:paraId="4E487E62"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26.09</w:t>
            </w:r>
          </w:p>
        </w:tc>
        <w:tc>
          <w:tcPr>
            <w:tcW w:w="957" w:type="dxa"/>
            <w:noWrap/>
            <w:hideMark/>
          </w:tcPr>
          <w:p w14:paraId="4E254FBD"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25.14</w:t>
            </w:r>
          </w:p>
        </w:tc>
        <w:tc>
          <w:tcPr>
            <w:tcW w:w="785" w:type="dxa"/>
            <w:noWrap/>
            <w:hideMark/>
          </w:tcPr>
          <w:p w14:paraId="0870F336"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&lt;0.001</w:t>
            </w:r>
          </w:p>
        </w:tc>
        <w:tc>
          <w:tcPr>
            <w:tcW w:w="799" w:type="dxa"/>
          </w:tcPr>
          <w:p w14:paraId="702F0128"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0.058</w:t>
            </w:r>
          </w:p>
        </w:tc>
      </w:tr>
      <w:tr w:rsidR="008C25CF" w:rsidRPr="008C25CF" w14:paraId="67A92F45" w14:textId="77777777" w:rsidTr="008C25CF">
        <w:trPr>
          <w:trHeight w:val="300"/>
        </w:trPr>
        <w:tc>
          <w:tcPr>
            <w:tcW w:w="1720" w:type="dxa"/>
            <w:noWrap/>
            <w:hideMark/>
          </w:tcPr>
          <w:p w14:paraId="48E3FE6D"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grade 2</w:t>
            </w:r>
          </w:p>
        </w:tc>
        <w:tc>
          <w:tcPr>
            <w:tcW w:w="1107" w:type="dxa"/>
            <w:noWrap/>
            <w:hideMark/>
          </w:tcPr>
          <w:p w14:paraId="6DA4883E"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0.38</w:t>
            </w:r>
          </w:p>
        </w:tc>
        <w:tc>
          <w:tcPr>
            <w:tcW w:w="957" w:type="dxa"/>
            <w:noWrap/>
            <w:hideMark/>
          </w:tcPr>
          <w:p w14:paraId="5C0B9AE6"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0.39</w:t>
            </w:r>
          </w:p>
        </w:tc>
        <w:tc>
          <w:tcPr>
            <w:tcW w:w="776" w:type="dxa"/>
            <w:noWrap/>
            <w:hideMark/>
          </w:tcPr>
          <w:p w14:paraId="44424471"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0.048</w:t>
            </w:r>
          </w:p>
        </w:tc>
        <w:tc>
          <w:tcPr>
            <w:tcW w:w="808" w:type="dxa"/>
          </w:tcPr>
          <w:p w14:paraId="3D48898E"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-0.033</w:t>
            </w:r>
          </w:p>
        </w:tc>
        <w:tc>
          <w:tcPr>
            <w:tcW w:w="1107" w:type="dxa"/>
            <w:noWrap/>
            <w:hideMark/>
          </w:tcPr>
          <w:p w14:paraId="22D1D2A5"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0.35</w:t>
            </w:r>
          </w:p>
        </w:tc>
        <w:tc>
          <w:tcPr>
            <w:tcW w:w="957" w:type="dxa"/>
            <w:noWrap/>
            <w:hideMark/>
          </w:tcPr>
          <w:p w14:paraId="668AD769"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0.39</w:t>
            </w:r>
          </w:p>
        </w:tc>
        <w:tc>
          <w:tcPr>
            <w:tcW w:w="785" w:type="dxa"/>
            <w:noWrap/>
            <w:hideMark/>
          </w:tcPr>
          <w:p w14:paraId="7776BE51"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&lt;0.001</w:t>
            </w:r>
          </w:p>
        </w:tc>
        <w:tc>
          <w:tcPr>
            <w:tcW w:w="799" w:type="dxa"/>
          </w:tcPr>
          <w:p w14:paraId="21702E33"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-0.088</w:t>
            </w:r>
          </w:p>
        </w:tc>
      </w:tr>
      <w:tr w:rsidR="008C25CF" w:rsidRPr="008C25CF" w14:paraId="5DEB5AF9" w14:textId="77777777" w:rsidTr="008C25CF">
        <w:trPr>
          <w:trHeight w:val="300"/>
        </w:trPr>
        <w:tc>
          <w:tcPr>
            <w:tcW w:w="1720" w:type="dxa"/>
            <w:noWrap/>
            <w:hideMark/>
          </w:tcPr>
          <w:p w14:paraId="6087549D"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grade 3</w:t>
            </w:r>
          </w:p>
        </w:tc>
        <w:tc>
          <w:tcPr>
            <w:tcW w:w="1107" w:type="dxa"/>
            <w:noWrap/>
            <w:hideMark/>
          </w:tcPr>
          <w:p w14:paraId="42C5F01D"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0.59</w:t>
            </w:r>
          </w:p>
        </w:tc>
        <w:tc>
          <w:tcPr>
            <w:tcW w:w="957" w:type="dxa"/>
            <w:noWrap/>
            <w:hideMark/>
          </w:tcPr>
          <w:p w14:paraId="3E9963A6"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0.56</w:t>
            </w:r>
          </w:p>
        </w:tc>
        <w:tc>
          <w:tcPr>
            <w:tcW w:w="776" w:type="dxa"/>
            <w:noWrap/>
            <w:hideMark/>
          </w:tcPr>
          <w:p w14:paraId="1D90AC5A"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0.001</w:t>
            </w:r>
          </w:p>
        </w:tc>
        <w:tc>
          <w:tcPr>
            <w:tcW w:w="808" w:type="dxa"/>
          </w:tcPr>
          <w:p w14:paraId="5230B264"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0.054</w:t>
            </w:r>
          </w:p>
        </w:tc>
        <w:tc>
          <w:tcPr>
            <w:tcW w:w="1107" w:type="dxa"/>
            <w:noWrap/>
            <w:hideMark/>
          </w:tcPr>
          <w:p w14:paraId="31387AEC"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0.62</w:t>
            </w:r>
          </w:p>
        </w:tc>
        <w:tc>
          <w:tcPr>
            <w:tcW w:w="957" w:type="dxa"/>
            <w:noWrap/>
            <w:hideMark/>
          </w:tcPr>
          <w:p w14:paraId="5ED08C58"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0.57</w:t>
            </w:r>
          </w:p>
        </w:tc>
        <w:tc>
          <w:tcPr>
            <w:tcW w:w="785" w:type="dxa"/>
            <w:noWrap/>
            <w:hideMark/>
          </w:tcPr>
          <w:p w14:paraId="01A4F94B"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&lt;0.001</w:t>
            </w:r>
          </w:p>
        </w:tc>
        <w:tc>
          <w:tcPr>
            <w:tcW w:w="799" w:type="dxa"/>
          </w:tcPr>
          <w:p w14:paraId="30FC663F"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0.09</w:t>
            </w:r>
          </w:p>
        </w:tc>
      </w:tr>
      <w:tr w:rsidR="008C25CF" w:rsidRPr="008C25CF" w14:paraId="37F45363" w14:textId="77777777" w:rsidTr="008C25CF">
        <w:trPr>
          <w:trHeight w:val="300"/>
        </w:trPr>
        <w:tc>
          <w:tcPr>
            <w:tcW w:w="1720" w:type="dxa"/>
            <w:noWrap/>
            <w:hideMark/>
          </w:tcPr>
          <w:p w14:paraId="290DF0DE"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ER +</w:t>
            </w:r>
          </w:p>
        </w:tc>
        <w:tc>
          <w:tcPr>
            <w:tcW w:w="1107" w:type="dxa"/>
            <w:noWrap/>
            <w:hideMark/>
          </w:tcPr>
          <w:p w14:paraId="16DE2DBF"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0.73</w:t>
            </w:r>
          </w:p>
        </w:tc>
        <w:tc>
          <w:tcPr>
            <w:tcW w:w="957" w:type="dxa"/>
            <w:noWrap/>
            <w:hideMark/>
          </w:tcPr>
          <w:p w14:paraId="648DBB98"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0.72</w:t>
            </w:r>
          </w:p>
        </w:tc>
        <w:tc>
          <w:tcPr>
            <w:tcW w:w="776" w:type="dxa"/>
            <w:noWrap/>
            <w:hideMark/>
          </w:tcPr>
          <w:p w14:paraId="2C62B3CD"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0.171</w:t>
            </w:r>
          </w:p>
        </w:tc>
        <w:tc>
          <w:tcPr>
            <w:tcW w:w="808" w:type="dxa"/>
          </w:tcPr>
          <w:p w14:paraId="6198836E"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0.023</w:t>
            </w:r>
          </w:p>
        </w:tc>
        <w:tc>
          <w:tcPr>
            <w:tcW w:w="1107" w:type="dxa"/>
            <w:noWrap/>
            <w:hideMark/>
          </w:tcPr>
          <w:p w14:paraId="32F70980"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0.74</w:t>
            </w:r>
          </w:p>
        </w:tc>
        <w:tc>
          <w:tcPr>
            <w:tcW w:w="957" w:type="dxa"/>
            <w:noWrap/>
            <w:hideMark/>
          </w:tcPr>
          <w:p w14:paraId="4A34349D"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0.76</w:t>
            </w:r>
          </w:p>
        </w:tc>
        <w:tc>
          <w:tcPr>
            <w:tcW w:w="785" w:type="dxa"/>
            <w:noWrap/>
            <w:hideMark/>
          </w:tcPr>
          <w:p w14:paraId="4FD33EF4"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0.002</w:t>
            </w:r>
          </w:p>
        </w:tc>
        <w:tc>
          <w:tcPr>
            <w:tcW w:w="799" w:type="dxa"/>
          </w:tcPr>
          <w:p w14:paraId="76230143"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-0.042</w:t>
            </w:r>
          </w:p>
        </w:tc>
      </w:tr>
      <w:tr w:rsidR="008C25CF" w:rsidRPr="008C25CF" w14:paraId="468915D0" w14:textId="77777777" w:rsidTr="008C25CF">
        <w:trPr>
          <w:trHeight w:val="300"/>
        </w:trPr>
        <w:tc>
          <w:tcPr>
            <w:tcW w:w="1720" w:type="dxa"/>
            <w:noWrap/>
            <w:hideMark/>
          </w:tcPr>
          <w:p w14:paraId="332FD41C"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log inpatient days</w:t>
            </w:r>
          </w:p>
        </w:tc>
        <w:tc>
          <w:tcPr>
            <w:tcW w:w="1107" w:type="dxa"/>
            <w:noWrap/>
            <w:hideMark/>
          </w:tcPr>
          <w:p w14:paraId="4CE8F32A"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0.26</w:t>
            </w:r>
          </w:p>
        </w:tc>
        <w:tc>
          <w:tcPr>
            <w:tcW w:w="957" w:type="dxa"/>
            <w:noWrap/>
            <w:hideMark/>
          </w:tcPr>
          <w:p w14:paraId="1FC5668E"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0.24</w:t>
            </w:r>
          </w:p>
        </w:tc>
        <w:tc>
          <w:tcPr>
            <w:tcW w:w="776" w:type="dxa"/>
            <w:noWrap/>
            <w:hideMark/>
          </w:tcPr>
          <w:p w14:paraId="72FC1652"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0.191</w:t>
            </w:r>
          </w:p>
        </w:tc>
        <w:tc>
          <w:tcPr>
            <w:tcW w:w="808" w:type="dxa"/>
          </w:tcPr>
          <w:p w14:paraId="4BF14598"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0.022</w:t>
            </w:r>
          </w:p>
        </w:tc>
        <w:tc>
          <w:tcPr>
            <w:tcW w:w="1107" w:type="dxa"/>
            <w:noWrap/>
            <w:hideMark/>
          </w:tcPr>
          <w:p w14:paraId="0207B12A"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0.36</w:t>
            </w:r>
          </w:p>
        </w:tc>
        <w:tc>
          <w:tcPr>
            <w:tcW w:w="957" w:type="dxa"/>
            <w:noWrap/>
            <w:hideMark/>
          </w:tcPr>
          <w:p w14:paraId="7C243CAB"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0.3</w:t>
            </w:r>
          </w:p>
        </w:tc>
        <w:tc>
          <w:tcPr>
            <w:tcW w:w="785" w:type="dxa"/>
            <w:noWrap/>
            <w:hideMark/>
          </w:tcPr>
          <w:p w14:paraId="153876F8"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&lt;0.001</w:t>
            </w:r>
          </w:p>
        </w:tc>
        <w:tc>
          <w:tcPr>
            <w:tcW w:w="799" w:type="dxa"/>
          </w:tcPr>
          <w:p w14:paraId="3238C277"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0.069</w:t>
            </w:r>
          </w:p>
        </w:tc>
      </w:tr>
      <w:tr w:rsidR="008C25CF" w:rsidRPr="008C25CF" w14:paraId="6304DEA4" w14:textId="77777777" w:rsidTr="008C25CF">
        <w:trPr>
          <w:trHeight w:val="300"/>
        </w:trPr>
        <w:tc>
          <w:tcPr>
            <w:tcW w:w="1720" w:type="dxa"/>
            <w:noWrap/>
            <w:hideMark/>
          </w:tcPr>
          <w:p w14:paraId="1416AA73"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log outpatient apts</w:t>
            </w:r>
          </w:p>
        </w:tc>
        <w:tc>
          <w:tcPr>
            <w:tcW w:w="1107" w:type="dxa"/>
            <w:noWrap/>
            <w:hideMark/>
          </w:tcPr>
          <w:p w14:paraId="4495C81B"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1.08</w:t>
            </w:r>
          </w:p>
        </w:tc>
        <w:tc>
          <w:tcPr>
            <w:tcW w:w="957" w:type="dxa"/>
            <w:noWrap/>
            <w:hideMark/>
          </w:tcPr>
          <w:p w14:paraId="412A94D7"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1.06</w:t>
            </w:r>
          </w:p>
        </w:tc>
        <w:tc>
          <w:tcPr>
            <w:tcW w:w="776" w:type="dxa"/>
            <w:noWrap/>
            <w:hideMark/>
          </w:tcPr>
          <w:p w14:paraId="199CDE90"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0.19</w:t>
            </w:r>
          </w:p>
        </w:tc>
        <w:tc>
          <w:tcPr>
            <w:tcW w:w="808" w:type="dxa"/>
          </w:tcPr>
          <w:p w14:paraId="321307B7"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0.022</w:t>
            </w:r>
          </w:p>
        </w:tc>
        <w:tc>
          <w:tcPr>
            <w:tcW w:w="1107" w:type="dxa"/>
            <w:noWrap/>
            <w:hideMark/>
          </w:tcPr>
          <w:p w14:paraId="1F1BC34F"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1.16</w:t>
            </w:r>
          </w:p>
        </w:tc>
        <w:tc>
          <w:tcPr>
            <w:tcW w:w="957" w:type="dxa"/>
            <w:noWrap/>
            <w:hideMark/>
          </w:tcPr>
          <w:p w14:paraId="072080A6"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1.09</w:t>
            </w:r>
          </w:p>
        </w:tc>
        <w:tc>
          <w:tcPr>
            <w:tcW w:w="785" w:type="dxa"/>
            <w:noWrap/>
            <w:hideMark/>
          </w:tcPr>
          <w:p w14:paraId="04F416B5"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&lt;0.001</w:t>
            </w:r>
          </w:p>
        </w:tc>
        <w:tc>
          <w:tcPr>
            <w:tcW w:w="799" w:type="dxa"/>
          </w:tcPr>
          <w:p w14:paraId="2317CC49"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0.072</w:t>
            </w:r>
          </w:p>
        </w:tc>
      </w:tr>
      <w:tr w:rsidR="008C25CF" w:rsidRPr="008C25CF" w14:paraId="28C14E00" w14:textId="77777777" w:rsidTr="008C25CF">
        <w:trPr>
          <w:trHeight w:val="300"/>
        </w:trPr>
        <w:tc>
          <w:tcPr>
            <w:tcW w:w="1720" w:type="dxa"/>
            <w:noWrap/>
            <w:hideMark/>
          </w:tcPr>
          <w:p w14:paraId="4CDE166A"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Charlson (0/1)</w:t>
            </w:r>
          </w:p>
        </w:tc>
        <w:tc>
          <w:tcPr>
            <w:tcW w:w="1107" w:type="dxa"/>
            <w:noWrap/>
            <w:hideMark/>
          </w:tcPr>
          <w:p w14:paraId="7F0EBC5E"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w:t>
            </w:r>
          </w:p>
        </w:tc>
        <w:tc>
          <w:tcPr>
            <w:tcW w:w="957" w:type="dxa"/>
            <w:noWrap/>
            <w:hideMark/>
          </w:tcPr>
          <w:p w14:paraId="735D5682"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w:t>
            </w:r>
          </w:p>
        </w:tc>
        <w:tc>
          <w:tcPr>
            <w:tcW w:w="776" w:type="dxa"/>
            <w:noWrap/>
            <w:hideMark/>
          </w:tcPr>
          <w:p w14:paraId="5ECCBCE0"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w:t>
            </w:r>
          </w:p>
        </w:tc>
        <w:tc>
          <w:tcPr>
            <w:tcW w:w="808" w:type="dxa"/>
          </w:tcPr>
          <w:p w14:paraId="6F76BCC2"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w:t>
            </w:r>
          </w:p>
        </w:tc>
        <w:tc>
          <w:tcPr>
            <w:tcW w:w="1107" w:type="dxa"/>
            <w:noWrap/>
            <w:hideMark/>
          </w:tcPr>
          <w:p w14:paraId="39344115"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0.05</w:t>
            </w:r>
          </w:p>
        </w:tc>
        <w:tc>
          <w:tcPr>
            <w:tcW w:w="957" w:type="dxa"/>
            <w:noWrap/>
            <w:hideMark/>
          </w:tcPr>
          <w:p w14:paraId="24B19DF8"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0.05</w:t>
            </w:r>
          </w:p>
        </w:tc>
        <w:tc>
          <w:tcPr>
            <w:tcW w:w="785" w:type="dxa"/>
            <w:noWrap/>
            <w:hideMark/>
          </w:tcPr>
          <w:p w14:paraId="4D05F6AE"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0.01</w:t>
            </w:r>
          </w:p>
        </w:tc>
        <w:tc>
          <w:tcPr>
            <w:tcW w:w="799" w:type="dxa"/>
          </w:tcPr>
          <w:p w14:paraId="78D544E7"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0.035</w:t>
            </w:r>
          </w:p>
        </w:tc>
      </w:tr>
      <w:tr w:rsidR="008C25CF" w:rsidRPr="008C25CF" w14:paraId="1AE21E96" w14:textId="77777777" w:rsidTr="008C25CF">
        <w:trPr>
          <w:trHeight w:val="300"/>
        </w:trPr>
        <w:tc>
          <w:tcPr>
            <w:tcW w:w="1720" w:type="dxa"/>
            <w:noWrap/>
            <w:hideMark/>
          </w:tcPr>
          <w:p w14:paraId="1ADA280D"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SIMD</w:t>
            </w:r>
          </w:p>
        </w:tc>
        <w:tc>
          <w:tcPr>
            <w:tcW w:w="1107" w:type="dxa"/>
            <w:noWrap/>
            <w:hideMark/>
          </w:tcPr>
          <w:p w14:paraId="3E3F2A3A"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3.07</w:t>
            </w:r>
          </w:p>
        </w:tc>
        <w:tc>
          <w:tcPr>
            <w:tcW w:w="957" w:type="dxa"/>
            <w:noWrap/>
            <w:hideMark/>
          </w:tcPr>
          <w:p w14:paraId="1843D30E"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3.03</w:t>
            </w:r>
          </w:p>
        </w:tc>
        <w:tc>
          <w:tcPr>
            <w:tcW w:w="776" w:type="dxa"/>
            <w:noWrap/>
            <w:hideMark/>
          </w:tcPr>
          <w:p w14:paraId="7D048DB5"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0.119</w:t>
            </w:r>
          </w:p>
        </w:tc>
        <w:tc>
          <w:tcPr>
            <w:tcW w:w="808" w:type="dxa"/>
          </w:tcPr>
          <w:p w14:paraId="32BD5FDA"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0.026</w:t>
            </w:r>
          </w:p>
        </w:tc>
        <w:tc>
          <w:tcPr>
            <w:tcW w:w="1107" w:type="dxa"/>
            <w:noWrap/>
            <w:hideMark/>
          </w:tcPr>
          <w:p w14:paraId="2612F4DB"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2.98</w:t>
            </w:r>
          </w:p>
        </w:tc>
        <w:tc>
          <w:tcPr>
            <w:tcW w:w="957" w:type="dxa"/>
            <w:noWrap/>
            <w:hideMark/>
          </w:tcPr>
          <w:p w14:paraId="4048340D"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3.06</w:t>
            </w:r>
          </w:p>
        </w:tc>
        <w:tc>
          <w:tcPr>
            <w:tcW w:w="785" w:type="dxa"/>
            <w:noWrap/>
            <w:hideMark/>
          </w:tcPr>
          <w:p w14:paraId="2D019CEF"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&lt;0.001</w:t>
            </w:r>
          </w:p>
        </w:tc>
        <w:tc>
          <w:tcPr>
            <w:tcW w:w="799" w:type="dxa"/>
          </w:tcPr>
          <w:p w14:paraId="31EE37DE"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-0.05</w:t>
            </w:r>
          </w:p>
        </w:tc>
      </w:tr>
      <w:tr w:rsidR="008C25CF" w:rsidRPr="008C25CF" w14:paraId="3A1D8ED1" w14:textId="77777777" w:rsidTr="008C25CF">
        <w:trPr>
          <w:trHeight w:val="300"/>
        </w:trPr>
        <w:tc>
          <w:tcPr>
            <w:tcW w:w="1720" w:type="dxa"/>
            <w:noWrap/>
            <w:hideMark/>
          </w:tcPr>
          <w:p w14:paraId="6FBC1949"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hormone therapy</w:t>
            </w:r>
          </w:p>
        </w:tc>
        <w:tc>
          <w:tcPr>
            <w:tcW w:w="1107" w:type="dxa"/>
            <w:noWrap/>
            <w:hideMark/>
          </w:tcPr>
          <w:p w14:paraId="1E22F996"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0.62</w:t>
            </w:r>
          </w:p>
        </w:tc>
        <w:tc>
          <w:tcPr>
            <w:tcW w:w="957" w:type="dxa"/>
            <w:noWrap/>
            <w:hideMark/>
          </w:tcPr>
          <w:p w14:paraId="3ECDB0E8"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0.63</w:t>
            </w:r>
          </w:p>
        </w:tc>
        <w:tc>
          <w:tcPr>
            <w:tcW w:w="776" w:type="dxa"/>
            <w:noWrap/>
            <w:hideMark/>
          </w:tcPr>
          <w:p w14:paraId="74087DB5"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0.414</w:t>
            </w:r>
          </w:p>
        </w:tc>
        <w:tc>
          <w:tcPr>
            <w:tcW w:w="808" w:type="dxa"/>
          </w:tcPr>
          <w:p w14:paraId="04CB8943"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-0.013</w:t>
            </w:r>
          </w:p>
        </w:tc>
        <w:tc>
          <w:tcPr>
            <w:tcW w:w="1107" w:type="dxa"/>
            <w:noWrap/>
            <w:hideMark/>
          </w:tcPr>
          <w:p w14:paraId="0F5D703D"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0.63</w:t>
            </w:r>
          </w:p>
        </w:tc>
        <w:tc>
          <w:tcPr>
            <w:tcW w:w="957" w:type="dxa"/>
            <w:noWrap/>
            <w:hideMark/>
          </w:tcPr>
          <w:p w14:paraId="0EA77DAC"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0.65</w:t>
            </w:r>
          </w:p>
        </w:tc>
        <w:tc>
          <w:tcPr>
            <w:tcW w:w="785" w:type="dxa"/>
            <w:noWrap/>
            <w:hideMark/>
          </w:tcPr>
          <w:p w14:paraId="4A8CFB16"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0.001</w:t>
            </w:r>
          </w:p>
        </w:tc>
        <w:tc>
          <w:tcPr>
            <w:tcW w:w="799" w:type="dxa"/>
          </w:tcPr>
          <w:p w14:paraId="1D895F66"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-0.043</w:t>
            </w:r>
          </w:p>
        </w:tc>
      </w:tr>
      <w:tr w:rsidR="008C25CF" w:rsidRPr="008C25CF" w14:paraId="60759EDE" w14:textId="77777777" w:rsidTr="008C25CF">
        <w:trPr>
          <w:trHeight w:val="300"/>
        </w:trPr>
        <w:tc>
          <w:tcPr>
            <w:tcW w:w="1720" w:type="dxa"/>
            <w:noWrap/>
            <w:hideMark/>
          </w:tcPr>
          <w:p w14:paraId="1AFCBBB3"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radiotherapy</w:t>
            </w:r>
          </w:p>
        </w:tc>
        <w:tc>
          <w:tcPr>
            <w:tcW w:w="1107" w:type="dxa"/>
            <w:noWrap/>
            <w:hideMark/>
          </w:tcPr>
          <w:p w14:paraId="6CB97859"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0.67</w:t>
            </w:r>
          </w:p>
        </w:tc>
        <w:tc>
          <w:tcPr>
            <w:tcW w:w="957" w:type="dxa"/>
            <w:noWrap/>
            <w:hideMark/>
          </w:tcPr>
          <w:p w14:paraId="224AE29F"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0.69</w:t>
            </w:r>
          </w:p>
        </w:tc>
        <w:tc>
          <w:tcPr>
            <w:tcW w:w="776" w:type="dxa"/>
            <w:noWrap/>
            <w:hideMark/>
          </w:tcPr>
          <w:p w14:paraId="2DE4C401"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0.001</w:t>
            </w:r>
          </w:p>
        </w:tc>
        <w:tc>
          <w:tcPr>
            <w:tcW w:w="808" w:type="dxa"/>
          </w:tcPr>
          <w:p w14:paraId="3C4036D3"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-0.057</w:t>
            </w:r>
          </w:p>
        </w:tc>
        <w:tc>
          <w:tcPr>
            <w:tcW w:w="1107" w:type="dxa"/>
            <w:noWrap/>
            <w:hideMark/>
          </w:tcPr>
          <w:p w14:paraId="06841C0A"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0.65</w:t>
            </w:r>
          </w:p>
        </w:tc>
        <w:tc>
          <w:tcPr>
            <w:tcW w:w="957" w:type="dxa"/>
            <w:noWrap/>
            <w:hideMark/>
          </w:tcPr>
          <w:p w14:paraId="153467E1"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0.7</w:t>
            </w:r>
          </w:p>
        </w:tc>
        <w:tc>
          <w:tcPr>
            <w:tcW w:w="785" w:type="dxa"/>
            <w:noWrap/>
            <w:hideMark/>
          </w:tcPr>
          <w:p w14:paraId="1681D7B7"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&lt;0.001</w:t>
            </w:r>
          </w:p>
        </w:tc>
        <w:tc>
          <w:tcPr>
            <w:tcW w:w="799" w:type="dxa"/>
          </w:tcPr>
          <w:p w14:paraId="0E3D4B12" w14:textId="77777777" w:rsidR="008C25CF" w:rsidRPr="008C25CF" w:rsidRDefault="008C25CF" w:rsidP="008C25CF">
            <w:pPr>
              <w:rPr>
                <w:rFonts w:ascii="Arial" w:hAnsi="Arial" w:cs="Arial"/>
                <w:sz w:val="18"/>
                <w:szCs w:val="18"/>
                <w:lang w:val="en-GB"/>
              </w:rPr>
            </w:pPr>
            <w:r w:rsidRPr="008C25CF">
              <w:rPr>
                <w:rFonts w:ascii="Arial" w:hAnsi="Arial" w:cs="Arial"/>
                <w:sz w:val="18"/>
                <w:szCs w:val="18"/>
                <w:lang w:val="en-GB"/>
              </w:rPr>
              <w:t>-0.117</w:t>
            </w:r>
          </w:p>
        </w:tc>
      </w:tr>
    </w:tbl>
    <w:p w14:paraId="699CB9F8" w14:textId="78753A20" w:rsidR="008C25CF" w:rsidRDefault="008C25CF">
      <w:pPr>
        <w:pStyle w:val="Body"/>
      </w:pPr>
      <w:r>
        <w:t xml:space="preserve">P NH m1 = m2: p-value for test of null hypothesis mean 1 = mean 2 </w:t>
      </w:r>
    </w:p>
    <w:p w14:paraId="14094F5D" w14:textId="15761C7A" w:rsidR="00E73C9D" w:rsidRDefault="008C25CF">
      <w:pPr>
        <w:pStyle w:val="Body"/>
      </w:pPr>
      <w:r>
        <w:t>SMD: Standardised mean difference</w:t>
      </w:r>
    </w:p>
    <w:p w14:paraId="44366DCA" w14:textId="5609B3C2" w:rsidR="00E73C9D" w:rsidRDefault="00C57731">
      <w:pPr>
        <w:pStyle w:val="Body"/>
        <w:rPr>
          <w:b/>
          <w:bCs/>
        </w:rPr>
      </w:pPr>
      <w:r>
        <w:rPr>
          <w:b/>
          <w:bCs/>
        </w:rPr>
        <w:t xml:space="preserve">Table </w:t>
      </w:r>
      <w:r w:rsidR="00B26A21">
        <w:rPr>
          <w:b/>
          <w:bCs/>
        </w:rPr>
        <w:t>3</w:t>
      </w:r>
      <w:r>
        <w:rPr>
          <w:b/>
          <w:bCs/>
        </w:rPr>
        <w:t>.2 Balance PSM V2 – 1:1 Nearest Neighbour no replacement</w:t>
      </w:r>
    </w:p>
    <w:tbl>
      <w:tblPr>
        <w:tblStyle w:val="TableGrid"/>
        <w:tblW w:w="0" w:type="auto"/>
        <w:tblLook w:val="04A0" w:firstRow="1" w:lastRow="0" w:firstColumn="1" w:lastColumn="0" w:noHBand="0" w:noVBand="1"/>
      </w:tblPr>
      <w:tblGrid>
        <w:gridCol w:w="1696"/>
        <w:gridCol w:w="1098"/>
        <w:gridCol w:w="943"/>
        <w:gridCol w:w="822"/>
        <w:gridCol w:w="832"/>
        <w:gridCol w:w="1098"/>
        <w:gridCol w:w="943"/>
        <w:gridCol w:w="822"/>
        <w:gridCol w:w="756"/>
      </w:tblGrid>
      <w:tr w:rsidR="008C25CF" w:rsidRPr="008C25CF" w14:paraId="47537967" w14:textId="77777777" w:rsidTr="008C25CF">
        <w:trPr>
          <w:trHeight w:val="300"/>
        </w:trPr>
        <w:tc>
          <w:tcPr>
            <w:tcW w:w="1696" w:type="dxa"/>
            <w:noWrap/>
          </w:tcPr>
          <w:p w14:paraId="5CBD43B6" w14:textId="77777777" w:rsidR="008C25CF" w:rsidRPr="008C25CF" w:rsidRDefault="008C25CF" w:rsidP="008C25CF">
            <w:pPr>
              <w:rPr>
                <w:rFonts w:ascii="Arial" w:hAnsi="Arial" w:cs="Arial"/>
                <w:sz w:val="18"/>
                <w:szCs w:val="18"/>
              </w:rPr>
            </w:pPr>
            <w:r w:rsidRPr="008C25CF">
              <w:rPr>
                <w:rFonts w:ascii="Arial" w:hAnsi="Arial" w:cs="Arial"/>
                <w:sz w:val="18"/>
                <w:szCs w:val="18"/>
              </w:rPr>
              <w:t>Variable</w:t>
            </w:r>
          </w:p>
        </w:tc>
        <w:tc>
          <w:tcPr>
            <w:tcW w:w="3695" w:type="dxa"/>
            <w:gridSpan w:val="4"/>
            <w:noWrap/>
          </w:tcPr>
          <w:p w14:paraId="63DB8C16" w14:textId="16E370D8" w:rsidR="008C25CF" w:rsidRPr="008C25CF" w:rsidRDefault="008C25CF" w:rsidP="008C25CF">
            <w:pPr>
              <w:rPr>
                <w:rFonts w:ascii="Arial" w:hAnsi="Arial" w:cs="Arial"/>
                <w:sz w:val="18"/>
                <w:szCs w:val="18"/>
              </w:rPr>
            </w:pPr>
            <w:r w:rsidRPr="008C25CF">
              <w:rPr>
                <w:rFonts w:ascii="Arial" w:hAnsi="Arial" w:cs="Arial"/>
                <w:sz w:val="18"/>
                <w:szCs w:val="18"/>
              </w:rPr>
              <w:t xml:space="preserve">Trial </w:t>
            </w:r>
            <w:r>
              <w:rPr>
                <w:rFonts w:ascii="Arial" w:hAnsi="Arial" w:cs="Arial"/>
                <w:sz w:val="18"/>
                <w:szCs w:val="18"/>
              </w:rPr>
              <w:t>Represented</w:t>
            </w:r>
          </w:p>
        </w:tc>
        <w:tc>
          <w:tcPr>
            <w:tcW w:w="3619" w:type="dxa"/>
            <w:gridSpan w:val="4"/>
            <w:noWrap/>
          </w:tcPr>
          <w:p w14:paraId="789A0234" w14:textId="77777777" w:rsidR="008C25CF" w:rsidRPr="008C25CF" w:rsidRDefault="008C25CF" w:rsidP="008C25CF">
            <w:pPr>
              <w:rPr>
                <w:rFonts w:ascii="Arial" w:hAnsi="Arial" w:cs="Arial"/>
                <w:sz w:val="18"/>
                <w:szCs w:val="18"/>
              </w:rPr>
            </w:pPr>
            <w:r w:rsidRPr="008C25CF">
              <w:rPr>
                <w:rFonts w:ascii="Arial" w:hAnsi="Arial" w:cs="Arial"/>
                <w:sz w:val="18"/>
                <w:szCs w:val="18"/>
              </w:rPr>
              <w:t>Full cohort</w:t>
            </w:r>
          </w:p>
        </w:tc>
      </w:tr>
      <w:tr w:rsidR="008C25CF" w:rsidRPr="008C25CF" w14:paraId="540C3932" w14:textId="77777777" w:rsidTr="008C25CF">
        <w:trPr>
          <w:trHeight w:val="300"/>
        </w:trPr>
        <w:tc>
          <w:tcPr>
            <w:tcW w:w="1696" w:type="dxa"/>
            <w:noWrap/>
            <w:hideMark/>
          </w:tcPr>
          <w:p w14:paraId="68654FA3" w14:textId="77777777" w:rsidR="008C25CF" w:rsidRPr="008C25CF" w:rsidRDefault="008C25CF" w:rsidP="008C25CF">
            <w:pPr>
              <w:rPr>
                <w:rFonts w:ascii="Arial" w:hAnsi="Arial" w:cs="Arial"/>
                <w:sz w:val="18"/>
                <w:szCs w:val="18"/>
              </w:rPr>
            </w:pPr>
          </w:p>
        </w:tc>
        <w:tc>
          <w:tcPr>
            <w:tcW w:w="1098" w:type="dxa"/>
            <w:noWrap/>
            <w:hideMark/>
          </w:tcPr>
          <w:p w14:paraId="11AD1DA6" w14:textId="77777777" w:rsidR="008C25CF" w:rsidRPr="008C25CF" w:rsidRDefault="008C25CF" w:rsidP="008C25CF">
            <w:pPr>
              <w:rPr>
                <w:rFonts w:ascii="Arial" w:hAnsi="Arial" w:cs="Arial"/>
                <w:sz w:val="18"/>
                <w:szCs w:val="18"/>
              </w:rPr>
            </w:pPr>
            <w:r w:rsidRPr="008C25CF">
              <w:rPr>
                <w:rFonts w:ascii="Arial" w:hAnsi="Arial" w:cs="Arial"/>
                <w:sz w:val="18"/>
                <w:szCs w:val="18"/>
              </w:rPr>
              <w:t>Mean untreated</w:t>
            </w:r>
          </w:p>
        </w:tc>
        <w:tc>
          <w:tcPr>
            <w:tcW w:w="943" w:type="dxa"/>
            <w:noWrap/>
            <w:hideMark/>
          </w:tcPr>
          <w:p w14:paraId="39571F54" w14:textId="77777777" w:rsidR="008C25CF" w:rsidRPr="008C25CF" w:rsidRDefault="008C25CF" w:rsidP="008C25CF">
            <w:pPr>
              <w:rPr>
                <w:rFonts w:ascii="Arial" w:hAnsi="Arial" w:cs="Arial"/>
                <w:sz w:val="18"/>
                <w:szCs w:val="18"/>
              </w:rPr>
            </w:pPr>
            <w:r w:rsidRPr="008C25CF">
              <w:rPr>
                <w:rFonts w:ascii="Arial" w:hAnsi="Arial" w:cs="Arial"/>
                <w:sz w:val="18"/>
                <w:szCs w:val="18"/>
              </w:rPr>
              <w:t>Mean treated</w:t>
            </w:r>
          </w:p>
        </w:tc>
        <w:tc>
          <w:tcPr>
            <w:tcW w:w="794" w:type="dxa"/>
            <w:noWrap/>
            <w:hideMark/>
          </w:tcPr>
          <w:p w14:paraId="5E59B1EE" w14:textId="77777777" w:rsidR="008C25CF" w:rsidRPr="008C25CF" w:rsidRDefault="008C25CF" w:rsidP="008C25CF">
            <w:pPr>
              <w:rPr>
                <w:rFonts w:ascii="Arial" w:hAnsi="Arial" w:cs="Arial"/>
                <w:sz w:val="18"/>
                <w:szCs w:val="18"/>
              </w:rPr>
            </w:pPr>
            <w:r w:rsidRPr="008C25CF">
              <w:rPr>
                <w:rFonts w:ascii="Arial" w:hAnsi="Arial" w:cs="Arial"/>
                <w:sz w:val="18"/>
                <w:szCs w:val="18"/>
              </w:rPr>
              <w:t>P NH: m1=m2</w:t>
            </w:r>
          </w:p>
        </w:tc>
        <w:tc>
          <w:tcPr>
            <w:tcW w:w="860" w:type="dxa"/>
          </w:tcPr>
          <w:p w14:paraId="320BDE30" w14:textId="77777777" w:rsidR="008C25CF" w:rsidRPr="008C25CF" w:rsidRDefault="008C25CF" w:rsidP="008C25CF">
            <w:pPr>
              <w:rPr>
                <w:rFonts w:ascii="Arial" w:hAnsi="Arial" w:cs="Arial"/>
                <w:sz w:val="18"/>
                <w:szCs w:val="18"/>
              </w:rPr>
            </w:pPr>
            <w:r w:rsidRPr="008C25CF">
              <w:rPr>
                <w:rFonts w:ascii="Arial" w:hAnsi="Arial" w:cs="Arial"/>
                <w:sz w:val="18"/>
                <w:szCs w:val="18"/>
              </w:rPr>
              <w:t>SMD</w:t>
            </w:r>
          </w:p>
        </w:tc>
        <w:tc>
          <w:tcPr>
            <w:tcW w:w="1098" w:type="dxa"/>
            <w:noWrap/>
            <w:hideMark/>
          </w:tcPr>
          <w:p w14:paraId="0C57B267" w14:textId="77777777" w:rsidR="008C25CF" w:rsidRPr="008C25CF" w:rsidRDefault="008C25CF" w:rsidP="008C25CF">
            <w:pPr>
              <w:rPr>
                <w:rFonts w:ascii="Arial" w:hAnsi="Arial" w:cs="Arial"/>
                <w:sz w:val="18"/>
                <w:szCs w:val="18"/>
              </w:rPr>
            </w:pPr>
            <w:r w:rsidRPr="008C25CF">
              <w:rPr>
                <w:rFonts w:ascii="Arial" w:hAnsi="Arial" w:cs="Arial"/>
                <w:sz w:val="18"/>
                <w:szCs w:val="18"/>
              </w:rPr>
              <w:t>Mean untreated</w:t>
            </w:r>
          </w:p>
        </w:tc>
        <w:tc>
          <w:tcPr>
            <w:tcW w:w="943" w:type="dxa"/>
            <w:noWrap/>
            <w:hideMark/>
          </w:tcPr>
          <w:p w14:paraId="1B63E087" w14:textId="77777777" w:rsidR="008C25CF" w:rsidRPr="008C25CF" w:rsidRDefault="008C25CF" w:rsidP="008C25CF">
            <w:pPr>
              <w:rPr>
                <w:rFonts w:ascii="Arial" w:hAnsi="Arial" w:cs="Arial"/>
                <w:sz w:val="18"/>
                <w:szCs w:val="18"/>
              </w:rPr>
            </w:pPr>
            <w:r w:rsidRPr="008C25CF">
              <w:rPr>
                <w:rFonts w:ascii="Arial" w:hAnsi="Arial" w:cs="Arial"/>
                <w:sz w:val="18"/>
                <w:szCs w:val="18"/>
              </w:rPr>
              <w:t>Mean treated</w:t>
            </w:r>
          </w:p>
        </w:tc>
        <w:tc>
          <w:tcPr>
            <w:tcW w:w="821" w:type="dxa"/>
            <w:noWrap/>
            <w:hideMark/>
          </w:tcPr>
          <w:p w14:paraId="61A95CFA" w14:textId="77777777" w:rsidR="008C25CF" w:rsidRPr="008C25CF" w:rsidRDefault="008C25CF" w:rsidP="008C25CF">
            <w:pPr>
              <w:rPr>
                <w:rFonts w:ascii="Arial" w:hAnsi="Arial" w:cs="Arial"/>
                <w:sz w:val="18"/>
                <w:szCs w:val="18"/>
              </w:rPr>
            </w:pPr>
            <w:r w:rsidRPr="008C25CF">
              <w:rPr>
                <w:rFonts w:ascii="Arial" w:hAnsi="Arial" w:cs="Arial"/>
                <w:sz w:val="18"/>
                <w:szCs w:val="18"/>
              </w:rPr>
              <w:t>P NH: m1=m2</w:t>
            </w:r>
          </w:p>
        </w:tc>
        <w:tc>
          <w:tcPr>
            <w:tcW w:w="757" w:type="dxa"/>
          </w:tcPr>
          <w:p w14:paraId="3960DD07" w14:textId="77777777" w:rsidR="008C25CF" w:rsidRPr="008C25CF" w:rsidRDefault="008C25CF" w:rsidP="008C25CF">
            <w:pPr>
              <w:rPr>
                <w:rFonts w:ascii="Arial" w:hAnsi="Arial" w:cs="Arial"/>
                <w:sz w:val="18"/>
                <w:szCs w:val="18"/>
              </w:rPr>
            </w:pPr>
            <w:r w:rsidRPr="008C25CF">
              <w:rPr>
                <w:rFonts w:ascii="Arial" w:hAnsi="Arial" w:cs="Arial"/>
                <w:sz w:val="18"/>
                <w:szCs w:val="18"/>
              </w:rPr>
              <w:t>SMD</w:t>
            </w:r>
          </w:p>
        </w:tc>
      </w:tr>
      <w:tr w:rsidR="008C25CF" w:rsidRPr="008C25CF" w14:paraId="1459B5BB" w14:textId="77777777" w:rsidTr="008C25CF">
        <w:trPr>
          <w:trHeight w:val="300"/>
        </w:trPr>
        <w:tc>
          <w:tcPr>
            <w:tcW w:w="1696" w:type="dxa"/>
            <w:noWrap/>
            <w:hideMark/>
          </w:tcPr>
          <w:p w14:paraId="73FB2354" w14:textId="77777777" w:rsidR="008C25CF" w:rsidRPr="008C25CF" w:rsidRDefault="008C25CF" w:rsidP="008C25CF">
            <w:pPr>
              <w:rPr>
                <w:rFonts w:ascii="Arial" w:hAnsi="Arial" w:cs="Arial"/>
                <w:sz w:val="18"/>
                <w:szCs w:val="18"/>
              </w:rPr>
            </w:pPr>
            <w:r w:rsidRPr="008C25CF">
              <w:rPr>
                <w:rFonts w:ascii="Arial" w:hAnsi="Arial" w:cs="Arial"/>
                <w:sz w:val="18"/>
                <w:szCs w:val="18"/>
              </w:rPr>
              <w:t>Age</w:t>
            </w:r>
          </w:p>
        </w:tc>
        <w:tc>
          <w:tcPr>
            <w:tcW w:w="1098" w:type="dxa"/>
            <w:noWrap/>
            <w:hideMark/>
          </w:tcPr>
          <w:p w14:paraId="04874A80"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59.62</w:t>
            </w:r>
          </w:p>
        </w:tc>
        <w:tc>
          <w:tcPr>
            <w:tcW w:w="943" w:type="dxa"/>
            <w:noWrap/>
            <w:hideMark/>
          </w:tcPr>
          <w:p w14:paraId="5541C313"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60.09</w:t>
            </w:r>
          </w:p>
        </w:tc>
        <w:tc>
          <w:tcPr>
            <w:tcW w:w="794" w:type="dxa"/>
            <w:noWrap/>
            <w:hideMark/>
          </w:tcPr>
          <w:p w14:paraId="56E5A10B"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0.031</w:t>
            </w:r>
          </w:p>
        </w:tc>
        <w:tc>
          <w:tcPr>
            <w:tcW w:w="860" w:type="dxa"/>
          </w:tcPr>
          <w:p w14:paraId="4260077A"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-0.064</w:t>
            </w:r>
          </w:p>
        </w:tc>
        <w:tc>
          <w:tcPr>
            <w:tcW w:w="1098" w:type="dxa"/>
            <w:noWrap/>
            <w:hideMark/>
          </w:tcPr>
          <w:p w14:paraId="790B9D0C"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59.05</w:t>
            </w:r>
          </w:p>
        </w:tc>
        <w:tc>
          <w:tcPr>
            <w:tcW w:w="943" w:type="dxa"/>
            <w:noWrap/>
            <w:hideMark/>
          </w:tcPr>
          <w:p w14:paraId="4D94CB5F"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55.91</w:t>
            </w:r>
          </w:p>
        </w:tc>
        <w:tc>
          <w:tcPr>
            <w:tcW w:w="821" w:type="dxa"/>
            <w:noWrap/>
            <w:hideMark/>
          </w:tcPr>
          <w:p w14:paraId="604AD8A5"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&lt;0.001</w:t>
            </w:r>
          </w:p>
        </w:tc>
        <w:tc>
          <w:tcPr>
            <w:tcW w:w="757" w:type="dxa"/>
          </w:tcPr>
          <w:p w14:paraId="326629AE"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0.308</w:t>
            </w:r>
          </w:p>
        </w:tc>
      </w:tr>
      <w:tr w:rsidR="008C25CF" w:rsidRPr="008C25CF" w14:paraId="18C35CDA" w14:textId="77777777" w:rsidTr="008C25CF">
        <w:trPr>
          <w:trHeight w:val="300"/>
        </w:trPr>
        <w:tc>
          <w:tcPr>
            <w:tcW w:w="1696" w:type="dxa"/>
            <w:noWrap/>
            <w:hideMark/>
          </w:tcPr>
          <w:p w14:paraId="509D7F47" w14:textId="77777777" w:rsidR="008C25CF" w:rsidRPr="008C25CF" w:rsidRDefault="008C25CF" w:rsidP="008C25CF">
            <w:pPr>
              <w:rPr>
                <w:rFonts w:ascii="Arial" w:hAnsi="Arial" w:cs="Arial"/>
                <w:sz w:val="18"/>
                <w:szCs w:val="18"/>
              </w:rPr>
            </w:pPr>
            <w:r w:rsidRPr="008C25CF">
              <w:rPr>
                <w:rFonts w:ascii="Arial" w:hAnsi="Arial" w:cs="Arial"/>
                <w:sz w:val="18"/>
                <w:szCs w:val="18"/>
              </w:rPr>
              <w:lastRenderedPageBreak/>
              <w:t>PREDICT 10y mort.</w:t>
            </w:r>
          </w:p>
        </w:tc>
        <w:tc>
          <w:tcPr>
            <w:tcW w:w="1098" w:type="dxa"/>
            <w:noWrap/>
            <w:hideMark/>
          </w:tcPr>
          <w:p w14:paraId="4528B769"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0.31</w:t>
            </w:r>
          </w:p>
        </w:tc>
        <w:tc>
          <w:tcPr>
            <w:tcW w:w="943" w:type="dxa"/>
            <w:noWrap/>
            <w:hideMark/>
          </w:tcPr>
          <w:p w14:paraId="46111135"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0.31</w:t>
            </w:r>
          </w:p>
        </w:tc>
        <w:tc>
          <w:tcPr>
            <w:tcW w:w="794" w:type="dxa"/>
            <w:noWrap/>
            <w:hideMark/>
          </w:tcPr>
          <w:p w14:paraId="17CE04D5"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0.24</w:t>
            </w:r>
          </w:p>
        </w:tc>
        <w:tc>
          <w:tcPr>
            <w:tcW w:w="860" w:type="dxa"/>
          </w:tcPr>
          <w:p w14:paraId="559C2C67"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-0.035</w:t>
            </w:r>
          </w:p>
        </w:tc>
        <w:tc>
          <w:tcPr>
            <w:tcW w:w="1098" w:type="dxa"/>
            <w:noWrap/>
            <w:hideMark/>
          </w:tcPr>
          <w:p w14:paraId="63606121"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0.27</w:t>
            </w:r>
          </w:p>
        </w:tc>
        <w:tc>
          <w:tcPr>
            <w:tcW w:w="943" w:type="dxa"/>
            <w:noWrap/>
            <w:hideMark/>
          </w:tcPr>
          <w:p w14:paraId="037B168B"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0.36</w:t>
            </w:r>
          </w:p>
        </w:tc>
        <w:tc>
          <w:tcPr>
            <w:tcW w:w="821" w:type="dxa"/>
            <w:noWrap/>
            <w:hideMark/>
          </w:tcPr>
          <w:p w14:paraId="241C8706"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&lt;0.001</w:t>
            </w:r>
          </w:p>
        </w:tc>
        <w:tc>
          <w:tcPr>
            <w:tcW w:w="757" w:type="dxa"/>
          </w:tcPr>
          <w:p w14:paraId="7574B151"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-0.402</w:t>
            </w:r>
          </w:p>
        </w:tc>
      </w:tr>
      <w:tr w:rsidR="008C25CF" w:rsidRPr="008C25CF" w14:paraId="363552BA" w14:textId="77777777" w:rsidTr="008C25CF">
        <w:trPr>
          <w:trHeight w:val="300"/>
        </w:trPr>
        <w:tc>
          <w:tcPr>
            <w:tcW w:w="1696" w:type="dxa"/>
            <w:noWrap/>
            <w:hideMark/>
          </w:tcPr>
          <w:p w14:paraId="19CDC461" w14:textId="77777777" w:rsidR="008C25CF" w:rsidRPr="008C25CF" w:rsidRDefault="008C25CF" w:rsidP="008C25CF">
            <w:pPr>
              <w:rPr>
                <w:rFonts w:ascii="Arial" w:hAnsi="Arial" w:cs="Arial"/>
                <w:sz w:val="18"/>
                <w:szCs w:val="18"/>
              </w:rPr>
            </w:pPr>
            <w:r w:rsidRPr="008C25CF">
              <w:rPr>
                <w:rFonts w:ascii="Arial" w:hAnsi="Arial" w:cs="Arial"/>
                <w:sz w:val="18"/>
                <w:szCs w:val="18"/>
              </w:rPr>
              <w:t>Screen detected</w:t>
            </w:r>
          </w:p>
        </w:tc>
        <w:tc>
          <w:tcPr>
            <w:tcW w:w="1098" w:type="dxa"/>
            <w:noWrap/>
            <w:hideMark/>
          </w:tcPr>
          <w:p w14:paraId="05F38506"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0.45</w:t>
            </w:r>
          </w:p>
        </w:tc>
        <w:tc>
          <w:tcPr>
            <w:tcW w:w="943" w:type="dxa"/>
            <w:noWrap/>
            <w:hideMark/>
          </w:tcPr>
          <w:p w14:paraId="6A42EB1A"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0.46</w:t>
            </w:r>
          </w:p>
        </w:tc>
        <w:tc>
          <w:tcPr>
            <w:tcW w:w="794" w:type="dxa"/>
            <w:noWrap/>
            <w:hideMark/>
          </w:tcPr>
          <w:p w14:paraId="24423FEE"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0.534</w:t>
            </w:r>
          </w:p>
        </w:tc>
        <w:tc>
          <w:tcPr>
            <w:tcW w:w="860" w:type="dxa"/>
          </w:tcPr>
          <w:p w14:paraId="1C9B4E20"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-0.018</w:t>
            </w:r>
          </w:p>
        </w:tc>
        <w:tc>
          <w:tcPr>
            <w:tcW w:w="1098" w:type="dxa"/>
            <w:noWrap/>
            <w:hideMark/>
          </w:tcPr>
          <w:p w14:paraId="0D10F21A"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0.38</w:t>
            </w:r>
          </w:p>
        </w:tc>
        <w:tc>
          <w:tcPr>
            <w:tcW w:w="943" w:type="dxa"/>
            <w:noWrap/>
            <w:hideMark/>
          </w:tcPr>
          <w:p w14:paraId="5E248611"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0.28</w:t>
            </w:r>
          </w:p>
        </w:tc>
        <w:tc>
          <w:tcPr>
            <w:tcW w:w="821" w:type="dxa"/>
            <w:noWrap/>
            <w:hideMark/>
          </w:tcPr>
          <w:p w14:paraId="3A3823FA"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&lt;0.001</w:t>
            </w:r>
          </w:p>
        </w:tc>
        <w:tc>
          <w:tcPr>
            <w:tcW w:w="757" w:type="dxa"/>
          </w:tcPr>
          <w:p w14:paraId="16C8F395"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0.207</w:t>
            </w:r>
          </w:p>
        </w:tc>
      </w:tr>
      <w:tr w:rsidR="008C25CF" w:rsidRPr="008C25CF" w14:paraId="172DD437" w14:textId="77777777" w:rsidTr="008C25CF">
        <w:trPr>
          <w:trHeight w:val="300"/>
        </w:trPr>
        <w:tc>
          <w:tcPr>
            <w:tcW w:w="1696" w:type="dxa"/>
            <w:noWrap/>
            <w:hideMark/>
          </w:tcPr>
          <w:p w14:paraId="36B37ADE" w14:textId="77777777" w:rsidR="008C25CF" w:rsidRPr="008C25CF" w:rsidRDefault="008C25CF" w:rsidP="008C25CF">
            <w:pPr>
              <w:rPr>
                <w:rFonts w:ascii="Arial" w:hAnsi="Arial" w:cs="Arial"/>
                <w:sz w:val="18"/>
                <w:szCs w:val="18"/>
              </w:rPr>
            </w:pPr>
            <w:r w:rsidRPr="008C25CF">
              <w:rPr>
                <w:rFonts w:ascii="Arial" w:hAnsi="Arial" w:cs="Arial"/>
                <w:sz w:val="18"/>
                <w:szCs w:val="18"/>
              </w:rPr>
              <w:t>No. Positive nodes</w:t>
            </w:r>
          </w:p>
        </w:tc>
        <w:tc>
          <w:tcPr>
            <w:tcW w:w="1098" w:type="dxa"/>
            <w:noWrap/>
            <w:hideMark/>
          </w:tcPr>
          <w:p w14:paraId="1E7D7390"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1.66</w:t>
            </w:r>
          </w:p>
        </w:tc>
        <w:tc>
          <w:tcPr>
            <w:tcW w:w="943" w:type="dxa"/>
            <w:noWrap/>
            <w:hideMark/>
          </w:tcPr>
          <w:p w14:paraId="4DC717C7"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1.61</w:t>
            </w:r>
          </w:p>
        </w:tc>
        <w:tc>
          <w:tcPr>
            <w:tcW w:w="794" w:type="dxa"/>
            <w:noWrap/>
            <w:hideMark/>
          </w:tcPr>
          <w:p w14:paraId="69E81D89"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0.543</w:t>
            </w:r>
          </w:p>
        </w:tc>
        <w:tc>
          <w:tcPr>
            <w:tcW w:w="860" w:type="dxa"/>
          </w:tcPr>
          <w:p w14:paraId="08C1EE5C"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0.018</w:t>
            </w:r>
          </w:p>
        </w:tc>
        <w:tc>
          <w:tcPr>
            <w:tcW w:w="1098" w:type="dxa"/>
            <w:noWrap/>
            <w:hideMark/>
          </w:tcPr>
          <w:p w14:paraId="12E1EDE1"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0.89</w:t>
            </w:r>
          </w:p>
        </w:tc>
        <w:tc>
          <w:tcPr>
            <w:tcW w:w="943" w:type="dxa"/>
            <w:noWrap/>
            <w:hideMark/>
          </w:tcPr>
          <w:p w14:paraId="006F9BE5"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2.14</w:t>
            </w:r>
          </w:p>
        </w:tc>
        <w:tc>
          <w:tcPr>
            <w:tcW w:w="821" w:type="dxa"/>
            <w:noWrap/>
            <w:hideMark/>
          </w:tcPr>
          <w:p w14:paraId="54BC5AC9"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&lt;0.001</w:t>
            </w:r>
          </w:p>
        </w:tc>
        <w:tc>
          <w:tcPr>
            <w:tcW w:w="757" w:type="dxa"/>
          </w:tcPr>
          <w:p w14:paraId="58F3AC82"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-0.359</w:t>
            </w:r>
          </w:p>
        </w:tc>
      </w:tr>
      <w:tr w:rsidR="008C25CF" w:rsidRPr="008C25CF" w14:paraId="1368A7F1" w14:textId="77777777" w:rsidTr="008C25CF">
        <w:trPr>
          <w:trHeight w:val="300"/>
        </w:trPr>
        <w:tc>
          <w:tcPr>
            <w:tcW w:w="1696" w:type="dxa"/>
            <w:noWrap/>
            <w:hideMark/>
          </w:tcPr>
          <w:p w14:paraId="5433056A" w14:textId="77777777" w:rsidR="008C25CF" w:rsidRPr="008C25CF" w:rsidRDefault="008C25CF" w:rsidP="008C25CF">
            <w:pPr>
              <w:rPr>
                <w:rFonts w:ascii="Arial" w:hAnsi="Arial" w:cs="Arial"/>
                <w:sz w:val="18"/>
                <w:szCs w:val="18"/>
              </w:rPr>
            </w:pPr>
            <w:r w:rsidRPr="008C25CF">
              <w:rPr>
                <w:rFonts w:ascii="Arial" w:hAnsi="Arial" w:cs="Arial"/>
                <w:sz w:val="18"/>
                <w:szCs w:val="18"/>
              </w:rPr>
              <w:t>Tumour size</w:t>
            </w:r>
          </w:p>
        </w:tc>
        <w:tc>
          <w:tcPr>
            <w:tcW w:w="1098" w:type="dxa"/>
            <w:noWrap/>
            <w:hideMark/>
          </w:tcPr>
          <w:p w14:paraId="44639FA1"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21.85</w:t>
            </w:r>
          </w:p>
        </w:tc>
        <w:tc>
          <w:tcPr>
            <w:tcW w:w="943" w:type="dxa"/>
            <w:noWrap/>
            <w:hideMark/>
          </w:tcPr>
          <w:p w14:paraId="3CEFC173"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22.62</w:t>
            </w:r>
          </w:p>
        </w:tc>
        <w:tc>
          <w:tcPr>
            <w:tcW w:w="794" w:type="dxa"/>
            <w:noWrap/>
            <w:hideMark/>
          </w:tcPr>
          <w:p w14:paraId="54DD2A13"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0.042</w:t>
            </w:r>
          </w:p>
        </w:tc>
        <w:tc>
          <w:tcPr>
            <w:tcW w:w="860" w:type="dxa"/>
          </w:tcPr>
          <w:p w14:paraId="43A3F7D0"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-0.06</w:t>
            </w:r>
          </w:p>
        </w:tc>
        <w:tc>
          <w:tcPr>
            <w:tcW w:w="1098" w:type="dxa"/>
            <w:noWrap/>
            <w:hideMark/>
          </w:tcPr>
          <w:p w14:paraId="0466C966"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20.61</w:t>
            </w:r>
          </w:p>
        </w:tc>
        <w:tc>
          <w:tcPr>
            <w:tcW w:w="943" w:type="dxa"/>
            <w:noWrap/>
            <w:hideMark/>
          </w:tcPr>
          <w:p w14:paraId="7648F191"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25.14</w:t>
            </w:r>
          </w:p>
        </w:tc>
        <w:tc>
          <w:tcPr>
            <w:tcW w:w="821" w:type="dxa"/>
            <w:noWrap/>
            <w:hideMark/>
          </w:tcPr>
          <w:p w14:paraId="67684B9F"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&lt;0.001</w:t>
            </w:r>
          </w:p>
        </w:tc>
        <w:tc>
          <w:tcPr>
            <w:tcW w:w="757" w:type="dxa"/>
          </w:tcPr>
          <w:p w14:paraId="272A0E05"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-0.339</w:t>
            </w:r>
          </w:p>
        </w:tc>
      </w:tr>
      <w:tr w:rsidR="008C25CF" w:rsidRPr="008C25CF" w14:paraId="5607D67B" w14:textId="77777777" w:rsidTr="008C25CF">
        <w:trPr>
          <w:trHeight w:val="300"/>
        </w:trPr>
        <w:tc>
          <w:tcPr>
            <w:tcW w:w="1696" w:type="dxa"/>
            <w:noWrap/>
            <w:hideMark/>
          </w:tcPr>
          <w:p w14:paraId="30FF7F06" w14:textId="77777777" w:rsidR="008C25CF" w:rsidRPr="008C25CF" w:rsidRDefault="008C25CF" w:rsidP="008C25CF">
            <w:pPr>
              <w:rPr>
                <w:rFonts w:ascii="Arial" w:hAnsi="Arial" w:cs="Arial"/>
                <w:sz w:val="18"/>
                <w:szCs w:val="18"/>
              </w:rPr>
            </w:pPr>
            <w:r w:rsidRPr="008C25CF">
              <w:rPr>
                <w:rFonts w:ascii="Arial" w:hAnsi="Arial" w:cs="Arial"/>
                <w:sz w:val="18"/>
                <w:szCs w:val="18"/>
              </w:rPr>
              <w:t>grade 2</w:t>
            </w:r>
          </w:p>
        </w:tc>
        <w:tc>
          <w:tcPr>
            <w:tcW w:w="1098" w:type="dxa"/>
            <w:noWrap/>
            <w:hideMark/>
          </w:tcPr>
          <w:p w14:paraId="54B8E50A"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0.46</w:t>
            </w:r>
          </w:p>
        </w:tc>
        <w:tc>
          <w:tcPr>
            <w:tcW w:w="943" w:type="dxa"/>
            <w:noWrap/>
            <w:hideMark/>
          </w:tcPr>
          <w:p w14:paraId="5437A4FF"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0.5</w:t>
            </w:r>
          </w:p>
        </w:tc>
        <w:tc>
          <w:tcPr>
            <w:tcW w:w="794" w:type="dxa"/>
            <w:noWrap/>
            <w:hideMark/>
          </w:tcPr>
          <w:p w14:paraId="75C1A7D8"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0.025</w:t>
            </w:r>
          </w:p>
        </w:tc>
        <w:tc>
          <w:tcPr>
            <w:tcW w:w="860" w:type="dxa"/>
          </w:tcPr>
          <w:p w14:paraId="2151082D"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-0.066</w:t>
            </w:r>
          </w:p>
        </w:tc>
        <w:tc>
          <w:tcPr>
            <w:tcW w:w="1098" w:type="dxa"/>
            <w:noWrap/>
            <w:hideMark/>
          </w:tcPr>
          <w:p w14:paraId="3CB35FD1"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0.59</w:t>
            </w:r>
          </w:p>
        </w:tc>
        <w:tc>
          <w:tcPr>
            <w:tcW w:w="943" w:type="dxa"/>
            <w:noWrap/>
            <w:hideMark/>
          </w:tcPr>
          <w:p w14:paraId="486FBAFA"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0.39</w:t>
            </w:r>
          </w:p>
        </w:tc>
        <w:tc>
          <w:tcPr>
            <w:tcW w:w="821" w:type="dxa"/>
            <w:noWrap/>
            <w:hideMark/>
          </w:tcPr>
          <w:p w14:paraId="0164F1CD"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&lt;0.001</w:t>
            </w:r>
          </w:p>
        </w:tc>
        <w:tc>
          <w:tcPr>
            <w:tcW w:w="757" w:type="dxa"/>
          </w:tcPr>
          <w:p w14:paraId="189CE4F2"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0.401</w:t>
            </w:r>
          </w:p>
        </w:tc>
      </w:tr>
      <w:tr w:rsidR="008C25CF" w:rsidRPr="008C25CF" w14:paraId="407CA5CC" w14:textId="77777777" w:rsidTr="008C25CF">
        <w:trPr>
          <w:trHeight w:val="300"/>
        </w:trPr>
        <w:tc>
          <w:tcPr>
            <w:tcW w:w="1696" w:type="dxa"/>
            <w:noWrap/>
            <w:hideMark/>
          </w:tcPr>
          <w:p w14:paraId="05BC055D" w14:textId="77777777" w:rsidR="008C25CF" w:rsidRPr="008C25CF" w:rsidRDefault="008C25CF" w:rsidP="008C25CF">
            <w:pPr>
              <w:rPr>
                <w:rFonts w:ascii="Arial" w:hAnsi="Arial" w:cs="Arial"/>
                <w:sz w:val="18"/>
                <w:szCs w:val="18"/>
              </w:rPr>
            </w:pPr>
            <w:r w:rsidRPr="008C25CF">
              <w:rPr>
                <w:rFonts w:ascii="Arial" w:hAnsi="Arial" w:cs="Arial"/>
                <w:sz w:val="18"/>
                <w:szCs w:val="18"/>
              </w:rPr>
              <w:t>grade 3</w:t>
            </w:r>
          </w:p>
        </w:tc>
        <w:tc>
          <w:tcPr>
            <w:tcW w:w="1098" w:type="dxa"/>
            <w:noWrap/>
            <w:hideMark/>
          </w:tcPr>
          <w:p w14:paraId="19268652"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0.37</w:t>
            </w:r>
          </w:p>
        </w:tc>
        <w:tc>
          <w:tcPr>
            <w:tcW w:w="943" w:type="dxa"/>
            <w:noWrap/>
            <w:hideMark/>
          </w:tcPr>
          <w:p w14:paraId="75FBC0D7"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0.38</w:t>
            </w:r>
          </w:p>
        </w:tc>
        <w:tc>
          <w:tcPr>
            <w:tcW w:w="794" w:type="dxa"/>
            <w:noWrap/>
            <w:hideMark/>
          </w:tcPr>
          <w:p w14:paraId="5621FC21"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0.299</w:t>
            </w:r>
          </w:p>
        </w:tc>
        <w:tc>
          <w:tcPr>
            <w:tcW w:w="860" w:type="dxa"/>
          </w:tcPr>
          <w:p w14:paraId="70D259EC"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-0.031</w:t>
            </w:r>
          </w:p>
        </w:tc>
        <w:tc>
          <w:tcPr>
            <w:tcW w:w="1098" w:type="dxa"/>
            <w:noWrap/>
            <w:hideMark/>
          </w:tcPr>
          <w:p w14:paraId="50D0AE11"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0.33</w:t>
            </w:r>
          </w:p>
        </w:tc>
        <w:tc>
          <w:tcPr>
            <w:tcW w:w="943" w:type="dxa"/>
            <w:noWrap/>
            <w:hideMark/>
          </w:tcPr>
          <w:p w14:paraId="70B29B6A"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0.57</w:t>
            </w:r>
          </w:p>
        </w:tc>
        <w:tc>
          <w:tcPr>
            <w:tcW w:w="821" w:type="dxa"/>
            <w:noWrap/>
            <w:hideMark/>
          </w:tcPr>
          <w:p w14:paraId="0F01182A"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&lt;0.001</w:t>
            </w:r>
          </w:p>
        </w:tc>
        <w:tc>
          <w:tcPr>
            <w:tcW w:w="757" w:type="dxa"/>
          </w:tcPr>
          <w:p w14:paraId="3808B10A"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-0.476</w:t>
            </w:r>
          </w:p>
        </w:tc>
      </w:tr>
      <w:tr w:rsidR="008C25CF" w:rsidRPr="008C25CF" w14:paraId="17D24C6A" w14:textId="77777777" w:rsidTr="008C25CF">
        <w:trPr>
          <w:trHeight w:val="300"/>
        </w:trPr>
        <w:tc>
          <w:tcPr>
            <w:tcW w:w="1696" w:type="dxa"/>
            <w:noWrap/>
            <w:hideMark/>
          </w:tcPr>
          <w:p w14:paraId="08F162CC" w14:textId="77777777" w:rsidR="008C25CF" w:rsidRPr="008C25CF" w:rsidRDefault="008C25CF" w:rsidP="008C25CF">
            <w:pPr>
              <w:rPr>
                <w:rFonts w:ascii="Arial" w:hAnsi="Arial" w:cs="Arial"/>
                <w:sz w:val="18"/>
                <w:szCs w:val="18"/>
              </w:rPr>
            </w:pPr>
            <w:r w:rsidRPr="008C25CF">
              <w:rPr>
                <w:rFonts w:ascii="Arial" w:hAnsi="Arial" w:cs="Arial"/>
                <w:sz w:val="18"/>
                <w:szCs w:val="18"/>
              </w:rPr>
              <w:t>ER +</w:t>
            </w:r>
          </w:p>
        </w:tc>
        <w:tc>
          <w:tcPr>
            <w:tcW w:w="1098" w:type="dxa"/>
            <w:noWrap/>
            <w:hideMark/>
          </w:tcPr>
          <w:p w14:paraId="2F67DDDD"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0.81</w:t>
            </w:r>
          </w:p>
        </w:tc>
        <w:tc>
          <w:tcPr>
            <w:tcW w:w="943" w:type="dxa"/>
            <w:noWrap/>
            <w:hideMark/>
          </w:tcPr>
          <w:p w14:paraId="3EB73224"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0.8</w:t>
            </w:r>
          </w:p>
        </w:tc>
        <w:tc>
          <w:tcPr>
            <w:tcW w:w="794" w:type="dxa"/>
            <w:noWrap/>
            <w:hideMark/>
          </w:tcPr>
          <w:p w14:paraId="150B542A"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0.207</w:t>
            </w:r>
          </w:p>
        </w:tc>
        <w:tc>
          <w:tcPr>
            <w:tcW w:w="860" w:type="dxa"/>
          </w:tcPr>
          <w:p w14:paraId="6EA894DD"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0.037</w:t>
            </w:r>
          </w:p>
        </w:tc>
        <w:tc>
          <w:tcPr>
            <w:tcW w:w="1098" w:type="dxa"/>
            <w:noWrap/>
            <w:hideMark/>
          </w:tcPr>
          <w:p w14:paraId="5463D8AC"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0.88</w:t>
            </w:r>
          </w:p>
        </w:tc>
        <w:tc>
          <w:tcPr>
            <w:tcW w:w="943" w:type="dxa"/>
            <w:noWrap/>
            <w:hideMark/>
          </w:tcPr>
          <w:p w14:paraId="157C1807"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0.76</w:t>
            </w:r>
          </w:p>
        </w:tc>
        <w:tc>
          <w:tcPr>
            <w:tcW w:w="821" w:type="dxa"/>
            <w:noWrap/>
            <w:hideMark/>
          </w:tcPr>
          <w:p w14:paraId="54B27A57"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&lt;0.001</w:t>
            </w:r>
          </w:p>
        </w:tc>
        <w:tc>
          <w:tcPr>
            <w:tcW w:w="757" w:type="dxa"/>
          </w:tcPr>
          <w:p w14:paraId="5E0C457A"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0.325</w:t>
            </w:r>
          </w:p>
        </w:tc>
      </w:tr>
      <w:tr w:rsidR="008C25CF" w:rsidRPr="008C25CF" w14:paraId="19463C62" w14:textId="77777777" w:rsidTr="008C25CF">
        <w:trPr>
          <w:trHeight w:val="300"/>
        </w:trPr>
        <w:tc>
          <w:tcPr>
            <w:tcW w:w="1696" w:type="dxa"/>
            <w:noWrap/>
            <w:hideMark/>
          </w:tcPr>
          <w:p w14:paraId="79CA31FB" w14:textId="77777777" w:rsidR="008C25CF" w:rsidRPr="008C25CF" w:rsidRDefault="008C25CF" w:rsidP="008C25CF">
            <w:pPr>
              <w:rPr>
                <w:rFonts w:ascii="Arial" w:hAnsi="Arial" w:cs="Arial"/>
                <w:sz w:val="18"/>
                <w:szCs w:val="18"/>
              </w:rPr>
            </w:pPr>
            <w:r w:rsidRPr="008C25CF">
              <w:rPr>
                <w:rFonts w:ascii="Arial" w:hAnsi="Arial" w:cs="Arial"/>
                <w:sz w:val="18"/>
                <w:szCs w:val="18"/>
              </w:rPr>
              <w:t>log inpatient days</w:t>
            </w:r>
          </w:p>
        </w:tc>
        <w:tc>
          <w:tcPr>
            <w:tcW w:w="1098" w:type="dxa"/>
            <w:noWrap/>
            <w:hideMark/>
          </w:tcPr>
          <w:p w14:paraId="5CEC6238"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0.35</w:t>
            </w:r>
          </w:p>
        </w:tc>
        <w:tc>
          <w:tcPr>
            <w:tcW w:w="943" w:type="dxa"/>
            <w:noWrap/>
            <w:hideMark/>
          </w:tcPr>
          <w:p w14:paraId="7380D7E1"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0.35</w:t>
            </w:r>
          </w:p>
        </w:tc>
        <w:tc>
          <w:tcPr>
            <w:tcW w:w="794" w:type="dxa"/>
            <w:noWrap/>
            <w:hideMark/>
          </w:tcPr>
          <w:p w14:paraId="30E6D544"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0.806</w:t>
            </w:r>
          </w:p>
        </w:tc>
        <w:tc>
          <w:tcPr>
            <w:tcW w:w="860" w:type="dxa"/>
          </w:tcPr>
          <w:p w14:paraId="2290555E"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-0.007</w:t>
            </w:r>
          </w:p>
        </w:tc>
        <w:tc>
          <w:tcPr>
            <w:tcW w:w="1098" w:type="dxa"/>
            <w:noWrap/>
            <w:hideMark/>
          </w:tcPr>
          <w:p w14:paraId="1627AB74"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0.36</w:t>
            </w:r>
          </w:p>
        </w:tc>
        <w:tc>
          <w:tcPr>
            <w:tcW w:w="943" w:type="dxa"/>
            <w:noWrap/>
            <w:hideMark/>
          </w:tcPr>
          <w:p w14:paraId="0AE92C61"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w:t>
            </w:r>
          </w:p>
        </w:tc>
        <w:tc>
          <w:tcPr>
            <w:tcW w:w="821" w:type="dxa"/>
            <w:noWrap/>
            <w:hideMark/>
          </w:tcPr>
          <w:p w14:paraId="2E58314C"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&lt;0.001</w:t>
            </w:r>
          </w:p>
        </w:tc>
        <w:tc>
          <w:tcPr>
            <w:tcW w:w="757" w:type="dxa"/>
          </w:tcPr>
          <w:p w14:paraId="086802F6"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0.071</w:t>
            </w:r>
          </w:p>
        </w:tc>
      </w:tr>
      <w:tr w:rsidR="008C25CF" w:rsidRPr="008C25CF" w14:paraId="3921AB8D" w14:textId="77777777" w:rsidTr="008C25CF">
        <w:trPr>
          <w:trHeight w:val="300"/>
        </w:trPr>
        <w:tc>
          <w:tcPr>
            <w:tcW w:w="1696" w:type="dxa"/>
            <w:noWrap/>
            <w:hideMark/>
          </w:tcPr>
          <w:p w14:paraId="36874B1A" w14:textId="77777777" w:rsidR="008C25CF" w:rsidRPr="008C25CF" w:rsidRDefault="008C25CF" w:rsidP="008C25CF">
            <w:pPr>
              <w:rPr>
                <w:rFonts w:ascii="Arial" w:hAnsi="Arial" w:cs="Arial"/>
                <w:sz w:val="18"/>
                <w:szCs w:val="18"/>
              </w:rPr>
            </w:pPr>
            <w:r w:rsidRPr="008C25CF">
              <w:rPr>
                <w:rFonts w:ascii="Arial" w:hAnsi="Arial" w:cs="Arial"/>
                <w:sz w:val="18"/>
                <w:szCs w:val="18"/>
              </w:rPr>
              <w:t>log outpatient apts</w:t>
            </w:r>
          </w:p>
        </w:tc>
        <w:tc>
          <w:tcPr>
            <w:tcW w:w="1098" w:type="dxa"/>
            <w:noWrap/>
            <w:hideMark/>
          </w:tcPr>
          <w:p w14:paraId="7F58F391"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1.11</w:t>
            </w:r>
          </w:p>
        </w:tc>
        <w:tc>
          <w:tcPr>
            <w:tcW w:w="943" w:type="dxa"/>
            <w:noWrap/>
            <w:hideMark/>
          </w:tcPr>
          <w:p w14:paraId="1284FAB0"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1.12</w:t>
            </w:r>
          </w:p>
        </w:tc>
        <w:tc>
          <w:tcPr>
            <w:tcW w:w="794" w:type="dxa"/>
            <w:noWrap/>
            <w:hideMark/>
          </w:tcPr>
          <w:p w14:paraId="1291F2E7"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0.742</w:t>
            </w:r>
          </w:p>
        </w:tc>
        <w:tc>
          <w:tcPr>
            <w:tcW w:w="860" w:type="dxa"/>
          </w:tcPr>
          <w:p w14:paraId="04204DE8"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-0.01</w:t>
            </w:r>
          </w:p>
        </w:tc>
        <w:tc>
          <w:tcPr>
            <w:tcW w:w="1098" w:type="dxa"/>
            <w:noWrap/>
            <w:hideMark/>
          </w:tcPr>
          <w:p w14:paraId="6659636B"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1.1</w:t>
            </w:r>
          </w:p>
        </w:tc>
        <w:tc>
          <w:tcPr>
            <w:tcW w:w="943" w:type="dxa"/>
            <w:noWrap/>
            <w:hideMark/>
          </w:tcPr>
          <w:p w14:paraId="0E47EB2C"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1.09</w:t>
            </w:r>
          </w:p>
        </w:tc>
        <w:tc>
          <w:tcPr>
            <w:tcW w:w="821" w:type="dxa"/>
            <w:noWrap/>
            <w:hideMark/>
          </w:tcPr>
          <w:p w14:paraId="7815AEA7"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0.316</w:t>
            </w:r>
          </w:p>
        </w:tc>
        <w:tc>
          <w:tcPr>
            <w:tcW w:w="757" w:type="dxa"/>
          </w:tcPr>
          <w:p w14:paraId="72DA3B4B"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0.014</w:t>
            </w:r>
          </w:p>
        </w:tc>
      </w:tr>
      <w:tr w:rsidR="008C25CF" w:rsidRPr="008C25CF" w14:paraId="28DFCF68" w14:textId="77777777" w:rsidTr="008C25CF">
        <w:trPr>
          <w:trHeight w:val="300"/>
        </w:trPr>
        <w:tc>
          <w:tcPr>
            <w:tcW w:w="1696" w:type="dxa"/>
            <w:noWrap/>
            <w:hideMark/>
          </w:tcPr>
          <w:p w14:paraId="5BBF0B13" w14:textId="77777777" w:rsidR="008C25CF" w:rsidRPr="008C25CF" w:rsidRDefault="008C25CF" w:rsidP="008C25CF">
            <w:pPr>
              <w:rPr>
                <w:rFonts w:ascii="Arial" w:hAnsi="Arial" w:cs="Arial"/>
                <w:sz w:val="18"/>
                <w:szCs w:val="18"/>
              </w:rPr>
            </w:pPr>
            <w:r w:rsidRPr="008C25CF">
              <w:rPr>
                <w:rFonts w:ascii="Arial" w:hAnsi="Arial" w:cs="Arial"/>
                <w:sz w:val="18"/>
                <w:szCs w:val="18"/>
              </w:rPr>
              <w:t>Charlson (0/1)</w:t>
            </w:r>
          </w:p>
        </w:tc>
        <w:tc>
          <w:tcPr>
            <w:tcW w:w="1098" w:type="dxa"/>
            <w:noWrap/>
            <w:hideMark/>
          </w:tcPr>
          <w:p w14:paraId="4B18C359"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w:t>
            </w:r>
          </w:p>
        </w:tc>
        <w:tc>
          <w:tcPr>
            <w:tcW w:w="943" w:type="dxa"/>
            <w:noWrap/>
            <w:hideMark/>
          </w:tcPr>
          <w:p w14:paraId="100B194F"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w:t>
            </w:r>
          </w:p>
        </w:tc>
        <w:tc>
          <w:tcPr>
            <w:tcW w:w="794" w:type="dxa"/>
            <w:noWrap/>
            <w:hideMark/>
          </w:tcPr>
          <w:p w14:paraId="14D6955D"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w:t>
            </w:r>
          </w:p>
        </w:tc>
        <w:tc>
          <w:tcPr>
            <w:tcW w:w="860" w:type="dxa"/>
          </w:tcPr>
          <w:p w14:paraId="072CC3F7"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w:t>
            </w:r>
          </w:p>
        </w:tc>
        <w:tc>
          <w:tcPr>
            <w:tcW w:w="1098" w:type="dxa"/>
            <w:noWrap/>
            <w:hideMark/>
          </w:tcPr>
          <w:p w14:paraId="5B669087"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0.06</w:t>
            </w:r>
          </w:p>
        </w:tc>
        <w:tc>
          <w:tcPr>
            <w:tcW w:w="943" w:type="dxa"/>
            <w:noWrap/>
            <w:hideMark/>
          </w:tcPr>
          <w:p w14:paraId="08C374EC"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0.05</w:t>
            </w:r>
          </w:p>
        </w:tc>
        <w:tc>
          <w:tcPr>
            <w:tcW w:w="821" w:type="dxa"/>
            <w:noWrap/>
            <w:hideMark/>
          </w:tcPr>
          <w:p w14:paraId="4D692819"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0.001</w:t>
            </w:r>
          </w:p>
        </w:tc>
        <w:tc>
          <w:tcPr>
            <w:tcW w:w="757" w:type="dxa"/>
          </w:tcPr>
          <w:p w14:paraId="563420EC"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0.047</w:t>
            </w:r>
          </w:p>
        </w:tc>
      </w:tr>
      <w:tr w:rsidR="008C25CF" w:rsidRPr="008C25CF" w14:paraId="7893199D" w14:textId="77777777" w:rsidTr="008C25CF">
        <w:trPr>
          <w:trHeight w:val="300"/>
        </w:trPr>
        <w:tc>
          <w:tcPr>
            <w:tcW w:w="1696" w:type="dxa"/>
            <w:noWrap/>
            <w:hideMark/>
          </w:tcPr>
          <w:p w14:paraId="2D24A22C" w14:textId="77777777" w:rsidR="008C25CF" w:rsidRPr="008C25CF" w:rsidRDefault="008C25CF" w:rsidP="008C25CF">
            <w:pPr>
              <w:rPr>
                <w:rFonts w:ascii="Arial" w:hAnsi="Arial" w:cs="Arial"/>
                <w:sz w:val="18"/>
                <w:szCs w:val="18"/>
              </w:rPr>
            </w:pPr>
            <w:r w:rsidRPr="008C25CF">
              <w:rPr>
                <w:rFonts w:ascii="Arial" w:hAnsi="Arial" w:cs="Arial"/>
                <w:sz w:val="18"/>
                <w:szCs w:val="18"/>
              </w:rPr>
              <w:t>SIMD</w:t>
            </w:r>
          </w:p>
        </w:tc>
        <w:tc>
          <w:tcPr>
            <w:tcW w:w="1098" w:type="dxa"/>
            <w:noWrap/>
            <w:hideMark/>
          </w:tcPr>
          <w:p w14:paraId="716E4035"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3</w:t>
            </w:r>
          </w:p>
        </w:tc>
        <w:tc>
          <w:tcPr>
            <w:tcW w:w="943" w:type="dxa"/>
            <w:noWrap/>
            <w:hideMark/>
          </w:tcPr>
          <w:p w14:paraId="2DA2235F"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2.95</w:t>
            </w:r>
          </w:p>
        </w:tc>
        <w:tc>
          <w:tcPr>
            <w:tcW w:w="794" w:type="dxa"/>
            <w:noWrap/>
            <w:hideMark/>
          </w:tcPr>
          <w:p w14:paraId="4033BF90"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0.262</w:t>
            </w:r>
          </w:p>
        </w:tc>
        <w:tc>
          <w:tcPr>
            <w:tcW w:w="860" w:type="dxa"/>
          </w:tcPr>
          <w:p w14:paraId="1C48DF2A"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0.033</w:t>
            </w:r>
          </w:p>
        </w:tc>
        <w:tc>
          <w:tcPr>
            <w:tcW w:w="1098" w:type="dxa"/>
            <w:noWrap/>
            <w:hideMark/>
          </w:tcPr>
          <w:p w14:paraId="32A61EA8"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3.11</w:t>
            </w:r>
          </w:p>
        </w:tc>
        <w:tc>
          <w:tcPr>
            <w:tcW w:w="943" w:type="dxa"/>
            <w:noWrap/>
            <w:hideMark/>
          </w:tcPr>
          <w:p w14:paraId="29F2E90D"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3.06</w:t>
            </w:r>
          </w:p>
        </w:tc>
        <w:tc>
          <w:tcPr>
            <w:tcW w:w="821" w:type="dxa"/>
            <w:noWrap/>
            <w:hideMark/>
          </w:tcPr>
          <w:p w14:paraId="66E35F47"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0.002</w:t>
            </w:r>
          </w:p>
        </w:tc>
        <w:tc>
          <w:tcPr>
            <w:tcW w:w="757" w:type="dxa"/>
          </w:tcPr>
          <w:p w14:paraId="3BCB128A"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0.042</w:t>
            </w:r>
          </w:p>
        </w:tc>
      </w:tr>
      <w:tr w:rsidR="008C25CF" w:rsidRPr="008C25CF" w14:paraId="34527B98" w14:textId="77777777" w:rsidTr="008C25CF">
        <w:trPr>
          <w:trHeight w:val="300"/>
        </w:trPr>
        <w:tc>
          <w:tcPr>
            <w:tcW w:w="1696" w:type="dxa"/>
            <w:noWrap/>
            <w:hideMark/>
          </w:tcPr>
          <w:p w14:paraId="3E4A81F0" w14:textId="77777777" w:rsidR="008C25CF" w:rsidRPr="008C25CF" w:rsidRDefault="008C25CF" w:rsidP="008C25CF">
            <w:pPr>
              <w:rPr>
                <w:rFonts w:ascii="Arial" w:hAnsi="Arial" w:cs="Arial"/>
                <w:sz w:val="18"/>
                <w:szCs w:val="18"/>
              </w:rPr>
            </w:pPr>
            <w:r w:rsidRPr="008C25CF">
              <w:rPr>
                <w:rFonts w:ascii="Arial" w:hAnsi="Arial" w:cs="Arial"/>
                <w:sz w:val="18"/>
                <w:szCs w:val="18"/>
              </w:rPr>
              <w:t>hormone therapy</w:t>
            </w:r>
          </w:p>
        </w:tc>
        <w:tc>
          <w:tcPr>
            <w:tcW w:w="1098" w:type="dxa"/>
            <w:noWrap/>
            <w:hideMark/>
          </w:tcPr>
          <w:p w14:paraId="4B67AF3A"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0.75</w:t>
            </w:r>
          </w:p>
        </w:tc>
        <w:tc>
          <w:tcPr>
            <w:tcW w:w="943" w:type="dxa"/>
            <w:noWrap/>
            <w:hideMark/>
          </w:tcPr>
          <w:p w14:paraId="63BA1225"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0.72</w:t>
            </w:r>
          </w:p>
        </w:tc>
        <w:tc>
          <w:tcPr>
            <w:tcW w:w="794" w:type="dxa"/>
            <w:noWrap/>
            <w:hideMark/>
          </w:tcPr>
          <w:p w14:paraId="7456F99E"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0.053</w:t>
            </w:r>
          </w:p>
        </w:tc>
        <w:tc>
          <w:tcPr>
            <w:tcW w:w="860" w:type="dxa"/>
          </w:tcPr>
          <w:p w14:paraId="47B31CFB"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0.057</w:t>
            </w:r>
          </w:p>
        </w:tc>
        <w:tc>
          <w:tcPr>
            <w:tcW w:w="1098" w:type="dxa"/>
            <w:noWrap/>
            <w:hideMark/>
          </w:tcPr>
          <w:p w14:paraId="3D6BA951"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0.8</w:t>
            </w:r>
          </w:p>
        </w:tc>
        <w:tc>
          <w:tcPr>
            <w:tcW w:w="943" w:type="dxa"/>
            <w:noWrap/>
            <w:hideMark/>
          </w:tcPr>
          <w:p w14:paraId="664B63FC"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0.65</w:t>
            </w:r>
          </w:p>
        </w:tc>
        <w:tc>
          <w:tcPr>
            <w:tcW w:w="821" w:type="dxa"/>
            <w:noWrap/>
            <w:hideMark/>
          </w:tcPr>
          <w:p w14:paraId="7547B966"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&lt;0.001</w:t>
            </w:r>
          </w:p>
        </w:tc>
        <w:tc>
          <w:tcPr>
            <w:tcW w:w="757" w:type="dxa"/>
          </w:tcPr>
          <w:p w14:paraId="5BA06BC0"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0.33</w:t>
            </w:r>
          </w:p>
        </w:tc>
      </w:tr>
      <w:tr w:rsidR="008C25CF" w:rsidRPr="008C25CF" w14:paraId="1E90F3CE" w14:textId="77777777" w:rsidTr="008C25CF">
        <w:trPr>
          <w:trHeight w:val="300"/>
        </w:trPr>
        <w:tc>
          <w:tcPr>
            <w:tcW w:w="1696" w:type="dxa"/>
            <w:noWrap/>
            <w:hideMark/>
          </w:tcPr>
          <w:p w14:paraId="5B5C3DB3" w14:textId="77777777" w:rsidR="008C25CF" w:rsidRPr="008C25CF" w:rsidRDefault="008C25CF" w:rsidP="008C25CF">
            <w:pPr>
              <w:rPr>
                <w:rFonts w:ascii="Arial" w:hAnsi="Arial" w:cs="Arial"/>
                <w:sz w:val="18"/>
                <w:szCs w:val="18"/>
              </w:rPr>
            </w:pPr>
            <w:r w:rsidRPr="008C25CF">
              <w:rPr>
                <w:rFonts w:ascii="Arial" w:hAnsi="Arial" w:cs="Arial"/>
                <w:sz w:val="18"/>
                <w:szCs w:val="18"/>
              </w:rPr>
              <w:t>radiotherapy</w:t>
            </w:r>
          </w:p>
        </w:tc>
        <w:tc>
          <w:tcPr>
            <w:tcW w:w="1098" w:type="dxa"/>
            <w:noWrap/>
            <w:hideMark/>
          </w:tcPr>
          <w:p w14:paraId="7CB7E0CD"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0.67</w:t>
            </w:r>
          </w:p>
        </w:tc>
        <w:tc>
          <w:tcPr>
            <w:tcW w:w="943" w:type="dxa"/>
            <w:noWrap/>
            <w:hideMark/>
          </w:tcPr>
          <w:p w14:paraId="35382471"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0.62</w:t>
            </w:r>
          </w:p>
        </w:tc>
        <w:tc>
          <w:tcPr>
            <w:tcW w:w="794" w:type="dxa"/>
            <w:noWrap/>
            <w:hideMark/>
          </w:tcPr>
          <w:p w14:paraId="45DAC237"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&lt;0.001</w:t>
            </w:r>
          </w:p>
        </w:tc>
        <w:tc>
          <w:tcPr>
            <w:tcW w:w="860" w:type="dxa"/>
          </w:tcPr>
          <w:p w14:paraId="74599689"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0.105</w:t>
            </w:r>
          </w:p>
        </w:tc>
        <w:tc>
          <w:tcPr>
            <w:tcW w:w="1098" w:type="dxa"/>
            <w:noWrap/>
            <w:hideMark/>
          </w:tcPr>
          <w:p w14:paraId="2BF10ED1"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0.69</w:t>
            </w:r>
          </w:p>
        </w:tc>
        <w:tc>
          <w:tcPr>
            <w:tcW w:w="943" w:type="dxa"/>
            <w:noWrap/>
            <w:hideMark/>
          </w:tcPr>
          <w:p w14:paraId="59D223F1"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0.7</w:t>
            </w:r>
          </w:p>
        </w:tc>
        <w:tc>
          <w:tcPr>
            <w:tcW w:w="821" w:type="dxa"/>
            <w:noWrap/>
            <w:hideMark/>
          </w:tcPr>
          <w:p w14:paraId="6DB9C158"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0.006</w:t>
            </w:r>
          </w:p>
        </w:tc>
        <w:tc>
          <w:tcPr>
            <w:tcW w:w="757" w:type="dxa"/>
          </w:tcPr>
          <w:p w14:paraId="0A3B4349"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-0.037</w:t>
            </w:r>
          </w:p>
        </w:tc>
      </w:tr>
    </w:tbl>
    <w:p w14:paraId="095F2616" w14:textId="77777777" w:rsidR="00E73C9D" w:rsidRDefault="00E73C9D">
      <w:pPr>
        <w:pStyle w:val="Body"/>
      </w:pPr>
    </w:p>
    <w:p w14:paraId="2244D0FE" w14:textId="27861EEF" w:rsidR="00E73C9D" w:rsidRDefault="00C57731">
      <w:pPr>
        <w:pStyle w:val="Body"/>
      </w:pPr>
      <w:r>
        <w:rPr>
          <w:b/>
          <w:bCs/>
          <w:lang w:val="es-ES_tradnl"/>
        </w:rPr>
        <w:t xml:space="preserve">Table </w:t>
      </w:r>
      <w:r w:rsidR="00B26A21">
        <w:rPr>
          <w:b/>
          <w:bCs/>
          <w:lang w:val="es-ES_tradnl"/>
        </w:rPr>
        <w:t>3</w:t>
      </w:r>
      <w:r>
        <w:rPr>
          <w:b/>
          <w:bCs/>
          <w:lang w:val="es-ES_tradnl"/>
        </w:rPr>
        <w:t xml:space="preserve">.3 Balance PSM V3 </w:t>
      </w:r>
      <w:r>
        <w:rPr>
          <w:b/>
          <w:bCs/>
        </w:rPr>
        <w:t>– 1:1 Nearest Neighbour no replacement within calipers</w:t>
      </w:r>
    </w:p>
    <w:tbl>
      <w:tblPr>
        <w:tblStyle w:val="TableGrid"/>
        <w:tblW w:w="0" w:type="auto"/>
        <w:tblLook w:val="04A0" w:firstRow="1" w:lastRow="0" w:firstColumn="1" w:lastColumn="0" w:noHBand="0" w:noVBand="1"/>
      </w:tblPr>
      <w:tblGrid>
        <w:gridCol w:w="1696"/>
        <w:gridCol w:w="1099"/>
        <w:gridCol w:w="943"/>
        <w:gridCol w:w="821"/>
        <w:gridCol w:w="832"/>
        <w:gridCol w:w="1098"/>
        <w:gridCol w:w="943"/>
        <w:gridCol w:w="821"/>
        <w:gridCol w:w="757"/>
      </w:tblGrid>
      <w:tr w:rsidR="008C25CF" w:rsidRPr="008C25CF" w14:paraId="4D48C656" w14:textId="77777777" w:rsidTr="008C25CF">
        <w:trPr>
          <w:trHeight w:val="300"/>
        </w:trPr>
        <w:tc>
          <w:tcPr>
            <w:tcW w:w="1696" w:type="dxa"/>
            <w:noWrap/>
          </w:tcPr>
          <w:p w14:paraId="7CD9ADE5" w14:textId="77777777" w:rsidR="008C25CF" w:rsidRPr="008C25CF" w:rsidRDefault="008C25CF" w:rsidP="008C25CF">
            <w:pPr>
              <w:rPr>
                <w:rFonts w:ascii="Arial" w:hAnsi="Arial" w:cs="Arial"/>
                <w:sz w:val="18"/>
                <w:szCs w:val="18"/>
              </w:rPr>
            </w:pPr>
            <w:r w:rsidRPr="008C25CF">
              <w:rPr>
                <w:rFonts w:ascii="Arial" w:hAnsi="Arial" w:cs="Arial"/>
                <w:sz w:val="18"/>
                <w:szCs w:val="18"/>
              </w:rPr>
              <w:t>Variable</w:t>
            </w:r>
          </w:p>
        </w:tc>
        <w:tc>
          <w:tcPr>
            <w:tcW w:w="3698" w:type="dxa"/>
            <w:gridSpan w:val="4"/>
            <w:noWrap/>
          </w:tcPr>
          <w:p w14:paraId="45F1296B" w14:textId="28FD2C64" w:rsidR="008C25CF" w:rsidRPr="008C25CF" w:rsidRDefault="008C25CF" w:rsidP="008C25CF">
            <w:pPr>
              <w:rPr>
                <w:rFonts w:ascii="Arial" w:hAnsi="Arial" w:cs="Arial"/>
                <w:sz w:val="18"/>
                <w:szCs w:val="18"/>
              </w:rPr>
            </w:pPr>
            <w:r w:rsidRPr="008C25CF">
              <w:rPr>
                <w:rFonts w:ascii="Arial" w:hAnsi="Arial" w:cs="Arial"/>
                <w:sz w:val="18"/>
                <w:szCs w:val="18"/>
              </w:rPr>
              <w:t xml:space="preserve">Trial </w:t>
            </w:r>
            <w:r>
              <w:rPr>
                <w:rFonts w:ascii="Arial" w:hAnsi="Arial" w:cs="Arial"/>
                <w:sz w:val="18"/>
                <w:szCs w:val="18"/>
              </w:rPr>
              <w:t>Represented</w:t>
            </w:r>
          </w:p>
        </w:tc>
        <w:tc>
          <w:tcPr>
            <w:tcW w:w="3622" w:type="dxa"/>
            <w:gridSpan w:val="4"/>
            <w:noWrap/>
          </w:tcPr>
          <w:p w14:paraId="4FCED832" w14:textId="77777777" w:rsidR="008C25CF" w:rsidRPr="008C25CF" w:rsidRDefault="008C25CF" w:rsidP="008C25CF">
            <w:pPr>
              <w:rPr>
                <w:rFonts w:ascii="Arial" w:hAnsi="Arial" w:cs="Arial"/>
                <w:sz w:val="18"/>
                <w:szCs w:val="18"/>
              </w:rPr>
            </w:pPr>
            <w:r w:rsidRPr="008C25CF">
              <w:rPr>
                <w:rFonts w:ascii="Arial" w:hAnsi="Arial" w:cs="Arial"/>
                <w:sz w:val="18"/>
                <w:szCs w:val="18"/>
              </w:rPr>
              <w:t>Full cohort</w:t>
            </w:r>
          </w:p>
        </w:tc>
      </w:tr>
      <w:tr w:rsidR="008C25CF" w:rsidRPr="008C25CF" w14:paraId="23AF7433" w14:textId="77777777" w:rsidTr="008C25CF">
        <w:trPr>
          <w:trHeight w:val="300"/>
        </w:trPr>
        <w:tc>
          <w:tcPr>
            <w:tcW w:w="1696" w:type="dxa"/>
            <w:noWrap/>
            <w:hideMark/>
          </w:tcPr>
          <w:p w14:paraId="7BEDB8B7" w14:textId="77777777" w:rsidR="008C25CF" w:rsidRPr="008C25CF" w:rsidRDefault="008C25CF" w:rsidP="008C25CF">
            <w:pPr>
              <w:rPr>
                <w:rFonts w:ascii="Arial" w:hAnsi="Arial" w:cs="Arial"/>
                <w:sz w:val="18"/>
                <w:szCs w:val="18"/>
              </w:rPr>
            </w:pPr>
          </w:p>
        </w:tc>
        <w:tc>
          <w:tcPr>
            <w:tcW w:w="1099" w:type="dxa"/>
            <w:noWrap/>
            <w:hideMark/>
          </w:tcPr>
          <w:p w14:paraId="69D43EC3" w14:textId="77777777" w:rsidR="008C25CF" w:rsidRPr="008C25CF" w:rsidRDefault="008C25CF" w:rsidP="008C25CF">
            <w:pPr>
              <w:rPr>
                <w:rFonts w:ascii="Arial" w:hAnsi="Arial" w:cs="Arial"/>
                <w:sz w:val="18"/>
                <w:szCs w:val="18"/>
              </w:rPr>
            </w:pPr>
            <w:r w:rsidRPr="008C25CF">
              <w:rPr>
                <w:rFonts w:ascii="Arial" w:hAnsi="Arial" w:cs="Arial"/>
                <w:sz w:val="18"/>
                <w:szCs w:val="18"/>
              </w:rPr>
              <w:t>Mean untreated</w:t>
            </w:r>
          </w:p>
        </w:tc>
        <w:tc>
          <w:tcPr>
            <w:tcW w:w="944" w:type="dxa"/>
            <w:noWrap/>
            <w:hideMark/>
          </w:tcPr>
          <w:p w14:paraId="0E78A977" w14:textId="77777777" w:rsidR="008C25CF" w:rsidRPr="008C25CF" w:rsidRDefault="008C25CF" w:rsidP="008C25CF">
            <w:pPr>
              <w:rPr>
                <w:rFonts w:ascii="Arial" w:hAnsi="Arial" w:cs="Arial"/>
                <w:sz w:val="18"/>
                <w:szCs w:val="18"/>
              </w:rPr>
            </w:pPr>
            <w:r w:rsidRPr="008C25CF">
              <w:rPr>
                <w:rFonts w:ascii="Arial" w:hAnsi="Arial" w:cs="Arial"/>
                <w:sz w:val="18"/>
                <w:szCs w:val="18"/>
              </w:rPr>
              <w:t>Mean treated</w:t>
            </w:r>
          </w:p>
        </w:tc>
        <w:tc>
          <w:tcPr>
            <w:tcW w:w="792" w:type="dxa"/>
            <w:noWrap/>
            <w:hideMark/>
          </w:tcPr>
          <w:p w14:paraId="4609FFEA" w14:textId="77777777" w:rsidR="008C25CF" w:rsidRPr="008C25CF" w:rsidRDefault="008C25CF" w:rsidP="008C25CF">
            <w:pPr>
              <w:rPr>
                <w:rFonts w:ascii="Arial" w:hAnsi="Arial" w:cs="Arial"/>
                <w:sz w:val="18"/>
                <w:szCs w:val="18"/>
              </w:rPr>
            </w:pPr>
            <w:r w:rsidRPr="008C25CF">
              <w:rPr>
                <w:rFonts w:ascii="Arial" w:hAnsi="Arial" w:cs="Arial"/>
                <w:sz w:val="18"/>
                <w:szCs w:val="18"/>
              </w:rPr>
              <w:t>P NH: m1=m2</w:t>
            </w:r>
          </w:p>
        </w:tc>
        <w:tc>
          <w:tcPr>
            <w:tcW w:w="863" w:type="dxa"/>
          </w:tcPr>
          <w:p w14:paraId="08AB8B01" w14:textId="77777777" w:rsidR="008C25CF" w:rsidRPr="008C25CF" w:rsidRDefault="008C25CF" w:rsidP="008C25CF">
            <w:pPr>
              <w:rPr>
                <w:rFonts w:ascii="Arial" w:hAnsi="Arial" w:cs="Arial"/>
                <w:sz w:val="18"/>
                <w:szCs w:val="18"/>
              </w:rPr>
            </w:pPr>
            <w:r w:rsidRPr="008C25CF">
              <w:rPr>
                <w:rFonts w:ascii="Arial" w:hAnsi="Arial" w:cs="Arial"/>
                <w:sz w:val="18"/>
                <w:szCs w:val="18"/>
              </w:rPr>
              <w:t>SMD</w:t>
            </w:r>
          </w:p>
        </w:tc>
        <w:tc>
          <w:tcPr>
            <w:tcW w:w="1099" w:type="dxa"/>
            <w:noWrap/>
            <w:hideMark/>
          </w:tcPr>
          <w:p w14:paraId="3800546B" w14:textId="77777777" w:rsidR="008C25CF" w:rsidRPr="008C25CF" w:rsidRDefault="008C25CF" w:rsidP="008C25CF">
            <w:pPr>
              <w:rPr>
                <w:rFonts w:ascii="Arial" w:hAnsi="Arial" w:cs="Arial"/>
                <w:sz w:val="18"/>
                <w:szCs w:val="18"/>
              </w:rPr>
            </w:pPr>
            <w:r w:rsidRPr="008C25CF">
              <w:rPr>
                <w:rFonts w:ascii="Arial" w:hAnsi="Arial" w:cs="Arial"/>
                <w:sz w:val="18"/>
                <w:szCs w:val="18"/>
              </w:rPr>
              <w:t>Mean untreated</w:t>
            </w:r>
          </w:p>
        </w:tc>
        <w:tc>
          <w:tcPr>
            <w:tcW w:w="944" w:type="dxa"/>
            <w:noWrap/>
            <w:hideMark/>
          </w:tcPr>
          <w:p w14:paraId="7FB36967" w14:textId="77777777" w:rsidR="008C25CF" w:rsidRPr="008C25CF" w:rsidRDefault="008C25CF" w:rsidP="008C25CF">
            <w:pPr>
              <w:rPr>
                <w:rFonts w:ascii="Arial" w:hAnsi="Arial" w:cs="Arial"/>
                <w:sz w:val="18"/>
                <w:szCs w:val="18"/>
              </w:rPr>
            </w:pPr>
            <w:r w:rsidRPr="008C25CF">
              <w:rPr>
                <w:rFonts w:ascii="Arial" w:hAnsi="Arial" w:cs="Arial"/>
                <w:sz w:val="18"/>
                <w:szCs w:val="18"/>
              </w:rPr>
              <w:t>Mean treated</w:t>
            </w:r>
          </w:p>
        </w:tc>
        <w:tc>
          <w:tcPr>
            <w:tcW w:w="780" w:type="dxa"/>
            <w:noWrap/>
            <w:hideMark/>
          </w:tcPr>
          <w:p w14:paraId="20DFA123" w14:textId="77777777" w:rsidR="008C25CF" w:rsidRPr="008C25CF" w:rsidRDefault="008C25CF" w:rsidP="008C25CF">
            <w:pPr>
              <w:rPr>
                <w:rFonts w:ascii="Arial" w:hAnsi="Arial" w:cs="Arial"/>
                <w:sz w:val="18"/>
                <w:szCs w:val="18"/>
              </w:rPr>
            </w:pPr>
            <w:r w:rsidRPr="008C25CF">
              <w:rPr>
                <w:rFonts w:ascii="Arial" w:hAnsi="Arial" w:cs="Arial"/>
                <w:sz w:val="18"/>
                <w:szCs w:val="18"/>
              </w:rPr>
              <w:t>P NH: m1=m2</w:t>
            </w:r>
          </w:p>
        </w:tc>
        <w:tc>
          <w:tcPr>
            <w:tcW w:w="799" w:type="dxa"/>
          </w:tcPr>
          <w:p w14:paraId="3E3573FD" w14:textId="77777777" w:rsidR="008C25CF" w:rsidRPr="008C25CF" w:rsidRDefault="008C25CF" w:rsidP="008C25CF">
            <w:pPr>
              <w:rPr>
                <w:rFonts w:ascii="Arial" w:hAnsi="Arial" w:cs="Arial"/>
                <w:sz w:val="18"/>
                <w:szCs w:val="18"/>
              </w:rPr>
            </w:pPr>
            <w:r w:rsidRPr="008C25CF">
              <w:rPr>
                <w:rFonts w:ascii="Arial" w:hAnsi="Arial" w:cs="Arial"/>
                <w:sz w:val="18"/>
                <w:szCs w:val="18"/>
              </w:rPr>
              <w:t>SMD</w:t>
            </w:r>
          </w:p>
        </w:tc>
      </w:tr>
      <w:tr w:rsidR="008C25CF" w:rsidRPr="008C25CF" w14:paraId="2AF7CCBD" w14:textId="77777777" w:rsidTr="008C25CF">
        <w:trPr>
          <w:trHeight w:val="300"/>
        </w:trPr>
        <w:tc>
          <w:tcPr>
            <w:tcW w:w="1696" w:type="dxa"/>
            <w:noWrap/>
            <w:hideMark/>
          </w:tcPr>
          <w:p w14:paraId="1D09805A" w14:textId="77777777" w:rsidR="008C25CF" w:rsidRPr="008C25CF" w:rsidRDefault="008C25CF" w:rsidP="008C25CF">
            <w:pPr>
              <w:rPr>
                <w:rFonts w:ascii="Arial" w:hAnsi="Arial" w:cs="Arial"/>
                <w:sz w:val="18"/>
                <w:szCs w:val="18"/>
              </w:rPr>
            </w:pPr>
            <w:r w:rsidRPr="008C25CF">
              <w:rPr>
                <w:rFonts w:ascii="Arial" w:hAnsi="Arial" w:cs="Arial"/>
                <w:sz w:val="18"/>
                <w:szCs w:val="18"/>
              </w:rPr>
              <w:t>Age</w:t>
            </w:r>
          </w:p>
        </w:tc>
        <w:tc>
          <w:tcPr>
            <w:tcW w:w="1099" w:type="dxa"/>
            <w:noWrap/>
            <w:hideMark/>
          </w:tcPr>
          <w:p w14:paraId="108DBC8A"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58.97</w:t>
            </w:r>
          </w:p>
        </w:tc>
        <w:tc>
          <w:tcPr>
            <w:tcW w:w="944" w:type="dxa"/>
            <w:noWrap/>
            <w:hideMark/>
          </w:tcPr>
          <w:p w14:paraId="2886A452"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59.02</w:t>
            </w:r>
          </w:p>
        </w:tc>
        <w:tc>
          <w:tcPr>
            <w:tcW w:w="792" w:type="dxa"/>
            <w:noWrap/>
            <w:hideMark/>
          </w:tcPr>
          <w:p w14:paraId="505A9B61"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0.819</w:t>
            </w:r>
          </w:p>
        </w:tc>
        <w:tc>
          <w:tcPr>
            <w:tcW w:w="863" w:type="dxa"/>
          </w:tcPr>
          <w:p w14:paraId="3F07BDEB"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-0.007</w:t>
            </w:r>
          </w:p>
        </w:tc>
        <w:tc>
          <w:tcPr>
            <w:tcW w:w="1099" w:type="dxa"/>
            <w:noWrap/>
            <w:hideMark/>
          </w:tcPr>
          <w:p w14:paraId="270DA681"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59.03</w:t>
            </w:r>
          </w:p>
        </w:tc>
        <w:tc>
          <w:tcPr>
            <w:tcW w:w="944" w:type="dxa"/>
            <w:noWrap/>
            <w:hideMark/>
          </w:tcPr>
          <w:p w14:paraId="51B97D4D"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58.8</w:t>
            </w:r>
          </w:p>
        </w:tc>
        <w:tc>
          <w:tcPr>
            <w:tcW w:w="780" w:type="dxa"/>
            <w:noWrap/>
            <w:hideMark/>
          </w:tcPr>
          <w:p w14:paraId="5408D607"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0.294</w:t>
            </w:r>
          </w:p>
        </w:tc>
        <w:tc>
          <w:tcPr>
            <w:tcW w:w="799" w:type="dxa"/>
          </w:tcPr>
          <w:p w14:paraId="7207A953"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0.022</w:t>
            </w:r>
          </w:p>
        </w:tc>
      </w:tr>
      <w:tr w:rsidR="008C25CF" w:rsidRPr="008C25CF" w14:paraId="34608F5D" w14:textId="77777777" w:rsidTr="008C25CF">
        <w:trPr>
          <w:trHeight w:val="300"/>
        </w:trPr>
        <w:tc>
          <w:tcPr>
            <w:tcW w:w="1696" w:type="dxa"/>
            <w:noWrap/>
            <w:hideMark/>
          </w:tcPr>
          <w:p w14:paraId="7F764499" w14:textId="77777777" w:rsidR="008C25CF" w:rsidRPr="008C25CF" w:rsidRDefault="008C25CF" w:rsidP="008C25CF">
            <w:pPr>
              <w:rPr>
                <w:rFonts w:ascii="Arial" w:hAnsi="Arial" w:cs="Arial"/>
                <w:sz w:val="18"/>
                <w:szCs w:val="18"/>
              </w:rPr>
            </w:pPr>
            <w:r w:rsidRPr="008C25CF">
              <w:rPr>
                <w:rFonts w:ascii="Arial" w:hAnsi="Arial" w:cs="Arial"/>
                <w:sz w:val="18"/>
                <w:szCs w:val="18"/>
              </w:rPr>
              <w:t>PREDICT 10y mort.</w:t>
            </w:r>
          </w:p>
        </w:tc>
        <w:tc>
          <w:tcPr>
            <w:tcW w:w="1099" w:type="dxa"/>
            <w:noWrap/>
            <w:hideMark/>
          </w:tcPr>
          <w:p w14:paraId="7732AEE5"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0.32</w:t>
            </w:r>
          </w:p>
        </w:tc>
        <w:tc>
          <w:tcPr>
            <w:tcW w:w="944" w:type="dxa"/>
            <w:noWrap/>
            <w:hideMark/>
          </w:tcPr>
          <w:p w14:paraId="6E6C7735"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0.33</w:t>
            </w:r>
          </w:p>
        </w:tc>
        <w:tc>
          <w:tcPr>
            <w:tcW w:w="792" w:type="dxa"/>
            <w:noWrap/>
            <w:hideMark/>
          </w:tcPr>
          <w:p w14:paraId="52261B5F"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0.66</w:t>
            </w:r>
          </w:p>
        </w:tc>
        <w:tc>
          <w:tcPr>
            <w:tcW w:w="863" w:type="dxa"/>
          </w:tcPr>
          <w:p w14:paraId="1AF4F3BD"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-0.014</w:t>
            </w:r>
          </w:p>
        </w:tc>
        <w:tc>
          <w:tcPr>
            <w:tcW w:w="1099" w:type="dxa"/>
            <w:noWrap/>
            <w:hideMark/>
          </w:tcPr>
          <w:p w14:paraId="42376689"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0.33</w:t>
            </w:r>
          </w:p>
        </w:tc>
        <w:tc>
          <w:tcPr>
            <w:tcW w:w="944" w:type="dxa"/>
            <w:noWrap/>
            <w:hideMark/>
          </w:tcPr>
          <w:p w14:paraId="62657D8B"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0.32</w:t>
            </w:r>
          </w:p>
        </w:tc>
        <w:tc>
          <w:tcPr>
            <w:tcW w:w="780" w:type="dxa"/>
            <w:noWrap/>
            <w:hideMark/>
          </w:tcPr>
          <w:p w14:paraId="6A8E2D49"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0.011</w:t>
            </w:r>
          </w:p>
        </w:tc>
        <w:tc>
          <w:tcPr>
            <w:tcW w:w="799" w:type="dxa"/>
          </w:tcPr>
          <w:p w14:paraId="6B6C4A05"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0.053</w:t>
            </w:r>
          </w:p>
        </w:tc>
      </w:tr>
      <w:tr w:rsidR="008C25CF" w:rsidRPr="008C25CF" w14:paraId="14EDDE28" w14:textId="77777777" w:rsidTr="008C25CF">
        <w:trPr>
          <w:trHeight w:val="300"/>
        </w:trPr>
        <w:tc>
          <w:tcPr>
            <w:tcW w:w="1696" w:type="dxa"/>
            <w:noWrap/>
            <w:hideMark/>
          </w:tcPr>
          <w:p w14:paraId="7768ABD6" w14:textId="77777777" w:rsidR="008C25CF" w:rsidRPr="008C25CF" w:rsidRDefault="008C25CF" w:rsidP="008C25CF">
            <w:pPr>
              <w:rPr>
                <w:rFonts w:ascii="Arial" w:hAnsi="Arial" w:cs="Arial"/>
                <w:sz w:val="18"/>
                <w:szCs w:val="18"/>
              </w:rPr>
            </w:pPr>
            <w:r w:rsidRPr="008C25CF">
              <w:rPr>
                <w:rFonts w:ascii="Arial" w:hAnsi="Arial" w:cs="Arial"/>
                <w:sz w:val="18"/>
                <w:szCs w:val="18"/>
              </w:rPr>
              <w:t>Screen detected</w:t>
            </w:r>
          </w:p>
        </w:tc>
        <w:tc>
          <w:tcPr>
            <w:tcW w:w="1099" w:type="dxa"/>
            <w:noWrap/>
            <w:hideMark/>
          </w:tcPr>
          <w:p w14:paraId="059534C5"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0.42</w:t>
            </w:r>
          </w:p>
        </w:tc>
        <w:tc>
          <w:tcPr>
            <w:tcW w:w="944" w:type="dxa"/>
            <w:noWrap/>
            <w:hideMark/>
          </w:tcPr>
          <w:p w14:paraId="48161F24"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0.43</w:t>
            </w:r>
          </w:p>
        </w:tc>
        <w:tc>
          <w:tcPr>
            <w:tcW w:w="792" w:type="dxa"/>
            <w:noWrap/>
            <w:hideMark/>
          </w:tcPr>
          <w:p w14:paraId="13B57D0D"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0.452</w:t>
            </w:r>
          </w:p>
        </w:tc>
        <w:tc>
          <w:tcPr>
            <w:tcW w:w="863" w:type="dxa"/>
          </w:tcPr>
          <w:p w14:paraId="348B0E73"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-0.024</w:t>
            </w:r>
          </w:p>
        </w:tc>
        <w:tc>
          <w:tcPr>
            <w:tcW w:w="1099" w:type="dxa"/>
            <w:noWrap/>
            <w:hideMark/>
          </w:tcPr>
          <w:p w14:paraId="55B62A7E"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0.33</w:t>
            </w:r>
          </w:p>
        </w:tc>
        <w:tc>
          <w:tcPr>
            <w:tcW w:w="944" w:type="dxa"/>
            <w:noWrap/>
            <w:hideMark/>
          </w:tcPr>
          <w:p w14:paraId="48890003"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0.36</w:t>
            </w:r>
          </w:p>
        </w:tc>
        <w:tc>
          <w:tcPr>
            <w:tcW w:w="780" w:type="dxa"/>
            <w:noWrap/>
            <w:hideMark/>
          </w:tcPr>
          <w:p w14:paraId="4AD23D91"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0.002</w:t>
            </w:r>
          </w:p>
        </w:tc>
        <w:tc>
          <w:tcPr>
            <w:tcW w:w="799" w:type="dxa"/>
          </w:tcPr>
          <w:p w14:paraId="7E90D2A4"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-0.065</w:t>
            </w:r>
          </w:p>
        </w:tc>
      </w:tr>
      <w:tr w:rsidR="008C25CF" w:rsidRPr="008C25CF" w14:paraId="14BF40CB" w14:textId="77777777" w:rsidTr="008C25CF">
        <w:trPr>
          <w:trHeight w:val="300"/>
        </w:trPr>
        <w:tc>
          <w:tcPr>
            <w:tcW w:w="1696" w:type="dxa"/>
            <w:noWrap/>
            <w:hideMark/>
          </w:tcPr>
          <w:p w14:paraId="047072AF" w14:textId="77777777" w:rsidR="008C25CF" w:rsidRPr="008C25CF" w:rsidRDefault="008C25CF" w:rsidP="008C25CF">
            <w:pPr>
              <w:rPr>
                <w:rFonts w:ascii="Arial" w:hAnsi="Arial" w:cs="Arial"/>
                <w:sz w:val="18"/>
                <w:szCs w:val="18"/>
              </w:rPr>
            </w:pPr>
            <w:r w:rsidRPr="008C25CF">
              <w:rPr>
                <w:rFonts w:ascii="Arial" w:hAnsi="Arial" w:cs="Arial"/>
                <w:sz w:val="18"/>
                <w:szCs w:val="18"/>
              </w:rPr>
              <w:t>No. Positive nodes</w:t>
            </w:r>
          </w:p>
        </w:tc>
        <w:tc>
          <w:tcPr>
            <w:tcW w:w="1099" w:type="dxa"/>
            <w:noWrap/>
            <w:hideMark/>
          </w:tcPr>
          <w:p w14:paraId="68EC685B"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1.78</w:t>
            </w:r>
          </w:p>
        </w:tc>
        <w:tc>
          <w:tcPr>
            <w:tcW w:w="944" w:type="dxa"/>
            <w:noWrap/>
            <w:hideMark/>
          </w:tcPr>
          <w:p w14:paraId="506C6185"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1.86</w:t>
            </w:r>
          </w:p>
        </w:tc>
        <w:tc>
          <w:tcPr>
            <w:tcW w:w="792" w:type="dxa"/>
            <w:noWrap/>
            <w:hideMark/>
          </w:tcPr>
          <w:p w14:paraId="68E60BD2"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0.497</w:t>
            </w:r>
          </w:p>
        </w:tc>
        <w:tc>
          <w:tcPr>
            <w:tcW w:w="863" w:type="dxa"/>
          </w:tcPr>
          <w:p w14:paraId="5C6075B1"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-0.022</w:t>
            </w:r>
          </w:p>
        </w:tc>
        <w:tc>
          <w:tcPr>
            <w:tcW w:w="1099" w:type="dxa"/>
            <w:noWrap/>
            <w:hideMark/>
          </w:tcPr>
          <w:p w14:paraId="7B8FF18C"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1.45</w:t>
            </w:r>
          </w:p>
        </w:tc>
        <w:tc>
          <w:tcPr>
            <w:tcW w:w="944" w:type="dxa"/>
            <w:noWrap/>
            <w:hideMark/>
          </w:tcPr>
          <w:p w14:paraId="5C32776D"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1.37</w:t>
            </w:r>
          </w:p>
        </w:tc>
        <w:tc>
          <w:tcPr>
            <w:tcW w:w="780" w:type="dxa"/>
            <w:noWrap/>
            <w:hideMark/>
          </w:tcPr>
          <w:p w14:paraId="171C7C46"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0.247</w:t>
            </w:r>
          </w:p>
        </w:tc>
        <w:tc>
          <w:tcPr>
            <w:tcW w:w="799" w:type="dxa"/>
          </w:tcPr>
          <w:p w14:paraId="3AD83D95"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0.024</w:t>
            </w:r>
          </w:p>
        </w:tc>
      </w:tr>
      <w:tr w:rsidR="008C25CF" w:rsidRPr="008C25CF" w14:paraId="271A73AE" w14:textId="77777777" w:rsidTr="008C25CF">
        <w:trPr>
          <w:trHeight w:val="300"/>
        </w:trPr>
        <w:tc>
          <w:tcPr>
            <w:tcW w:w="1696" w:type="dxa"/>
            <w:noWrap/>
            <w:hideMark/>
          </w:tcPr>
          <w:p w14:paraId="0825600D" w14:textId="77777777" w:rsidR="008C25CF" w:rsidRPr="008C25CF" w:rsidRDefault="008C25CF" w:rsidP="008C25CF">
            <w:pPr>
              <w:rPr>
                <w:rFonts w:ascii="Arial" w:hAnsi="Arial" w:cs="Arial"/>
                <w:sz w:val="18"/>
                <w:szCs w:val="18"/>
              </w:rPr>
            </w:pPr>
            <w:r w:rsidRPr="008C25CF">
              <w:rPr>
                <w:rFonts w:ascii="Arial" w:hAnsi="Arial" w:cs="Arial"/>
                <w:sz w:val="18"/>
                <w:szCs w:val="18"/>
              </w:rPr>
              <w:t>Tumour size</w:t>
            </w:r>
          </w:p>
        </w:tc>
        <w:tc>
          <w:tcPr>
            <w:tcW w:w="1099" w:type="dxa"/>
            <w:noWrap/>
            <w:hideMark/>
          </w:tcPr>
          <w:p w14:paraId="1CE27DF5"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22.93</w:t>
            </w:r>
          </w:p>
        </w:tc>
        <w:tc>
          <w:tcPr>
            <w:tcW w:w="944" w:type="dxa"/>
            <w:noWrap/>
            <w:hideMark/>
          </w:tcPr>
          <w:p w14:paraId="3806F26D"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23.34</w:t>
            </w:r>
          </w:p>
        </w:tc>
        <w:tc>
          <w:tcPr>
            <w:tcW w:w="792" w:type="dxa"/>
            <w:noWrap/>
            <w:hideMark/>
          </w:tcPr>
          <w:p w14:paraId="7D8F11F1"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0.348</w:t>
            </w:r>
          </w:p>
        </w:tc>
        <w:tc>
          <w:tcPr>
            <w:tcW w:w="863" w:type="dxa"/>
          </w:tcPr>
          <w:p w14:paraId="74B03C4A"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-0.03</w:t>
            </w:r>
          </w:p>
        </w:tc>
        <w:tc>
          <w:tcPr>
            <w:tcW w:w="1099" w:type="dxa"/>
            <w:noWrap/>
            <w:hideMark/>
          </w:tcPr>
          <w:p w14:paraId="2805D8E6"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22.85</w:t>
            </w:r>
          </w:p>
        </w:tc>
        <w:tc>
          <w:tcPr>
            <w:tcW w:w="944" w:type="dxa"/>
            <w:noWrap/>
            <w:hideMark/>
          </w:tcPr>
          <w:p w14:paraId="035EA655"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23.2</w:t>
            </w:r>
          </w:p>
        </w:tc>
        <w:tc>
          <w:tcPr>
            <w:tcW w:w="780" w:type="dxa"/>
            <w:noWrap/>
            <w:hideMark/>
          </w:tcPr>
          <w:p w14:paraId="611FB5E3"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0.212</w:t>
            </w:r>
          </w:p>
        </w:tc>
        <w:tc>
          <w:tcPr>
            <w:tcW w:w="799" w:type="dxa"/>
          </w:tcPr>
          <w:p w14:paraId="1891A959"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-0.026</w:t>
            </w:r>
          </w:p>
        </w:tc>
      </w:tr>
      <w:tr w:rsidR="008C25CF" w:rsidRPr="008C25CF" w14:paraId="359AD424" w14:textId="77777777" w:rsidTr="008C25CF">
        <w:trPr>
          <w:trHeight w:val="300"/>
        </w:trPr>
        <w:tc>
          <w:tcPr>
            <w:tcW w:w="1696" w:type="dxa"/>
            <w:noWrap/>
            <w:hideMark/>
          </w:tcPr>
          <w:p w14:paraId="3CD4A477" w14:textId="77777777" w:rsidR="008C25CF" w:rsidRPr="008C25CF" w:rsidRDefault="008C25CF" w:rsidP="008C25CF">
            <w:pPr>
              <w:rPr>
                <w:rFonts w:ascii="Arial" w:hAnsi="Arial" w:cs="Arial"/>
                <w:sz w:val="18"/>
                <w:szCs w:val="18"/>
              </w:rPr>
            </w:pPr>
            <w:r w:rsidRPr="008C25CF">
              <w:rPr>
                <w:rFonts w:ascii="Arial" w:hAnsi="Arial" w:cs="Arial"/>
                <w:sz w:val="18"/>
                <w:szCs w:val="18"/>
              </w:rPr>
              <w:t>grade 2</w:t>
            </w:r>
          </w:p>
        </w:tc>
        <w:tc>
          <w:tcPr>
            <w:tcW w:w="1099" w:type="dxa"/>
            <w:noWrap/>
            <w:hideMark/>
          </w:tcPr>
          <w:p w14:paraId="44B6434B"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0.48</w:t>
            </w:r>
          </w:p>
        </w:tc>
        <w:tc>
          <w:tcPr>
            <w:tcW w:w="944" w:type="dxa"/>
            <w:noWrap/>
            <w:hideMark/>
          </w:tcPr>
          <w:p w14:paraId="1F407AD3"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0.45</w:t>
            </w:r>
          </w:p>
        </w:tc>
        <w:tc>
          <w:tcPr>
            <w:tcW w:w="792" w:type="dxa"/>
            <w:noWrap/>
            <w:hideMark/>
          </w:tcPr>
          <w:p w14:paraId="07B4BDAF"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0.112</w:t>
            </w:r>
          </w:p>
        </w:tc>
        <w:tc>
          <w:tcPr>
            <w:tcW w:w="863" w:type="dxa"/>
          </w:tcPr>
          <w:p w14:paraId="3BDD8B90"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0.051</w:t>
            </w:r>
          </w:p>
        </w:tc>
        <w:tc>
          <w:tcPr>
            <w:tcW w:w="1099" w:type="dxa"/>
            <w:noWrap/>
            <w:hideMark/>
          </w:tcPr>
          <w:p w14:paraId="3D3FD480"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0.44</w:t>
            </w:r>
          </w:p>
        </w:tc>
        <w:tc>
          <w:tcPr>
            <w:tcW w:w="944" w:type="dxa"/>
            <w:noWrap/>
            <w:hideMark/>
          </w:tcPr>
          <w:p w14:paraId="54C80D63"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0.46</w:t>
            </w:r>
          </w:p>
        </w:tc>
        <w:tc>
          <w:tcPr>
            <w:tcW w:w="780" w:type="dxa"/>
            <w:noWrap/>
            <w:hideMark/>
          </w:tcPr>
          <w:p w14:paraId="19B67578"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0.017</w:t>
            </w:r>
          </w:p>
        </w:tc>
        <w:tc>
          <w:tcPr>
            <w:tcW w:w="799" w:type="dxa"/>
          </w:tcPr>
          <w:p w14:paraId="07C542A8"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-0.05</w:t>
            </w:r>
          </w:p>
        </w:tc>
      </w:tr>
      <w:tr w:rsidR="008C25CF" w:rsidRPr="008C25CF" w14:paraId="7CC6B256" w14:textId="77777777" w:rsidTr="008C25CF">
        <w:trPr>
          <w:trHeight w:val="300"/>
        </w:trPr>
        <w:tc>
          <w:tcPr>
            <w:tcW w:w="1696" w:type="dxa"/>
            <w:noWrap/>
            <w:hideMark/>
          </w:tcPr>
          <w:p w14:paraId="0FC929E5" w14:textId="77777777" w:rsidR="008C25CF" w:rsidRPr="008C25CF" w:rsidRDefault="008C25CF" w:rsidP="008C25CF">
            <w:pPr>
              <w:rPr>
                <w:rFonts w:ascii="Arial" w:hAnsi="Arial" w:cs="Arial"/>
                <w:sz w:val="18"/>
                <w:szCs w:val="18"/>
              </w:rPr>
            </w:pPr>
            <w:r w:rsidRPr="008C25CF">
              <w:rPr>
                <w:rFonts w:ascii="Arial" w:hAnsi="Arial" w:cs="Arial"/>
                <w:sz w:val="18"/>
                <w:szCs w:val="18"/>
              </w:rPr>
              <w:t>grade 3</w:t>
            </w:r>
          </w:p>
        </w:tc>
        <w:tc>
          <w:tcPr>
            <w:tcW w:w="1099" w:type="dxa"/>
            <w:noWrap/>
            <w:hideMark/>
          </w:tcPr>
          <w:p w14:paraId="3358EE3D"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0.42</w:t>
            </w:r>
          </w:p>
        </w:tc>
        <w:tc>
          <w:tcPr>
            <w:tcW w:w="944" w:type="dxa"/>
            <w:noWrap/>
            <w:hideMark/>
          </w:tcPr>
          <w:p w14:paraId="75B86EE7"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0.42</w:t>
            </w:r>
          </w:p>
        </w:tc>
        <w:tc>
          <w:tcPr>
            <w:tcW w:w="792" w:type="dxa"/>
            <w:noWrap/>
            <w:hideMark/>
          </w:tcPr>
          <w:p w14:paraId="3F837E77"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0.896</w:t>
            </w:r>
          </w:p>
        </w:tc>
        <w:tc>
          <w:tcPr>
            <w:tcW w:w="863" w:type="dxa"/>
          </w:tcPr>
          <w:p w14:paraId="32978076"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0.004</w:t>
            </w:r>
          </w:p>
        </w:tc>
        <w:tc>
          <w:tcPr>
            <w:tcW w:w="1099" w:type="dxa"/>
            <w:noWrap/>
            <w:hideMark/>
          </w:tcPr>
          <w:p w14:paraId="7927F18D"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0.51</w:t>
            </w:r>
          </w:p>
        </w:tc>
        <w:tc>
          <w:tcPr>
            <w:tcW w:w="944" w:type="dxa"/>
            <w:noWrap/>
            <w:hideMark/>
          </w:tcPr>
          <w:p w14:paraId="0C6AA164"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0.48</w:t>
            </w:r>
          </w:p>
        </w:tc>
        <w:tc>
          <w:tcPr>
            <w:tcW w:w="780" w:type="dxa"/>
            <w:noWrap/>
            <w:hideMark/>
          </w:tcPr>
          <w:p w14:paraId="71BE33D8"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0.001</w:t>
            </w:r>
          </w:p>
        </w:tc>
        <w:tc>
          <w:tcPr>
            <w:tcW w:w="799" w:type="dxa"/>
          </w:tcPr>
          <w:p w14:paraId="28D7E05A"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0.071</w:t>
            </w:r>
          </w:p>
        </w:tc>
      </w:tr>
      <w:tr w:rsidR="008C25CF" w:rsidRPr="008C25CF" w14:paraId="50949E18" w14:textId="77777777" w:rsidTr="008C25CF">
        <w:trPr>
          <w:trHeight w:val="300"/>
        </w:trPr>
        <w:tc>
          <w:tcPr>
            <w:tcW w:w="1696" w:type="dxa"/>
            <w:noWrap/>
            <w:hideMark/>
          </w:tcPr>
          <w:p w14:paraId="6DB47EAE" w14:textId="77777777" w:rsidR="008C25CF" w:rsidRPr="008C25CF" w:rsidRDefault="008C25CF" w:rsidP="008C25CF">
            <w:pPr>
              <w:rPr>
                <w:rFonts w:ascii="Arial" w:hAnsi="Arial" w:cs="Arial"/>
                <w:sz w:val="18"/>
                <w:szCs w:val="18"/>
              </w:rPr>
            </w:pPr>
            <w:r w:rsidRPr="008C25CF">
              <w:rPr>
                <w:rFonts w:ascii="Arial" w:hAnsi="Arial" w:cs="Arial"/>
                <w:sz w:val="18"/>
                <w:szCs w:val="18"/>
              </w:rPr>
              <w:t>ER +</w:t>
            </w:r>
          </w:p>
        </w:tc>
        <w:tc>
          <w:tcPr>
            <w:tcW w:w="1099" w:type="dxa"/>
            <w:noWrap/>
            <w:hideMark/>
          </w:tcPr>
          <w:p w14:paraId="406CD9B7"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0.78</w:t>
            </w:r>
          </w:p>
        </w:tc>
        <w:tc>
          <w:tcPr>
            <w:tcW w:w="944" w:type="dxa"/>
            <w:noWrap/>
            <w:hideMark/>
          </w:tcPr>
          <w:p w14:paraId="2AE908BD"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0.79</w:t>
            </w:r>
          </w:p>
        </w:tc>
        <w:tc>
          <w:tcPr>
            <w:tcW w:w="792" w:type="dxa"/>
            <w:noWrap/>
            <w:hideMark/>
          </w:tcPr>
          <w:p w14:paraId="49010A89"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0.635</w:t>
            </w:r>
          </w:p>
        </w:tc>
        <w:tc>
          <w:tcPr>
            <w:tcW w:w="863" w:type="dxa"/>
          </w:tcPr>
          <w:p w14:paraId="47FDF55F"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-0.015</w:t>
            </w:r>
          </w:p>
        </w:tc>
        <w:tc>
          <w:tcPr>
            <w:tcW w:w="1099" w:type="dxa"/>
            <w:noWrap/>
            <w:hideMark/>
          </w:tcPr>
          <w:p w14:paraId="74BB21EA"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0.81</w:t>
            </w:r>
          </w:p>
        </w:tc>
        <w:tc>
          <w:tcPr>
            <w:tcW w:w="944" w:type="dxa"/>
            <w:noWrap/>
            <w:hideMark/>
          </w:tcPr>
          <w:p w14:paraId="4A10F722"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0.83</w:t>
            </w:r>
          </w:p>
        </w:tc>
        <w:tc>
          <w:tcPr>
            <w:tcW w:w="780" w:type="dxa"/>
            <w:noWrap/>
            <w:hideMark/>
          </w:tcPr>
          <w:p w14:paraId="07E5A733"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0.031</w:t>
            </w:r>
          </w:p>
        </w:tc>
        <w:tc>
          <w:tcPr>
            <w:tcW w:w="799" w:type="dxa"/>
          </w:tcPr>
          <w:p w14:paraId="104C0CD2"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-0.045</w:t>
            </w:r>
          </w:p>
        </w:tc>
      </w:tr>
      <w:tr w:rsidR="008C25CF" w:rsidRPr="008C25CF" w14:paraId="0BA90EBA" w14:textId="77777777" w:rsidTr="008C25CF">
        <w:trPr>
          <w:trHeight w:val="300"/>
        </w:trPr>
        <w:tc>
          <w:tcPr>
            <w:tcW w:w="1696" w:type="dxa"/>
            <w:noWrap/>
            <w:hideMark/>
          </w:tcPr>
          <w:p w14:paraId="7081D555" w14:textId="77777777" w:rsidR="008C25CF" w:rsidRPr="008C25CF" w:rsidRDefault="008C25CF" w:rsidP="008C25CF">
            <w:pPr>
              <w:rPr>
                <w:rFonts w:ascii="Arial" w:hAnsi="Arial" w:cs="Arial"/>
                <w:sz w:val="18"/>
                <w:szCs w:val="18"/>
              </w:rPr>
            </w:pPr>
            <w:r w:rsidRPr="008C25CF">
              <w:rPr>
                <w:rFonts w:ascii="Arial" w:hAnsi="Arial" w:cs="Arial"/>
                <w:sz w:val="18"/>
                <w:szCs w:val="18"/>
              </w:rPr>
              <w:t>log inpatient days</w:t>
            </w:r>
          </w:p>
        </w:tc>
        <w:tc>
          <w:tcPr>
            <w:tcW w:w="1099" w:type="dxa"/>
            <w:noWrap/>
            <w:hideMark/>
          </w:tcPr>
          <w:p w14:paraId="3FE21D2F"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w:t>
            </w:r>
          </w:p>
        </w:tc>
        <w:tc>
          <w:tcPr>
            <w:tcW w:w="944" w:type="dxa"/>
            <w:noWrap/>
            <w:hideMark/>
          </w:tcPr>
          <w:p w14:paraId="60865EED"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0.32</w:t>
            </w:r>
          </w:p>
        </w:tc>
        <w:tc>
          <w:tcPr>
            <w:tcW w:w="792" w:type="dxa"/>
            <w:noWrap/>
            <w:hideMark/>
          </w:tcPr>
          <w:p w14:paraId="1DF4958C"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0.33</w:t>
            </w:r>
          </w:p>
        </w:tc>
        <w:tc>
          <w:tcPr>
            <w:tcW w:w="863" w:type="dxa"/>
          </w:tcPr>
          <w:p w14:paraId="4B19E178"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-0.031</w:t>
            </w:r>
          </w:p>
        </w:tc>
        <w:tc>
          <w:tcPr>
            <w:tcW w:w="1099" w:type="dxa"/>
            <w:noWrap/>
            <w:hideMark/>
          </w:tcPr>
          <w:p w14:paraId="3AEB889E"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0.38</w:t>
            </w:r>
          </w:p>
        </w:tc>
        <w:tc>
          <w:tcPr>
            <w:tcW w:w="944" w:type="dxa"/>
            <w:noWrap/>
            <w:hideMark/>
          </w:tcPr>
          <w:p w14:paraId="78E4EEEF"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0.38</w:t>
            </w:r>
          </w:p>
        </w:tc>
        <w:tc>
          <w:tcPr>
            <w:tcW w:w="780" w:type="dxa"/>
            <w:noWrap/>
            <w:hideMark/>
          </w:tcPr>
          <w:p w14:paraId="01AF495A"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0.758</w:t>
            </w:r>
          </w:p>
        </w:tc>
        <w:tc>
          <w:tcPr>
            <w:tcW w:w="799" w:type="dxa"/>
          </w:tcPr>
          <w:p w14:paraId="3C9DC55B"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0.006</w:t>
            </w:r>
          </w:p>
        </w:tc>
      </w:tr>
      <w:tr w:rsidR="008C25CF" w:rsidRPr="008C25CF" w14:paraId="42960630" w14:textId="77777777" w:rsidTr="008C25CF">
        <w:trPr>
          <w:trHeight w:val="300"/>
        </w:trPr>
        <w:tc>
          <w:tcPr>
            <w:tcW w:w="1696" w:type="dxa"/>
            <w:noWrap/>
            <w:hideMark/>
          </w:tcPr>
          <w:p w14:paraId="6FA6B7CE" w14:textId="77777777" w:rsidR="008C25CF" w:rsidRPr="008C25CF" w:rsidRDefault="008C25CF" w:rsidP="008C25CF">
            <w:pPr>
              <w:rPr>
                <w:rFonts w:ascii="Arial" w:hAnsi="Arial" w:cs="Arial"/>
                <w:sz w:val="18"/>
                <w:szCs w:val="18"/>
              </w:rPr>
            </w:pPr>
            <w:r w:rsidRPr="008C25CF">
              <w:rPr>
                <w:rFonts w:ascii="Arial" w:hAnsi="Arial" w:cs="Arial"/>
                <w:sz w:val="18"/>
                <w:szCs w:val="18"/>
              </w:rPr>
              <w:t>log outpatient apts</w:t>
            </w:r>
          </w:p>
        </w:tc>
        <w:tc>
          <w:tcPr>
            <w:tcW w:w="1099" w:type="dxa"/>
            <w:noWrap/>
            <w:hideMark/>
          </w:tcPr>
          <w:p w14:paraId="69E6498D"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1.1</w:t>
            </w:r>
          </w:p>
        </w:tc>
        <w:tc>
          <w:tcPr>
            <w:tcW w:w="944" w:type="dxa"/>
            <w:noWrap/>
            <w:hideMark/>
          </w:tcPr>
          <w:p w14:paraId="42A09FD5"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1.13</w:t>
            </w:r>
          </w:p>
        </w:tc>
        <w:tc>
          <w:tcPr>
            <w:tcW w:w="792" w:type="dxa"/>
            <w:noWrap/>
            <w:hideMark/>
          </w:tcPr>
          <w:p w14:paraId="272080A7"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0.337</w:t>
            </w:r>
          </w:p>
        </w:tc>
        <w:tc>
          <w:tcPr>
            <w:tcW w:w="863" w:type="dxa"/>
          </w:tcPr>
          <w:p w14:paraId="24F44B14"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-0.031</w:t>
            </w:r>
          </w:p>
        </w:tc>
        <w:tc>
          <w:tcPr>
            <w:tcW w:w="1099" w:type="dxa"/>
            <w:noWrap/>
            <w:hideMark/>
          </w:tcPr>
          <w:p w14:paraId="4AF111E3"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1.13</w:t>
            </w:r>
          </w:p>
        </w:tc>
        <w:tc>
          <w:tcPr>
            <w:tcW w:w="944" w:type="dxa"/>
            <w:noWrap/>
            <w:hideMark/>
          </w:tcPr>
          <w:p w14:paraId="1D480038"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1.13</w:t>
            </w:r>
          </w:p>
        </w:tc>
        <w:tc>
          <w:tcPr>
            <w:tcW w:w="780" w:type="dxa"/>
            <w:noWrap/>
            <w:hideMark/>
          </w:tcPr>
          <w:p w14:paraId="6E3D1425"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0.998</w:t>
            </w:r>
          </w:p>
        </w:tc>
        <w:tc>
          <w:tcPr>
            <w:tcW w:w="799" w:type="dxa"/>
          </w:tcPr>
          <w:p w14:paraId="383ACB4C"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w:t>
            </w:r>
          </w:p>
        </w:tc>
      </w:tr>
      <w:tr w:rsidR="008C25CF" w:rsidRPr="008C25CF" w14:paraId="4AB3F518" w14:textId="77777777" w:rsidTr="008C25CF">
        <w:trPr>
          <w:trHeight w:val="300"/>
        </w:trPr>
        <w:tc>
          <w:tcPr>
            <w:tcW w:w="1696" w:type="dxa"/>
            <w:noWrap/>
            <w:hideMark/>
          </w:tcPr>
          <w:p w14:paraId="107848A4" w14:textId="77777777" w:rsidR="008C25CF" w:rsidRPr="008C25CF" w:rsidRDefault="008C25CF" w:rsidP="008C25CF">
            <w:pPr>
              <w:rPr>
                <w:rFonts w:ascii="Arial" w:hAnsi="Arial" w:cs="Arial"/>
                <w:sz w:val="18"/>
                <w:szCs w:val="18"/>
              </w:rPr>
            </w:pPr>
            <w:r w:rsidRPr="008C25CF">
              <w:rPr>
                <w:rFonts w:ascii="Arial" w:hAnsi="Arial" w:cs="Arial"/>
                <w:sz w:val="18"/>
                <w:szCs w:val="18"/>
              </w:rPr>
              <w:t>Charlson (0/1)</w:t>
            </w:r>
          </w:p>
        </w:tc>
        <w:tc>
          <w:tcPr>
            <w:tcW w:w="1099" w:type="dxa"/>
            <w:noWrap/>
            <w:hideMark/>
          </w:tcPr>
          <w:p w14:paraId="71876FF3"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w:t>
            </w:r>
          </w:p>
        </w:tc>
        <w:tc>
          <w:tcPr>
            <w:tcW w:w="944" w:type="dxa"/>
            <w:noWrap/>
            <w:hideMark/>
          </w:tcPr>
          <w:p w14:paraId="73DEBC34"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w:t>
            </w:r>
          </w:p>
        </w:tc>
        <w:tc>
          <w:tcPr>
            <w:tcW w:w="792" w:type="dxa"/>
            <w:noWrap/>
            <w:hideMark/>
          </w:tcPr>
          <w:p w14:paraId="42E70BB4"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w:t>
            </w:r>
          </w:p>
        </w:tc>
        <w:tc>
          <w:tcPr>
            <w:tcW w:w="863" w:type="dxa"/>
          </w:tcPr>
          <w:p w14:paraId="34B8D920"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w:t>
            </w:r>
          </w:p>
        </w:tc>
        <w:tc>
          <w:tcPr>
            <w:tcW w:w="1099" w:type="dxa"/>
            <w:noWrap/>
            <w:hideMark/>
          </w:tcPr>
          <w:p w14:paraId="326E6735"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0.06</w:t>
            </w:r>
          </w:p>
        </w:tc>
        <w:tc>
          <w:tcPr>
            <w:tcW w:w="944" w:type="dxa"/>
            <w:noWrap/>
            <w:hideMark/>
          </w:tcPr>
          <w:p w14:paraId="507A3A23"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0.05</w:t>
            </w:r>
          </w:p>
        </w:tc>
        <w:tc>
          <w:tcPr>
            <w:tcW w:w="780" w:type="dxa"/>
            <w:noWrap/>
            <w:hideMark/>
          </w:tcPr>
          <w:p w14:paraId="7C154167"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0.196</w:t>
            </w:r>
          </w:p>
        </w:tc>
        <w:tc>
          <w:tcPr>
            <w:tcW w:w="799" w:type="dxa"/>
          </w:tcPr>
          <w:p w14:paraId="567B13D0"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0.027</w:t>
            </w:r>
          </w:p>
        </w:tc>
      </w:tr>
      <w:tr w:rsidR="008C25CF" w:rsidRPr="008C25CF" w14:paraId="565107B8" w14:textId="77777777" w:rsidTr="008C25CF">
        <w:trPr>
          <w:trHeight w:val="300"/>
        </w:trPr>
        <w:tc>
          <w:tcPr>
            <w:tcW w:w="1696" w:type="dxa"/>
            <w:noWrap/>
            <w:hideMark/>
          </w:tcPr>
          <w:p w14:paraId="74CE6E16" w14:textId="77777777" w:rsidR="008C25CF" w:rsidRPr="008C25CF" w:rsidRDefault="008C25CF" w:rsidP="008C25CF">
            <w:pPr>
              <w:rPr>
                <w:rFonts w:ascii="Arial" w:hAnsi="Arial" w:cs="Arial"/>
                <w:sz w:val="18"/>
                <w:szCs w:val="18"/>
              </w:rPr>
            </w:pPr>
            <w:r w:rsidRPr="008C25CF">
              <w:rPr>
                <w:rFonts w:ascii="Arial" w:hAnsi="Arial" w:cs="Arial"/>
                <w:sz w:val="18"/>
                <w:szCs w:val="18"/>
              </w:rPr>
              <w:t>SIMD</w:t>
            </w:r>
          </w:p>
        </w:tc>
        <w:tc>
          <w:tcPr>
            <w:tcW w:w="1099" w:type="dxa"/>
            <w:noWrap/>
            <w:hideMark/>
          </w:tcPr>
          <w:p w14:paraId="2E623010"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3.02</w:t>
            </w:r>
          </w:p>
        </w:tc>
        <w:tc>
          <w:tcPr>
            <w:tcW w:w="944" w:type="dxa"/>
            <w:noWrap/>
            <w:hideMark/>
          </w:tcPr>
          <w:p w14:paraId="07DAA936"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2.96</w:t>
            </w:r>
          </w:p>
        </w:tc>
        <w:tc>
          <w:tcPr>
            <w:tcW w:w="792" w:type="dxa"/>
            <w:noWrap/>
            <w:hideMark/>
          </w:tcPr>
          <w:p w14:paraId="6A9A3676"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0.22</w:t>
            </w:r>
          </w:p>
        </w:tc>
        <w:tc>
          <w:tcPr>
            <w:tcW w:w="863" w:type="dxa"/>
          </w:tcPr>
          <w:p w14:paraId="39282F66"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0.04</w:t>
            </w:r>
          </w:p>
        </w:tc>
        <w:tc>
          <w:tcPr>
            <w:tcW w:w="1099" w:type="dxa"/>
            <w:noWrap/>
            <w:hideMark/>
          </w:tcPr>
          <w:p w14:paraId="55AF306C"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3.05</w:t>
            </w:r>
          </w:p>
        </w:tc>
        <w:tc>
          <w:tcPr>
            <w:tcW w:w="944" w:type="dxa"/>
            <w:noWrap/>
            <w:hideMark/>
          </w:tcPr>
          <w:p w14:paraId="3CE18D4E"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3.04</w:t>
            </w:r>
          </w:p>
        </w:tc>
        <w:tc>
          <w:tcPr>
            <w:tcW w:w="780" w:type="dxa"/>
            <w:noWrap/>
            <w:hideMark/>
          </w:tcPr>
          <w:p w14:paraId="33F6BCA8"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0.871</w:t>
            </w:r>
          </w:p>
        </w:tc>
        <w:tc>
          <w:tcPr>
            <w:tcW w:w="799" w:type="dxa"/>
          </w:tcPr>
          <w:p w14:paraId="1BB05246"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0.003</w:t>
            </w:r>
          </w:p>
        </w:tc>
      </w:tr>
      <w:tr w:rsidR="008C25CF" w:rsidRPr="008C25CF" w14:paraId="2310E00C" w14:textId="77777777" w:rsidTr="008C25CF">
        <w:trPr>
          <w:trHeight w:val="300"/>
        </w:trPr>
        <w:tc>
          <w:tcPr>
            <w:tcW w:w="1696" w:type="dxa"/>
            <w:noWrap/>
            <w:hideMark/>
          </w:tcPr>
          <w:p w14:paraId="7DA1F1D6" w14:textId="77777777" w:rsidR="008C25CF" w:rsidRPr="008C25CF" w:rsidRDefault="008C25CF" w:rsidP="008C25CF">
            <w:pPr>
              <w:rPr>
                <w:rFonts w:ascii="Arial" w:hAnsi="Arial" w:cs="Arial"/>
                <w:sz w:val="18"/>
                <w:szCs w:val="18"/>
              </w:rPr>
            </w:pPr>
            <w:r w:rsidRPr="008C25CF">
              <w:rPr>
                <w:rFonts w:ascii="Arial" w:hAnsi="Arial" w:cs="Arial"/>
                <w:sz w:val="18"/>
                <w:szCs w:val="18"/>
              </w:rPr>
              <w:t>hormone therapy</w:t>
            </w:r>
          </w:p>
        </w:tc>
        <w:tc>
          <w:tcPr>
            <w:tcW w:w="1099" w:type="dxa"/>
            <w:noWrap/>
            <w:hideMark/>
          </w:tcPr>
          <w:p w14:paraId="48C79055"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0.72</w:t>
            </w:r>
          </w:p>
        </w:tc>
        <w:tc>
          <w:tcPr>
            <w:tcW w:w="944" w:type="dxa"/>
            <w:noWrap/>
            <w:hideMark/>
          </w:tcPr>
          <w:p w14:paraId="2AF8F4CE"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0.71</w:t>
            </w:r>
          </w:p>
        </w:tc>
        <w:tc>
          <w:tcPr>
            <w:tcW w:w="792" w:type="dxa"/>
            <w:noWrap/>
            <w:hideMark/>
          </w:tcPr>
          <w:p w14:paraId="2BD45A34"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0.721</w:t>
            </w:r>
          </w:p>
        </w:tc>
        <w:tc>
          <w:tcPr>
            <w:tcW w:w="863" w:type="dxa"/>
          </w:tcPr>
          <w:p w14:paraId="0C954ECA"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0.012</w:t>
            </w:r>
          </w:p>
        </w:tc>
        <w:tc>
          <w:tcPr>
            <w:tcW w:w="1099" w:type="dxa"/>
            <w:noWrap/>
            <w:hideMark/>
          </w:tcPr>
          <w:p w14:paraId="56FC6350"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0.73</w:t>
            </w:r>
          </w:p>
        </w:tc>
        <w:tc>
          <w:tcPr>
            <w:tcW w:w="944" w:type="dxa"/>
            <w:noWrap/>
            <w:hideMark/>
          </w:tcPr>
          <w:p w14:paraId="2B7ADC4A"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0.74</w:t>
            </w:r>
          </w:p>
        </w:tc>
        <w:tc>
          <w:tcPr>
            <w:tcW w:w="780" w:type="dxa"/>
            <w:noWrap/>
            <w:hideMark/>
          </w:tcPr>
          <w:p w14:paraId="2361CFC3"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0.436</w:t>
            </w:r>
          </w:p>
        </w:tc>
        <w:tc>
          <w:tcPr>
            <w:tcW w:w="799" w:type="dxa"/>
          </w:tcPr>
          <w:p w14:paraId="7A6C2D40"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-0.016</w:t>
            </w:r>
          </w:p>
        </w:tc>
      </w:tr>
      <w:tr w:rsidR="008C25CF" w:rsidRPr="008C25CF" w14:paraId="690D4BF5" w14:textId="77777777" w:rsidTr="008C25CF">
        <w:trPr>
          <w:trHeight w:val="300"/>
        </w:trPr>
        <w:tc>
          <w:tcPr>
            <w:tcW w:w="1696" w:type="dxa"/>
            <w:noWrap/>
            <w:hideMark/>
          </w:tcPr>
          <w:p w14:paraId="596FE022" w14:textId="77777777" w:rsidR="008C25CF" w:rsidRPr="008C25CF" w:rsidRDefault="008C25CF" w:rsidP="008C25CF">
            <w:pPr>
              <w:rPr>
                <w:rFonts w:ascii="Arial" w:hAnsi="Arial" w:cs="Arial"/>
                <w:sz w:val="18"/>
                <w:szCs w:val="18"/>
              </w:rPr>
            </w:pPr>
            <w:r w:rsidRPr="008C25CF">
              <w:rPr>
                <w:rFonts w:ascii="Arial" w:hAnsi="Arial" w:cs="Arial"/>
                <w:sz w:val="18"/>
                <w:szCs w:val="18"/>
              </w:rPr>
              <w:t>radiotherapy</w:t>
            </w:r>
          </w:p>
        </w:tc>
        <w:tc>
          <w:tcPr>
            <w:tcW w:w="1099" w:type="dxa"/>
            <w:noWrap/>
            <w:hideMark/>
          </w:tcPr>
          <w:p w14:paraId="33F665E6"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0.67</w:t>
            </w:r>
          </w:p>
        </w:tc>
        <w:tc>
          <w:tcPr>
            <w:tcW w:w="944" w:type="dxa"/>
            <w:noWrap/>
            <w:hideMark/>
          </w:tcPr>
          <w:p w14:paraId="0EAFF177"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0.64</w:t>
            </w:r>
          </w:p>
        </w:tc>
        <w:tc>
          <w:tcPr>
            <w:tcW w:w="792" w:type="dxa"/>
            <w:noWrap/>
            <w:hideMark/>
          </w:tcPr>
          <w:p w14:paraId="0ECF0B98"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0.083</w:t>
            </w:r>
          </w:p>
        </w:tc>
        <w:tc>
          <w:tcPr>
            <w:tcW w:w="863" w:type="dxa"/>
          </w:tcPr>
          <w:p w14:paraId="37FC83E3"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0.056</w:t>
            </w:r>
          </w:p>
        </w:tc>
        <w:tc>
          <w:tcPr>
            <w:tcW w:w="1099" w:type="dxa"/>
            <w:noWrap/>
            <w:hideMark/>
          </w:tcPr>
          <w:p w14:paraId="6D5C61BF"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0.69</w:t>
            </w:r>
          </w:p>
        </w:tc>
        <w:tc>
          <w:tcPr>
            <w:tcW w:w="944" w:type="dxa"/>
            <w:noWrap/>
            <w:hideMark/>
          </w:tcPr>
          <w:p w14:paraId="0C1EC4C4"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0.67</w:t>
            </w:r>
          </w:p>
        </w:tc>
        <w:tc>
          <w:tcPr>
            <w:tcW w:w="780" w:type="dxa"/>
            <w:noWrap/>
            <w:hideMark/>
          </w:tcPr>
          <w:p w14:paraId="136F47BB"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0.108</w:t>
            </w:r>
          </w:p>
        </w:tc>
        <w:tc>
          <w:tcPr>
            <w:tcW w:w="799" w:type="dxa"/>
          </w:tcPr>
          <w:p w14:paraId="2F1F9113" w14:textId="77777777" w:rsidR="008C25CF" w:rsidRPr="008C25CF" w:rsidRDefault="008C25CF" w:rsidP="008C25CF">
            <w:pPr>
              <w:rPr>
                <w:rFonts w:ascii="Arial" w:hAnsi="Arial" w:cs="Arial"/>
                <w:color w:val="000000"/>
                <w:sz w:val="18"/>
                <w:szCs w:val="18"/>
              </w:rPr>
            </w:pPr>
            <w:r w:rsidRPr="008C25CF">
              <w:rPr>
                <w:rFonts w:ascii="Arial" w:hAnsi="Arial" w:cs="Arial"/>
                <w:color w:val="000000"/>
                <w:sz w:val="18"/>
                <w:szCs w:val="18"/>
              </w:rPr>
              <w:t>0.034</w:t>
            </w:r>
          </w:p>
        </w:tc>
      </w:tr>
    </w:tbl>
    <w:p w14:paraId="3897DB5E" w14:textId="77777777" w:rsidR="00E73C9D" w:rsidRDefault="00E73C9D">
      <w:pPr>
        <w:pStyle w:val="Body"/>
        <w:widowControl w:val="0"/>
        <w:spacing w:line="240" w:lineRule="auto"/>
      </w:pPr>
    </w:p>
    <w:p w14:paraId="34C77DA4" w14:textId="77777777" w:rsidR="00E73C9D" w:rsidRDefault="00E73C9D">
      <w:pPr>
        <w:pStyle w:val="Body"/>
      </w:pPr>
    </w:p>
    <w:p w14:paraId="642BC3E8" w14:textId="74BB50AC" w:rsidR="00E73C9D" w:rsidRDefault="00C57731">
      <w:pPr>
        <w:pStyle w:val="Body"/>
        <w:rPr>
          <w:b/>
          <w:bCs/>
        </w:rPr>
      </w:pPr>
      <w:r>
        <w:rPr>
          <w:b/>
          <w:bCs/>
        </w:rPr>
        <w:t xml:space="preserve">Table </w:t>
      </w:r>
      <w:r w:rsidR="00B26A21">
        <w:rPr>
          <w:b/>
          <w:bCs/>
        </w:rPr>
        <w:t>3</w:t>
      </w:r>
      <w:r>
        <w:rPr>
          <w:b/>
          <w:bCs/>
        </w:rPr>
        <w:t>.4 PSM Cox regression results</w:t>
      </w:r>
    </w:p>
    <w:tbl>
      <w:tblPr>
        <w:tblW w:w="90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598"/>
        <w:gridCol w:w="1507"/>
        <w:gridCol w:w="989"/>
        <w:gridCol w:w="861"/>
        <w:gridCol w:w="606"/>
        <w:gridCol w:w="999"/>
        <w:gridCol w:w="861"/>
        <w:gridCol w:w="605"/>
        <w:gridCol w:w="1000"/>
      </w:tblGrid>
      <w:tr w:rsidR="00E73C9D" w14:paraId="017C22F4" w14:textId="77777777">
        <w:trPr>
          <w:trHeight w:val="238"/>
        </w:trPr>
        <w:tc>
          <w:tcPr>
            <w:tcW w:w="1598" w:type="dxa"/>
            <w:tcBorders>
              <w:top w:val="single" w:sz="12" w:space="0" w:color="000000"/>
              <w:left w:val="nil"/>
              <w:bottom w:val="single" w:sz="8" w:space="0" w:color="000000"/>
              <w:right w:val="nil"/>
            </w:tcBorders>
            <w:shd w:val="clear" w:color="auto" w:fill="auto"/>
            <w:tcMar>
              <w:top w:w="80" w:type="dxa"/>
              <w:left w:w="80" w:type="dxa"/>
              <w:bottom w:w="80" w:type="dxa"/>
              <w:right w:w="80" w:type="dxa"/>
            </w:tcMar>
            <w:vAlign w:val="bottom"/>
          </w:tcPr>
          <w:p w14:paraId="7E07987C" w14:textId="77777777" w:rsidR="00E73C9D" w:rsidRDefault="00E73C9D"/>
        </w:tc>
        <w:tc>
          <w:tcPr>
            <w:tcW w:w="1507" w:type="dxa"/>
            <w:tcBorders>
              <w:top w:val="single" w:sz="12" w:space="0" w:color="000000"/>
              <w:left w:val="nil"/>
              <w:bottom w:val="single" w:sz="8" w:space="0" w:color="000000"/>
              <w:right w:val="nil"/>
            </w:tcBorders>
            <w:shd w:val="clear" w:color="auto" w:fill="auto"/>
            <w:tcMar>
              <w:top w:w="80" w:type="dxa"/>
              <w:left w:w="80" w:type="dxa"/>
              <w:bottom w:w="80" w:type="dxa"/>
              <w:right w:w="80" w:type="dxa"/>
            </w:tcMar>
            <w:vAlign w:val="bottom"/>
          </w:tcPr>
          <w:p w14:paraId="0471BAE5" w14:textId="77777777" w:rsidR="00E73C9D" w:rsidRDefault="00E73C9D"/>
        </w:tc>
        <w:tc>
          <w:tcPr>
            <w:tcW w:w="989" w:type="dxa"/>
            <w:tcBorders>
              <w:top w:val="single" w:sz="12" w:space="0" w:color="000000"/>
              <w:left w:val="nil"/>
              <w:bottom w:val="single" w:sz="8" w:space="0" w:color="000000"/>
              <w:right w:val="nil"/>
            </w:tcBorders>
            <w:shd w:val="clear" w:color="auto" w:fill="auto"/>
            <w:tcMar>
              <w:top w:w="80" w:type="dxa"/>
              <w:left w:w="80" w:type="dxa"/>
              <w:bottom w:w="80" w:type="dxa"/>
              <w:right w:w="80" w:type="dxa"/>
            </w:tcMar>
            <w:vAlign w:val="bottom"/>
          </w:tcPr>
          <w:p w14:paraId="1A1BA1C2" w14:textId="77777777" w:rsidR="00E73C9D" w:rsidRDefault="00E73C9D"/>
        </w:tc>
        <w:tc>
          <w:tcPr>
            <w:tcW w:w="2466" w:type="dxa"/>
            <w:gridSpan w:val="3"/>
            <w:tcBorders>
              <w:top w:val="single" w:sz="12" w:space="0" w:color="000000"/>
              <w:left w:val="nil"/>
              <w:bottom w:val="single" w:sz="8" w:space="0" w:color="000000"/>
              <w:right w:val="nil"/>
            </w:tcBorders>
            <w:shd w:val="clear" w:color="auto" w:fill="auto"/>
            <w:tcMar>
              <w:top w:w="80" w:type="dxa"/>
              <w:left w:w="80" w:type="dxa"/>
              <w:bottom w:w="80" w:type="dxa"/>
              <w:right w:w="80" w:type="dxa"/>
            </w:tcMar>
            <w:vAlign w:val="bottom"/>
          </w:tcPr>
          <w:p w14:paraId="31195CA7" w14:textId="77777777" w:rsidR="00E73C9D" w:rsidRDefault="00C57731">
            <w:pPr>
              <w:pStyle w:val="Body"/>
              <w:spacing w:after="0"/>
            </w:pPr>
            <w:r>
              <w:rPr>
                <w:b/>
                <w:bCs/>
                <w:sz w:val="20"/>
                <w:szCs w:val="20"/>
              </w:rPr>
              <w:t>All cause mortality</w:t>
            </w:r>
          </w:p>
        </w:tc>
        <w:tc>
          <w:tcPr>
            <w:tcW w:w="2466" w:type="dxa"/>
            <w:gridSpan w:val="3"/>
            <w:tcBorders>
              <w:top w:val="single" w:sz="12" w:space="0" w:color="000000"/>
              <w:left w:val="nil"/>
              <w:bottom w:val="single" w:sz="8" w:space="0" w:color="000000"/>
              <w:right w:val="nil"/>
            </w:tcBorders>
            <w:shd w:val="clear" w:color="auto" w:fill="auto"/>
            <w:tcMar>
              <w:top w:w="80" w:type="dxa"/>
              <w:left w:w="80" w:type="dxa"/>
              <w:bottom w:w="80" w:type="dxa"/>
              <w:right w:w="80" w:type="dxa"/>
            </w:tcMar>
            <w:vAlign w:val="bottom"/>
          </w:tcPr>
          <w:p w14:paraId="35044FF4" w14:textId="77777777" w:rsidR="00E73C9D" w:rsidRDefault="00C57731">
            <w:pPr>
              <w:pStyle w:val="Body"/>
              <w:spacing w:after="0"/>
            </w:pPr>
            <w:r>
              <w:rPr>
                <w:b/>
                <w:bCs/>
                <w:sz w:val="20"/>
                <w:szCs w:val="20"/>
              </w:rPr>
              <w:t>Breast cancer mortality</w:t>
            </w:r>
          </w:p>
        </w:tc>
      </w:tr>
      <w:tr w:rsidR="00E73C9D" w14:paraId="504B8EC1" w14:textId="77777777">
        <w:trPr>
          <w:trHeight w:val="555"/>
        </w:trPr>
        <w:tc>
          <w:tcPr>
            <w:tcW w:w="1598"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12559FEB" w14:textId="77777777" w:rsidR="00E73C9D" w:rsidRDefault="00C57731">
            <w:pPr>
              <w:pStyle w:val="Body"/>
              <w:spacing w:after="0"/>
            </w:pPr>
            <w:r>
              <w:rPr>
                <w:b/>
                <w:bCs/>
                <w:sz w:val="20"/>
                <w:szCs w:val="20"/>
              </w:rPr>
              <w:t>Group</w:t>
            </w:r>
          </w:p>
        </w:tc>
        <w:tc>
          <w:tcPr>
            <w:tcW w:w="1507"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79E4B377" w14:textId="77777777" w:rsidR="00E73C9D" w:rsidRDefault="00C57731">
            <w:pPr>
              <w:pStyle w:val="Body"/>
              <w:spacing w:after="0"/>
            </w:pPr>
            <w:r>
              <w:rPr>
                <w:b/>
                <w:bCs/>
                <w:sz w:val="20"/>
                <w:szCs w:val="20"/>
              </w:rPr>
              <w:t>Matching method</w:t>
            </w:r>
          </w:p>
        </w:tc>
        <w:tc>
          <w:tcPr>
            <w:tcW w:w="989"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55C5D14E" w14:textId="77777777" w:rsidR="00E73C9D" w:rsidRDefault="00C57731">
            <w:pPr>
              <w:pStyle w:val="Body"/>
              <w:spacing w:after="0"/>
            </w:pPr>
            <w:r>
              <w:rPr>
                <w:b/>
                <w:bCs/>
                <w:sz w:val="20"/>
                <w:szCs w:val="20"/>
              </w:rPr>
              <w:t>N treated</w:t>
            </w:r>
          </w:p>
        </w:tc>
        <w:tc>
          <w:tcPr>
            <w:tcW w:w="861"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20FB8351" w14:textId="77777777" w:rsidR="00E73C9D" w:rsidRDefault="00C57731">
            <w:pPr>
              <w:pStyle w:val="Body"/>
              <w:spacing w:after="0"/>
            </w:pPr>
            <w:r>
              <w:rPr>
                <w:b/>
                <w:bCs/>
                <w:sz w:val="20"/>
                <w:szCs w:val="20"/>
              </w:rPr>
              <w:t>deaths</w:t>
            </w:r>
          </w:p>
        </w:tc>
        <w:tc>
          <w:tcPr>
            <w:tcW w:w="606"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6BE97611" w14:textId="77777777" w:rsidR="00E73C9D" w:rsidRDefault="00C57731">
            <w:pPr>
              <w:pStyle w:val="Body"/>
              <w:spacing w:after="0"/>
            </w:pPr>
            <w:r>
              <w:rPr>
                <w:b/>
                <w:bCs/>
                <w:sz w:val="20"/>
                <w:szCs w:val="20"/>
              </w:rPr>
              <w:t>HR</w:t>
            </w:r>
          </w:p>
        </w:tc>
        <w:tc>
          <w:tcPr>
            <w:tcW w:w="999"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76635A7E" w14:textId="77777777" w:rsidR="00E73C9D" w:rsidRDefault="00C57731">
            <w:pPr>
              <w:pStyle w:val="Body"/>
              <w:spacing w:after="0"/>
            </w:pPr>
            <w:r>
              <w:rPr>
                <w:b/>
                <w:bCs/>
                <w:sz w:val="20"/>
                <w:szCs w:val="20"/>
              </w:rPr>
              <w:t xml:space="preserve">95% CI: </w:t>
            </w:r>
          </w:p>
        </w:tc>
        <w:tc>
          <w:tcPr>
            <w:tcW w:w="861"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5C937867" w14:textId="77777777" w:rsidR="00E73C9D" w:rsidRDefault="00C57731">
            <w:pPr>
              <w:pStyle w:val="Body"/>
              <w:spacing w:after="0"/>
            </w:pPr>
            <w:r>
              <w:rPr>
                <w:b/>
                <w:bCs/>
                <w:sz w:val="20"/>
                <w:szCs w:val="20"/>
              </w:rPr>
              <w:t>deaths</w:t>
            </w:r>
          </w:p>
        </w:tc>
        <w:tc>
          <w:tcPr>
            <w:tcW w:w="605"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207EDF29" w14:textId="77777777" w:rsidR="00E73C9D" w:rsidRDefault="00C57731">
            <w:pPr>
              <w:pStyle w:val="Body"/>
              <w:spacing w:after="0"/>
            </w:pPr>
            <w:r>
              <w:rPr>
                <w:b/>
                <w:bCs/>
                <w:sz w:val="20"/>
                <w:szCs w:val="20"/>
              </w:rPr>
              <w:t>HR</w:t>
            </w:r>
          </w:p>
        </w:tc>
        <w:tc>
          <w:tcPr>
            <w:tcW w:w="999"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3E43F645" w14:textId="77777777" w:rsidR="00E73C9D" w:rsidRDefault="00C57731">
            <w:pPr>
              <w:pStyle w:val="Body"/>
              <w:spacing w:after="0"/>
            </w:pPr>
            <w:r>
              <w:rPr>
                <w:b/>
                <w:bCs/>
                <w:sz w:val="20"/>
                <w:szCs w:val="20"/>
              </w:rPr>
              <w:t xml:space="preserve">95% CI: </w:t>
            </w:r>
          </w:p>
        </w:tc>
      </w:tr>
      <w:tr w:rsidR="00E73C9D" w14:paraId="2F7CA746" w14:textId="77777777">
        <w:trPr>
          <w:trHeight w:val="545"/>
        </w:trPr>
        <w:tc>
          <w:tcPr>
            <w:tcW w:w="1598"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DB06C35" w14:textId="77777777" w:rsidR="00E73C9D" w:rsidRDefault="00C57731">
            <w:pPr>
              <w:pStyle w:val="Body"/>
              <w:spacing w:after="0"/>
            </w:pPr>
            <w:r>
              <w:rPr>
                <w:sz w:val="20"/>
                <w:szCs w:val="20"/>
              </w:rPr>
              <w:lastRenderedPageBreak/>
              <w:t>Trial Represented</w:t>
            </w:r>
          </w:p>
        </w:tc>
        <w:tc>
          <w:tcPr>
            <w:tcW w:w="1507" w:type="dxa"/>
            <w:tcBorders>
              <w:top w:val="single" w:sz="4" w:space="0" w:color="000000"/>
              <w:left w:val="nil"/>
              <w:bottom w:val="nil"/>
              <w:right w:val="nil"/>
            </w:tcBorders>
            <w:shd w:val="clear" w:color="auto" w:fill="auto"/>
            <w:tcMar>
              <w:top w:w="80" w:type="dxa"/>
              <w:left w:w="80" w:type="dxa"/>
              <w:bottom w:w="80" w:type="dxa"/>
              <w:right w:w="80" w:type="dxa"/>
            </w:tcMar>
          </w:tcPr>
          <w:p w14:paraId="7434353F" w14:textId="77777777" w:rsidR="00E73C9D" w:rsidRDefault="00C57731">
            <w:pPr>
              <w:pStyle w:val="Body"/>
              <w:spacing w:after="0"/>
            </w:pPr>
            <w:r>
              <w:rPr>
                <w:sz w:val="20"/>
                <w:szCs w:val="20"/>
              </w:rPr>
              <w:t>PSM 1</w:t>
            </w:r>
          </w:p>
        </w:tc>
        <w:tc>
          <w:tcPr>
            <w:tcW w:w="989" w:type="dxa"/>
            <w:tcBorders>
              <w:top w:val="single" w:sz="4" w:space="0" w:color="000000"/>
              <w:left w:val="nil"/>
              <w:bottom w:val="nil"/>
              <w:right w:val="nil"/>
            </w:tcBorders>
            <w:shd w:val="clear" w:color="auto" w:fill="auto"/>
            <w:tcMar>
              <w:top w:w="80" w:type="dxa"/>
              <w:left w:w="80" w:type="dxa"/>
              <w:bottom w:w="80" w:type="dxa"/>
              <w:right w:w="80" w:type="dxa"/>
            </w:tcMar>
          </w:tcPr>
          <w:p w14:paraId="11EBA5CE" w14:textId="77777777" w:rsidR="00E73C9D" w:rsidRDefault="00C57731">
            <w:pPr>
              <w:pStyle w:val="Body"/>
              <w:spacing w:after="0"/>
            </w:pPr>
            <w:r>
              <w:rPr>
                <w:sz w:val="20"/>
                <w:szCs w:val="20"/>
              </w:rPr>
              <w:t>14756</w:t>
            </w:r>
          </w:p>
        </w:tc>
        <w:tc>
          <w:tcPr>
            <w:tcW w:w="861" w:type="dxa"/>
            <w:tcBorders>
              <w:top w:val="single" w:sz="4" w:space="0" w:color="000000"/>
              <w:left w:val="nil"/>
              <w:bottom w:val="nil"/>
              <w:right w:val="nil"/>
            </w:tcBorders>
            <w:shd w:val="clear" w:color="auto" w:fill="auto"/>
            <w:tcMar>
              <w:top w:w="80" w:type="dxa"/>
              <w:left w:w="80" w:type="dxa"/>
              <w:bottom w:w="80" w:type="dxa"/>
              <w:right w:w="80" w:type="dxa"/>
            </w:tcMar>
          </w:tcPr>
          <w:p w14:paraId="18448350" w14:textId="77777777" w:rsidR="00E73C9D" w:rsidRDefault="00C57731">
            <w:pPr>
              <w:pStyle w:val="Body"/>
              <w:spacing w:after="0"/>
            </w:pPr>
            <w:r>
              <w:rPr>
                <w:sz w:val="20"/>
                <w:szCs w:val="20"/>
              </w:rPr>
              <w:t>2358</w:t>
            </w:r>
          </w:p>
        </w:tc>
        <w:tc>
          <w:tcPr>
            <w:tcW w:w="606" w:type="dxa"/>
            <w:tcBorders>
              <w:top w:val="single" w:sz="4" w:space="0" w:color="000000"/>
              <w:left w:val="nil"/>
              <w:bottom w:val="nil"/>
              <w:right w:val="nil"/>
            </w:tcBorders>
            <w:shd w:val="clear" w:color="auto" w:fill="auto"/>
            <w:tcMar>
              <w:top w:w="80" w:type="dxa"/>
              <w:left w:w="80" w:type="dxa"/>
              <w:bottom w:w="80" w:type="dxa"/>
              <w:right w:w="80" w:type="dxa"/>
            </w:tcMar>
          </w:tcPr>
          <w:p w14:paraId="176E65BD" w14:textId="77777777" w:rsidR="00E73C9D" w:rsidRDefault="00C57731">
            <w:pPr>
              <w:pStyle w:val="Body"/>
              <w:spacing w:after="0"/>
            </w:pPr>
            <w:r>
              <w:rPr>
                <w:sz w:val="20"/>
                <w:szCs w:val="20"/>
              </w:rPr>
              <w:t>0.67</w:t>
            </w:r>
          </w:p>
        </w:tc>
        <w:tc>
          <w:tcPr>
            <w:tcW w:w="999" w:type="dxa"/>
            <w:tcBorders>
              <w:top w:val="single" w:sz="4" w:space="0" w:color="000000"/>
              <w:left w:val="nil"/>
              <w:bottom w:val="nil"/>
              <w:right w:val="nil"/>
            </w:tcBorders>
            <w:shd w:val="clear" w:color="auto" w:fill="auto"/>
            <w:tcMar>
              <w:top w:w="80" w:type="dxa"/>
              <w:left w:w="80" w:type="dxa"/>
              <w:bottom w:w="80" w:type="dxa"/>
              <w:right w:w="80" w:type="dxa"/>
            </w:tcMar>
          </w:tcPr>
          <w:p w14:paraId="0141B6B1" w14:textId="77777777" w:rsidR="00E73C9D" w:rsidRDefault="00C57731">
            <w:pPr>
              <w:pStyle w:val="Body"/>
              <w:spacing w:after="0"/>
            </w:pPr>
            <w:r>
              <w:rPr>
                <w:sz w:val="20"/>
                <w:szCs w:val="20"/>
              </w:rPr>
              <w:t>(0.55, 0.85)</w:t>
            </w:r>
          </w:p>
        </w:tc>
        <w:tc>
          <w:tcPr>
            <w:tcW w:w="861" w:type="dxa"/>
            <w:tcBorders>
              <w:top w:val="single" w:sz="4" w:space="0" w:color="000000"/>
              <w:left w:val="nil"/>
              <w:bottom w:val="nil"/>
              <w:right w:val="nil"/>
            </w:tcBorders>
            <w:shd w:val="clear" w:color="auto" w:fill="auto"/>
            <w:tcMar>
              <w:top w:w="80" w:type="dxa"/>
              <w:left w:w="80" w:type="dxa"/>
              <w:bottom w:w="80" w:type="dxa"/>
              <w:right w:w="80" w:type="dxa"/>
            </w:tcMar>
          </w:tcPr>
          <w:p w14:paraId="510A4C29" w14:textId="77777777" w:rsidR="00E73C9D" w:rsidRDefault="00C57731">
            <w:pPr>
              <w:pStyle w:val="Body"/>
              <w:spacing w:after="0"/>
            </w:pPr>
            <w:r>
              <w:rPr>
                <w:sz w:val="20"/>
                <w:szCs w:val="20"/>
              </w:rPr>
              <w:t>3182</w:t>
            </w:r>
          </w:p>
        </w:tc>
        <w:tc>
          <w:tcPr>
            <w:tcW w:w="605" w:type="dxa"/>
            <w:tcBorders>
              <w:top w:val="single" w:sz="4" w:space="0" w:color="000000"/>
              <w:left w:val="nil"/>
              <w:bottom w:val="nil"/>
              <w:right w:val="nil"/>
            </w:tcBorders>
            <w:shd w:val="clear" w:color="auto" w:fill="auto"/>
            <w:tcMar>
              <w:top w:w="80" w:type="dxa"/>
              <w:left w:w="80" w:type="dxa"/>
              <w:bottom w:w="80" w:type="dxa"/>
              <w:right w:w="80" w:type="dxa"/>
            </w:tcMar>
          </w:tcPr>
          <w:p w14:paraId="1318B304" w14:textId="77777777" w:rsidR="00E73C9D" w:rsidRDefault="00C57731">
            <w:pPr>
              <w:pStyle w:val="Body"/>
              <w:spacing w:after="0"/>
            </w:pPr>
            <w:r>
              <w:rPr>
                <w:sz w:val="20"/>
                <w:szCs w:val="20"/>
              </w:rPr>
              <w:t>0.63</w:t>
            </w:r>
          </w:p>
        </w:tc>
        <w:tc>
          <w:tcPr>
            <w:tcW w:w="999" w:type="dxa"/>
            <w:tcBorders>
              <w:top w:val="single" w:sz="4" w:space="0" w:color="000000"/>
              <w:left w:val="nil"/>
              <w:bottom w:val="nil"/>
              <w:right w:val="nil"/>
            </w:tcBorders>
            <w:shd w:val="clear" w:color="auto" w:fill="auto"/>
            <w:tcMar>
              <w:top w:w="80" w:type="dxa"/>
              <w:left w:w="80" w:type="dxa"/>
              <w:bottom w:w="80" w:type="dxa"/>
              <w:right w:w="80" w:type="dxa"/>
            </w:tcMar>
          </w:tcPr>
          <w:p w14:paraId="35985188" w14:textId="77777777" w:rsidR="00E73C9D" w:rsidRDefault="00C57731">
            <w:pPr>
              <w:pStyle w:val="Body"/>
              <w:spacing w:after="0"/>
            </w:pPr>
            <w:r>
              <w:rPr>
                <w:sz w:val="20"/>
                <w:szCs w:val="20"/>
              </w:rPr>
              <w:t>(0.54, 0.77)</w:t>
            </w:r>
          </w:p>
        </w:tc>
      </w:tr>
      <w:tr w:rsidR="00E73C9D" w14:paraId="098AFE7E" w14:textId="77777777">
        <w:trPr>
          <w:trHeight w:val="540"/>
        </w:trPr>
        <w:tc>
          <w:tcPr>
            <w:tcW w:w="1598" w:type="dxa"/>
            <w:vMerge/>
            <w:tcBorders>
              <w:top w:val="single" w:sz="4" w:space="0" w:color="000000"/>
              <w:left w:val="nil"/>
              <w:bottom w:val="single" w:sz="4" w:space="0" w:color="000000"/>
              <w:right w:val="nil"/>
            </w:tcBorders>
            <w:shd w:val="clear" w:color="auto" w:fill="auto"/>
          </w:tcPr>
          <w:p w14:paraId="5C29EC3D" w14:textId="77777777" w:rsidR="00E73C9D" w:rsidRDefault="00E73C9D"/>
        </w:tc>
        <w:tc>
          <w:tcPr>
            <w:tcW w:w="1507" w:type="dxa"/>
            <w:tcBorders>
              <w:top w:val="nil"/>
              <w:left w:val="nil"/>
              <w:bottom w:val="nil"/>
              <w:right w:val="nil"/>
            </w:tcBorders>
            <w:shd w:val="clear" w:color="auto" w:fill="auto"/>
            <w:tcMar>
              <w:top w:w="80" w:type="dxa"/>
              <w:left w:w="80" w:type="dxa"/>
              <w:bottom w:w="80" w:type="dxa"/>
              <w:right w:w="80" w:type="dxa"/>
            </w:tcMar>
          </w:tcPr>
          <w:p w14:paraId="4F58C8C2" w14:textId="77777777" w:rsidR="00E73C9D" w:rsidRDefault="00C57731">
            <w:pPr>
              <w:pStyle w:val="Body"/>
              <w:spacing w:after="0"/>
            </w:pPr>
            <w:r>
              <w:rPr>
                <w:sz w:val="20"/>
                <w:szCs w:val="20"/>
              </w:rPr>
              <w:t>PSM 2</w:t>
            </w:r>
          </w:p>
        </w:tc>
        <w:tc>
          <w:tcPr>
            <w:tcW w:w="989" w:type="dxa"/>
            <w:tcBorders>
              <w:top w:val="nil"/>
              <w:left w:val="nil"/>
              <w:bottom w:val="nil"/>
              <w:right w:val="nil"/>
            </w:tcBorders>
            <w:shd w:val="clear" w:color="auto" w:fill="auto"/>
            <w:tcMar>
              <w:top w:w="80" w:type="dxa"/>
              <w:left w:w="80" w:type="dxa"/>
              <w:bottom w:w="80" w:type="dxa"/>
              <w:right w:w="80" w:type="dxa"/>
            </w:tcMar>
          </w:tcPr>
          <w:p w14:paraId="1C1AAA32" w14:textId="77777777" w:rsidR="00E73C9D" w:rsidRDefault="00C57731">
            <w:pPr>
              <w:pStyle w:val="Body"/>
              <w:spacing w:after="0"/>
            </w:pPr>
            <w:r>
              <w:rPr>
                <w:sz w:val="20"/>
                <w:szCs w:val="20"/>
              </w:rPr>
              <w:t>4586</w:t>
            </w:r>
          </w:p>
        </w:tc>
        <w:tc>
          <w:tcPr>
            <w:tcW w:w="861" w:type="dxa"/>
            <w:tcBorders>
              <w:top w:val="nil"/>
              <w:left w:val="nil"/>
              <w:bottom w:val="nil"/>
              <w:right w:val="nil"/>
            </w:tcBorders>
            <w:shd w:val="clear" w:color="auto" w:fill="auto"/>
            <w:tcMar>
              <w:top w:w="80" w:type="dxa"/>
              <w:left w:w="80" w:type="dxa"/>
              <w:bottom w:w="80" w:type="dxa"/>
              <w:right w:w="80" w:type="dxa"/>
            </w:tcMar>
          </w:tcPr>
          <w:p w14:paraId="46001356" w14:textId="77777777" w:rsidR="00E73C9D" w:rsidRDefault="00C57731">
            <w:pPr>
              <w:pStyle w:val="Body"/>
              <w:spacing w:after="0"/>
            </w:pPr>
            <w:r>
              <w:rPr>
                <w:sz w:val="20"/>
                <w:szCs w:val="20"/>
              </w:rPr>
              <w:t>475</w:t>
            </w:r>
          </w:p>
        </w:tc>
        <w:tc>
          <w:tcPr>
            <w:tcW w:w="606" w:type="dxa"/>
            <w:tcBorders>
              <w:top w:val="nil"/>
              <w:left w:val="nil"/>
              <w:bottom w:val="nil"/>
              <w:right w:val="nil"/>
            </w:tcBorders>
            <w:shd w:val="clear" w:color="auto" w:fill="auto"/>
            <w:tcMar>
              <w:top w:w="80" w:type="dxa"/>
              <w:left w:w="80" w:type="dxa"/>
              <w:bottom w:w="80" w:type="dxa"/>
              <w:right w:w="80" w:type="dxa"/>
            </w:tcMar>
          </w:tcPr>
          <w:p w14:paraId="0BF2958C" w14:textId="77777777" w:rsidR="00E73C9D" w:rsidRDefault="00C57731">
            <w:pPr>
              <w:pStyle w:val="Body"/>
              <w:spacing w:after="0"/>
            </w:pPr>
            <w:r>
              <w:rPr>
                <w:sz w:val="20"/>
                <w:szCs w:val="20"/>
              </w:rPr>
              <w:t>0.75</w:t>
            </w:r>
          </w:p>
        </w:tc>
        <w:tc>
          <w:tcPr>
            <w:tcW w:w="999" w:type="dxa"/>
            <w:tcBorders>
              <w:top w:val="nil"/>
              <w:left w:val="nil"/>
              <w:bottom w:val="nil"/>
              <w:right w:val="nil"/>
            </w:tcBorders>
            <w:shd w:val="clear" w:color="auto" w:fill="auto"/>
            <w:tcMar>
              <w:top w:w="80" w:type="dxa"/>
              <w:left w:w="80" w:type="dxa"/>
              <w:bottom w:w="80" w:type="dxa"/>
              <w:right w:w="80" w:type="dxa"/>
            </w:tcMar>
          </w:tcPr>
          <w:p w14:paraId="745FE463" w14:textId="77777777" w:rsidR="00E73C9D" w:rsidRDefault="00C57731">
            <w:pPr>
              <w:pStyle w:val="Body"/>
              <w:spacing w:after="0"/>
            </w:pPr>
            <w:r>
              <w:rPr>
                <w:sz w:val="20"/>
                <w:szCs w:val="20"/>
              </w:rPr>
              <w:t>(0.62, 0.91)</w:t>
            </w:r>
          </w:p>
        </w:tc>
        <w:tc>
          <w:tcPr>
            <w:tcW w:w="861" w:type="dxa"/>
            <w:tcBorders>
              <w:top w:val="nil"/>
              <w:left w:val="nil"/>
              <w:bottom w:val="nil"/>
              <w:right w:val="nil"/>
            </w:tcBorders>
            <w:shd w:val="clear" w:color="auto" w:fill="auto"/>
            <w:tcMar>
              <w:top w:w="80" w:type="dxa"/>
              <w:left w:w="80" w:type="dxa"/>
              <w:bottom w:w="80" w:type="dxa"/>
              <w:right w:w="80" w:type="dxa"/>
            </w:tcMar>
          </w:tcPr>
          <w:p w14:paraId="1DC9A393" w14:textId="77777777" w:rsidR="00E73C9D" w:rsidRDefault="00C57731">
            <w:pPr>
              <w:pStyle w:val="Body"/>
              <w:spacing w:after="0"/>
            </w:pPr>
            <w:r>
              <w:rPr>
                <w:sz w:val="20"/>
                <w:szCs w:val="20"/>
              </w:rPr>
              <w:t>759</w:t>
            </w:r>
          </w:p>
        </w:tc>
        <w:tc>
          <w:tcPr>
            <w:tcW w:w="605" w:type="dxa"/>
            <w:tcBorders>
              <w:top w:val="nil"/>
              <w:left w:val="nil"/>
              <w:bottom w:val="nil"/>
              <w:right w:val="nil"/>
            </w:tcBorders>
            <w:shd w:val="clear" w:color="auto" w:fill="auto"/>
            <w:tcMar>
              <w:top w:w="80" w:type="dxa"/>
              <w:left w:w="80" w:type="dxa"/>
              <w:bottom w:w="80" w:type="dxa"/>
              <w:right w:w="80" w:type="dxa"/>
            </w:tcMar>
          </w:tcPr>
          <w:p w14:paraId="5B9510BF" w14:textId="77777777" w:rsidR="00E73C9D" w:rsidRDefault="00C57731">
            <w:pPr>
              <w:pStyle w:val="Body"/>
              <w:spacing w:after="0"/>
            </w:pPr>
            <w:r>
              <w:rPr>
                <w:sz w:val="20"/>
                <w:szCs w:val="20"/>
              </w:rPr>
              <w:t>0.72</w:t>
            </w:r>
          </w:p>
        </w:tc>
        <w:tc>
          <w:tcPr>
            <w:tcW w:w="999" w:type="dxa"/>
            <w:tcBorders>
              <w:top w:val="nil"/>
              <w:left w:val="nil"/>
              <w:bottom w:val="nil"/>
              <w:right w:val="nil"/>
            </w:tcBorders>
            <w:shd w:val="clear" w:color="auto" w:fill="auto"/>
            <w:tcMar>
              <w:top w:w="80" w:type="dxa"/>
              <w:left w:w="80" w:type="dxa"/>
              <w:bottom w:w="80" w:type="dxa"/>
              <w:right w:w="80" w:type="dxa"/>
            </w:tcMar>
          </w:tcPr>
          <w:p w14:paraId="00B06122" w14:textId="77777777" w:rsidR="00E73C9D" w:rsidRDefault="00C57731">
            <w:pPr>
              <w:pStyle w:val="Body"/>
              <w:spacing w:after="0"/>
            </w:pPr>
            <w:r>
              <w:rPr>
                <w:sz w:val="20"/>
                <w:szCs w:val="20"/>
              </w:rPr>
              <w:t>(0.63, 0.84)</w:t>
            </w:r>
          </w:p>
        </w:tc>
      </w:tr>
      <w:tr w:rsidR="00E73C9D" w14:paraId="481FD0FB" w14:textId="77777777">
        <w:trPr>
          <w:trHeight w:val="545"/>
        </w:trPr>
        <w:tc>
          <w:tcPr>
            <w:tcW w:w="1598" w:type="dxa"/>
            <w:vMerge/>
            <w:tcBorders>
              <w:top w:val="single" w:sz="4" w:space="0" w:color="000000"/>
              <w:left w:val="nil"/>
              <w:bottom w:val="single" w:sz="4" w:space="0" w:color="000000"/>
              <w:right w:val="nil"/>
            </w:tcBorders>
            <w:shd w:val="clear" w:color="auto" w:fill="auto"/>
          </w:tcPr>
          <w:p w14:paraId="3451D089" w14:textId="77777777" w:rsidR="00E73C9D" w:rsidRDefault="00E73C9D"/>
        </w:tc>
        <w:tc>
          <w:tcPr>
            <w:tcW w:w="1507" w:type="dxa"/>
            <w:tcBorders>
              <w:top w:val="nil"/>
              <w:left w:val="nil"/>
              <w:bottom w:val="single" w:sz="4" w:space="0" w:color="000000"/>
              <w:right w:val="nil"/>
            </w:tcBorders>
            <w:shd w:val="clear" w:color="auto" w:fill="auto"/>
            <w:tcMar>
              <w:top w:w="80" w:type="dxa"/>
              <w:left w:w="80" w:type="dxa"/>
              <w:bottom w:w="80" w:type="dxa"/>
              <w:right w:w="80" w:type="dxa"/>
            </w:tcMar>
          </w:tcPr>
          <w:p w14:paraId="41B9F5EB" w14:textId="77777777" w:rsidR="00E73C9D" w:rsidRDefault="00C57731">
            <w:pPr>
              <w:pStyle w:val="Body"/>
              <w:spacing w:after="0"/>
            </w:pPr>
            <w:r>
              <w:rPr>
                <w:sz w:val="20"/>
                <w:szCs w:val="20"/>
              </w:rPr>
              <w:t>PSM 3</w:t>
            </w:r>
          </w:p>
        </w:tc>
        <w:tc>
          <w:tcPr>
            <w:tcW w:w="989" w:type="dxa"/>
            <w:tcBorders>
              <w:top w:val="nil"/>
              <w:left w:val="nil"/>
              <w:bottom w:val="single" w:sz="4" w:space="0" w:color="000000"/>
              <w:right w:val="nil"/>
            </w:tcBorders>
            <w:shd w:val="clear" w:color="auto" w:fill="auto"/>
            <w:tcMar>
              <w:top w:w="80" w:type="dxa"/>
              <w:left w:w="80" w:type="dxa"/>
              <w:bottom w:w="80" w:type="dxa"/>
              <w:right w:w="80" w:type="dxa"/>
            </w:tcMar>
          </w:tcPr>
          <w:p w14:paraId="161C07E9" w14:textId="77777777" w:rsidR="00E73C9D" w:rsidRDefault="00C57731">
            <w:pPr>
              <w:pStyle w:val="Body"/>
              <w:spacing w:after="0"/>
            </w:pPr>
            <w:r>
              <w:rPr>
                <w:sz w:val="20"/>
                <w:szCs w:val="20"/>
              </w:rPr>
              <w:t>3830</w:t>
            </w:r>
          </w:p>
        </w:tc>
        <w:tc>
          <w:tcPr>
            <w:tcW w:w="861" w:type="dxa"/>
            <w:tcBorders>
              <w:top w:val="nil"/>
              <w:left w:val="nil"/>
              <w:bottom w:val="single" w:sz="4" w:space="0" w:color="000000"/>
              <w:right w:val="nil"/>
            </w:tcBorders>
            <w:shd w:val="clear" w:color="auto" w:fill="auto"/>
            <w:tcMar>
              <w:top w:w="80" w:type="dxa"/>
              <w:left w:w="80" w:type="dxa"/>
              <w:bottom w:w="80" w:type="dxa"/>
              <w:right w:w="80" w:type="dxa"/>
            </w:tcMar>
          </w:tcPr>
          <w:p w14:paraId="4C683509" w14:textId="77777777" w:rsidR="00E73C9D" w:rsidRDefault="00C57731">
            <w:pPr>
              <w:pStyle w:val="Body"/>
              <w:spacing w:after="0"/>
            </w:pPr>
            <w:r>
              <w:rPr>
                <w:sz w:val="20"/>
                <w:szCs w:val="20"/>
              </w:rPr>
              <w:t>431</w:t>
            </w:r>
          </w:p>
        </w:tc>
        <w:tc>
          <w:tcPr>
            <w:tcW w:w="606" w:type="dxa"/>
            <w:tcBorders>
              <w:top w:val="nil"/>
              <w:left w:val="nil"/>
              <w:bottom w:val="single" w:sz="4" w:space="0" w:color="000000"/>
              <w:right w:val="nil"/>
            </w:tcBorders>
            <w:shd w:val="clear" w:color="auto" w:fill="auto"/>
            <w:tcMar>
              <w:top w:w="80" w:type="dxa"/>
              <w:left w:w="80" w:type="dxa"/>
              <w:bottom w:w="80" w:type="dxa"/>
              <w:right w:w="80" w:type="dxa"/>
            </w:tcMar>
          </w:tcPr>
          <w:p w14:paraId="54C7675F" w14:textId="77777777" w:rsidR="00E73C9D" w:rsidRDefault="00C57731">
            <w:pPr>
              <w:pStyle w:val="Body"/>
              <w:spacing w:after="0"/>
            </w:pPr>
            <w:r>
              <w:rPr>
                <w:sz w:val="20"/>
                <w:szCs w:val="20"/>
              </w:rPr>
              <w:t>0.69</w:t>
            </w:r>
          </w:p>
        </w:tc>
        <w:tc>
          <w:tcPr>
            <w:tcW w:w="999" w:type="dxa"/>
            <w:tcBorders>
              <w:top w:val="nil"/>
              <w:left w:val="nil"/>
              <w:bottom w:val="single" w:sz="4" w:space="0" w:color="000000"/>
              <w:right w:val="nil"/>
            </w:tcBorders>
            <w:shd w:val="clear" w:color="auto" w:fill="auto"/>
            <w:tcMar>
              <w:top w:w="80" w:type="dxa"/>
              <w:left w:w="80" w:type="dxa"/>
              <w:bottom w:w="80" w:type="dxa"/>
              <w:right w:w="80" w:type="dxa"/>
            </w:tcMar>
          </w:tcPr>
          <w:p w14:paraId="00D57DD5" w14:textId="77777777" w:rsidR="00E73C9D" w:rsidRDefault="00C57731">
            <w:pPr>
              <w:pStyle w:val="Body"/>
              <w:spacing w:after="0"/>
            </w:pPr>
            <w:r>
              <w:rPr>
                <w:sz w:val="20"/>
                <w:szCs w:val="20"/>
              </w:rPr>
              <w:t>(0.59, 0.86)</w:t>
            </w:r>
          </w:p>
        </w:tc>
        <w:tc>
          <w:tcPr>
            <w:tcW w:w="861" w:type="dxa"/>
            <w:tcBorders>
              <w:top w:val="nil"/>
              <w:left w:val="nil"/>
              <w:bottom w:val="single" w:sz="4" w:space="0" w:color="000000"/>
              <w:right w:val="nil"/>
            </w:tcBorders>
            <w:shd w:val="clear" w:color="auto" w:fill="auto"/>
            <w:tcMar>
              <w:top w:w="80" w:type="dxa"/>
              <w:left w:w="80" w:type="dxa"/>
              <w:bottom w:w="80" w:type="dxa"/>
              <w:right w:w="80" w:type="dxa"/>
            </w:tcMar>
          </w:tcPr>
          <w:p w14:paraId="19491173" w14:textId="77777777" w:rsidR="00E73C9D" w:rsidRDefault="00C57731">
            <w:pPr>
              <w:pStyle w:val="Body"/>
              <w:spacing w:after="0"/>
            </w:pPr>
            <w:r>
              <w:rPr>
                <w:sz w:val="20"/>
                <w:szCs w:val="20"/>
              </w:rPr>
              <w:t>648</w:t>
            </w:r>
          </w:p>
        </w:tc>
        <w:tc>
          <w:tcPr>
            <w:tcW w:w="605" w:type="dxa"/>
            <w:tcBorders>
              <w:top w:val="nil"/>
              <w:left w:val="nil"/>
              <w:bottom w:val="single" w:sz="4" w:space="0" w:color="000000"/>
              <w:right w:val="nil"/>
            </w:tcBorders>
            <w:shd w:val="clear" w:color="auto" w:fill="auto"/>
            <w:tcMar>
              <w:top w:w="80" w:type="dxa"/>
              <w:left w:w="80" w:type="dxa"/>
              <w:bottom w:w="80" w:type="dxa"/>
              <w:right w:w="80" w:type="dxa"/>
            </w:tcMar>
          </w:tcPr>
          <w:p w14:paraId="232F1DAE" w14:textId="77777777" w:rsidR="00E73C9D" w:rsidRDefault="00C57731">
            <w:pPr>
              <w:pStyle w:val="Body"/>
              <w:spacing w:after="0"/>
            </w:pPr>
            <w:r>
              <w:rPr>
                <w:sz w:val="20"/>
                <w:szCs w:val="20"/>
              </w:rPr>
              <w:t>0.66</w:t>
            </w:r>
          </w:p>
        </w:tc>
        <w:tc>
          <w:tcPr>
            <w:tcW w:w="999" w:type="dxa"/>
            <w:tcBorders>
              <w:top w:val="nil"/>
              <w:left w:val="nil"/>
              <w:bottom w:val="single" w:sz="4" w:space="0" w:color="000000"/>
              <w:right w:val="nil"/>
            </w:tcBorders>
            <w:shd w:val="clear" w:color="auto" w:fill="auto"/>
            <w:tcMar>
              <w:top w:w="80" w:type="dxa"/>
              <w:left w:w="80" w:type="dxa"/>
              <w:bottom w:w="80" w:type="dxa"/>
              <w:right w:w="80" w:type="dxa"/>
            </w:tcMar>
          </w:tcPr>
          <w:p w14:paraId="61926454" w14:textId="77777777" w:rsidR="00E73C9D" w:rsidRDefault="00C57731">
            <w:pPr>
              <w:pStyle w:val="Body"/>
              <w:spacing w:after="0"/>
            </w:pPr>
            <w:r>
              <w:rPr>
                <w:sz w:val="20"/>
                <w:szCs w:val="20"/>
              </w:rPr>
              <w:t>(0.59, 0.8)</w:t>
            </w:r>
          </w:p>
        </w:tc>
      </w:tr>
      <w:tr w:rsidR="00E73C9D" w14:paraId="1400383E" w14:textId="77777777">
        <w:trPr>
          <w:trHeight w:val="545"/>
        </w:trPr>
        <w:tc>
          <w:tcPr>
            <w:tcW w:w="1598" w:type="dxa"/>
            <w:vMerge w:val="restart"/>
            <w:tcBorders>
              <w:top w:val="single" w:sz="4" w:space="0" w:color="000000"/>
              <w:left w:val="nil"/>
              <w:bottom w:val="single" w:sz="12" w:space="0" w:color="000000"/>
              <w:right w:val="nil"/>
            </w:tcBorders>
            <w:shd w:val="clear" w:color="auto" w:fill="auto"/>
            <w:tcMar>
              <w:top w:w="80" w:type="dxa"/>
              <w:left w:w="80" w:type="dxa"/>
              <w:bottom w:w="80" w:type="dxa"/>
              <w:right w:w="80" w:type="dxa"/>
            </w:tcMar>
          </w:tcPr>
          <w:p w14:paraId="07A102E8" w14:textId="77777777" w:rsidR="00E73C9D" w:rsidRDefault="00C57731">
            <w:pPr>
              <w:pStyle w:val="Body"/>
              <w:spacing w:after="0"/>
            </w:pPr>
            <w:r>
              <w:rPr>
                <w:sz w:val="20"/>
                <w:szCs w:val="20"/>
              </w:rPr>
              <w:t>Full Cohort</w:t>
            </w:r>
          </w:p>
        </w:tc>
        <w:tc>
          <w:tcPr>
            <w:tcW w:w="1507" w:type="dxa"/>
            <w:tcBorders>
              <w:top w:val="single" w:sz="4" w:space="0" w:color="000000"/>
              <w:left w:val="nil"/>
              <w:bottom w:val="nil"/>
              <w:right w:val="nil"/>
            </w:tcBorders>
            <w:shd w:val="clear" w:color="auto" w:fill="auto"/>
            <w:tcMar>
              <w:top w:w="80" w:type="dxa"/>
              <w:left w:w="80" w:type="dxa"/>
              <w:bottom w:w="80" w:type="dxa"/>
              <w:right w:w="80" w:type="dxa"/>
            </w:tcMar>
          </w:tcPr>
          <w:p w14:paraId="46F929F7" w14:textId="77777777" w:rsidR="00E73C9D" w:rsidRDefault="00C57731">
            <w:pPr>
              <w:pStyle w:val="Body"/>
              <w:spacing w:after="0"/>
            </w:pPr>
            <w:r>
              <w:rPr>
                <w:sz w:val="20"/>
                <w:szCs w:val="20"/>
              </w:rPr>
              <w:t>PSM 1</w:t>
            </w:r>
          </w:p>
        </w:tc>
        <w:tc>
          <w:tcPr>
            <w:tcW w:w="989" w:type="dxa"/>
            <w:tcBorders>
              <w:top w:val="single" w:sz="4" w:space="0" w:color="000000"/>
              <w:left w:val="nil"/>
              <w:bottom w:val="nil"/>
              <w:right w:val="nil"/>
            </w:tcBorders>
            <w:shd w:val="clear" w:color="auto" w:fill="auto"/>
            <w:tcMar>
              <w:top w:w="80" w:type="dxa"/>
              <w:left w:w="80" w:type="dxa"/>
              <w:bottom w:w="80" w:type="dxa"/>
              <w:right w:w="80" w:type="dxa"/>
            </w:tcMar>
          </w:tcPr>
          <w:p w14:paraId="5FCBBE99" w14:textId="77777777" w:rsidR="00E73C9D" w:rsidRDefault="00C57731">
            <w:pPr>
              <w:pStyle w:val="Body"/>
              <w:spacing w:after="0"/>
            </w:pPr>
            <w:r>
              <w:rPr>
                <w:sz w:val="20"/>
                <w:szCs w:val="20"/>
              </w:rPr>
              <w:t>21840</w:t>
            </w:r>
          </w:p>
        </w:tc>
        <w:tc>
          <w:tcPr>
            <w:tcW w:w="861" w:type="dxa"/>
            <w:tcBorders>
              <w:top w:val="single" w:sz="4" w:space="0" w:color="000000"/>
              <w:left w:val="nil"/>
              <w:bottom w:val="nil"/>
              <w:right w:val="nil"/>
            </w:tcBorders>
            <w:shd w:val="clear" w:color="auto" w:fill="auto"/>
            <w:tcMar>
              <w:top w:w="80" w:type="dxa"/>
              <w:left w:w="80" w:type="dxa"/>
              <w:bottom w:w="80" w:type="dxa"/>
              <w:right w:w="80" w:type="dxa"/>
            </w:tcMar>
          </w:tcPr>
          <w:p w14:paraId="265BD391" w14:textId="77777777" w:rsidR="00E73C9D" w:rsidRDefault="00C57731">
            <w:pPr>
              <w:pStyle w:val="Body"/>
              <w:spacing w:after="0"/>
            </w:pPr>
            <w:r>
              <w:rPr>
                <w:sz w:val="20"/>
                <w:szCs w:val="20"/>
              </w:rPr>
              <w:t>3463</w:t>
            </w:r>
          </w:p>
        </w:tc>
        <w:tc>
          <w:tcPr>
            <w:tcW w:w="606" w:type="dxa"/>
            <w:tcBorders>
              <w:top w:val="single" w:sz="4" w:space="0" w:color="000000"/>
              <w:left w:val="nil"/>
              <w:bottom w:val="nil"/>
              <w:right w:val="nil"/>
            </w:tcBorders>
            <w:shd w:val="clear" w:color="auto" w:fill="auto"/>
            <w:tcMar>
              <w:top w:w="80" w:type="dxa"/>
              <w:left w:w="80" w:type="dxa"/>
              <w:bottom w:w="80" w:type="dxa"/>
              <w:right w:w="80" w:type="dxa"/>
            </w:tcMar>
          </w:tcPr>
          <w:p w14:paraId="2BD02F4E" w14:textId="77777777" w:rsidR="00E73C9D" w:rsidRDefault="00C57731">
            <w:pPr>
              <w:pStyle w:val="Body"/>
              <w:spacing w:after="0"/>
            </w:pPr>
            <w:r>
              <w:rPr>
                <w:sz w:val="20"/>
                <w:szCs w:val="20"/>
              </w:rPr>
              <w:t>0.71</w:t>
            </w:r>
          </w:p>
        </w:tc>
        <w:tc>
          <w:tcPr>
            <w:tcW w:w="999" w:type="dxa"/>
            <w:tcBorders>
              <w:top w:val="single" w:sz="4" w:space="0" w:color="000000"/>
              <w:left w:val="nil"/>
              <w:bottom w:val="nil"/>
              <w:right w:val="nil"/>
            </w:tcBorders>
            <w:shd w:val="clear" w:color="auto" w:fill="auto"/>
            <w:tcMar>
              <w:top w:w="80" w:type="dxa"/>
              <w:left w:w="80" w:type="dxa"/>
              <w:bottom w:w="80" w:type="dxa"/>
              <w:right w:w="80" w:type="dxa"/>
            </w:tcMar>
          </w:tcPr>
          <w:p w14:paraId="6CB37DB4" w14:textId="77777777" w:rsidR="00E73C9D" w:rsidRDefault="00C57731">
            <w:pPr>
              <w:pStyle w:val="Body"/>
              <w:spacing w:after="0"/>
            </w:pPr>
            <w:r>
              <w:rPr>
                <w:sz w:val="20"/>
                <w:szCs w:val="20"/>
              </w:rPr>
              <w:t>(0.57, 0.76)</w:t>
            </w:r>
          </w:p>
        </w:tc>
        <w:tc>
          <w:tcPr>
            <w:tcW w:w="861" w:type="dxa"/>
            <w:tcBorders>
              <w:top w:val="single" w:sz="4" w:space="0" w:color="000000"/>
              <w:left w:val="nil"/>
              <w:bottom w:val="nil"/>
              <w:right w:val="nil"/>
            </w:tcBorders>
            <w:shd w:val="clear" w:color="auto" w:fill="auto"/>
            <w:tcMar>
              <w:top w:w="80" w:type="dxa"/>
              <w:left w:w="80" w:type="dxa"/>
              <w:bottom w:w="80" w:type="dxa"/>
              <w:right w:w="80" w:type="dxa"/>
            </w:tcMar>
          </w:tcPr>
          <w:p w14:paraId="3CEA4F56" w14:textId="77777777" w:rsidR="00E73C9D" w:rsidRDefault="00C57731">
            <w:pPr>
              <w:pStyle w:val="Body"/>
              <w:spacing w:after="0"/>
            </w:pPr>
            <w:r>
              <w:rPr>
                <w:sz w:val="20"/>
                <w:szCs w:val="20"/>
              </w:rPr>
              <w:t>4950</w:t>
            </w:r>
          </w:p>
        </w:tc>
        <w:tc>
          <w:tcPr>
            <w:tcW w:w="605" w:type="dxa"/>
            <w:tcBorders>
              <w:top w:val="single" w:sz="4" w:space="0" w:color="000000"/>
              <w:left w:val="nil"/>
              <w:bottom w:val="nil"/>
              <w:right w:val="nil"/>
            </w:tcBorders>
            <w:shd w:val="clear" w:color="auto" w:fill="auto"/>
            <w:tcMar>
              <w:top w:w="80" w:type="dxa"/>
              <w:left w:w="80" w:type="dxa"/>
              <w:bottom w:w="80" w:type="dxa"/>
              <w:right w:w="80" w:type="dxa"/>
            </w:tcMar>
          </w:tcPr>
          <w:p w14:paraId="03F27448" w14:textId="77777777" w:rsidR="00E73C9D" w:rsidRDefault="00C57731">
            <w:pPr>
              <w:pStyle w:val="Body"/>
              <w:spacing w:after="0"/>
            </w:pPr>
            <w:r>
              <w:rPr>
                <w:sz w:val="20"/>
                <w:szCs w:val="20"/>
              </w:rPr>
              <w:t>0.63</w:t>
            </w:r>
          </w:p>
        </w:tc>
        <w:tc>
          <w:tcPr>
            <w:tcW w:w="999" w:type="dxa"/>
            <w:tcBorders>
              <w:top w:val="single" w:sz="4" w:space="0" w:color="000000"/>
              <w:left w:val="nil"/>
              <w:bottom w:val="nil"/>
              <w:right w:val="nil"/>
            </w:tcBorders>
            <w:shd w:val="clear" w:color="auto" w:fill="auto"/>
            <w:tcMar>
              <w:top w:w="80" w:type="dxa"/>
              <w:left w:w="80" w:type="dxa"/>
              <w:bottom w:w="80" w:type="dxa"/>
              <w:right w:w="80" w:type="dxa"/>
            </w:tcMar>
          </w:tcPr>
          <w:p w14:paraId="0763A010" w14:textId="77777777" w:rsidR="00E73C9D" w:rsidRDefault="00C57731">
            <w:pPr>
              <w:pStyle w:val="Body"/>
              <w:spacing w:after="0"/>
            </w:pPr>
            <w:r>
              <w:rPr>
                <w:sz w:val="20"/>
                <w:szCs w:val="20"/>
              </w:rPr>
              <w:t>(0.54, 0.68)</w:t>
            </w:r>
          </w:p>
        </w:tc>
      </w:tr>
      <w:tr w:rsidR="00E73C9D" w14:paraId="0C4009FA" w14:textId="77777777">
        <w:trPr>
          <w:trHeight w:val="540"/>
        </w:trPr>
        <w:tc>
          <w:tcPr>
            <w:tcW w:w="1598" w:type="dxa"/>
            <w:vMerge/>
            <w:tcBorders>
              <w:top w:val="single" w:sz="4" w:space="0" w:color="000000"/>
              <w:left w:val="nil"/>
              <w:bottom w:val="single" w:sz="12" w:space="0" w:color="000000"/>
              <w:right w:val="nil"/>
            </w:tcBorders>
            <w:shd w:val="clear" w:color="auto" w:fill="auto"/>
          </w:tcPr>
          <w:p w14:paraId="677A5F5D" w14:textId="77777777" w:rsidR="00E73C9D" w:rsidRDefault="00E73C9D"/>
        </w:tc>
        <w:tc>
          <w:tcPr>
            <w:tcW w:w="1507" w:type="dxa"/>
            <w:tcBorders>
              <w:top w:val="nil"/>
              <w:left w:val="nil"/>
              <w:bottom w:val="nil"/>
              <w:right w:val="nil"/>
            </w:tcBorders>
            <w:shd w:val="clear" w:color="auto" w:fill="auto"/>
            <w:tcMar>
              <w:top w:w="80" w:type="dxa"/>
              <w:left w:w="80" w:type="dxa"/>
              <w:bottom w:w="80" w:type="dxa"/>
              <w:right w:w="80" w:type="dxa"/>
            </w:tcMar>
          </w:tcPr>
          <w:p w14:paraId="5CA95F81" w14:textId="77777777" w:rsidR="00E73C9D" w:rsidRDefault="00C57731">
            <w:pPr>
              <w:pStyle w:val="Body"/>
              <w:spacing w:after="0"/>
            </w:pPr>
            <w:r>
              <w:rPr>
                <w:sz w:val="20"/>
                <w:szCs w:val="20"/>
              </w:rPr>
              <w:t>PSM 2</w:t>
            </w:r>
          </w:p>
        </w:tc>
        <w:tc>
          <w:tcPr>
            <w:tcW w:w="989" w:type="dxa"/>
            <w:tcBorders>
              <w:top w:val="nil"/>
              <w:left w:val="nil"/>
              <w:bottom w:val="nil"/>
              <w:right w:val="nil"/>
            </w:tcBorders>
            <w:shd w:val="clear" w:color="auto" w:fill="auto"/>
            <w:tcMar>
              <w:top w:w="80" w:type="dxa"/>
              <w:left w:w="80" w:type="dxa"/>
              <w:bottom w:w="80" w:type="dxa"/>
              <w:right w:w="80" w:type="dxa"/>
            </w:tcMar>
          </w:tcPr>
          <w:p w14:paraId="68C1C734" w14:textId="77777777" w:rsidR="00E73C9D" w:rsidRDefault="00C57731">
            <w:pPr>
              <w:pStyle w:val="Body"/>
              <w:spacing w:after="0"/>
            </w:pPr>
            <w:r>
              <w:rPr>
                <w:sz w:val="20"/>
                <w:szCs w:val="20"/>
              </w:rPr>
              <w:t>21840</w:t>
            </w:r>
          </w:p>
        </w:tc>
        <w:tc>
          <w:tcPr>
            <w:tcW w:w="861" w:type="dxa"/>
            <w:tcBorders>
              <w:top w:val="nil"/>
              <w:left w:val="nil"/>
              <w:bottom w:val="nil"/>
              <w:right w:val="nil"/>
            </w:tcBorders>
            <w:shd w:val="clear" w:color="auto" w:fill="auto"/>
            <w:tcMar>
              <w:top w:w="80" w:type="dxa"/>
              <w:left w:w="80" w:type="dxa"/>
              <w:bottom w:w="80" w:type="dxa"/>
              <w:right w:w="80" w:type="dxa"/>
            </w:tcMar>
          </w:tcPr>
          <w:p w14:paraId="6D0412F2" w14:textId="77777777" w:rsidR="00E73C9D" w:rsidRDefault="00C57731">
            <w:pPr>
              <w:pStyle w:val="Body"/>
              <w:spacing w:after="0"/>
            </w:pPr>
            <w:r>
              <w:rPr>
                <w:sz w:val="20"/>
                <w:szCs w:val="20"/>
              </w:rPr>
              <w:t>2772</w:t>
            </w:r>
          </w:p>
        </w:tc>
        <w:tc>
          <w:tcPr>
            <w:tcW w:w="606" w:type="dxa"/>
            <w:tcBorders>
              <w:top w:val="nil"/>
              <w:left w:val="nil"/>
              <w:bottom w:val="nil"/>
              <w:right w:val="nil"/>
            </w:tcBorders>
            <w:shd w:val="clear" w:color="auto" w:fill="auto"/>
            <w:tcMar>
              <w:top w:w="80" w:type="dxa"/>
              <w:left w:w="80" w:type="dxa"/>
              <w:bottom w:w="80" w:type="dxa"/>
              <w:right w:w="80" w:type="dxa"/>
            </w:tcMar>
          </w:tcPr>
          <w:p w14:paraId="5057ADD2" w14:textId="77777777" w:rsidR="00E73C9D" w:rsidRDefault="00C57731">
            <w:pPr>
              <w:pStyle w:val="Body"/>
              <w:spacing w:after="0"/>
            </w:pPr>
            <w:r>
              <w:rPr>
                <w:sz w:val="20"/>
                <w:szCs w:val="20"/>
              </w:rPr>
              <w:t>1.19</w:t>
            </w:r>
          </w:p>
        </w:tc>
        <w:tc>
          <w:tcPr>
            <w:tcW w:w="999" w:type="dxa"/>
            <w:tcBorders>
              <w:top w:val="nil"/>
              <w:left w:val="nil"/>
              <w:bottom w:val="nil"/>
              <w:right w:val="nil"/>
            </w:tcBorders>
            <w:shd w:val="clear" w:color="auto" w:fill="auto"/>
            <w:tcMar>
              <w:top w:w="80" w:type="dxa"/>
              <w:left w:w="80" w:type="dxa"/>
              <w:bottom w:w="80" w:type="dxa"/>
              <w:right w:w="80" w:type="dxa"/>
            </w:tcMar>
          </w:tcPr>
          <w:p w14:paraId="4EB43E4F" w14:textId="77777777" w:rsidR="00E73C9D" w:rsidRDefault="00C57731">
            <w:pPr>
              <w:pStyle w:val="Body"/>
              <w:spacing w:after="0"/>
            </w:pPr>
            <w:r>
              <w:rPr>
                <w:sz w:val="20"/>
                <w:szCs w:val="20"/>
              </w:rPr>
              <w:t>(1.08, 1.26)</w:t>
            </w:r>
          </w:p>
        </w:tc>
        <w:tc>
          <w:tcPr>
            <w:tcW w:w="861" w:type="dxa"/>
            <w:tcBorders>
              <w:top w:val="nil"/>
              <w:left w:val="nil"/>
              <w:bottom w:val="nil"/>
              <w:right w:val="nil"/>
            </w:tcBorders>
            <w:shd w:val="clear" w:color="auto" w:fill="auto"/>
            <w:tcMar>
              <w:top w:w="80" w:type="dxa"/>
              <w:left w:w="80" w:type="dxa"/>
              <w:bottom w:w="80" w:type="dxa"/>
              <w:right w:w="80" w:type="dxa"/>
            </w:tcMar>
          </w:tcPr>
          <w:p w14:paraId="73C7418D" w14:textId="77777777" w:rsidR="00E73C9D" w:rsidRDefault="00C57731">
            <w:pPr>
              <w:pStyle w:val="Body"/>
              <w:spacing w:after="0"/>
            </w:pPr>
            <w:r>
              <w:rPr>
                <w:sz w:val="20"/>
                <w:szCs w:val="20"/>
              </w:rPr>
              <w:t>4169</w:t>
            </w:r>
          </w:p>
        </w:tc>
        <w:tc>
          <w:tcPr>
            <w:tcW w:w="605" w:type="dxa"/>
            <w:tcBorders>
              <w:top w:val="nil"/>
              <w:left w:val="nil"/>
              <w:bottom w:val="nil"/>
              <w:right w:val="nil"/>
            </w:tcBorders>
            <w:shd w:val="clear" w:color="auto" w:fill="auto"/>
            <w:tcMar>
              <w:top w:w="80" w:type="dxa"/>
              <w:left w:w="80" w:type="dxa"/>
              <w:bottom w:w="80" w:type="dxa"/>
              <w:right w:w="80" w:type="dxa"/>
            </w:tcMar>
          </w:tcPr>
          <w:p w14:paraId="3E2AAACB" w14:textId="77777777" w:rsidR="00E73C9D" w:rsidRDefault="00C57731">
            <w:pPr>
              <w:pStyle w:val="Body"/>
              <w:spacing w:after="0"/>
            </w:pPr>
            <w:r>
              <w:rPr>
                <w:sz w:val="20"/>
                <w:szCs w:val="20"/>
              </w:rPr>
              <w:t>0.94</w:t>
            </w:r>
          </w:p>
        </w:tc>
        <w:tc>
          <w:tcPr>
            <w:tcW w:w="999" w:type="dxa"/>
            <w:tcBorders>
              <w:top w:val="nil"/>
              <w:left w:val="nil"/>
              <w:bottom w:val="nil"/>
              <w:right w:val="nil"/>
            </w:tcBorders>
            <w:shd w:val="clear" w:color="auto" w:fill="auto"/>
            <w:tcMar>
              <w:top w:w="80" w:type="dxa"/>
              <w:left w:w="80" w:type="dxa"/>
              <w:bottom w:w="80" w:type="dxa"/>
              <w:right w:w="80" w:type="dxa"/>
            </w:tcMar>
          </w:tcPr>
          <w:p w14:paraId="05E70F3B" w14:textId="77777777" w:rsidR="00E73C9D" w:rsidRDefault="00C57731">
            <w:pPr>
              <w:pStyle w:val="Body"/>
              <w:spacing w:after="0"/>
            </w:pPr>
            <w:r>
              <w:rPr>
                <w:sz w:val="20"/>
                <w:szCs w:val="20"/>
              </w:rPr>
              <w:t>(0.88, 0.99)</w:t>
            </w:r>
          </w:p>
        </w:tc>
      </w:tr>
      <w:tr w:rsidR="00E73C9D" w14:paraId="202234E0" w14:textId="77777777">
        <w:trPr>
          <w:trHeight w:val="555"/>
        </w:trPr>
        <w:tc>
          <w:tcPr>
            <w:tcW w:w="1598" w:type="dxa"/>
            <w:vMerge/>
            <w:tcBorders>
              <w:top w:val="single" w:sz="4" w:space="0" w:color="000000"/>
              <w:left w:val="nil"/>
              <w:bottom w:val="single" w:sz="12" w:space="0" w:color="000000"/>
              <w:right w:val="nil"/>
            </w:tcBorders>
            <w:shd w:val="clear" w:color="auto" w:fill="auto"/>
          </w:tcPr>
          <w:p w14:paraId="0FCB7080" w14:textId="77777777" w:rsidR="00E73C9D" w:rsidRDefault="00E73C9D"/>
        </w:tc>
        <w:tc>
          <w:tcPr>
            <w:tcW w:w="1507" w:type="dxa"/>
            <w:tcBorders>
              <w:top w:val="nil"/>
              <w:left w:val="nil"/>
              <w:bottom w:val="single" w:sz="12" w:space="0" w:color="000000"/>
              <w:right w:val="nil"/>
            </w:tcBorders>
            <w:shd w:val="clear" w:color="auto" w:fill="auto"/>
            <w:tcMar>
              <w:top w:w="80" w:type="dxa"/>
              <w:left w:w="80" w:type="dxa"/>
              <w:bottom w:w="80" w:type="dxa"/>
              <w:right w:w="80" w:type="dxa"/>
            </w:tcMar>
          </w:tcPr>
          <w:p w14:paraId="0AA78637" w14:textId="77777777" w:rsidR="00E73C9D" w:rsidRDefault="00C57731">
            <w:pPr>
              <w:pStyle w:val="Body"/>
              <w:spacing w:after="0"/>
            </w:pPr>
            <w:r>
              <w:rPr>
                <w:sz w:val="20"/>
                <w:szCs w:val="20"/>
              </w:rPr>
              <w:t>PSM 3</w:t>
            </w:r>
          </w:p>
        </w:tc>
        <w:tc>
          <w:tcPr>
            <w:tcW w:w="989" w:type="dxa"/>
            <w:tcBorders>
              <w:top w:val="nil"/>
              <w:left w:val="nil"/>
              <w:bottom w:val="single" w:sz="12" w:space="0" w:color="000000"/>
              <w:right w:val="nil"/>
            </w:tcBorders>
            <w:shd w:val="clear" w:color="auto" w:fill="auto"/>
            <w:tcMar>
              <w:top w:w="80" w:type="dxa"/>
              <w:left w:w="80" w:type="dxa"/>
              <w:bottom w:w="80" w:type="dxa"/>
              <w:right w:w="80" w:type="dxa"/>
            </w:tcMar>
          </w:tcPr>
          <w:p w14:paraId="57D4A9CC" w14:textId="77777777" w:rsidR="00E73C9D" w:rsidRDefault="00C57731">
            <w:pPr>
              <w:pStyle w:val="Body"/>
              <w:spacing w:after="0"/>
            </w:pPr>
            <w:r>
              <w:rPr>
                <w:sz w:val="20"/>
                <w:szCs w:val="20"/>
              </w:rPr>
              <w:t>9178</w:t>
            </w:r>
          </w:p>
        </w:tc>
        <w:tc>
          <w:tcPr>
            <w:tcW w:w="861" w:type="dxa"/>
            <w:tcBorders>
              <w:top w:val="nil"/>
              <w:left w:val="nil"/>
              <w:bottom w:val="single" w:sz="12" w:space="0" w:color="000000"/>
              <w:right w:val="nil"/>
            </w:tcBorders>
            <w:shd w:val="clear" w:color="auto" w:fill="auto"/>
            <w:tcMar>
              <w:top w:w="80" w:type="dxa"/>
              <w:left w:w="80" w:type="dxa"/>
              <w:bottom w:w="80" w:type="dxa"/>
              <w:right w:w="80" w:type="dxa"/>
            </w:tcMar>
          </w:tcPr>
          <w:p w14:paraId="1482CB55" w14:textId="77777777" w:rsidR="00E73C9D" w:rsidRDefault="00C57731">
            <w:pPr>
              <w:pStyle w:val="Body"/>
              <w:spacing w:after="0"/>
            </w:pPr>
            <w:r>
              <w:rPr>
                <w:sz w:val="20"/>
                <w:szCs w:val="20"/>
              </w:rPr>
              <w:t>1267</w:t>
            </w:r>
          </w:p>
        </w:tc>
        <w:tc>
          <w:tcPr>
            <w:tcW w:w="606" w:type="dxa"/>
            <w:tcBorders>
              <w:top w:val="nil"/>
              <w:left w:val="nil"/>
              <w:bottom w:val="single" w:sz="12" w:space="0" w:color="000000"/>
              <w:right w:val="nil"/>
            </w:tcBorders>
            <w:shd w:val="clear" w:color="auto" w:fill="auto"/>
            <w:tcMar>
              <w:top w:w="80" w:type="dxa"/>
              <w:left w:w="80" w:type="dxa"/>
              <w:bottom w:w="80" w:type="dxa"/>
              <w:right w:w="80" w:type="dxa"/>
            </w:tcMar>
          </w:tcPr>
          <w:p w14:paraId="78BF35A5" w14:textId="77777777" w:rsidR="00E73C9D" w:rsidRDefault="00C57731">
            <w:pPr>
              <w:pStyle w:val="Body"/>
              <w:spacing w:after="0"/>
            </w:pPr>
            <w:r>
              <w:rPr>
                <w:sz w:val="20"/>
                <w:szCs w:val="20"/>
              </w:rPr>
              <w:t>0.71</w:t>
            </w:r>
          </w:p>
        </w:tc>
        <w:tc>
          <w:tcPr>
            <w:tcW w:w="999" w:type="dxa"/>
            <w:tcBorders>
              <w:top w:val="nil"/>
              <w:left w:val="nil"/>
              <w:bottom w:val="single" w:sz="12" w:space="0" w:color="000000"/>
              <w:right w:val="nil"/>
            </w:tcBorders>
            <w:shd w:val="clear" w:color="auto" w:fill="auto"/>
            <w:tcMar>
              <w:top w:w="80" w:type="dxa"/>
              <w:left w:w="80" w:type="dxa"/>
              <w:bottom w:w="80" w:type="dxa"/>
              <w:right w:w="80" w:type="dxa"/>
            </w:tcMar>
          </w:tcPr>
          <w:p w14:paraId="5A79FCDE" w14:textId="77777777" w:rsidR="00E73C9D" w:rsidRDefault="00C57731">
            <w:pPr>
              <w:pStyle w:val="Body"/>
              <w:spacing w:after="0"/>
            </w:pPr>
            <w:r>
              <w:rPr>
                <w:sz w:val="20"/>
                <w:szCs w:val="20"/>
              </w:rPr>
              <w:t>(0.64, 0.8)</w:t>
            </w:r>
          </w:p>
        </w:tc>
        <w:tc>
          <w:tcPr>
            <w:tcW w:w="861" w:type="dxa"/>
            <w:tcBorders>
              <w:top w:val="nil"/>
              <w:left w:val="nil"/>
              <w:bottom w:val="single" w:sz="12" w:space="0" w:color="000000"/>
              <w:right w:val="nil"/>
            </w:tcBorders>
            <w:shd w:val="clear" w:color="auto" w:fill="auto"/>
            <w:tcMar>
              <w:top w:w="80" w:type="dxa"/>
              <w:left w:w="80" w:type="dxa"/>
              <w:bottom w:w="80" w:type="dxa"/>
              <w:right w:w="80" w:type="dxa"/>
            </w:tcMar>
          </w:tcPr>
          <w:p w14:paraId="14E6A94B" w14:textId="77777777" w:rsidR="00E73C9D" w:rsidRDefault="00C57731">
            <w:pPr>
              <w:pStyle w:val="Body"/>
              <w:spacing w:after="0"/>
            </w:pPr>
            <w:r>
              <w:rPr>
                <w:sz w:val="20"/>
                <w:szCs w:val="20"/>
              </w:rPr>
              <w:t>1905</w:t>
            </w:r>
          </w:p>
        </w:tc>
        <w:tc>
          <w:tcPr>
            <w:tcW w:w="605" w:type="dxa"/>
            <w:tcBorders>
              <w:top w:val="nil"/>
              <w:left w:val="nil"/>
              <w:bottom w:val="single" w:sz="12" w:space="0" w:color="000000"/>
              <w:right w:val="nil"/>
            </w:tcBorders>
            <w:shd w:val="clear" w:color="auto" w:fill="auto"/>
            <w:tcMar>
              <w:top w:w="80" w:type="dxa"/>
              <w:left w:w="80" w:type="dxa"/>
              <w:bottom w:w="80" w:type="dxa"/>
              <w:right w:w="80" w:type="dxa"/>
            </w:tcMar>
          </w:tcPr>
          <w:p w14:paraId="6FF95126" w14:textId="77777777" w:rsidR="00E73C9D" w:rsidRDefault="00C57731">
            <w:pPr>
              <w:pStyle w:val="Body"/>
              <w:spacing w:after="0"/>
            </w:pPr>
            <w:r>
              <w:rPr>
                <w:sz w:val="20"/>
                <w:szCs w:val="20"/>
              </w:rPr>
              <w:t>0.67</w:t>
            </w:r>
          </w:p>
        </w:tc>
        <w:tc>
          <w:tcPr>
            <w:tcW w:w="999" w:type="dxa"/>
            <w:tcBorders>
              <w:top w:val="nil"/>
              <w:left w:val="nil"/>
              <w:bottom w:val="single" w:sz="12" w:space="0" w:color="000000"/>
              <w:right w:val="nil"/>
            </w:tcBorders>
            <w:shd w:val="clear" w:color="auto" w:fill="auto"/>
            <w:tcMar>
              <w:top w:w="80" w:type="dxa"/>
              <w:left w:w="80" w:type="dxa"/>
              <w:bottom w:w="80" w:type="dxa"/>
              <w:right w:w="80" w:type="dxa"/>
            </w:tcMar>
          </w:tcPr>
          <w:p w14:paraId="4AAB13C4" w14:textId="77777777" w:rsidR="00E73C9D" w:rsidRDefault="00C57731">
            <w:pPr>
              <w:pStyle w:val="Body"/>
              <w:spacing w:after="0"/>
            </w:pPr>
            <w:r>
              <w:rPr>
                <w:sz w:val="20"/>
                <w:szCs w:val="20"/>
              </w:rPr>
              <w:t>(0.63, 0.76)</w:t>
            </w:r>
          </w:p>
        </w:tc>
      </w:tr>
    </w:tbl>
    <w:p w14:paraId="5B5333B7" w14:textId="77777777" w:rsidR="00E73C9D" w:rsidRDefault="00E73C9D">
      <w:pPr>
        <w:pStyle w:val="Body"/>
        <w:widowControl w:val="0"/>
        <w:spacing w:line="240" w:lineRule="auto"/>
        <w:rPr>
          <w:b/>
          <w:bCs/>
        </w:rPr>
      </w:pPr>
    </w:p>
    <w:p w14:paraId="21F3D21E" w14:textId="77777777" w:rsidR="00E73C9D" w:rsidRDefault="00C57731">
      <w:pPr>
        <w:pStyle w:val="Body"/>
      </w:pPr>
      <w:r>
        <w:t>HR: Hazard ratio for chemotherapy CI: confidence interval N/A: non-applicable</w:t>
      </w:r>
    </w:p>
    <w:p w14:paraId="63DE8C5C" w14:textId="6D973211" w:rsidR="00E40ABD" w:rsidRDefault="00E40ABD" w:rsidP="00E40ABD">
      <w:pPr>
        <w:pStyle w:val="Body"/>
        <w:rPr>
          <w:b/>
          <w:bCs/>
        </w:rPr>
      </w:pPr>
      <w:r>
        <w:rPr>
          <w:b/>
          <w:bCs/>
        </w:rPr>
        <w:t>Table 3.5 PSM Cox regression results – sensitivity analysis with</w:t>
      </w:r>
      <w:r w:rsidR="00E01C28">
        <w:rPr>
          <w:b/>
          <w:bCs/>
        </w:rPr>
        <w:t>out</w:t>
      </w:r>
      <w:r>
        <w:rPr>
          <w:b/>
          <w:bCs/>
        </w:rPr>
        <w:t xml:space="preserve"> instrumental variable</w:t>
      </w:r>
    </w:p>
    <w:tbl>
      <w:tblPr>
        <w:tblW w:w="90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598"/>
        <w:gridCol w:w="1507"/>
        <w:gridCol w:w="989"/>
        <w:gridCol w:w="861"/>
        <w:gridCol w:w="606"/>
        <w:gridCol w:w="999"/>
        <w:gridCol w:w="861"/>
        <w:gridCol w:w="605"/>
        <w:gridCol w:w="1000"/>
      </w:tblGrid>
      <w:tr w:rsidR="00E01C28" w14:paraId="74B038A5" w14:textId="77777777" w:rsidTr="00E01C28">
        <w:trPr>
          <w:trHeight w:val="238"/>
        </w:trPr>
        <w:tc>
          <w:tcPr>
            <w:tcW w:w="1598" w:type="dxa"/>
            <w:tcBorders>
              <w:top w:val="single" w:sz="12" w:space="0" w:color="000000"/>
              <w:left w:val="nil"/>
              <w:bottom w:val="single" w:sz="8" w:space="0" w:color="000000"/>
              <w:right w:val="nil"/>
            </w:tcBorders>
            <w:shd w:val="clear" w:color="auto" w:fill="auto"/>
            <w:tcMar>
              <w:top w:w="80" w:type="dxa"/>
              <w:left w:w="80" w:type="dxa"/>
              <w:bottom w:w="80" w:type="dxa"/>
              <w:right w:w="80" w:type="dxa"/>
            </w:tcMar>
            <w:vAlign w:val="bottom"/>
          </w:tcPr>
          <w:p w14:paraId="13C163B2" w14:textId="77777777" w:rsidR="00E01C28" w:rsidRDefault="00E01C28" w:rsidP="00E01C28"/>
        </w:tc>
        <w:tc>
          <w:tcPr>
            <w:tcW w:w="1507" w:type="dxa"/>
            <w:tcBorders>
              <w:top w:val="single" w:sz="12" w:space="0" w:color="000000"/>
              <w:left w:val="nil"/>
              <w:bottom w:val="single" w:sz="8" w:space="0" w:color="000000"/>
              <w:right w:val="nil"/>
            </w:tcBorders>
            <w:shd w:val="clear" w:color="auto" w:fill="auto"/>
            <w:tcMar>
              <w:top w:w="80" w:type="dxa"/>
              <w:left w:w="80" w:type="dxa"/>
              <w:bottom w:w="80" w:type="dxa"/>
              <w:right w:w="80" w:type="dxa"/>
            </w:tcMar>
            <w:vAlign w:val="bottom"/>
          </w:tcPr>
          <w:p w14:paraId="7D1A57E3" w14:textId="77777777" w:rsidR="00E01C28" w:rsidRDefault="00E01C28" w:rsidP="00E01C28"/>
        </w:tc>
        <w:tc>
          <w:tcPr>
            <w:tcW w:w="989" w:type="dxa"/>
            <w:tcBorders>
              <w:top w:val="single" w:sz="12" w:space="0" w:color="000000"/>
              <w:left w:val="nil"/>
              <w:bottom w:val="single" w:sz="8" w:space="0" w:color="000000"/>
              <w:right w:val="nil"/>
            </w:tcBorders>
            <w:shd w:val="clear" w:color="auto" w:fill="auto"/>
            <w:tcMar>
              <w:top w:w="80" w:type="dxa"/>
              <w:left w:w="80" w:type="dxa"/>
              <w:bottom w:w="80" w:type="dxa"/>
              <w:right w:w="80" w:type="dxa"/>
            </w:tcMar>
            <w:vAlign w:val="bottom"/>
          </w:tcPr>
          <w:p w14:paraId="76AA9074" w14:textId="77777777" w:rsidR="00E01C28" w:rsidRDefault="00E01C28" w:rsidP="00E01C28"/>
        </w:tc>
        <w:tc>
          <w:tcPr>
            <w:tcW w:w="2466" w:type="dxa"/>
            <w:gridSpan w:val="3"/>
            <w:tcBorders>
              <w:top w:val="single" w:sz="12" w:space="0" w:color="000000"/>
              <w:left w:val="nil"/>
              <w:bottom w:val="single" w:sz="8" w:space="0" w:color="000000"/>
              <w:right w:val="nil"/>
            </w:tcBorders>
            <w:shd w:val="clear" w:color="auto" w:fill="auto"/>
            <w:tcMar>
              <w:top w:w="80" w:type="dxa"/>
              <w:left w:w="80" w:type="dxa"/>
              <w:bottom w:w="80" w:type="dxa"/>
              <w:right w:w="80" w:type="dxa"/>
            </w:tcMar>
            <w:vAlign w:val="bottom"/>
          </w:tcPr>
          <w:p w14:paraId="0874AF0D" w14:textId="77777777" w:rsidR="00E01C28" w:rsidRDefault="00E01C28" w:rsidP="00E01C28">
            <w:pPr>
              <w:pStyle w:val="Body"/>
              <w:spacing w:after="0"/>
            </w:pPr>
            <w:r>
              <w:rPr>
                <w:b/>
                <w:bCs/>
                <w:sz w:val="20"/>
                <w:szCs w:val="20"/>
              </w:rPr>
              <w:t>All cause mortality</w:t>
            </w:r>
          </w:p>
        </w:tc>
        <w:tc>
          <w:tcPr>
            <w:tcW w:w="2466" w:type="dxa"/>
            <w:gridSpan w:val="3"/>
            <w:tcBorders>
              <w:top w:val="single" w:sz="12" w:space="0" w:color="000000"/>
              <w:left w:val="nil"/>
              <w:bottom w:val="single" w:sz="8" w:space="0" w:color="000000"/>
              <w:right w:val="nil"/>
            </w:tcBorders>
            <w:shd w:val="clear" w:color="auto" w:fill="auto"/>
            <w:tcMar>
              <w:top w:w="80" w:type="dxa"/>
              <w:left w:w="80" w:type="dxa"/>
              <w:bottom w:w="80" w:type="dxa"/>
              <w:right w:w="80" w:type="dxa"/>
            </w:tcMar>
            <w:vAlign w:val="bottom"/>
          </w:tcPr>
          <w:p w14:paraId="7F6C3167" w14:textId="77777777" w:rsidR="00E01C28" w:rsidRDefault="00E01C28" w:rsidP="00E01C28">
            <w:pPr>
              <w:pStyle w:val="Body"/>
              <w:spacing w:after="0"/>
            </w:pPr>
            <w:r>
              <w:rPr>
                <w:b/>
                <w:bCs/>
                <w:sz w:val="20"/>
                <w:szCs w:val="20"/>
              </w:rPr>
              <w:t>Breast cancer mortality</w:t>
            </w:r>
          </w:p>
        </w:tc>
      </w:tr>
      <w:tr w:rsidR="00E01C28" w14:paraId="6F9E76AD" w14:textId="77777777" w:rsidTr="00E01C28">
        <w:trPr>
          <w:trHeight w:val="555"/>
        </w:trPr>
        <w:tc>
          <w:tcPr>
            <w:tcW w:w="1598"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277A1871" w14:textId="77777777" w:rsidR="00E01C28" w:rsidRDefault="00E01C28" w:rsidP="00E01C28">
            <w:pPr>
              <w:pStyle w:val="Body"/>
              <w:spacing w:after="0"/>
            </w:pPr>
            <w:r>
              <w:rPr>
                <w:b/>
                <w:bCs/>
                <w:sz w:val="20"/>
                <w:szCs w:val="20"/>
              </w:rPr>
              <w:t>Group</w:t>
            </w:r>
          </w:p>
        </w:tc>
        <w:tc>
          <w:tcPr>
            <w:tcW w:w="1507"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12085C54" w14:textId="77777777" w:rsidR="00E01C28" w:rsidRDefault="00E01C28" w:rsidP="00E01C28">
            <w:pPr>
              <w:pStyle w:val="Body"/>
              <w:spacing w:after="0"/>
            </w:pPr>
            <w:r>
              <w:rPr>
                <w:b/>
                <w:bCs/>
                <w:sz w:val="20"/>
                <w:szCs w:val="20"/>
              </w:rPr>
              <w:t>Matching method</w:t>
            </w:r>
          </w:p>
        </w:tc>
        <w:tc>
          <w:tcPr>
            <w:tcW w:w="989"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65CABB9C" w14:textId="77777777" w:rsidR="00E01C28" w:rsidRDefault="00E01C28" w:rsidP="00E01C28">
            <w:pPr>
              <w:pStyle w:val="Body"/>
              <w:spacing w:after="0"/>
            </w:pPr>
            <w:r>
              <w:rPr>
                <w:b/>
                <w:bCs/>
                <w:sz w:val="20"/>
                <w:szCs w:val="20"/>
              </w:rPr>
              <w:t>N treated</w:t>
            </w:r>
          </w:p>
        </w:tc>
        <w:tc>
          <w:tcPr>
            <w:tcW w:w="861"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2D8C393F" w14:textId="77777777" w:rsidR="00E01C28" w:rsidRDefault="00E01C28" w:rsidP="00E01C28">
            <w:pPr>
              <w:pStyle w:val="Body"/>
              <w:spacing w:after="0"/>
            </w:pPr>
            <w:r>
              <w:rPr>
                <w:b/>
                <w:bCs/>
                <w:sz w:val="20"/>
                <w:szCs w:val="20"/>
              </w:rPr>
              <w:t>deaths</w:t>
            </w:r>
          </w:p>
        </w:tc>
        <w:tc>
          <w:tcPr>
            <w:tcW w:w="606"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777CFD1A" w14:textId="77777777" w:rsidR="00E01C28" w:rsidRDefault="00E01C28" w:rsidP="00E01C28">
            <w:pPr>
              <w:pStyle w:val="Body"/>
              <w:spacing w:after="0"/>
            </w:pPr>
            <w:r>
              <w:rPr>
                <w:b/>
                <w:bCs/>
                <w:sz w:val="20"/>
                <w:szCs w:val="20"/>
              </w:rPr>
              <w:t>HR</w:t>
            </w:r>
          </w:p>
        </w:tc>
        <w:tc>
          <w:tcPr>
            <w:tcW w:w="999"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1106B8C6" w14:textId="77777777" w:rsidR="00E01C28" w:rsidRDefault="00E01C28" w:rsidP="00E01C28">
            <w:pPr>
              <w:pStyle w:val="Body"/>
              <w:spacing w:after="0"/>
            </w:pPr>
            <w:r>
              <w:rPr>
                <w:b/>
                <w:bCs/>
                <w:sz w:val="20"/>
                <w:szCs w:val="20"/>
              </w:rPr>
              <w:t xml:space="preserve">95% CI: </w:t>
            </w:r>
          </w:p>
        </w:tc>
        <w:tc>
          <w:tcPr>
            <w:tcW w:w="861"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49EB2DD0" w14:textId="77777777" w:rsidR="00E01C28" w:rsidRDefault="00E01C28" w:rsidP="00E01C28">
            <w:pPr>
              <w:pStyle w:val="Body"/>
              <w:spacing w:after="0"/>
            </w:pPr>
            <w:r>
              <w:rPr>
                <w:b/>
                <w:bCs/>
                <w:sz w:val="20"/>
                <w:szCs w:val="20"/>
              </w:rPr>
              <w:t>deaths</w:t>
            </w:r>
          </w:p>
        </w:tc>
        <w:tc>
          <w:tcPr>
            <w:tcW w:w="605"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5E497301" w14:textId="77777777" w:rsidR="00E01C28" w:rsidRDefault="00E01C28" w:rsidP="00E01C28">
            <w:pPr>
              <w:pStyle w:val="Body"/>
              <w:spacing w:after="0"/>
            </w:pPr>
            <w:r>
              <w:rPr>
                <w:b/>
                <w:bCs/>
                <w:sz w:val="20"/>
                <w:szCs w:val="20"/>
              </w:rPr>
              <w:t>HR</w:t>
            </w:r>
          </w:p>
        </w:tc>
        <w:tc>
          <w:tcPr>
            <w:tcW w:w="1000" w:type="dxa"/>
            <w:tcBorders>
              <w:top w:val="single" w:sz="8" w:space="0" w:color="000000"/>
              <w:left w:val="nil"/>
              <w:bottom w:val="single" w:sz="4" w:space="0" w:color="000000"/>
              <w:right w:val="nil"/>
            </w:tcBorders>
            <w:shd w:val="clear" w:color="auto" w:fill="auto"/>
            <w:tcMar>
              <w:top w:w="80" w:type="dxa"/>
              <w:left w:w="80" w:type="dxa"/>
              <w:bottom w:w="80" w:type="dxa"/>
              <w:right w:w="80" w:type="dxa"/>
            </w:tcMar>
            <w:vAlign w:val="bottom"/>
          </w:tcPr>
          <w:p w14:paraId="42CDE386" w14:textId="77777777" w:rsidR="00E01C28" w:rsidRDefault="00E01C28" w:rsidP="00E01C28">
            <w:pPr>
              <w:pStyle w:val="Body"/>
              <w:spacing w:after="0"/>
            </w:pPr>
            <w:r>
              <w:rPr>
                <w:b/>
                <w:bCs/>
                <w:sz w:val="20"/>
                <w:szCs w:val="20"/>
              </w:rPr>
              <w:t xml:space="preserve">95% CI: </w:t>
            </w:r>
          </w:p>
        </w:tc>
      </w:tr>
      <w:tr w:rsidR="00E01C28" w14:paraId="023BB198" w14:textId="77777777" w:rsidTr="00E01C28">
        <w:trPr>
          <w:trHeight w:val="545"/>
        </w:trPr>
        <w:tc>
          <w:tcPr>
            <w:tcW w:w="1598"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D3BB360" w14:textId="77777777" w:rsidR="00E01C28" w:rsidRDefault="00E01C28" w:rsidP="00E01C28">
            <w:pPr>
              <w:pStyle w:val="Body"/>
              <w:spacing w:after="0"/>
            </w:pPr>
            <w:r>
              <w:rPr>
                <w:sz w:val="20"/>
                <w:szCs w:val="20"/>
              </w:rPr>
              <w:t>Trial Represented</w:t>
            </w:r>
          </w:p>
        </w:tc>
        <w:tc>
          <w:tcPr>
            <w:tcW w:w="1507" w:type="dxa"/>
            <w:tcBorders>
              <w:top w:val="single" w:sz="4" w:space="0" w:color="000000"/>
              <w:left w:val="nil"/>
              <w:bottom w:val="nil"/>
              <w:right w:val="nil"/>
            </w:tcBorders>
            <w:shd w:val="clear" w:color="auto" w:fill="auto"/>
            <w:tcMar>
              <w:top w:w="80" w:type="dxa"/>
              <w:left w:w="80" w:type="dxa"/>
              <w:bottom w:w="80" w:type="dxa"/>
              <w:right w:w="80" w:type="dxa"/>
            </w:tcMar>
          </w:tcPr>
          <w:p w14:paraId="665D2C56" w14:textId="77777777" w:rsidR="00E01C28" w:rsidRDefault="00E01C28" w:rsidP="00E01C28">
            <w:pPr>
              <w:pStyle w:val="Body"/>
              <w:spacing w:after="0"/>
            </w:pPr>
            <w:r>
              <w:rPr>
                <w:sz w:val="20"/>
                <w:szCs w:val="20"/>
              </w:rPr>
              <w:t>PSM 1</w:t>
            </w:r>
          </w:p>
        </w:tc>
        <w:tc>
          <w:tcPr>
            <w:tcW w:w="989" w:type="dxa"/>
            <w:tcBorders>
              <w:top w:val="single" w:sz="4" w:space="0" w:color="000000"/>
              <w:left w:val="nil"/>
              <w:bottom w:val="nil"/>
              <w:right w:val="nil"/>
            </w:tcBorders>
            <w:shd w:val="clear" w:color="auto" w:fill="auto"/>
            <w:tcMar>
              <w:top w:w="80" w:type="dxa"/>
              <w:left w:w="80" w:type="dxa"/>
              <w:bottom w:w="80" w:type="dxa"/>
              <w:right w:w="80" w:type="dxa"/>
            </w:tcMar>
          </w:tcPr>
          <w:p w14:paraId="1F7ABD81" w14:textId="2AB1847D" w:rsidR="00E01C28" w:rsidRPr="008200F7" w:rsidRDefault="00E01C28" w:rsidP="00E01C28">
            <w:pPr>
              <w:pStyle w:val="Body"/>
              <w:spacing w:after="0"/>
              <w:rPr>
                <w:sz w:val="20"/>
                <w:szCs w:val="20"/>
              </w:rPr>
            </w:pPr>
            <w:r w:rsidRPr="008200F7">
              <w:rPr>
                <w:sz w:val="20"/>
                <w:szCs w:val="20"/>
              </w:rPr>
              <w:t>14948</w:t>
            </w:r>
          </w:p>
        </w:tc>
        <w:tc>
          <w:tcPr>
            <w:tcW w:w="861" w:type="dxa"/>
            <w:tcBorders>
              <w:top w:val="single" w:sz="4" w:space="0" w:color="000000"/>
              <w:left w:val="nil"/>
              <w:bottom w:val="nil"/>
              <w:right w:val="nil"/>
            </w:tcBorders>
            <w:shd w:val="clear" w:color="auto" w:fill="auto"/>
            <w:tcMar>
              <w:top w:w="80" w:type="dxa"/>
              <w:left w:w="80" w:type="dxa"/>
              <w:bottom w:w="80" w:type="dxa"/>
              <w:right w:w="80" w:type="dxa"/>
            </w:tcMar>
          </w:tcPr>
          <w:p w14:paraId="42C4C4AC" w14:textId="204ACE1D" w:rsidR="00E01C28" w:rsidRPr="008200F7" w:rsidRDefault="00E01C28" w:rsidP="00E01C28">
            <w:pPr>
              <w:pStyle w:val="Body"/>
              <w:spacing w:after="0"/>
              <w:rPr>
                <w:sz w:val="20"/>
                <w:szCs w:val="20"/>
              </w:rPr>
            </w:pPr>
            <w:r w:rsidRPr="008200F7">
              <w:rPr>
                <w:sz w:val="20"/>
                <w:szCs w:val="20"/>
              </w:rPr>
              <w:t>3376</w:t>
            </w:r>
          </w:p>
        </w:tc>
        <w:tc>
          <w:tcPr>
            <w:tcW w:w="606" w:type="dxa"/>
            <w:tcBorders>
              <w:top w:val="single" w:sz="4" w:space="0" w:color="000000"/>
              <w:left w:val="nil"/>
              <w:bottom w:val="nil"/>
              <w:right w:val="nil"/>
            </w:tcBorders>
            <w:shd w:val="clear" w:color="auto" w:fill="auto"/>
            <w:tcMar>
              <w:top w:w="80" w:type="dxa"/>
              <w:left w:w="80" w:type="dxa"/>
              <w:bottom w:w="80" w:type="dxa"/>
              <w:right w:w="80" w:type="dxa"/>
            </w:tcMar>
          </w:tcPr>
          <w:p w14:paraId="11B9C6EA" w14:textId="40BB4909" w:rsidR="00E01C28" w:rsidRPr="008200F7" w:rsidRDefault="00E01C28" w:rsidP="00E01C28">
            <w:pPr>
              <w:pStyle w:val="Body"/>
              <w:spacing w:after="0"/>
              <w:rPr>
                <w:sz w:val="20"/>
                <w:szCs w:val="20"/>
              </w:rPr>
            </w:pPr>
            <w:r w:rsidRPr="008200F7">
              <w:rPr>
                <w:sz w:val="20"/>
                <w:szCs w:val="20"/>
              </w:rPr>
              <w:t>0.56</w:t>
            </w:r>
          </w:p>
        </w:tc>
        <w:tc>
          <w:tcPr>
            <w:tcW w:w="999" w:type="dxa"/>
            <w:tcBorders>
              <w:top w:val="single" w:sz="4" w:space="0" w:color="000000"/>
              <w:left w:val="nil"/>
              <w:bottom w:val="nil"/>
              <w:right w:val="nil"/>
            </w:tcBorders>
            <w:shd w:val="clear" w:color="auto" w:fill="auto"/>
            <w:tcMar>
              <w:top w:w="80" w:type="dxa"/>
              <w:left w:w="80" w:type="dxa"/>
              <w:bottom w:w="80" w:type="dxa"/>
              <w:right w:w="80" w:type="dxa"/>
            </w:tcMar>
          </w:tcPr>
          <w:p w14:paraId="1F10BCFA" w14:textId="20E13ABE" w:rsidR="00E01C28" w:rsidRPr="008200F7" w:rsidRDefault="00E01C28" w:rsidP="00E01C28">
            <w:pPr>
              <w:pStyle w:val="Body"/>
              <w:spacing w:after="0"/>
              <w:rPr>
                <w:sz w:val="20"/>
                <w:szCs w:val="20"/>
              </w:rPr>
            </w:pPr>
            <w:r w:rsidRPr="008200F7">
              <w:rPr>
                <w:sz w:val="20"/>
                <w:szCs w:val="20"/>
              </w:rPr>
              <w:t>(0.54, 0.77)</w:t>
            </w:r>
          </w:p>
        </w:tc>
        <w:tc>
          <w:tcPr>
            <w:tcW w:w="861" w:type="dxa"/>
            <w:tcBorders>
              <w:top w:val="single" w:sz="4" w:space="0" w:color="000000"/>
              <w:left w:val="nil"/>
              <w:bottom w:val="nil"/>
              <w:right w:val="nil"/>
            </w:tcBorders>
            <w:shd w:val="clear" w:color="auto" w:fill="auto"/>
            <w:tcMar>
              <w:top w:w="80" w:type="dxa"/>
              <w:left w:w="80" w:type="dxa"/>
              <w:bottom w:w="80" w:type="dxa"/>
              <w:right w:w="80" w:type="dxa"/>
            </w:tcMar>
          </w:tcPr>
          <w:p w14:paraId="602E7E9D" w14:textId="25BDC356" w:rsidR="00E01C28" w:rsidRPr="008200F7" w:rsidRDefault="00E01C28" w:rsidP="00E01C28">
            <w:pPr>
              <w:pStyle w:val="Body"/>
              <w:spacing w:after="0"/>
              <w:rPr>
                <w:sz w:val="20"/>
                <w:szCs w:val="20"/>
              </w:rPr>
            </w:pPr>
            <w:r w:rsidRPr="008200F7">
              <w:rPr>
                <w:sz w:val="20"/>
                <w:szCs w:val="20"/>
              </w:rPr>
              <w:t>2573</w:t>
            </w:r>
          </w:p>
        </w:tc>
        <w:tc>
          <w:tcPr>
            <w:tcW w:w="605" w:type="dxa"/>
            <w:tcBorders>
              <w:top w:val="single" w:sz="4" w:space="0" w:color="000000"/>
              <w:left w:val="nil"/>
              <w:bottom w:val="nil"/>
              <w:right w:val="nil"/>
            </w:tcBorders>
            <w:shd w:val="clear" w:color="auto" w:fill="auto"/>
            <w:tcMar>
              <w:top w:w="80" w:type="dxa"/>
              <w:left w:w="80" w:type="dxa"/>
              <w:bottom w:w="80" w:type="dxa"/>
              <w:right w:w="80" w:type="dxa"/>
            </w:tcMar>
          </w:tcPr>
          <w:p w14:paraId="72BC24EC" w14:textId="793F6B68" w:rsidR="00E01C28" w:rsidRPr="008200F7" w:rsidRDefault="00E01C28" w:rsidP="00E01C28">
            <w:pPr>
              <w:pStyle w:val="Body"/>
              <w:spacing w:after="0"/>
              <w:rPr>
                <w:sz w:val="20"/>
                <w:szCs w:val="20"/>
              </w:rPr>
            </w:pPr>
            <w:r w:rsidRPr="008200F7">
              <w:rPr>
                <w:sz w:val="20"/>
                <w:szCs w:val="20"/>
              </w:rPr>
              <w:t>0.57</w:t>
            </w:r>
          </w:p>
        </w:tc>
        <w:tc>
          <w:tcPr>
            <w:tcW w:w="1000" w:type="dxa"/>
            <w:tcBorders>
              <w:top w:val="single" w:sz="4" w:space="0" w:color="000000"/>
              <w:left w:val="nil"/>
              <w:bottom w:val="nil"/>
              <w:right w:val="nil"/>
            </w:tcBorders>
            <w:shd w:val="clear" w:color="auto" w:fill="auto"/>
            <w:tcMar>
              <w:top w:w="80" w:type="dxa"/>
              <w:left w:w="80" w:type="dxa"/>
              <w:bottom w:w="80" w:type="dxa"/>
              <w:right w:w="80" w:type="dxa"/>
            </w:tcMar>
          </w:tcPr>
          <w:p w14:paraId="36E17469" w14:textId="1833E678" w:rsidR="00E01C28" w:rsidRPr="008200F7" w:rsidRDefault="00E01C28" w:rsidP="00E01C28">
            <w:pPr>
              <w:pStyle w:val="Body"/>
              <w:spacing w:after="0"/>
              <w:rPr>
                <w:sz w:val="20"/>
                <w:szCs w:val="20"/>
              </w:rPr>
            </w:pPr>
            <w:r w:rsidRPr="008200F7">
              <w:rPr>
                <w:sz w:val="20"/>
                <w:szCs w:val="20"/>
              </w:rPr>
              <w:t>(0636, 0.86)</w:t>
            </w:r>
          </w:p>
        </w:tc>
      </w:tr>
      <w:tr w:rsidR="00E01C28" w14:paraId="6E45ED36" w14:textId="77777777" w:rsidTr="00E01C28">
        <w:trPr>
          <w:trHeight w:val="540"/>
        </w:trPr>
        <w:tc>
          <w:tcPr>
            <w:tcW w:w="1598" w:type="dxa"/>
            <w:vMerge/>
            <w:tcBorders>
              <w:top w:val="single" w:sz="4" w:space="0" w:color="000000"/>
              <w:left w:val="nil"/>
              <w:bottom w:val="single" w:sz="4" w:space="0" w:color="000000"/>
              <w:right w:val="nil"/>
            </w:tcBorders>
            <w:shd w:val="clear" w:color="auto" w:fill="auto"/>
          </w:tcPr>
          <w:p w14:paraId="4718D8B4" w14:textId="77777777" w:rsidR="00E01C28" w:rsidRDefault="00E01C28" w:rsidP="00E01C28"/>
        </w:tc>
        <w:tc>
          <w:tcPr>
            <w:tcW w:w="1507" w:type="dxa"/>
            <w:tcBorders>
              <w:top w:val="nil"/>
              <w:left w:val="nil"/>
              <w:bottom w:val="nil"/>
              <w:right w:val="nil"/>
            </w:tcBorders>
            <w:shd w:val="clear" w:color="auto" w:fill="auto"/>
            <w:tcMar>
              <w:top w:w="80" w:type="dxa"/>
              <w:left w:w="80" w:type="dxa"/>
              <w:bottom w:w="80" w:type="dxa"/>
              <w:right w:w="80" w:type="dxa"/>
            </w:tcMar>
          </w:tcPr>
          <w:p w14:paraId="1F3E4BFC" w14:textId="77777777" w:rsidR="00E01C28" w:rsidRDefault="00E01C28" w:rsidP="00E01C28">
            <w:pPr>
              <w:pStyle w:val="Body"/>
              <w:spacing w:after="0"/>
            </w:pPr>
            <w:r>
              <w:rPr>
                <w:sz w:val="20"/>
                <w:szCs w:val="20"/>
              </w:rPr>
              <w:t>PSM 2</w:t>
            </w:r>
          </w:p>
        </w:tc>
        <w:tc>
          <w:tcPr>
            <w:tcW w:w="989" w:type="dxa"/>
            <w:tcBorders>
              <w:top w:val="nil"/>
              <w:left w:val="nil"/>
              <w:bottom w:val="nil"/>
              <w:right w:val="nil"/>
            </w:tcBorders>
            <w:shd w:val="clear" w:color="auto" w:fill="auto"/>
            <w:tcMar>
              <w:top w:w="80" w:type="dxa"/>
              <w:left w:w="80" w:type="dxa"/>
              <w:bottom w:w="80" w:type="dxa"/>
              <w:right w:w="80" w:type="dxa"/>
            </w:tcMar>
          </w:tcPr>
          <w:p w14:paraId="33F5BDD1" w14:textId="18F3EF97" w:rsidR="00E01C28" w:rsidRPr="008200F7" w:rsidRDefault="00E01C28" w:rsidP="00E01C28">
            <w:pPr>
              <w:pStyle w:val="Body"/>
              <w:spacing w:after="0"/>
              <w:rPr>
                <w:sz w:val="20"/>
                <w:szCs w:val="20"/>
              </w:rPr>
            </w:pPr>
            <w:r w:rsidRPr="008200F7">
              <w:rPr>
                <w:sz w:val="20"/>
                <w:szCs w:val="20"/>
              </w:rPr>
              <w:t>4616</w:t>
            </w:r>
          </w:p>
        </w:tc>
        <w:tc>
          <w:tcPr>
            <w:tcW w:w="861" w:type="dxa"/>
            <w:tcBorders>
              <w:top w:val="nil"/>
              <w:left w:val="nil"/>
              <w:bottom w:val="nil"/>
              <w:right w:val="nil"/>
            </w:tcBorders>
            <w:shd w:val="clear" w:color="auto" w:fill="auto"/>
            <w:tcMar>
              <w:top w:w="80" w:type="dxa"/>
              <w:left w:w="80" w:type="dxa"/>
              <w:bottom w:w="80" w:type="dxa"/>
              <w:right w:w="80" w:type="dxa"/>
            </w:tcMar>
          </w:tcPr>
          <w:p w14:paraId="757FC866" w14:textId="77777777" w:rsidR="00E01C28" w:rsidRPr="008200F7" w:rsidRDefault="00E01C28" w:rsidP="00E01C28">
            <w:pPr>
              <w:pStyle w:val="Body"/>
              <w:spacing w:after="0"/>
              <w:rPr>
                <w:sz w:val="20"/>
                <w:szCs w:val="20"/>
              </w:rPr>
            </w:pPr>
            <w:r w:rsidRPr="008200F7">
              <w:rPr>
                <w:sz w:val="20"/>
                <w:szCs w:val="20"/>
              </w:rPr>
              <w:t>475</w:t>
            </w:r>
          </w:p>
        </w:tc>
        <w:tc>
          <w:tcPr>
            <w:tcW w:w="606" w:type="dxa"/>
            <w:tcBorders>
              <w:top w:val="nil"/>
              <w:left w:val="nil"/>
              <w:bottom w:val="nil"/>
              <w:right w:val="nil"/>
            </w:tcBorders>
            <w:shd w:val="clear" w:color="auto" w:fill="auto"/>
            <w:tcMar>
              <w:top w:w="80" w:type="dxa"/>
              <w:left w:w="80" w:type="dxa"/>
              <w:bottom w:w="80" w:type="dxa"/>
              <w:right w:w="80" w:type="dxa"/>
            </w:tcMar>
          </w:tcPr>
          <w:p w14:paraId="4237EA37" w14:textId="4F62219D" w:rsidR="00E01C28" w:rsidRPr="008200F7" w:rsidRDefault="00E01C28" w:rsidP="00E01C28">
            <w:pPr>
              <w:pStyle w:val="Body"/>
              <w:spacing w:after="0"/>
              <w:rPr>
                <w:sz w:val="20"/>
                <w:szCs w:val="20"/>
              </w:rPr>
            </w:pPr>
            <w:r w:rsidRPr="008200F7">
              <w:rPr>
                <w:sz w:val="20"/>
                <w:szCs w:val="20"/>
              </w:rPr>
              <w:t>0.74</w:t>
            </w:r>
          </w:p>
        </w:tc>
        <w:tc>
          <w:tcPr>
            <w:tcW w:w="999" w:type="dxa"/>
            <w:tcBorders>
              <w:top w:val="nil"/>
              <w:left w:val="nil"/>
              <w:bottom w:val="nil"/>
              <w:right w:val="nil"/>
            </w:tcBorders>
            <w:shd w:val="clear" w:color="auto" w:fill="auto"/>
            <w:tcMar>
              <w:top w:w="80" w:type="dxa"/>
              <w:left w:w="80" w:type="dxa"/>
              <w:bottom w:w="80" w:type="dxa"/>
              <w:right w:w="80" w:type="dxa"/>
            </w:tcMar>
          </w:tcPr>
          <w:p w14:paraId="76210EE1" w14:textId="2191A45A" w:rsidR="00E01C28" w:rsidRPr="008200F7" w:rsidRDefault="00E01C28" w:rsidP="00E01C28">
            <w:pPr>
              <w:pStyle w:val="Body"/>
              <w:spacing w:after="0"/>
              <w:rPr>
                <w:sz w:val="20"/>
                <w:szCs w:val="20"/>
              </w:rPr>
            </w:pPr>
            <w:r w:rsidRPr="008200F7">
              <w:rPr>
                <w:sz w:val="20"/>
                <w:szCs w:val="20"/>
              </w:rPr>
              <w:t>(0.64, 0.87)</w:t>
            </w:r>
          </w:p>
        </w:tc>
        <w:tc>
          <w:tcPr>
            <w:tcW w:w="861" w:type="dxa"/>
            <w:tcBorders>
              <w:top w:val="nil"/>
              <w:left w:val="nil"/>
              <w:bottom w:val="nil"/>
              <w:right w:val="nil"/>
            </w:tcBorders>
            <w:shd w:val="clear" w:color="auto" w:fill="auto"/>
            <w:tcMar>
              <w:top w:w="80" w:type="dxa"/>
              <w:left w:w="80" w:type="dxa"/>
              <w:bottom w:w="80" w:type="dxa"/>
              <w:right w:w="80" w:type="dxa"/>
            </w:tcMar>
          </w:tcPr>
          <w:p w14:paraId="6D44B1D7" w14:textId="51EB0568" w:rsidR="00E01C28" w:rsidRPr="008200F7" w:rsidRDefault="00E01C28" w:rsidP="00E01C28">
            <w:pPr>
              <w:pStyle w:val="Body"/>
              <w:spacing w:after="0"/>
              <w:rPr>
                <w:sz w:val="20"/>
                <w:szCs w:val="20"/>
              </w:rPr>
            </w:pPr>
            <w:r w:rsidRPr="008200F7">
              <w:rPr>
                <w:sz w:val="20"/>
                <w:szCs w:val="20"/>
              </w:rPr>
              <w:t>487</w:t>
            </w:r>
          </w:p>
        </w:tc>
        <w:tc>
          <w:tcPr>
            <w:tcW w:w="605" w:type="dxa"/>
            <w:tcBorders>
              <w:top w:val="nil"/>
              <w:left w:val="nil"/>
              <w:bottom w:val="nil"/>
              <w:right w:val="nil"/>
            </w:tcBorders>
            <w:shd w:val="clear" w:color="auto" w:fill="auto"/>
            <w:tcMar>
              <w:top w:w="80" w:type="dxa"/>
              <w:left w:w="80" w:type="dxa"/>
              <w:bottom w:w="80" w:type="dxa"/>
              <w:right w:w="80" w:type="dxa"/>
            </w:tcMar>
          </w:tcPr>
          <w:p w14:paraId="7F6778B7" w14:textId="59EC99A9" w:rsidR="00E01C28" w:rsidRPr="008200F7" w:rsidRDefault="00E01C28" w:rsidP="00E01C28">
            <w:pPr>
              <w:pStyle w:val="Body"/>
              <w:spacing w:after="0"/>
              <w:rPr>
                <w:sz w:val="20"/>
                <w:szCs w:val="20"/>
              </w:rPr>
            </w:pPr>
            <w:r w:rsidRPr="008200F7">
              <w:rPr>
                <w:sz w:val="20"/>
                <w:szCs w:val="20"/>
              </w:rPr>
              <w:t>0.78</w:t>
            </w:r>
          </w:p>
        </w:tc>
        <w:tc>
          <w:tcPr>
            <w:tcW w:w="1000" w:type="dxa"/>
            <w:tcBorders>
              <w:top w:val="nil"/>
              <w:left w:val="nil"/>
              <w:bottom w:val="nil"/>
              <w:right w:val="nil"/>
            </w:tcBorders>
            <w:shd w:val="clear" w:color="auto" w:fill="auto"/>
            <w:tcMar>
              <w:top w:w="80" w:type="dxa"/>
              <w:left w:w="80" w:type="dxa"/>
              <w:bottom w:w="80" w:type="dxa"/>
              <w:right w:w="80" w:type="dxa"/>
            </w:tcMar>
          </w:tcPr>
          <w:p w14:paraId="3F8F0F2C" w14:textId="111439E7" w:rsidR="00E01C28" w:rsidRPr="008200F7" w:rsidRDefault="00E01C28" w:rsidP="00E01C28">
            <w:pPr>
              <w:pStyle w:val="Body"/>
              <w:spacing w:after="0"/>
              <w:rPr>
                <w:sz w:val="20"/>
                <w:szCs w:val="20"/>
              </w:rPr>
            </w:pPr>
            <w:r w:rsidRPr="008200F7">
              <w:rPr>
                <w:sz w:val="20"/>
                <w:szCs w:val="20"/>
              </w:rPr>
              <w:t>(0.66, 0.96)</w:t>
            </w:r>
          </w:p>
        </w:tc>
      </w:tr>
      <w:tr w:rsidR="00E01C28" w14:paraId="78FB2AA9" w14:textId="77777777" w:rsidTr="00E01C28">
        <w:trPr>
          <w:trHeight w:val="545"/>
        </w:trPr>
        <w:tc>
          <w:tcPr>
            <w:tcW w:w="1598" w:type="dxa"/>
            <w:vMerge/>
            <w:tcBorders>
              <w:top w:val="single" w:sz="4" w:space="0" w:color="000000"/>
              <w:left w:val="nil"/>
              <w:bottom w:val="single" w:sz="4" w:space="0" w:color="000000"/>
              <w:right w:val="nil"/>
            </w:tcBorders>
            <w:shd w:val="clear" w:color="auto" w:fill="auto"/>
          </w:tcPr>
          <w:p w14:paraId="0BAA35D8" w14:textId="77777777" w:rsidR="00E01C28" w:rsidRDefault="00E01C28" w:rsidP="00E01C28"/>
        </w:tc>
        <w:tc>
          <w:tcPr>
            <w:tcW w:w="1507" w:type="dxa"/>
            <w:tcBorders>
              <w:top w:val="nil"/>
              <w:left w:val="nil"/>
              <w:bottom w:val="single" w:sz="4" w:space="0" w:color="000000"/>
              <w:right w:val="nil"/>
            </w:tcBorders>
            <w:shd w:val="clear" w:color="auto" w:fill="auto"/>
            <w:tcMar>
              <w:top w:w="80" w:type="dxa"/>
              <w:left w:w="80" w:type="dxa"/>
              <w:bottom w:w="80" w:type="dxa"/>
              <w:right w:w="80" w:type="dxa"/>
            </w:tcMar>
          </w:tcPr>
          <w:p w14:paraId="1BE05173" w14:textId="77777777" w:rsidR="00E01C28" w:rsidRDefault="00E01C28" w:rsidP="00E01C28">
            <w:pPr>
              <w:pStyle w:val="Body"/>
              <w:spacing w:after="0"/>
            </w:pPr>
            <w:r>
              <w:rPr>
                <w:sz w:val="20"/>
                <w:szCs w:val="20"/>
              </w:rPr>
              <w:t>PSM 3</w:t>
            </w:r>
          </w:p>
        </w:tc>
        <w:tc>
          <w:tcPr>
            <w:tcW w:w="989" w:type="dxa"/>
            <w:tcBorders>
              <w:top w:val="nil"/>
              <w:left w:val="nil"/>
              <w:bottom w:val="single" w:sz="4" w:space="0" w:color="000000"/>
              <w:right w:val="nil"/>
            </w:tcBorders>
            <w:shd w:val="clear" w:color="auto" w:fill="auto"/>
            <w:tcMar>
              <w:top w:w="80" w:type="dxa"/>
              <w:left w:w="80" w:type="dxa"/>
              <w:bottom w:w="80" w:type="dxa"/>
              <w:right w:w="80" w:type="dxa"/>
            </w:tcMar>
          </w:tcPr>
          <w:p w14:paraId="07A1622D" w14:textId="38859557" w:rsidR="00E01C28" w:rsidRPr="008200F7" w:rsidRDefault="00E01C28" w:rsidP="00E01C28">
            <w:pPr>
              <w:pStyle w:val="Body"/>
              <w:spacing w:after="0"/>
              <w:rPr>
                <w:sz w:val="20"/>
                <w:szCs w:val="20"/>
              </w:rPr>
            </w:pPr>
            <w:r w:rsidRPr="008200F7">
              <w:rPr>
                <w:sz w:val="20"/>
                <w:szCs w:val="20"/>
              </w:rPr>
              <w:t>3888</w:t>
            </w:r>
          </w:p>
        </w:tc>
        <w:tc>
          <w:tcPr>
            <w:tcW w:w="861" w:type="dxa"/>
            <w:tcBorders>
              <w:top w:val="nil"/>
              <w:left w:val="nil"/>
              <w:bottom w:val="single" w:sz="4" w:space="0" w:color="000000"/>
              <w:right w:val="nil"/>
            </w:tcBorders>
            <w:shd w:val="clear" w:color="auto" w:fill="auto"/>
            <w:tcMar>
              <w:top w:w="80" w:type="dxa"/>
              <w:left w:w="80" w:type="dxa"/>
              <w:bottom w:w="80" w:type="dxa"/>
              <w:right w:w="80" w:type="dxa"/>
            </w:tcMar>
          </w:tcPr>
          <w:p w14:paraId="55401111" w14:textId="77777777" w:rsidR="00E01C28" w:rsidRPr="008200F7" w:rsidRDefault="00E01C28" w:rsidP="00E01C28">
            <w:pPr>
              <w:pStyle w:val="Body"/>
              <w:spacing w:after="0"/>
              <w:rPr>
                <w:sz w:val="20"/>
                <w:szCs w:val="20"/>
              </w:rPr>
            </w:pPr>
            <w:r w:rsidRPr="008200F7">
              <w:rPr>
                <w:sz w:val="20"/>
                <w:szCs w:val="20"/>
              </w:rPr>
              <w:t>431</w:t>
            </w:r>
          </w:p>
        </w:tc>
        <w:tc>
          <w:tcPr>
            <w:tcW w:w="606" w:type="dxa"/>
            <w:tcBorders>
              <w:top w:val="nil"/>
              <w:left w:val="nil"/>
              <w:bottom w:val="single" w:sz="4" w:space="0" w:color="000000"/>
              <w:right w:val="nil"/>
            </w:tcBorders>
            <w:shd w:val="clear" w:color="auto" w:fill="auto"/>
            <w:tcMar>
              <w:top w:w="80" w:type="dxa"/>
              <w:left w:w="80" w:type="dxa"/>
              <w:bottom w:w="80" w:type="dxa"/>
              <w:right w:w="80" w:type="dxa"/>
            </w:tcMar>
          </w:tcPr>
          <w:p w14:paraId="15DBA646" w14:textId="467804BB" w:rsidR="00E01C28" w:rsidRPr="008200F7" w:rsidRDefault="00E01C28" w:rsidP="00E01C28">
            <w:pPr>
              <w:pStyle w:val="Body"/>
              <w:spacing w:after="0"/>
              <w:rPr>
                <w:sz w:val="20"/>
                <w:szCs w:val="20"/>
              </w:rPr>
            </w:pPr>
            <w:r w:rsidRPr="008200F7">
              <w:rPr>
                <w:sz w:val="20"/>
                <w:szCs w:val="20"/>
              </w:rPr>
              <w:t>0.69</w:t>
            </w:r>
          </w:p>
        </w:tc>
        <w:tc>
          <w:tcPr>
            <w:tcW w:w="999" w:type="dxa"/>
            <w:tcBorders>
              <w:top w:val="nil"/>
              <w:left w:val="nil"/>
              <w:bottom w:val="single" w:sz="4" w:space="0" w:color="000000"/>
              <w:right w:val="nil"/>
            </w:tcBorders>
            <w:shd w:val="clear" w:color="auto" w:fill="auto"/>
            <w:tcMar>
              <w:top w:w="80" w:type="dxa"/>
              <w:left w:w="80" w:type="dxa"/>
              <w:bottom w:w="80" w:type="dxa"/>
              <w:right w:w="80" w:type="dxa"/>
            </w:tcMar>
          </w:tcPr>
          <w:p w14:paraId="268690E4" w14:textId="1A537127" w:rsidR="00E01C28" w:rsidRPr="008200F7" w:rsidRDefault="00E01C28" w:rsidP="00E01C28">
            <w:pPr>
              <w:pStyle w:val="Body"/>
              <w:spacing w:after="0"/>
              <w:rPr>
                <w:sz w:val="20"/>
                <w:szCs w:val="20"/>
              </w:rPr>
            </w:pPr>
            <w:r w:rsidRPr="008200F7">
              <w:rPr>
                <w:sz w:val="20"/>
                <w:szCs w:val="20"/>
              </w:rPr>
              <w:t>(0.6, 0.83)</w:t>
            </w:r>
          </w:p>
        </w:tc>
        <w:tc>
          <w:tcPr>
            <w:tcW w:w="861" w:type="dxa"/>
            <w:tcBorders>
              <w:top w:val="nil"/>
              <w:left w:val="nil"/>
              <w:bottom w:val="single" w:sz="4" w:space="0" w:color="000000"/>
              <w:right w:val="nil"/>
            </w:tcBorders>
            <w:shd w:val="clear" w:color="auto" w:fill="auto"/>
            <w:tcMar>
              <w:top w:w="80" w:type="dxa"/>
              <w:left w:w="80" w:type="dxa"/>
              <w:bottom w:w="80" w:type="dxa"/>
              <w:right w:w="80" w:type="dxa"/>
            </w:tcMar>
          </w:tcPr>
          <w:p w14:paraId="13713CEB" w14:textId="3C9260C7" w:rsidR="00E01C28" w:rsidRPr="008200F7" w:rsidRDefault="00E01C28" w:rsidP="00E01C28">
            <w:pPr>
              <w:pStyle w:val="Body"/>
              <w:spacing w:after="0"/>
              <w:rPr>
                <w:sz w:val="20"/>
                <w:szCs w:val="20"/>
              </w:rPr>
            </w:pPr>
            <w:r w:rsidRPr="008200F7">
              <w:rPr>
                <w:sz w:val="20"/>
                <w:szCs w:val="20"/>
              </w:rPr>
              <w:t>442</w:t>
            </w:r>
          </w:p>
        </w:tc>
        <w:tc>
          <w:tcPr>
            <w:tcW w:w="605" w:type="dxa"/>
            <w:tcBorders>
              <w:top w:val="nil"/>
              <w:left w:val="nil"/>
              <w:bottom w:val="single" w:sz="4" w:space="0" w:color="000000"/>
              <w:right w:val="nil"/>
            </w:tcBorders>
            <w:shd w:val="clear" w:color="auto" w:fill="auto"/>
            <w:tcMar>
              <w:top w:w="80" w:type="dxa"/>
              <w:left w:w="80" w:type="dxa"/>
              <w:bottom w:w="80" w:type="dxa"/>
              <w:right w:w="80" w:type="dxa"/>
            </w:tcMar>
          </w:tcPr>
          <w:p w14:paraId="7A3ABEC9" w14:textId="148E849D" w:rsidR="00E01C28" w:rsidRPr="008200F7" w:rsidRDefault="00E01C28" w:rsidP="00E01C28">
            <w:pPr>
              <w:pStyle w:val="Body"/>
              <w:spacing w:after="0"/>
              <w:rPr>
                <w:sz w:val="20"/>
                <w:szCs w:val="20"/>
              </w:rPr>
            </w:pPr>
            <w:r w:rsidRPr="008200F7">
              <w:rPr>
                <w:sz w:val="20"/>
                <w:szCs w:val="20"/>
              </w:rPr>
              <w:t>0.72</w:t>
            </w:r>
          </w:p>
        </w:tc>
        <w:tc>
          <w:tcPr>
            <w:tcW w:w="1000" w:type="dxa"/>
            <w:tcBorders>
              <w:top w:val="nil"/>
              <w:left w:val="nil"/>
              <w:bottom w:val="single" w:sz="4" w:space="0" w:color="000000"/>
              <w:right w:val="nil"/>
            </w:tcBorders>
            <w:shd w:val="clear" w:color="auto" w:fill="auto"/>
            <w:tcMar>
              <w:top w:w="80" w:type="dxa"/>
              <w:left w:w="80" w:type="dxa"/>
              <w:bottom w:w="80" w:type="dxa"/>
              <w:right w:w="80" w:type="dxa"/>
            </w:tcMar>
          </w:tcPr>
          <w:p w14:paraId="3AB626CC" w14:textId="3A360DCE" w:rsidR="00E01C28" w:rsidRPr="008200F7" w:rsidRDefault="00E01C28" w:rsidP="00E01C28">
            <w:pPr>
              <w:pStyle w:val="Body"/>
              <w:spacing w:after="0"/>
              <w:rPr>
                <w:sz w:val="20"/>
                <w:szCs w:val="20"/>
              </w:rPr>
            </w:pPr>
            <w:r w:rsidRPr="008200F7">
              <w:rPr>
                <w:sz w:val="20"/>
                <w:szCs w:val="20"/>
              </w:rPr>
              <w:t>(0.63, 0.92)</w:t>
            </w:r>
          </w:p>
        </w:tc>
      </w:tr>
      <w:tr w:rsidR="00145A0F" w14:paraId="4D2CD9C1" w14:textId="77777777" w:rsidTr="00E01C28">
        <w:trPr>
          <w:trHeight w:val="545"/>
        </w:trPr>
        <w:tc>
          <w:tcPr>
            <w:tcW w:w="1598" w:type="dxa"/>
            <w:vMerge w:val="restart"/>
            <w:tcBorders>
              <w:top w:val="single" w:sz="4" w:space="0" w:color="000000"/>
              <w:left w:val="nil"/>
              <w:bottom w:val="single" w:sz="12" w:space="0" w:color="000000"/>
              <w:right w:val="nil"/>
            </w:tcBorders>
            <w:shd w:val="clear" w:color="auto" w:fill="auto"/>
            <w:tcMar>
              <w:top w:w="80" w:type="dxa"/>
              <w:left w:w="80" w:type="dxa"/>
              <w:bottom w:w="80" w:type="dxa"/>
              <w:right w:w="80" w:type="dxa"/>
            </w:tcMar>
          </w:tcPr>
          <w:p w14:paraId="56A08B55" w14:textId="77777777" w:rsidR="00145A0F" w:rsidRDefault="00145A0F" w:rsidP="00145A0F">
            <w:pPr>
              <w:pStyle w:val="Body"/>
              <w:spacing w:after="0"/>
            </w:pPr>
            <w:r>
              <w:rPr>
                <w:sz w:val="20"/>
                <w:szCs w:val="20"/>
              </w:rPr>
              <w:t>Full Cohort</w:t>
            </w:r>
          </w:p>
        </w:tc>
        <w:tc>
          <w:tcPr>
            <w:tcW w:w="1507" w:type="dxa"/>
            <w:tcBorders>
              <w:top w:val="single" w:sz="4" w:space="0" w:color="000000"/>
              <w:left w:val="nil"/>
              <w:bottom w:val="nil"/>
              <w:right w:val="nil"/>
            </w:tcBorders>
            <w:shd w:val="clear" w:color="auto" w:fill="auto"/>
            <w:tcMar>
              <w:top w:w="80" w:type="dxa"/>
              <w:left w:w="80" w:type="dxa"/>
              <w:bottom w:w="80" w:type="dxa"/>
              <w:right w:w="80" w:type="dxa"/>
            </w:tcMar>
          </w:tcPr>
          <w:p w14:paraId="680E121F" w14:textId="77777777" w:rsidR="00145A0F" w:rsidRDefault="00145A0F" w:rsidP="00145A0F">
            <w:pPr>
              <w:pStyle w:val="Body"/>
              <w:spacing w:after="0"/>
            </w:pPr>
            <w:r>
              <w:rPr>
                <w:sz w:val="20"/>
                <w:szCs w:val="20"/>
              </w:rPr>
              <w:t>PSM 1</w:t>
            </w:r>
          </w:p>
        </w:tc>
        <w:tc>
          <w:tcPr>
            <w:tcW w:w="989" w:type="dxa"/>
            <w:tcBorders>
              <w:top w:val="single" w:sz="4" w:space="0" w:color="000000"/>
              <w:left w:val="nil"/>
              <w:bottom w:val="nil"/>
              <w:right w:val="nil"/>
            </w:tcBorders>
            <w:shd w:val="clear" w:color="auto" w:fill="auto"/>
            <w:tcMar>
              <w:top w:w="80" w:type="dxa"/>
              <w:left w:w="80" w:type="dxa"/>
              <w:bottom w:w="80" w:type="dxa"/>
              <w:right w:w="80" w:type="dxa"/>
            </w:tcMar>
          </w:tcPr>
          <w:p w14:paraId="7EDA0BB8" w14:textId="13FED6B1" w:rsidR="00145A0F" w:rsidRPr="008200F7" w:rsidRDefault="00145A0F" w:rsidP="00145A0F">
            <w:pPr>
              <w:pStyle w:val="Body"/>
              <w:spacing w:after="0"/>
              <w:rPr>
                <w:sz w:val="20"/>
                <w:szCs w:val="20"/>
              </w:rPr>
            </w:pPr>
            <w:r w:rsidRPr="008200F7">
              <w:rPr>
                <w:sz w:val="20"/>
                <w:szCs w:val="20"/>
              </w:rPr>
              <w:t>22342</w:t>
            </w:r>
          </w:p>
        </w:tc>
        <w:tc>
          <w:tcPr>
            <w:tcW w:w="861" w:type="dxa"/>
            <w:tcBorders>
              <w:top w:val="single" w:sz="4" w:space="0" w:color="000000"/>
              <w:left w:val="nil"/>
              <w:bottom w:val="nil"/>
              <w:right w:val="nil"/>
            </w:tcBorders>
            <w:shd w:val="clear" w:color="auto" w:fill="auto"/>
            <w:tcMar>
              <w:top w:w="80" w:type="dxa"/>
              <w:left w:w="80" w:type="dxa"/>
              <w:bottom w:w="80" w:type="dxa"/>
              <w:right w:w="80" w:type="dxa"/>
            </w:tcMar>
          </w:tcPr>
          <w:p w14:paraId="0E009798" w14:textId="5D167DD6" w:rsidR="00145A0F" w:rsidRPr="008200F7" w:rsidRDefault="00145A0F" w:rsidP="00145A0F">
            <w:pPr>
              <w:pStyle w:val="Body"/>
              <w:spacing w:after="0"/>
              <w:rPr>
                <w:sz w:val="20"/>
                <w:szCs w:val="20"/>
              </w:rPr>
            </w:pPr>
            <w:r w:rsidRPr="008200F7">
              <w:rPr>
                <w:sz w:val="20"/>
                <w:szCs w:val="20"/>
              </w:rPr>
              <w:t>5159</w:t>
            </w:r>
          </w:p>
        </w:tc>
        <w:tc>
          <w:tcPr>
            <w:tcW w:w="606" w:type="dxa"/>
            <w:tcBorders>
              <w:top w:val="single" w:sz="4" w:space="0" w:color="000000"/>
              <w:left w:val="nil"/>
              <w:bottom w:val="nil"/>
              <w:right w:val="nil"/>
            </w:tcBorders>
            <w:shd w:val="clear" w:color="auto" w:fill="auto"/>
            <w:tcMar>
              <w:top w:w="80" w:type="dxa"/>
              <w:left w:w="80" w:type="dxa"/>
              <w:bottom w:w="80" w:type="dxa"/>
              <w:right w:w="80" w:type="dxa"/>
            </w:tcMar>
          </w:tcPr>
          <w:p w14:paraId="47C45E89" w14:textId="242C9EB6" w:rsidR="00145A0F" w:rsidRPr="008200F7" w:rsidRDefault="00145A0F" w:rsidP="00145A0F">
            <w:pPr>
              <w:pStyle w:val="Body"/>
              <w:spacing w:after="0"/>
              <w:rPr>
                <w:sz w:val="20"/>
                <w:szCs w:val="20"/>
              </w:rPr>
            </w:pPr>
            <w:r w:rsidRPr="008200F7">
              <w:rPr>
                <w:sz w:val="20"/>
                <w:szCs w:val="20"/>
              </w:rPr>
              <w:t>0.6</w:t>
            </w:r>
          </w:p>
        </w:tc>
        <w:tc>
          <w:tcPr>
            <w:tcW w:w="999" w:type="dxa"/>
            <w:tcBorders>
              <w:top w:val="single" w:sz="4" w:space="0" w:color="000000"/>
              <w:left w:val="nil"/>
              <w:bottom w:val="nil"/>
              <w:right w:val="nil"/>
            </w:tcBorders>
            <w:shd w:val="clear" w:color="auto" w:fill="auto"/>
            <w:tcMar>
              <w:top w:w="80" w:type="dxa"/>
              <w:left w:w="80" w:type="dxa"/>
              <w:bottom w:w="80" w:type="dxa"/>
              <w:right w:w="80" w:type="dxa"/>
            </w:tcMar>
          </w:tcPr>
          <w:p w14:paraId="536B9013" w14:textId="236A2928" w:rsidR="00145A0F" w:rsidRPr="008200F7" w:rsidRDefault="00145A0F" w:rsidP="00145A0F">
            <w:pPr>
              <w:pStyle w:val="Body"/>
              <w:spacing w:after="0"/>
              <w:rPr>
                <w:sz w:val="20"/>
                <w:szCs w:val="20"/>
              </w:rPr>
            </w:pPr>
            <w:r w:rsidRPr="008200F7">
              <w:rPr>
                <w:sz w:val="20"/>
                <w:szCs w:val="20"/>
              </w:rPr>
              <w:t>(0.54, 0.68)</w:t>
            </w:r>
          </w:p>
        </w:tc>
        <w:tc>
          <w:tcPr>
            <w:tcW w:w="861" w:type="dxa"/>
            <w:tcBorders>
              <w:top w:val="single" w:sz="4" w:space="0" w:color="000000"/>
              <w:left w:val="nil"/>
              <w:bottom w:val="nil"/>
              <w:right w:val="nil"/>
            </w:tcBorders>
            <w:shd w:val="clear" w:color="auto" w:fill="auto"/>
            <w:tcMar>
              <w:top w:w="80" w:type="dxa"/>
              <w:left w:w="80" w:type="dxa"/>
              <w:bottom w:w="80" w:type="dxa"/>
              <w:right w:w="80" w:type="dxa"/>
            </w:tcMar>
          </w:tcPr>
          <w:p w14:paraId="60830EBA" w14:textId="32E25ED0" w:rsidR="00145A0F" w:rsidRPr="008200F7" w:rsidRDefault="00145A0F" w:rsidP="00145A0F">
            <w:pPr>
              <w:pStyle w:val="Body"/>
              <w:spacing w:after="0"/>
              <w:rPr>
                <w:sz w:val="20"/>
                <w:szCs w:val="20"/>
              </w:rPr>
            </w:pPr>
            <w:r w:rsidRPr="008200F7">
              <w:rPr>
                <w:sz w:val="20"/>
                <w:szCs w:val="20"/>
              </w:rPr>
              <w:t>3648</w:t>
            </w:r>
          </w:p>
        </w:tc>
        <w:tc>
          <w:tcPr>
            <w:tcW w:w="605" w:type="dxa"/>
            <w:tcBorders>
              <w:top w:val="single" w:sz="4" w:space="0" w:color="000000"/>
              <w:left w:val="nil"/>
              <w:bottom w:val="nil"/>
              <w:right w:val="nil"/>
            </w:tcBorders>
            <w:shd w:val="clear" w:color="auto" w:fill="auto"/>
            <w:tcMar>
              <w:top w:w="80" w:type="dxa"/>
              <w:left w:w="80" w:type="dxa"/>
              <w:bottom w:w="80" w:type="dxa"/>
              <w:right w:w="80" w:type="dxa"/>
            </w:tcMar>
          </w:tcPr>
          <w:p w14:paraId="1ED8F001" w14:textId="4BEC208D" w:rsidR="00145A0F" w:rsidRPr="008200F7" w:rsidRDefault="00145A0F" w:rsidP="00145A0F">
            <w:pPr>
              <w:pStyle w:val="Body"/>
              <w:spacing w:after="0"/>
              <w:rPr>
                <w:sz w:val="20"/>
                <w:szCs w:val="20"/>
              </w:rPr>
            </w:pPr>
            <w:r w:rsidRPr="008200F7">
              <w:rPr>
                <w:sz w:val="20"/>
                <w:szCs w:val="20"/>
              </w:rPr>
              <w:t>0.66</w:t>
            </w:r>
          </w:p>
        </w:tc>
        <w:tc>
          <w:tcPr>
            <w:tcW w:w="1000" w:type="dxa"/>
            <w:tcBorders>
              <w:top w:val="single" w:sz="4" w:space="0" w:color="000000"/>
              <w:left w:val="nil"/>
              <w:bottom w:val="nil"/>
              <w:right w:val="nil"/>
            </w:tcBorders>
            <w:shd w:val="clear" w:color="auto" w:fill="auto"/>
            <w:tcMar>
              <w:top w:w="80" w:type="dxa"/>
              <w:left w:w="80" w:type="dxa"/>
              <w:bottom w:w="80" w:type="dxa"/>
              <w:right w:w="80" w:type="dxa"/>
            </w:tcMar>
          </w:tcPr>
          <w:p w14:paraId="037C2890" w14:textId="24154ACE" w:rsidR="00145A0F" w:rsidRPr="008200F7" w:rsidRDefault="00145A0F" w:rsidP="00145A0F">
            <w:pPr>
              <w:pStyle w:val="Body"/>
              <w:spacing w:after="0"/>
              <w:rPr>
                <w:sz w:val="20"/>
                <w:szCs w:val="20"/>
              </w:rPr>
            </w:pPr>
            <w:r w:rsidRPr="008200F7">
              <w:rPr>
                <w:sz w:val="20"/>
                <w:szCs w:val="20"/>
              </w:rPr>
              <w:t>(0.56, 0.75)</w:t>
            </w:r>
          </w:p>
        </w:tc>
      </w:tr>
      <w:tr w:rsidR="00145A0F" w14:paraId="1F24EA66" w14:textId="77777777" w:rsidTr="00E01C28">
        <w:trPr>
          <w:trHeight w:val="540"/>
        </w:trPr>
        <w:tc>
          <w:tcPr>
            <w:tcW w:w="1598" w:type="dxa"/>
            <w:vMerge/>
            <w:tcBorders>
              <w:top w:val="single" w:sz="4" w:space="0" w:color="000000"/>
              <w:left w:val="nil"/>
              <w:bottom w:val="single" w:sz="12" w:space="0" w:color="000000"/>
              <w:right w:val="nil"/>
            </w:tcBorders>
            <w:shd w:val="clear" w:color="auto" w:fill="auto"/>
          </w:tcPr>
          <w:p w14:paraId="4CAA98DB" w14:textId="77777777" w:rsidR="00145A0F" w:rsidRDefault="00145A0F" w:rsidP="00145A0F"/>
        </w:tc>
        <w:tc>
          <w:tcPr>
            <w:tcW w:w="1507" w:type="dxa"/>
            <w:tcBorders>
              <w:top w:val="nil"/>
              <w:left w:val="nil"/>
              <w:bottom w:val="nil"/>
              <w:right w:val="nil"/>
            </w:tcBorders>
            <w:shd w:val="clear" w:color="auto" w:fill="auto"/>
            <w:tcMar>
              <w:top w:w="80" w:type="dxa"/>
              <w:left w:w="80" w:type="dxa"/>
              <w:bottom w:w="80" w:type="dxa"/>
              <w:right w:w="80" w:type="dxa"/>
            </w:tcMar>
          </w:tcPr>
          <w:p w14:paraId="47B6D7EF" w14:textId="77777777" w:rsidR="00145A0F" w:rsidRDefault="00145A0F" w:rsidP="00145A0F">
            <w:pPr>
              <w:pStyle w:val="Body"/>
              <w:spacing w:after="0"/>
            </w:pPr>
            <w:r>
              <w:rPr>
                <w:sz w:val="20"/>
                <w:szCs w:val="20"/>
              </w:rPr>
              <w:t>PSM 2</w:t>
            </w:r>
          </w:p>
        </w:tc>
        <w:tc>
          <w:tcPr>
            <w:tcW w:w="989" w:type="dxa"/>
            <w:tcBorders>
              <w:top w:val="nil"/>
              <w:left w:val="nil"/>
              <w:bottom w:val="nil"/>
              <w:right w:val="nil"/>
            </w:tcBorders>
            <w:shd w:val="clear" w:color="auto" w:fill="auto"/>
            <w:tcMar>
              <w:top w:w="80" w:type="dxa"/>
              <w:left w:w="80" w:type="dxa"/>
              <w:bottom w:w="80" w:type="dxa"/>
              <w:right w:w="80" w:type="dxa"/>
            </w:tcMar>
          </w:tcPr>
          <w:p w14:paraId="4C86C583" w14:textId="4B75E4A8" w:rsidR="00145A0F" w:rsidRPr="008200F7" w:rsidRDefault="00145A0F" w:rsidP="00145A0F">
            <w:pPr>
              <w:pStyle w:val="Body"/>
              <w:spacing w:after="0"/>
              <w:rPr>
                <w:sz w:val="20"/>
                <w:szCs w:val="20"/>
              </w:rPr>
            </w:pPr>
            <w:r w:rsidRPr="008200F7">
              <w:rPr>
                <w:sz w:val="20"/>
                <w:szCs w:val="20"/>
              </w:rPr>
              <w:t>22342</w:t>
            </w:r>
          </w:p>
        </w:tc>
        <w:tc>
          <w:tcPr>
            <w:tcW w:w="861" w:type="dxa"/>
            <w:tcBorders>
              <w:top w:val="nil"/>
              <w:left w:val="nil"/>
              <w:bottom w:val="nil"/>
              <w:right w:val="nil"/>
            </w:tcBorders>
            <w:shd w:val="clear" w:color="auto" w:fill="auto"/>
            <w:tcMar>
              <w:top w:w="80" w:type="dxa"/>
              <w:left w:w="80" w:type="dxa"/>
              <w:bottom w:w="80" w:type="dxa"/>
              <w:right w:w="80" w:type="dxa"/>
            </w:tcMar>
          </w:tcPr>
          <w:p w14:paraId="69541CB0" w14:textId="1BC00D5A" w:rsidR="00145A0F" w:rsidRPr="008200F7" w:rsidRDefault="00145A0F" w:rsidP="00145A0F">
            <w:pPr>
              <w:pStyle w:val="Body"/>
              <w:spacing w:after="0"/>
              <w:rPr>
                <w:sz w:val="20"/>
                <w:szCs w:val="20"/>
              </w:rPr>
            </w:pPr>
            <w:r w:rsidRPr="008200F7">
              <w:rPr>
                <w:sz w:val="20"/>
                <w:szCs w:val="20"/>
              </w:rPr>
              <w:t>4240</w:t>
            </w:r>
          </w:p>
        </w:tc>
        <w:tc>
          <w:tcPr>
            <w:tcW w:w="606" w:type="dxa"/>
            <w:tcBorders>
              <w:top w:val="nil"/>
              <w:left w:val="nil"/>
              <w:bottom w:val="nil"/>
              <w:right w:val="nil"/>
            </w:tcBorders>
            <w:shd w:val="clear" w:color="auto" w:fill="auto"/>
            <w:tcMar>
              <w:top w:w="80" w:type="dxa"/>
              <w:left w:w="80" w:type="dxa"/>
              <w:bottom w:w="80" w:type="dxa"/>
              <w:right w:w="80" w:type="dxa"/>
            </w:tcMar>
          </w:tcPr>
          <w:p w14:paraId="5ADD6D91" w14:textId="24D3B349" w:rsidR="00145A0F" w:rsidRPr="008200F7" w:rsidRDefault="00145A0F" w:rsidP="00145A0F">
            <w:pPr>
              <w:pStyle w:val="Body"/>
              <w:spacing w:after="0"/>
              <w:rPr>
                <w:sz w:val="20"/>
                <w:szCs w:val="20"/>
              </w:rPr>
            </w:pPr>
            <w:r w:rsidRPr="008200F7">
              <w:rPr>
                <w:sz w:val="20"/>
                <w:szCs w:val="20"/>
              </w:rPr>
              <w:t>0.93</w:t>
            </w:r>
          </w:p>
        </w:tc>
        <w:tc>
          <w:tcPr>
            <w:tcW w:w="999" w:type="dxa"/>
            <w:tcBorders>
              <w:top w:val="nil"/>
              <w:left w:val="nil"/>
              <w:bottom w:val="nil"/>
              <w:right w:val="nil"/>
            </w:tcBorders>
            <w:shd w:val="clear" w:color="auto" w:fill="auto"/>
            <w:tcMar>
              <w:top w:w="80" w:type="dxa"/>
              <w:left w:w="80" w:type="dxa"/>
              <w:bottom w:w="80" w:type="dxa"/>
              <w:right w:w="80" w:type="dxa"/>
            </w:tcMar>
          </w:tcPr>
          <w:p w14:paraId="7BC14783" w14:textId="3B5BF2FA" w:rsidR="00145A0F" w:rsidRPr="008200F7" w:rsidRDefault="00145A0F" w:rsidP="00145A0F">
            <w:pPr>
              <w:pStyle w:val="Body"/>
              <w:spacing w:after="0"/>
              <w:rPr>
                <w:sz w:val="20"/>
                <w:szCs w:val="20"/>
              </w:rPr>
            </w:pPr>
            <w:r w:rsidRPr="008200F7">
              <w:rPr>
                <w:sz w:val="20"/>
                <w:szCs w:val="20"/>
              </w:rPr>
              <w:t>(0.88, 1)</w:t>
            </w:r>
          </w:p>
        </w:tc>
        <w:tc>
          <w:tcPr>
            <w:tcW w:w="861" w:type="dxa"/>
            <w:tcBorders>
              <w:top w:val="nil"/>
              <w:left w:val="nil"/>
              <w:bottom w:val="nil"/>
              <w:right w:val="nil"/>
            </w:tcBorders>
            <w:shd w:val="clear" w:color="auto" w:fill="auto"/>
            <w:tcMar>
              <w:top w:w="80" w:type="dxa"/>
              <w:left w:w="80" w:type="dxa"/>
              <w:bottom w:w="80" w:type="dxa"/>
              <w:right w:w="80" w:type="dxa"/>
            </w:tcMar>
          </w:tcPr>
          <w:p w14:paraId="40E165C0" w14:textId="37EB80BD" w:rsidR="00145A0F" w:rsidRPr="008200F7" w:rsidRDefault="00145A0F" w:rsidP="00145A0F">
            <w:pPr>
              <w:pStyle w:val="Body"/>
              <w:spacing w:after="0"/>
              <w:rPr>
                <w:sz w:val="20"/>
                <w:szCs w:val="20"/>
              </w:rPr>
            </w:pPr>
            <w:r w:rsidRPr="008200F7">
              <w:rPr>
                <w:sz w:val="20"/>
                <w:szCs w:val="20"/>
              </w:rPr>
              <w:t>2819</w:t>
            </w:r>
          </w:p>
        </w:tc>
        <w:tc>
          <w:tcPr>
            <w:tcW w:w="605" w:type="dxa"/>
            <w:tcBorders>
              <w:top w:val="nil"/>
              <w:left w:val="nil"/>
              <w:bottom w:val="nil"/>
              <w:right w:val="nil"/>
            </w:tcBorders>
            <w:shd w:val="clear" w:color="auto" w:fill="auto"/>
            <w:tcMar>
              <w:top w:w="80" w:type="dxa"/>
              <w:left w:w="80" w:type="dxa"/>
              <w:bottom w:w="80" w:type="dxa"/>
              <w:right w:w="80" w:type="dxa"/>
            </w:tcMar>
          </w:tcPr>
          <w:p w14:paraId="220945A7" w14:textId="509A92E6" w:rsidR="00145A0F" w:rsidRPr="008200F7" w:rsidRDefault="00145A0F" w:rsidP="00145A0F">
            <w:pPr>
              <w:pStyle w:val="Body"/>
              <w:spacing w:after="0"/>
              <w:rPr>
                <w:sz w:val="20"/>
                <w:szCs w:val="20"/>
              </w:rPr>
            </w:pPr>
            <w:r w:rsidRPr="008200F7">
              <w:rPr>
                <w:sz w:val="20"/>
                <w:szCs w:val="20"/>
              </w:rPr>
              <w:t>1.19</w:t>
            </w:r>
          </w:p>
        </w:tc>
        <w:tc>
          <w:tcPr>
            <w:tcW w:w="1000" w:type="dxa"/>
            <w:tcBorders>
              <w:top w:val="nil"/>
              <w:left w:val="nil"/>
              <w:bottom w:val="nil"/>
              <w:right w:val="nil"/>
            </w:tcBorders>
            <w:shd w:val="clear" w:color="auto" w:fill="auto"/>
            <w:tcMar>
              <w:top w:w="80" w:type="dxa"/>
              <w:left w:w="80" w:type="dxa"/>
              <w:bottom w:w="80" w:type="dxa"/>
              <w:right w:w="80" w:type="dxa"/>
            </w:tcMar>
          </w:tcPr>
          <w:p w14:paraId="58C1D568" w14:textId="30094D8C" w:rsidR="00145A0F" w:rsidRPr="008200F7" w:rsidRDefault="00145A0F" w:rsidP="00145A0F">
            <w:pPr>
              <w:pStyle w:val="Body"/>
              <w:spacing w:after="0"/>
              <w:rPr>
                <w:sz w:val="20"/>
                <w:szCs w:val="20"/>
              </w:rPr>
            </w:pPr>
            <w:r w:rsidRPr="008200F7">
              <w:rPr>
                <w:sz w:val="20"/>
                <w:szCs w:val="20"/>
              </w:rPr>
              <w:t>(1.1, 1.29)</w:t>
            </w:r>
          </w:p>
        </w:tc>
      </w:tr>
      <w:tr w:rsidR="00145A0F" w14:paraId="492B632A" w14:textId="77777777" w:rsidTr="00E01C28">
        <w:trPr>
          <w:trHeight w:val="555"/>
        </w:trPr>
        <w:tc>
          <w:tcPr>
            <w:tcW w:w="1598" w:type="dxa"/>
            <w:vMerge/>
            <w:tcBorders>
              <w:top w:val="single" w:sz="4" w:space="0" w:color="000000"/>
              <w:left w:val="nil"/>
              <w:bottom w:val="single" w:sz="12" w:space="0" w:color="000000"/>
              <w:right w:val="nil"/>
            </w:tcBorders>
            <w:shd w:val="clear" w:color="auto" w:fill="auto"/>
          </w:tcPr>
          <w:p w14:paraId="664108F2" w14:textId="77777777" w:rsidR="00145A0F" w:rsidRDefault="00145A0F" w:rsidP="00145A0F"/>
        </w:tc>
        <w:tc>
          <w:tcPr>
            <w:tcW w:w="1507" w:type="dxa"/>
            <w:tcBorders>
              <w:top w:val="nil"/>
              <w:left w:val="nil"/>
              <w:bottom w:val="single" w:sz="12" w:space="0" w:color="000000"/>
              <w:right w:val="nil"/>
            </w:tcBorders>
            <w:shd w:val="clear" w:color="auto" w:fill="auto"/>
            <w:tcMar>
              <w:top w:w="80" w:type="dxa"/>
              <w:left w:w="80" w:type="dxa"/>
              <w:bottom w:w="80" w:type="dxa"/>
              <w:right w:w="80" w:type="dxa"/>
            </w:tcMar>
          </w:tcPr>
          <w:p w14:paraId="6801071A" w14:textId="77777777" w:rsidR="00145A0F" w:rsidRDefault="00145A0F" w:rsidP="00145A0F">
            <w:pPr>
              <w:pStyle w:val="Body"/>
              <w:spacing w:after="0"/>
            </w:pPr>
            <w:r>
              <w:rPr>
                <w:sz w:val="20"/>
                <w:szCs w:val="20"/>
              </w:rPr>
              <w:t>PSM 3</w:t>
            </w:r>
          </w:p>
        </w:tc>
        <w:tc>
          <w:tcPr>
            <w:tcW w:w="989" w:type="dxa"/>
            <w:tcBorders>
              <w:top w:val="nil"/>
              <w:left w:val="nil"/>
              <w:bottom w:val="single" w:sz="12" w:space="0" w:color="000000"/>
              <w:right w:val="nil"/>
            </w:tcBorders>
            <w:shd w:val="clear" w:color="auto" w:fill="auto"/>
            <w:tcMar>
              <w:top w:w="80" w:type="dxa"/>
              <w:left w:w="80" w:type="dxa"/>
              <w:bottom w:w="80" w:type="dxa"/>
              <w:right w:w="80" w:type="dxa"/>
            </w:tcMar>
          </w:tcPr>
          <w:p w14:paraId="0A7A4C76" w14:textId="0022C192" w:rsidR="00145A0F" w:rsidRPr="008200F7" w:rsidRDefault="00145A0F" w:rsidP="00145A0F">
            <w:pPr>
              <w:pStyle w:val="Body"/>
              <w:spacing w:after="0"/>
              <w:rPr>
                <w:sz w:val="20"/>
                <w:szCs w:val="20"/>
              </w:rPr>
            </w:pPr>
            <w:r w:rsidRPr="008200F7">
              <w:rPr>
                <w:sz w:val="20"/>
                <w:szCs w:val="20"/>
              </w:rPr>
              <w:t>9372</w:t>
            </w:r>
          </w:p>
        </w:tc>
        <w:tc>
          <w:tcPr>
            <w:tcW w:w="861" w:type="dxa"/>
            <w:tcBorders>
              <w:top w:val="nil"/>
              <w:left w:val="nil"/>
              <w:bottom w:val="single" w:sz="12" w:space="0" w:color="000000"/>
              <w:right w:val="nil"/>
            </w:tcBorders>
            <w:shd w:val="clear" w:color="auto" w:fill="auto"/>
            <w:tcMar>
              <w:top w:w="80" w:type="dxa"/>
              <w:left w:w="80" w:type="dxa"/>
              <w:bottom w:w="80" w:type="dxa"/>
              <w:right w:w="80" w:type="dxa"/>
            </w:tcMar>
          </w:tcPr>
          <w:p w14:paraId="10D40072" w14:textId="1F25371F" w:rsidR="00145A0F" w:rsidRPr="008200F7" w:rsidRDefault="00145A0F" w:rsidP="00145A0F">
            <w:pPr>
              <w:pStyle w:val="Body"/>
              <w:spacing w:after="0"/>
              <w:rPr>
                <w:sz w:val="20"/>
                <w:szCs w:val="20"/>
              </w:rPr>
            </w:pPr>
            <w:r w:rsidRPr="008200F7">
              <w:rPr>
                <w:sz w:val="20"/>
                <w:szCs w:val="20"/>
              </w:rPr>
              <w:t>1930</w:t>
            </w:r>
          </w:p>
        </w:tc>
        <w:tc>
          <w:tcPr>
            <w:tcW w:w="606" w:type="dxa"/>
            <w:tcBorders>
              <w:top w:val="nil"/>
              <w:left w:val="nil"/>
              <w:bottom w:val="single" w:sz="12" w:space="0" w:color="000000"/>
              <w:right w:val="nil"/>
            </w:tcBorders>
            <w:shd w:val="clear" w:color="auto" w:fill="auto"/>
            <w:tcMar>
              <w:top w:w="80" w:type="dxa"/>
              <w:left w:w="80" w:type="dxa"/>
              <w:bottom w:w="80" w:type="dxa"/>
              <w:right w:w="80" w:type="dxa"/>
            </w:tcMar>
          </w:tcPr>
          <w:p w14:paraId="3021C405" w14:textId="38D5393D" w:rsidR="00145A0F" w:rsidRPr="008200F7" w:rsidRDefault="00145A0F" w:rsidP="00145A0F">
            <w:pPr>
              <w:pStyle w:val="Body"/>
              <w:spacing w:after="0"/>
              <w:rPr>
                <w:sz w:val="20"/>
                <w:szCs w:val="20"/>
              </w:rPr>
            </w:pPr>
            <w:r w:rsidRPr="008200F7">
              <w:rPr>
                <w:sz w:val="20"/>
                <w:szCs w:val="20"/>
              </w:rPr>
              <w:t>0.71</w:t>
            </w:r>
          </w:p>
        </w:tc>
        <w:tc>
          <w:tcPr>
            <w:tcW w:w="999" w:type="dxa"/>
            <w:tcBorders>
              <w:top w:val="nil"/>
              <w:left w:val="nil"/>
              <w:bottom w:val="single" w:sz="12" w:space="0" w:color="000000"/>
              <w:right w:val="nil"/>
            </w:tcBorders>
            <w:shd w:val="clear" w:color="auto" w:fill="auto"/>
            <w:tcMar>
              <w:top w:w="80" w:type="dxa"/>
              <w:left w:w="80" w:type="dxa"/>
              <w:bottom w:w="80" w:type="dxa"/>
              <w:right w:w="80" w:type="dxa"/>
            </w:tcMar>
          </w:tcPr>
          <w:p w14:paraId="1A69CCE9" w14:textId="67575E89" w:rsidR="00145A0F" w:rsidRPr="008200F7" w:rsidRDefault="00145A0F" w:rsidP="00145A0F">
            <w:pPr>
              <w:pStyle w:val="Body"/>
              <w:spacing w:after="0"/>
              <w:rPr>
                <w:sz w:val="20"/>
                <w:szCs w:val="20"/>
              </w:rPr>
            </w:pPr>
            <w:r w:rsidRPr="008200F7">
              <w:rPr>
                <w:sz w:val="20"/>
                <w:szCs w:val="20"/>
              </w:rPr>
              <w:t>(0.65, 0.78)</w:t>
            </w:r>
          </w:p>
        </w:tc>
        <w:tc>
          <w:tcPr>
            <w:tcW w:w="861" w:type="dxa"/>
            <w:tcBorders>
              <w:top w:val="nil"/>
              <w:left w:val="nil"/>
              <w:bottom w:val="single" w:sz="12" w:space="0" w:color="000000"/>
              <w:right w:val="nil"/>
            </w:tcBorders>
            <w:shd w:val="clear" w:color="auto" w:fill="auto"/>
            <w:tcMar>
              <w:top w:w="80" w:type="dxa"/>
              <w:left w:w="80" w:type="dxa"/>
              <w:bottom w:w="80" w:type="dxa"/>
              <w:right w:w="80" w:type="dxa"/>
            </w:tcMar>
          </w:tcPr>
          <w:p w14:paraId="67E6B8FF" w14:textId="5849FB99" w:rsidR="00145A0F" w:rsidRPr="008200F7" w:rsidRDefault="00145A0F" w:rsidP="00145A0F">
            <w:pPr>
              <w:pStyle w:val="Body"/>
              <w:spacing w:after="0"/>
              <w:rPr>
                <w:sz w:val="20"/>
                <w:szCs w:val="20"/>
              </w:rPr>
            </w:pPr>
            <w:r w:rsidRPr="008200F7">
              <w:rPr>
                <w:sz w:val="20"/>
                <w:szCs w:val="20"/>
              </w:rPr>
              <w:t>1262</w:t>
            </w:r>
          </w:p>
        </w:tc>
        <w:tc>
          <w:tcPr>
            <w:tcW w:w="605" w:type="dxa"/>
            <w:tcBorders>
              <w:top w:val="nil"/>
              <w:left w:val="nil"/>
              <w:bottom w:val="single" w:sz="12" w:space="0" w:color="000000"/>
              <w:right w:val="nil"/>
            </w:tcBorders>
            <w:shd w:val="clear" w:color="auto" w:fill="auto"/>
            <w:tcMar>
              <w:top w:w="80" w:type="dxa"/>
              <w:left w:w="80" w:type="dxa"/>
              <w:bottom w:w="80" w:type="dxa"/>
              <w:right w:w="80" w:type="dxa"/>
            </w:tcMar>
          </w:tcPr>
          <w:p w14:paraId="1953EAE0" w14:textId="5833AF72" w:rsidR="00145A0F" w:rsidRPr="008200F7" w:rsidRDefault="00145A0F" w:rsidP="00145A0F">
            <w:pPr>
              <w:pStyle w:val="Body"/>
              <w:spacing w:after="0"/>
              <w:rPr>
                <w:sz w:val="20"/>
                <w:szCs w:val="20"/>
              </w:rPr>
            </w:pPr>
            <w:r w:rsidRPr="008200F7">
              <w:rPr>
                <w:sz w:val="20"/>
                <w:szCs w:val="20"/>
              </w:rPr>
              <w:t>0.77</w:t>
            </w:r>
          </w:p>
        </w:tc>
        <w:tc>
          <w:tcPr>
            <w:tcW w:w="1000" w:type="dxa"/>
            <w:tcBorders>
              <w:top w:val="nil"/>
              <w:left w:val="nil"/>
              <w:bottom w:val="single" w:sz="12" w:space="0" w:color="000000"/>
              <w:right w:val="nil"/>
            </w:tcBorders>
            <w:shd w:val="clear" w:color="auto" w:fill="auto"/>
            <w:tcMar>
              <w:top w:w="80" w:type="dxa"/>
              <w:left w:w="80" w:type="dxa"/>
              <w:bottom w:w="80" w:type="dxa"/>
              <w:right w:w="80" w:type="dxa"/>
            </w:tcMar>
          </w:tcPr>
          <w:p w14:paraId="43665DDB" w14:textId="6F7B3F48" w:rsidR="00145A0F" w:rsidRPr="008200F7" w:rsidRDefault="00145A0F" w:rsidP="00145A0F">
            <w:pPr>
              <w:pStyle w:val="Body"/>
              <w:spacing w:after="0"/>
              <w:rPr>
                <w:sz w:val="20"/>
                <w:szCs w:val="20"/>
              </w:rPr>
            </w:pPr>
            <w:r w:rsidRPr="008200F7">
              <w:rPr>
                <w:sz w:val="20"/>
                <w:szCs w:val="20"/>
              </w:rPr>
              <w:t>(0.67, 0.84)</w:t>
            </w:r>
          </w:p>
        </w:tc>
      </w:tr>
    </w:tbl>
    <w:p w14:paraId="21D08C30" w14:textId="77777777" w:rsidR="00E73C9D" w:rsidRDefault="00E73C9D">
      <w:pPr>
        <w:pStyle w:val="Heading2"/>
      </w:pPr>
    </w:p>
    <w:p w14:paraId="0F73C183" w14:textId="77777777" w:rsidR="00BB62F7" w:rsidRDefault="00BB62F7">
      <w:pPr>
        <w:pStyle w:val="Heading2"/>
        <w:rPr>
          <w:lang w:val="en-US"/>
        </w:rPr>
      </w:pPr>
      <w:r>
        <w:rPr>
          <w:lang w:val="en-US"/>
        </w:rPr>
        <w:br w:type="page"/>
      </w:r>
    </w:p>
    <w:p w14:paraId="589EC542" w14:textId="43A0EB68" w:rsidR="00E73C9D" w:rsidRDefault="00BB62F7">
      <w:pPr>
        <w:pStyle w:val="Heading2"/>
      </w:pPr>
      <w:r>
        <w:rPr>
          <w:lang w:val="en-US"/>
        </w:rPr>
        <w:lastRenderedPageBreak/>
        <w:t>4</w:t>
      </w:r>
      <w:r w:rsidR="00C57731">
        <w:rPr>
          <w:lang w:val="en-US"/>
        </w:rPr>
        <w:t xml:space="preserve"> Instrumental variables full results</w:t>
      </w:r>
    </w:p>
    <w:p w14:paraId="5E025B2D" w14:textId="49D5F267" w:rsidR="00E73C9D" w:rsidRDefault="00C57731">
      <w:pPr>
        <w:pStyle w:val="Body"/>
        <w:rPr>
          <w:b/>
          <w:bCs/>
        </w:rPr>
      </w:pPr>
      <w:r>
        <w:rPr>
          <w:b/>
          <w:bCs/>
        </w:rPr>
        <w:t xml:space="preserve">Table </w:t>
      </w:r>
      <w:r w:rsidR="00B26A21">
        <w:rPr>
          <w:b/>
          <w:bCs/>
        </w:rPr>
        <w:t>4</w:t>
      </w:r>
      <w:r>
        <w:rPr>
          <w:b/>
          <w:bCs/>
        </w:rPr>
        <w:t>.1 IV regressions 1st and 2nd stage results by sample</w:t>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556"/>
        <w:gridCol w:w="1697"/>
        <w:gridCol w:w="1737"/>
        <w:gridCol w:w="1381"/>
        <w:gridCol w:w="1645"/>
      </w:tblGrid>
      <w:tr w:rsidR="00E73C9D" w14:paraId="6E378E35" w14:textId="77777777">
        <w:trPr>
          <w:trHeight w:val="258"/>
        </w:trPr>
        <w:tc>
          <w:tcPr>
            <w:tcW w:w="2556" w:type="dxa"/>
            <w:tcBorders>
              <w:top w:val="single" w:sz="12" w:space="0" w:color="000000"/>
              <w:left w:val="nil"/>
              <w:bottom w:val="single" w:sz="8" w:space="0" w:color="000000"/>
              <w:right w:val="nil"/>
            </w:tcBorders>
            <w:shd w:val="clear" w:color="auto" w:fill="auto"/>
            <w:tcMar>
              <w:top w:w="80" w:type="dxa"/>
              <w:left w:w="80" w:type="dxa"/>
              <w:bottom w:w="80" w:type="dxa"/>
              <w:right w:w="80" w:type="dxa"/>
            </w:tcMar>
          </w:tcPr>
          <w:p w14:paraId="1B70C443" w14:textId="77777777" w:rsidR="00E73C9D" w:rsidRPr="00EA6B2A" w:rsidRDefault="00E73C9D">
            <w:pPr>
              <w:rPr>
                <w:rFonts w:ascii="Arial" w:hAnsi="Arial" w:cs="Arial"/>
                <w:sz w:val="20"/>
                <w:szCs w:val="20"/>
              </w:rPr>
            </w:pPr>
          </w:p>
        </w:tc>
        <w:tc>
          <w:tcPr>
            <w:tcW w:w="3434" w:type="dxa"/>
            <w:gridSpan w:val="2"/>
            <w:tcBorders>
              <w:top w:val="single" w:sz="12" w:space="0" w:color="000000"/>
              <w:left w:val="nil"/>
              <w:bottom w:val="single" w:sz="8" w:space="0" w:color="000000"/>
              <w:right w:val="nil"/>
            </w:tcBorders>
            <w:shd w:val="clear" w:color="auto" w:fill="auto"/>
            <w:tcMar>
              <w:top w:w="80" w:type="dxa"/>
              <w:left w:w="80" w:type="dxa"/>
              <w:bottom w:w="80" w:type="dxa"/>
              <w:right w:w="80" w:type="dxa"/>
            </w:tcMar>
          </w:tcPr>
          <w:p w14:paraId="5025FBEE" w14:textId="77777777" w:rsidR="00E73C9D" w:rsidRPr="00EA6B2A" w:rsidRDefault="00C57731">
            <w:pPr>
              <w:pStyle w:val="Body"/>
              <w:spacing w:after="0"/>
              <w:rPr>
                <w:rFonts w:cs="Arial"/>
                <w:sz w:val="20"/>
                <w:szCs w:val="20"/>
              </w:rPr>
            </w:pPr>
            <w:r w:rsidRPr="00EA6B2A">
              <w:rPr>
                <w:rFonts w:cs="Arial"/>
                <w:b/>
                <w:bCs/>
                <w:sz w:val="20"/>
                <w:szCs w:val="20"/>
              </w:rPr>
              <w:t>Trial represented</w:t>
            </w:r>
          </w:p>
        </w:tc>
        <w:tc>
          <w:tcPr>
            <w:tcW w:w="3026" w:type="dxa"/>
            <w:gridSpan w:val="2"/>
            <w:tcBorders>
              <w:top w:val="single" w:sz="12" w:space="0" w:color="000000"/>
              <w:left w:val="nil"/>
              <w:bottom w:val="single" w:sz="8" w:space="0" w:color="000000"/>
              <w:right w:val="nil"/>
            </w:tcBorders>
            <w:shd w:val="clear" w:color="auto" w:fill="auto"/>
            <w:tcMar>
              <w:top w:w="80" w:type="dxa"/>
              <w:left w:w="80" w:type="dxa"/>
              <w:bottom w:w="80" w:type="dxa"/>
              <w:right w:w="80" w:type="dxa"/>
            </w:tcMar>
          </w:tcPr>
          <w:p w14:paraId="5C3EBF23" w14:textId="77777777" w:rsidR="00E73C9D" w:rsidRPr="00EA6B2A" w:rsidRDefault="00C57731">
            <w:pPr>
              <w:pStyle w:val="Body"/>
              <w:spacing w:after="0"/>
              <w:rPr>
                <w:rFonts w:cs="Arial"/>
                <w:sz w:val="20"/>
                <w:szCs w:val="20"/>
              </w:rPr>
            </w:pPr>
            <w:r w:rsidRPr="00EA6B2A">
              <w:rPr>
                <w:rFonts w:cs="Arial"/>
                <w:b/>
                <w:bCs/>
                <w:sz w:val="20"/>
                <w:szCs w:val="20"/>
              </w:rPr>
              <w:t>Full cohort</w:t>
            </w:r>
          </w:p>
        </w:tc>
      </w:tr>
      <w:tr w:rsidR="00E73C9D" w14:paraId="62FD8C8A" w14:textId="77777777">
        <w:trPr>
          <w:trHeight w:val="966"/>
        </w:trPr>
        <w:tc>
          <w:tcPr>
            <w:tcW w:w="2556"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6457880E" w14:textId="77777777" w:rsidR="00E73C9D" w:rsidRPr="00EA6B2A" w:rsidRDefault="00C57731">
            <w:pPr>
              <w:pStyle w:val="Body"/>
              <w:spacing w:after="0"/>
              <w:rPr>
                <w:rFonts w:cs="Arial"/>
                <w:sz w:val="20"/>
                <w:szCs w:val="20"/>
              </w:rPr>
            </w:pPr>
            <w:r w:rsidRPr="00EA6B2A">
              <w:rPr>
                <w:rFonts w:cs="Arial"/>
                <w:b/>
                <w:bCs/>
                <w:sz w:val="20"/>
                <w:szCs w:val="20"/>
              </w:rPr>
              <w:t>Specification</w:t>
            </w:r>
          </w:p>
        </w:tc>
        <w:tc>
          <w:tcPr>
            <w:tcW w:w="169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0D0B6438" w14:textId="77777777" w:rsidR="00E73C9D" w:rsidRPr="00EA6B2A" w:rsidRDefault="00C57731">
            <w:pPr>
              <w:pStyle w:val="Body"/>
              <w:spacing w:after="0"/>
              <w:rPr>
                <w:rFonts w:cs="Arial"/>
                <w:b/>
                <w:bCs/>
                <w:sz w:val="20"/>
                <w:szCs w:val="20"/>
              </w:rPr>
            </w:pPr>
            <w:r w:rsidRPr="00EA6B2A">
              <w:rPr>
                <w:rFonts w:cs="Arial"/>
                <w:b/>
                <w:bCs/>
                <w:sz w:val="20"/>
                <w:szCs w:val="20"/>
              </w:rPr>
              <w:t>Coefficient / HR</w:t>
            </w:r>
          </w:p>
          <w:p w14:paraId="091077BD" w14:textId="77777777" w:rsidR="00E73C9D" w:rsidRPr="00EA6B2A" w:rsidRDefault="00C57731">
            <w:pPr>
              <w:pStyle w:val="Body"/>
              <w:spacing w:after="0"/>
              <w:rPr>
                <w:rFonts w:cs="Arial"/>
                <w:sz w:val="20"/>
                <w:szCs w:val="20"/>
              </w:rPr>
            </w:pPr>
            <w:r w:rsidRPr="00EA6B2A">
              <w:rPr>
                <w:rFonts w:cs="Arial"/>
                <w:b/>
                <w:bCs/>
                <w:sz w:val="20"/>
                <w:szCs w:val="20"/>
              </w:rPr>
              <w:t>(P Value)</w:t>
            </w:r>
          </w:p>
        </w:tc>
        <w:tc>
          <w:tcPr>
            <w:tcW w:w="173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57CE3466" w14:textId="77777777" w:rsidR="00E73C9D" w:rsidRPr="00EA6B2A" w:rsidRDefault="00C57731">
            <w:pPr>
              <w:pStyle w:val="Body"/>
              <w:spacing w:after="0"/>
              <w:rPr>
                <w:rFonts w:cs="Arial"/>
                <w:sz w:val="20"/>
                <w:szCs w:val="20"/>
              </w:rPr>
            </w:pPr>
            <w:r w:rsidRPr="00EA6B2A">
              <w:rPr>
                <w:rFonts w:cs="Arial"/>
                <w:b/>
                <w:bCs/>
                <w:sz w:val="20"/>
                <w:szCs w:val="20"/>
              </w:rPr>
              <w:t xml:space="preserve">95% CI </w:t>
            </w:r>
          </w:p>
        </w:tc>
        <w:tc>
          <w:tcPr>
            <w:tcW w:w="1381"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1CBD0360" w14:textId="77777777" w:rsidR="00E73C9D" w:rsidRPr="00EA6B2A" w:rsidRDefault="00C57731">
            <w:pPr>
              <w:pStyle w:val="Body"/>
              <w:spacing w:after="0"/>
              <w:rPr>
                <w:rFonts w:cs="Arial"/>
                <w:b/>
                <w:bCs/>
                <w:sz w:val="20"/>
                <w:szCs w:val="20"/>
              </w:rPr>
            </w:pPr>
            <w:r w:rsidRPr="00EA6B2A">
              <w:rPr>
                <w:rFonts w:cs="Arial"/>
                <w:b/>
                <w:bCs/>
                <w:sz w:val="20"/>
                <w:szCs w:val="20"/>
              </w:rPr>
              <w:t>Coefficient / HR</w:t>
            </w:r>
          </w:p>
          <w:p w14:paraId="1A3736F2" w14:textId="77777777" w:rsidR="00E73C9D" w:rsidRPr="00EA6B2A" w:rsidRDefault="00C57731">
            <w:pPr>
              <w:pStyle w:val="Body"/>
              <w:spacing w:after="0"/>
              <w:rPr>
                <w:rFonts w:cs="Arial"/>
                <w:sz w:val="20"/>
                <w:szCs w:val="20"/>
              </w:rPr>
            </w:pPr>
            <w:r w:rsidRPr="00EA6B2A">
              <w:rPr>
                <w:rFonts w:cs="Arial"/>
                <w:b/>
                <w:bCs/>
                <w:sz w:val="20"/>
                <w:szCs w:val="20"/>
              </w:rPr>
              <w:t>(P Value)</w:t>
            </w:r>
          </w:p>
        </w:tc>
        <w:tc>
          <w:tcPr>
            <w:tcW w:w="164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534396D0" w14:textId="77777777" w:rsidR="00E73C9D" w:rsidRPr="00EA6B2A" w:rsidRDefault="00C57731">
            <w:pPr>
              <w:pStyle w:val="Body"/>
              <w:spacing w:after="0"/>
              <w:rPr>
                <w:rFonts w:cs="Arial"/>
                <w:sz w:val="20"/>
                <w:szCs w:val="20"/>
              </w:rPr>
            </w:pPr>
            <w:r w:rsidRPr="00EA6B2A">
              <w:rPr>
                <w:rFonts w:cs="Arial"/>
                <w:b/>
                <w:bCs/>
                <w:sz w:val="20"/>
                <w:szCs w:val="20"/>
              </w:rPr>
              <w:t xml:space="preserve">95% CI </w:t>
            </w:r>
          </w:p>
        </w:tc>
      </w:tr>
      <w:tr w:rsidR="00E73C9D" w14:paraId="51BF2026" w14:textId="77777777">
        <w:trPr>
          <w:trHeight w:val="253"/>
        </w:trPr>
        <w:tc>
          <w:tcPr>
            <w:tcW w:w="2556"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34058850" w14:textId="77777777" w:rsidR="00E73C9D" w:rsidRPr="00EA6B2A" w:rsidRDefault="00C57731">
            <w:pPr>
              <w:pStyle w:val="Body"/>
              <w:spacing w:after="0"/>
              <w:rPr>
                <w:rFonts w:cs="Arial"/>
                <w:sz w:val="20"/>
                <w:szCs w:val="20"/>
              </w:rPr>
            </w:pPr>
            <w:r w:rsidRPr="00EA6B2A">
              <w:rPr>
                <w:rFonts w:cs="Arial"/>
                <w:sz w:val="20"/>
                <w:szCs w:val="20"/>
              </w:rPr>
              <w:t>All-cause mortality</w:t>
            </w:r>
          </w:p>
        </w:tc>
        <w:tc>
          <w:tcPr>
            <w:tcW w:w="169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534B3A68" w14:textId="77777777" w:rsidR="00E73C9D" w:rsidRPr="00EA6B2A" w:rsidRDefault="00E73C9D">
            <w:pPr>
              <w:rPr>
                <w:rFonts w:ascii="Arial" w:hAnsi="Arial" w:cs="Arial"/>
                <w:sz w:val="20"/>
                <w:szCs w:val="20"/>
              </w:rPr>
            </w:pPr>
          </w:p>
        </w:tc>
        <w:tc>
          <w:tcPr>
            <w:tcW w:w="173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080C7D5A" w14:textId="77777777" w:rsidR="00E73C9D" w:rsidRPr="00EA6B2A" w:rsidRDefault="00E73C9D">
            <w:pPr>
              <w:rPr>
                <w:rFonts w:ascii="Arial" w:hAnsi="Arial" w:cs="Arial"/>
                <w:sz w:val="20"/>
                <w:szCs w:val="20"/>
              </w:rPr>
            </w:pPr>
          </w:p>
        </w:tc>
        <w:tc>
          <w:tcPr>
            <w:tcW w:w="1381"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6231A9CE" w14:textId="77777777" w:rsidR="00E73C9D" w:rsidRPr="00EA6B2A" w:rsidRDefault="00E73C9D">
            <w:pPr>
              <w:rPr>
                <w:rFonts w:ascii="Arial" w:hAnsi="Arial" w:cs="Arial"/>
                <w:sz w:val="20"/>
                <w:szCs w:val="20"/>
              </w:rPr>
            </w:pPr>
          </w:p>
        </w:tc>
        <w:tc>
          <w:tcPr>
            <w:tcW w:w="164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264C21F3" w14:textId="77777777" w:rsidR="00E73C9D" w:rsidRPr="00EA6B2A" w:rsidRDefault="00E73C9D">
            <w:pPr>
              <w:rPr>
                <w:rFonts w:ascii="Arial" w:hAnsi="Arial" w:cs="Arial"/>
                <w:sz w:val="20"/>
                <w:szCs w:val="20"/>
              </w:rPr>
            </w:pPr>
          </w:p>
        </w:tc>
      </w:tr>
      <w:tr w:rsidR="00E73C9D" w14:paraId="3D54805D" w14:textId="77777777">
        <w:trPr>
          <w:trHeight w:val="253"/>
        </w:trPr>
        <w:tc>
          <w:tcPr>
            <w:tcW w:w="2556" w:type="dxa"/>
            <w:tcBorders>
              <w:top w:val="single" w:sz="8" w:space="0" w:color="000000"/>
              <w:left w:val="nil"/>
              <w:bottom w:val="nil"/>
              <w:right w:val="nil"/>
            </w:tcBorders>
            <w:shd w:val="clear" w:color="auto" w:fill="auto"/>
            <w:tcMar>
              <w:top w:w="80" w:type="dxa"/>
              <w:left w:w="80" w:type="dxa"/>
              <w:bottom w:w="80" w:type="dxa"/>
              <w:right w:w="80" w:type="dxa"/>
            </w:tcMar>
          </w:tcPr>
          <w:p w14:paraId="2C41267A" w14:textId="77777777" w:rsidR="00E73C9D" w:rsidRPr="00EA6B2A" w:rsidRDefault="00C57731">
            <w:pPr>
              <w:pStyle w:val="Body"/>
              <w:spacing w:after="0"/>
              <w:rPr>
                <w:rFonts w:cs="Arial"/>
                <w:sz w:val="20"/>
                <w:szCs w:val="20"/>
              </w:rPr>
            </w:pPr>
            <w:r w:rsidRPr="00EA6B2A">
              <w:rPr>
                <w:rFonts w:cs="Arial"/>
                <w:sz w:val="20"/>
                <w:szCs w:val="20"/>
              </w:rPr>
              <w:t>Instrument 1:</w:t>
            </w:r>
          </w:p>
        </w:tc>
        <w:tc>
          <w:tcPr>
            <w:tcW w:w="1697" w:type="dxa"/>
            <w:tcBorders>
              <w:top w:val="single" w:sz="8" w:space="0" w:color="000000"/>
              <w:left w:val="nil"/>
              <w:bottom w:val="nil"/>
              <w:right w:val="nil"/>
            </w:tcBorders>
            <w:shd w:val="clear" w:color="auto" w:fill="auto"/>
            <w:tcMar>
              <w:top w:w="80" w:type="dxa"/>
              <w:left w:w="80" w:type="dxa"/>
              <w:bottom w:w="80" w:type="dxa"/>
              <w:right w:w="80" w:type="dxa"/>
            </w:tcMar>
          </w:tcPr>
          <w:p w14:paraId="5A6DD389" w14:textId="77777777" w:rsidR="00E73C9D" w:rsidRPr="00EA6B2A" w:rsidRDefault="00E73C9D">
            <w:pPr>
              <w:rPr>
                <w:rFonts w:ascii="Arial" w:hAnsi="Arial" w:cs="Arial"/>
                <w:sz w:val="20"/>
                <w:szCs w:val="20"/>
              </w:rPr>
            </w:pPr>
          </w:p>
        </w:tc>
        <w:tc>
          <w:tcPr>
            <w:tcW w:w="1737" w:type="dxa"/>
            <w:tcBorders>
              <w:top w:val="single" w:sz="8" w:space="0" w:color="000000"/>
              <w:left w:val="nil"/>
              <w:bottom w:val="nil"/>
              <w:right w:val="nil"/>
            </w:tcBorders>
            <w:shd w:val="clear" w:color="auto" w:fill="auto"/>
            <w:tcMar>
              <w:top w:w="80" w:type="dxa"/>
              <w:left w:w="80" w:type="dxa"/>
              <w:bottom w:w="80" w:type="dxa"/>
              <w:right w:w="80" w:type="dxa"/>
            </w:tcMar>
          </w:tcPr>
          <w:p w14:paraId="425917F8" w14:textId="77777777" w:rsidR="00E73C9D" w:rsidRPr="00EA6B2A" w:rsidRDefault="00E73C9D">
            <w:pPr>
              <w:rPr>
                <w:rFonts w:ascii="Arial" w:hAnsi="Arial" w:cs="Arial"/>
                <w:sz w:val="20"/>
                <w:szCs w:val="20"/>
              </w:rPr>
            </w:pPr>
          </w:p>
        </w:tc>
        <w:tc>
          <w:tcPr>
            <w:tcW w:w="1381" w:type="dxa"/>
            <w:tcBorders>
              <w:top w:val="single" w:sz="8" w:space="0" w:color="000000"/>
              <w:left w:val="nil"/>
              <w:bottom w:val="nil"/>
              <w:right w:val="nil"/>
            </w:tcBorders>
            <w:shd w:val="clear" w:color="auto" w:fill="auto"/>
            <w:tcMar>
              <w:top w:w="80" w:type="dxa"/>
              <w:left w:w="80" w:type="dxa"/>
              <w:bottom w:w="80" w:type="dxa"/>
              <w:right w:w="80" w:type="dxa"/>
            </w:tcMar>
          </w:tcPr>
          <w:p w14:paraId="6EF95FD4" w14:textId="77777777" w:rsidR="00E73C9D" w:rsidRPr="00EA6B2A" w:rsidRDefault="00E73C9D">
            <w:pPr>
              <w:rPr>
                <w:rFonts w:ascii="Arial" w:hAnsi="Arial" w:cs="Arial"/>
                <w:sz w:val="20"/>
                <w:szCs w:val="20"/>
              </w:rPr>
            </w:pPr>
          </w:p>
        </w:tc>
        <w:tc>
          <w:tcPr>
            <w:tcW w:w="1645" w:type="dxa"/>
            <w:tcBorders>
              <w:top w:val="single" w:sz="8" w:space="0" w:color="000000"/>
              <w:left w:val="nil"/>
              <w:bottom w:val="nil"/>
              <w:right w:val="nil"/>
            </w:tcBorders>
            <w:shd w:val="clear" w:color="auto" w:fill="auto"/>
            <w:tcMar>
              <w:top w:w="80" w:type="dxa"/>
              <w:left w:w="80" w:type="dxa"/>
              <w:bottom w:w="80" w:type="dxa"/>
              <w:right w:w="80" w:type="dxa"/>
            </w:tcMar>
          </w:tcPr>
          <w:p w14:paraId="6FDE46F1" w14:textId="77777777" w:rsidR="00E73C9D" w:rsidRPr="00EA6B2A" w:rsidRDefault="00E73C9D">
            <w:pPr>
              <w:rPr>
                <w:rFonts w:ascii="Arial" w:hAnsi="Arial" w:cs="Arial"/>
                <w:sz w:val="20"/>
                <w:szCs w:val="20"/>
              </w:rPr>
            </w:pPr>
          </w:p>
        </w:tc>
      </w:tr>
      <w:tr w:rsidR="00E73C9D" w14:paraId="368F19A4" w14:textId="77777777">
        <w:trPr>
          <w:trHeight w:val="609"/>
        </w:trPr>
        <w:tc>
          <w:tcPr>
            <w:tcW w:w="2556" w:type="dxa"/>
            <w:tcBorders>
              <w:top w:val="nil"/>
              <w:left w:val="nil"/>
              <w:bottom w:val="nil"/>
              <w:right w:val="nil"/>
            </w:tcBorders>
            <w:shd w:val="clear" w:color="auto" w:fill="auto"/>
            <w:tcMar>
              <w:top w:w="80" w:type="dxa"/>
              <w:left w:w="80" w:type="dxa"/>
              <w:bottom w:w="80" w:type="dxa"/>
              <w:right w:w="80" w:type="dxa"/>
            </w:tcMar>
          </w:tcPr>
          <w:p w14:paraId="6DCD5084" w14:textId="77777777" w:rsidR="00E73C9D" w:rsidRPr="00EA6B2A" w:rsidRDefault="00C57731">
            <w:pPr>
              <w:pStyle w:val="Body"/>
              <w:spacing w:after="0"/>
              <w:rPr>
                <w:rFonts w:cs="Arial"/>
                <w:sz w:val="20"/>
                <w:szCs w:val="20"/>
              </w:rPr>
            </w:pPr>
            <w:r w:rsidRPr="00EA6B2A">
              <w:rPr>
                <w:rFonts w:cs="Arial"/>
                <w:sz w:val="20"/>
                <w:szCs w:val="20"/>
              </w:rPr>
              <w:t>PREDICT benefit score</w:t>
            </w:r>
          </w:p>
          <w:p w14:paraId="7896C4E5" w14:textId="77777777" w:rsidR="00E73C9D" w:rsidRPr="00EA6B2A" w:rsidRDefault="00C57731">
            <w:pPr>
              <w:pStyle w:val="Body"/>
              <w:spacing w:after="0"/>
              <w:rPr>
                <w:rFonts w:cs="Arial"/>
                <w:sz w:val="20"/>
                <w:szCs w:val="20"/>
              </w:rPr>
            </w:pPr>
            <w:r w:rsidRPr="00EA6B2A">
              <w:rPr>
                <w:rFonts w:cs="Arial"/>
                <w:sz w:val="20"/>
                <w:szCs w:val="20"/>
              </w:rPr>
              <w:t>[1</w:t>
            </w:r>
            <w:r w:rsidRPr="00EA6B2A">
              <w:rPr>
                <w:rFonts w:cs="Arial"/>
                <w:sz w:val="20"/>
                <w:szCs w:val="20"/>
                <w:vertAlign w:val="superscript"/>
              </w:rPr>
              <w:t>st</w:t>
            </w:r>
            <w:r w:rsidRPr="00EA6B2A">
              <w:rPr>
                <w:rFonts w:cs="Arial"/>
                <w:sz w:val="20"/>
                <w:szCs w:val="20"/>
              </w:rPr>
              <w:t xml:space="preserve"> stage]</w:t>
            </w:r>
          </w:p>
        </w:tc>
        <w:tc>
          <w:tcPr>
            <w:tcW w:w="1697" w:type="dxa"/>
            <w:tcBorders>
              <w:top w:val="nil"/>
              <w:left w:val="nil"/>
              <w:bottom w:val="nil"/>
              <w:right w:val="nil"/>
            </w:tcBorders>
            <w:shd w:val="clear" w:color="auto" w:fill="auto"/>
            <w:tcMar>
              <w:top w:w="80" w:type="dxa"/>
              <w:left w:w="80" w:type="dxa"/>
              <w:bottom w:w="80" w:type="dxa"/>
              <w:right w:w="80" w:type="dxa"/>
            </w:tcMar>
          </w:tcPr>
          <w:p w14:paraId="4B0C8997" w14:textId="77777777" w:rsidR="00E73C9D" w:rsidRPr="00EA6B2A" w:rsidRDefault="00C57731">
            <w:pPr>
              <w:pStyle w:val="Body"/>
              <w:spacing w:after="0"/>
              <w:rPr>
                <w:rFonts w:cs="Arial"/>
                <w:sz w:val="20"/>
                <w:szCs w:val="20"/>
              </w:rPr>
            </w:pPr>
            <w:r w:rsidRPr="00EA6B2A">
              <w:rPr>
                <w:rFonts w:cs="Arial"/>
                <w:sz w:val="20"/>
                <w:szCs w:val="20"/>
              </w:rPr>
              <w:t xml:space="preserve">0.295 </w:t>
            </w:r>
          </w:p>
          <w:p w14:paraId="3B073E32" w14:textId="77777777" w:rsidR="00E73C9D" w:rsidRPr="00EA6B2A" w:rsidRDefault="00C57731">
            <w:pPr>
              <w:pStyle w:val="Body"/>
              <w:spacing w:after="0"/>
              <w:rPr>
                <w:rFonts w:cs="Arial"/>
                <w:sz w:val="20"/>
                <w:szCs w:val="20"/>
              </w:rPr>
            </w:pPr>
            <w:r w:rsidRPr="00EA6B2A">
              <w:rPr>
                <w:rFonts w:cs="Arial"/>
                <w:sz w:val="20"/>
                <w:szCs w:val="20"/>
              </w:rPr>
              <w:t>(P&lt;0.001)</w:t>
            </w:r>
          </w:p>
        </w:tc>
        <w:tc>
          <w:tcPr>
            <w:tcW w:w="1737" w:type="dxa"/>
            <w:tcBorders>
              <w:top w:val="nil"/>
              <w:left w:val="nil"/>
              <w:bottom w:val="nil"/>
              <w:right w:val="nil"/>
            </w:tcBorders>
            <w:shd w:val="clear" w:color="auto" w:fill="auto"/>
            <w:tcMar>
              <w:top w:w="80" w:type="dxa"/>
              <w:left w:w="80" w:type="dxa"/>
              <w:bottom w:w="80" w:type="dxa"/>
              <w:right w:w="80" w:type="dxa"/>
            </w:tcMar>
          </w:tcPr>
          <w:p w14:paraId="1FE9E3ED" w14:textId="77777777" w:rsidR="00E73C9D" w:rsidRPr="00EA6B2A" w:rsidRDefault="00C57731">
            <w:pPr>
              <w:pStyle w:val="Body"/>
              <w:spacing w:after="0"/>
              <w:rPr>
                <w:rFonts w:cs="Arial"/>
                <w:sz w:val="20"/>
                <w:szCs w:val="20"/>
              </w:rPr>
            </w:pPr>
            <w:r w:rsidRPr="00EA6B2A">
              <w:rPr>
                <w:rFonts w:cs="Arial"/>
                <w:sz w:val="20"/>
                <w:szCs w:val="20"/>
              </w:rPr>
              <w:t>(0.222, 0.369)</w:t>
            </w:r>
          </w:p>
        </w:tc>
        <w:tc>
          <w:tcPr>
            <w:tcW w:w="1381" w:type="dxa"/>
            <w:tcBorders>
              <w:top w:val="nil"/>
              <w:left w:val="nil"/>
              <w:bottom w:val="nil"/>
              <w:right w:val="nil"/>
            </w:tcBorders>
            <w:shd w:val="clear" w:color="auto" w:fill="auto"/>
            <w:tcMar>
              <w:top w:w="80" w:type="dxa"/>
              <w:left w:w="80" w:type="dxa"/>
              <w:bottom w:w="80" w:type="dxa"/>
              <w:right w:w="80" w:type="dxa"/>
            </w:tcMar>
          </w:tcPr>
          <w:p w14:paraId="6AD9B3D1" w14:textId="77777777" w:rsidR="00E73C9D" w:rsidRPr="00EA6B2A" w:rsidRDefault="00C57731">
            <w:pPr>
              <w:pStyle w:val="Body"/>
              <w:spacing w:after="0"/>
              <w:rPr>
                <w:rFonts w:cs="Arial"/>
                <w:sz w:val="20"/>
                <w:szCs w:val="20"/>
              </w:rPr>
            </w:pPr>
            <w:r w:rsidRPr="00EA6B2A">
              <w:rPr>
                <w:rFonts w:cs="Arial"/>
                <w:sz w:val="20"/>
                <w:szCs w:val="20"/>
              </w:rPr>
              <w:t>0.492 (P&lt;0.001)</w:t>
            </w:r>
          </w:p>
        </w:tc>
        <w:tc>
          <w:tcPr>
            <w:tcW w:w="1645" w:type="dxa"/>
            <w:tcBorders>
              <w:top w:val="nil"/>
              <w:left w:val="nil"/>
              <w:bottom w:val="nil"/>
              <w:right w:val="nil"/>
            </w:tcBorders>
            <w:shd w:val="clear" w:color="auto" w:fill="auto"/>
            <w:tcMar>
              <w:top w:w="80" w:type="dxa"/>
              <w:left w:w="80" w:type="dxa"/>
              <w:bottom w:w="80" w:type="dxa"/>
              <w:right w:w="80" w:type="dxa"/>
            </w:tcMar>
          </w:tcPr>
          <w:p w14:paraId="3CD44606" w14:textId="77777777" w:rsidR="00E73C9D" w:rsidRPr="00EA6B2A" w:rsidRDefault="00C57731">
            <w:pPr>
              <w:pStyle w:val="Body"/>
              <w:spacing w:after="0"/>
              <w:rPr>
                <w:rFonts w:cs="Arial"/>
                <w:sz w:val="20"/>
                <w:szCs w:val="20"/>
              </w:rPr>
            </w:pPr>
            <w:r w:rsidRPr="00EA6B2A">
              <w:rPr>
                <w:rFonts w:cs="Arial"/>
                <w:sz w:val="20"/>
                <w:szCs w:val="20"/>
              </w:rPr>
              <w:t>(0.435, 0.549)</w:t>
            </w:r>
          </w:p>
        </w:tc>
      </w:tr>
      <w:tr w:rsidR="00E73C9D" w14:paraId="00040D7F" w14:textId="77777777">
        <w:trPr>
          <w:trHeight w:val="609"/>
        </w:trPr>
        <w:tc>
          <w:tcPr>
            <w:tcW w:w="2556" w:type="dxa"/>
            <w:tcBorders>
              <w:top w:val="nil"/>
              <w:left w:val="nil"/>
              <w:bottom w:val="nil"/>
              <w:right w:val="nil"/>
            </w:tcBorders>
            <w:shd w:val="clear" w:color="auto" w:fill="auto"/>
            <w:tcMar>
              <w:top w:w="80" w:type="dxa"/>
              <w:left w:w="80" w:type="dxa"/>
              <w:bottom w:w="80" w:type="dxa"/>
              <w:right w:w="80" w:type="dxa"/>
            </w:tcMar>
          </w:tcPr>
          <w:p w14:paraId="2AD76AAB" w14:textId="77777777" w:rsidR="00E73C9D" w:rsidRPr="00EA6B2A" w:rsidRDefault="00C57731">
            <w:pPr>
              <w:pStyle w:val="Body"/>
              <w:spacing w:after="0"/>
              <w:rPr>
                <w:rFonts w:cs="Arial"/>
                <w:sz w:val="20"/>
                <w:szCs w:val="20"/>
              </w:rPr>
            </w:pPr>
            <w:r w:rsidRPr="00EA6B2A">
              <w:rPr>
                <w:rFonts w:cs="Arial"/>
                <w:sz w:val="20"/>
                <w:szCs w:val="20"/>
              </w:rPr>
              <w:t>Chemotherapy</w:t>
            </w:r>
          </w:p>
          <w:p w14:paraId="2523DD8B" w14:textId="77777777" w:rsidR="00E73C9D" w:rsidRPr="00EA6B2A" w:rsidRDefault="00C57731">
            <w:pPr>
              <w:pStyle w:val="Body"/>
              <w:spacing w:after="0"/>
              <w:rPr>
                <w:rFonts w:cs="Arial"/>
                <w:sz w:val="20"/>
                <w:szCs w:val="20"/>
              </w:rPr>
            </w:pPr>
            <w:r w:rsidRPr="00EA6B2A">
              <w:rPr>
                <w:rFonts w:cs="Arial"/>
                <w:sz w:val="20"/>
                <w:szCs w:val="20"/>
              </w:rPr>
              <w:t>[2</w:t>
            </w:r>
            <w:r w:rsidRPr="00EA6B2A">
              <w:rPr>
                <w:rFonts w:cs="Arial"/>
                <w:sz w:val="20"/>
                <w:szCs w:val="20"/>
                <w:vertAlign w:val="superscript"/>
              </w:rPr>
              <w:t>nd</w:t>
            </w:r>
            <w:r w:rsidRPr="00EA6B2A">
              <w:rPr>
                <w:rFonts w:cs="Arial"/>
                <w:sz w:val="20"/>
                <w:szCs w:val="20"/>
              </w:rPr>
              <w:t xml:space="preserve"> stage]</w:t>
            </w:r>
          </w:p>
        </w:tc>
        <w:tc>
          <w:tcPr>
            <w:tcW w:w="1697" w:type="dxa"/>
            <w:tcBorders>
              <w:top w:val="nil"/>
              <w:left w:val="nil"/>
              <w:bottom w:val="nil"/>
              <w:right w:val="nil"/>
            </w:tcBorders>
            <w:shd w:val="clear" w:color="auto" w:fill="auto"/>
            <w:tcMar>
              <w:top w:w="80" w:type="dxa"/>
              <w:left w:w="80" w:type="dxa"/>
              <w:bottom w:w="80" w:type="dxa"/>
              <w:right w:w="80" w:type="dxa"/>
            </w:tcMar>
          </w:tcPr>
          <w:p w14:paraId="6BF6D28B" w14:textId="77777777" w:rsidR="00E73C9D" w:rsidRPr="00EA6B2A" w:rsidRDefault="00C57731">
            <w:pPr>
              <w:pStyle w:val="Body"/>
              <w:spacing w:after="0"/>
              <w:rPr>
                <w:rFonts w:cs="Arial"/>
                <w:sz w:val="20"/>
                <w:szCs w:val="20"/>
              </w:rPr>
            </w:pPr>
            <w:r w:rsidRPr="00EA6B2A">
              <w:rPr>
                <w:rFonts w:cs="Arial"/>
                <w:sz w:val="20"/>
                <w:szCs w:val="20"/>
              </w:rPr>
              <w:t>0.77</w:t>
            </w:r>
          </w:p>
        </w:tc>
        <w:tc>
          <w:tcPr>
            <w:tcW w:w="1737" w:type="dxa"/>
            <w:tcBorders>
              <w:top w:val="nil"/>
              <w:left w:val="nil"/>
              <w:bottom w:val="nil"/>
              <w:right w:val="nil"/>
            </w:tcBorders>
            <w:shd w:val="clear" w:color="auto" w:fill="auto"/>
            <w:tcMar>
              <w:top w:w="80" w:type="dxa"/>
              <w:left w:w="80" w:type="dxa"/>
              <w:bottom w:w="80" w:type="dxa"/>
              <w:right w:w="80" w:type="dxa"/>
            </w:tcMar>
          </w:tcPr>
          <w:p w14:paraId="76F80F69" w14:textId="77777777" w:rsidR="00E73C9D" w:rsidRPr="00EA6B2A" w:rsidRDefault="00C57731">
            <w:pPr>
              <w:pStyle w:val="Body"/>
              <w:spacing w:after="0"/>
              <w:rPr>
                <w:rFonts w:cs="Arial"/>
                <w:sz w:val="20"/>
                <w:szCs w:val="20"/>
              </w:rPr>
            </w:pPr>
            <w:r w:rsidRPr="00EA6B2A">
              <w:rPr>
                <w:rFonts w:cs="Arial"/>
                <w:sz w:val="20"/>
                <w:szCs w:val="20"/>
              </w:rPr>
              <w:t>(0.62, 1)</w:t>
            </w:r>
          </w:p>
        </w:tc>
        <w:tc>
          <w:tcPr>
            <w:tcW w:w="1381" w:type="dxa"/>
            <w:tcBorders>
              <w:top w:val="nil"/>
              <w:left w:val="nil"/>
              <w:bottom w:val="nil"/>
              <w:right w:val="nil"/>
            </w:tcBorders>
            <w:shd w:val="clear" w:color="auto" w:fill="auto"/>
            <w:tcMar>
              <w:top w:w="80" w:type="dxa"/>
              <w:left w:w="80" w:type="dxa"/>
              <w:bottom w:w="80" w:type="dxa"/>
              <w:right w:w="80" w:type="dxa"/>
            </w:tcMar>
          </w:tcPr>
          <w:p w14:paraId="25742529" w14:textId="77777777" w:rsidR="00E73C9D" w:rsidRPr="00EA6B2A" w:rsidRDefault="00C57731">
            <w:pPr>
              <w:pStyle w:val="Body"/>
              <w:spacing w:after="0"/>
              <w:rPr>
                <w:rFonts w:cs="Arial"/>
                <w:sz w:val="20"/>
                <w:szCs w:val="20"/>
              </w:rPr>
            </w:pPr>
            <w:r w:rsidRPr="00EA6B2A">
              <w:rPr>
                <w:rFonts w:cs="Arial"/>
                <w:sz w:val="20"/>
                <w:szCs w:val="20"/>
              </w:rPr>
              <w:t>0.81</w:t>
            </w:r>
          </w:p>
        </w:tc>
        <w:tc>
          <w:tcPr>
            <w:tcW w:w="1645" w:type="dxa"/>
            <w:tcBorders>
              <w:top w:val="nil"/>
              <w:left w:val="nil"/>
              <w:bottom w:val="nil"/>
              <w:right w:val="nil"/>
            </w:tcBorders>
            <w:shd w:val="clear" w:color="auto" w:fill="auto"/>
            <w:tcMar>
              <w:top w:w="80" w:type="dxa"/>
              <w:left w:w="80" w:type="dxa"/>
              <w:bottom w:w="80" w:type="dxa"/>
              <w:right w:w="80" w:type="dxa"/>
            </w:tcMar>
          </w:tcPr>
          <w:p w14:paraId="73C24CAA" w14:textId="77777777" w:rsidR="00E73C9D" w:rsidRPr="00EA6B2A" w:rsidRDefault="00C57731">
            <w:pPr>
              <w:pStyle w:val="Body"/>
              <w:spacing w:after="0"/>
              <w:rPr>
                <w:rFonts w:cs="Arial"/>
                <w:sz w:val="20"/>
                <w:szCs w:val="20"/>
              </w:rPr>
            </w:pPr>
            <w:r w:rsidRPr="00EA6B2A">
              <w:rPr>
                <w:rFonts w:cs="Arial"/>
                <w:sz w:val="20"/>
                <w:szCs w:val="20"/>
              </w:rPr>
              <w:t>(0.73, 0.92)</w:t>
            </w:r>
          </w:p>
        </w:tc>
      </w:tr>
      <w:tr w:rsidR="00E73C9D" w14:paraId="0DA8B725" w14:textId="77777777">
        <w:trPr>
          <w:trHeight w:val="253"/>
        </w:trPr>
        <w:tc>
          <w:tcPr>
            <w:tcW w:w="2556" w:type="dxa"/>
            <w:tcBorders>
              <w:top w:val="nil"/>
              <w:left w:val="nil"/>
              <w:bottom w:val="nil"/>
              <w:right w:val="nil"/>
            </w:tcBorders>
            <w:shd w:val="clear" w:color="auto" w:fill="auto"/>
            <w:tcMar>
              <w:top w:w="80" w:type="dxa"/>
              <w:left w:w="80" w:type="dxa"/>
              <w:bottom w:w="80" w:type="dxa"/>
              <w:right w:w="80" w:type="dxa"/>
            </w:tcMar>
          </w:tcPr>
          <w:p w14:paraId="36867ECE" w14:textId="77777777" w:rsidR="00E73C9D" w:rsidRPr="00EA6B2A" w:rsidRDefault="00C57731">
            <w:pPr>
              <w:pStyle w:val="Body"/>
              <w:spacing w:after="0"/>
              <w:rPr>
                <w:rFonts w:cs="Arial"/>
                <w:sz w:val="20"/>
                <w:szCs w:val="20"/>
              </w:rPr>
            </w:pPr>
            <w:r w:rsidRPr="00EA6B2A">
              <w:rPr>
                <w:rFonts w:cs="Arial"/>
                <w:sz w:val="20"/>
                <w:szCs w:val="20"/>
              </w:rPr>
              <w:t>Instrument 2:</w:t>
            </w:r>
          </w:p>
        </w:tc>
        <w:tc>
          <w:tcPr>
            <w:tcW w:w="1697" w:type="dxa"/>
            <w:tcBorders>
              <w:top w:val="nil"/>
              <w:left w:val="nil"/>
              <w:bottom w:val="nil"/>
              <w:right w:val="nil"/>
            </w:tcBorders>
            <w:shd w:val="clear" w:color="auto" w:fill="auto"/>
            <w:tcMar>
              <w:top w:w="80" w:type="dxa"/>
              <w:left w:w="80" w:type="dxa"/>
              <w:bottom w:w="80" w:type="dxa"/>
              <w:right w:w="80" w:type="dxa"/>
            </w:tcMar>
          </w:tcPr>
          <w:p w14:paraId="60BB6B1E" w14:textId="77777777" w:rsidR="00E73C9D" w:rsidRPr="00EA6B2A" w:rsidRDefault="00E73C9D">
            <w:pPr>
              <w:rPr>
                <w:rFonts w:ascii="Arial" w:hAnsi="Arial" w:cs="Arial"/>
                <w:sz w:val="20"/>
                <w:szCs w:val="20"/>
              </w:rPr>
            </w:pPr>
          </w:p>
        </w:tc>
        <w:tc>
          <w:tcPr>
            <w:tcW w:w="1737" w:type="dxa"/>
            <w:tcBorders>
              <w:top w:val="nil"/>
              <w:left w:val="nil"/>
              <w:bottom w:val="nil"/>
              <w:right w:val="nil"/>
            </w:tcBorders>
            <w:shd w:val="clear" w:color="auto" w:fill="auto"/>
            <w:tcMar>
              <w:top w:w="80" w:type="dxa"/>
              <w:left w:w="80" w:type="dxa"/>
              <w:bottom w:w="80" w:type="dxa"/>
              <w:right w:w="80" w:type="dxa"/>
            </w:tcMar>
          </w:tcPr>
          <w:p w14:paraId="11095423" w14:textId="77777777" w:rsidR="00E73C9D" w:rsidRPr="00EA6B2A" w:rsidRDefault="00E73C9D">
            <w:pPr>
              <w:rPr>
                <w:rFonts w:ascii="Arial" w:hAnsi="Arial" w:cs="Arial"/>
                <w:sz w:val="20"/>
                <w:szCs w:val="20"/>
              </w:rPr>
            </w:pPr>
          </w:p>
        </w:tc>
        <w:tc>
          <w:tcPr>
            <w:tcW w:w="1381" w:type="dxa"/>
            <w:tcBorders>
              <w:top w:val="nil"/>
              <w:left w:val="nil"/>
              <w:bottom w:val="nil"/>
              <w:right w:val="nil"/>
            </w:tcBorders>
            <w:shd w:val="clear" w:color="auto" w:fill="auto"/>
            <w:tcMar>
              <w:top w:w="80" w:type="dxa"/>
              <w:left w:w="80" w:type="dxa"/>
              <w:bottom w:w="80" w:type="dxa"/>
              <w:right w:w="80" w:type="dxa"/>
            </w:tcMar>
          </w:tcPr>
          <w:p w14:paraId="2DED8E52" w14:textId="77777777" w:rsidR="00E73C9D" w:rsidRPr="00EA6B2A" w:rsidRDefault="00E73C9D">
            <w:pPr>
              <w:rPr>
                <w:rFonts w:ascii="Arial" w:hAnsi="Arial" w:cs="Arial"/>
                <w:sz w:val="20"/>
                <w:szCs w:val="20"/>
              </w:rPr>
            </w:pPr>
          </w:p>
        </w:tc>
        <w:tc>
          <w:tcPr>
            <w:tcW w:w="1645" w:type="dxa"/>
            <w:tcBorders>
              <w:top w:val="nil"/>
              <w:left w:val="nil"/>
              <w:bottom w:val="nil"/>
              <w:right w:val="nil"/>
            </w:tcBorders>
            <w:shd w:val="clear" w:color="auto" w:fill="auto"/>
            <w:tcMar>
              <w:top w:w="80" w:type="dxa"/>
              <w:left w:w="80" w:type="dxa"/>
              <w:bottom w:w="80" w:type="dxa"/>
              <w:right w:w="80" w:type="dxa"/>
            </w:tcMar>
          </w:tcPr>
          <w:p w14:paraId="0D799DD5" w14:textId="77777777" w:rsidR="00E73C9D" w:rsidRPr="00EA6B2A" w:rsidRDefault="00E73C9D">
            <w:pPr>
              <w:rPr>
                <w:rFonts w:ascii="Arial" w:hAnsi="Arial" w:cs="Arial"/>
                <w:sz w:val="20"/>
                <w:szCs w:val="20"/>
              </w:rPr>
            </w:pPr>
          </w:p>
        </w:tc>
      </w:tr>
      <w:tr w:rsidR="00E73C9D" w14:paraId="1CE73BEA" w14:textId="77777777">
        <w:trPr>
          <w:trHeight w:val="966"/>
        </w:trPr>
        <w:tc>
          <w:tcPr>
            <w:tcW w:w="2556" w:type="dxa"/>
            <w:tcBorders>
              <w:top w:val="nil"/>
              <w:left w:val="nil"/>
              <w:bottom w:val="nil"/>
              <w:right w:val="nil"/>
            </w:tcBorders>
            <w:shd w:val="clear" w:color="auto" w:fill="auto"/>
            <w:tcMar>
              <w:top w:w="80" w:type="dxa"/>
              <w:left w:w="80" w:type="dxa"/>
              <w:bottom w:w="80" w:type="dxa"/>
              <w:right w:w="80" w:type="dxa"/>
            </w:tcMar>
          </w:tcPr>
          <w:p w14:paraId="1C86B3DA" w14:textId="77777777" w:rsidR="00E73C9D" w:rsidRPr="00EA6B2A" w:rsidRDefault="00C57731">
            <w:pPr>
              <w:pStyle w:val="Body"/>
              <w:spacing w:after="0"/>
              <w:rPr>
                <w:rFonts w:cs="Arial"/>
                <w:sz w:val="20"/>
                <w:szCs w:val="20"/>
              </w:rPr>
            </w:pPr>
            <w:r w:rsidRPr="00EA6B2A">
              <w:rPr>
                <w:rFonts w:cs="Arial"/>
                <w:sz w:val="20"/>
                <w:szCs w:val="20"/>
              </w:rPr>
              <w:t>PREDICT benefit score*post-2010</w:t>
            </w:r>
          </w:p>
          <w:p w14:paraId="76AE6884" w14:textId="77777777" w:rsidR="00E73C9D" w:rsidRPr="00EA6B2A" w:rsidRDefault="00C57731">
            <w:pPr>
              <w:pStyle w:val="Body"/>
              <w:spacing w:after="0"/>
              <w:rPr>
                <w:rFonts w:cs="Arial"/>
                <w:sz w:val="20"/>
                <w:szCs w:val="20"/>
              </w:rPr>
            </w:pPr>
            <w:r w:rsidRPr="00EA6B2A">
              <w:rPr>
                <w:rFonts w:cs="Arial"/>
                <w:sz w:val="20"/>
                <w:szCs w:val="20"/>
              </w:rPr>
              <w:t>[first stage]</w:t>
            </w:r>
          </w:p>
        </w:tc>
        <w:tc>
          <w:tcPr>
            <w:tcW w:w="1697" w:type="dxa"/>
            <w:tcBorders>
              <w:top w:val="nil"/>
              <w:left w:val="nil"/>
              <w:bottom w:val="nil"/>
              <w:right w:val="nil"/>
            </w:tcBorders>
            <w:shd w:val="clear" w:color="auto" w:fill="auto"/>
            <w:tcMar>
              <w:top w:w="80" w:type="dxa"/>
              <w:left w:w="80" w:type="dxa"/>
              <w:bottom w:w="80" w:type="dxa"/>
              <w:right w:w="80" w:type="dxa"/>
            </w:tcMar>
          </w:tcPr>
          <w:p w14:paraId="1BEC843F" w14:textId="77777777" w:rsidR="00E73C9D" w:rsidRPr="00EA6B2A" w:rsidRDefault="00C57731">
            <w:pPr>
              <w:pStyle w:val="Body"/>
              <w:spacing w:after="0"/>
              <w:rPr>
                <w:rFonts w:cs="Arial"/>
                <w:sz w:val="20"/>
                <w:szCs w:val="20"/>
              </w:rPr>
            </w:pPr>
            <w:r w:rsidRPr="00EA6B2A">
              <w:rPr>
                <w:rFonts w:cs="Arial"/>
                <w:sz w:val="20"/>
                <w:szCs w:val="20"/>
              </w:rPr>
              <w:t xml:space="preserve">0.141 </w:t>
            </w:r>
          </w:p>
          <w:p w14:paraId="5B9A14C4" w14:textId="77777777" w:rsidR="00E73C9D" w:rsidRPr="00EA6B2A" w:rsidRDefault="00C57731">
            <w:pPr>
              <w:pStyle w:val="Body"/>
              <w:spacing w:after="0"/>
              <w:rPr>
                <w:rFonts w:cs="Arial"/>
                <w:sz w:val="20"/>
                <w:szCs w:val="20"/>
              </w:rPr>
            </w:pPr>
            <w:r w:rsidRPr="00EA6B2A">
              <w:rPr>
                <w:rFonts w:cs="Arial"/>
                <w:sz w:val="20"/>
                <w:szCs w:val="20"/>
              </w:rPr>
              <w:t>(P&lt;0.001)</w:t>
            </w:r>
          </w:p>
        </w:tc>
        <w:tc>
          <w:tcPr>
            <w:tcW w:w="1737" w:type="dxa"/>
            <w:tcBorders>
              <w:top w:val="nil"/>
              <w:left w:val="nil"/>
              <w:bottom w:val="nil"/>
              <w:right w:val="nil"/>
            </w:tcBorders>
            <w:shd w:val="clear" w:color="auto" w:fill="auto"/>
            <w:tcMar>
              <w:top w:w="80" w:type="dxa"/>
              <w:left w:w="80" w:type="dxa"/>
              <w:bottom w:w="80" w:type="dxa"/>
              <w:right w:w="80" w:type="dxa"/>
            </w:tcMar>
          </w:tcPr>
          <w:p w14:paraId="411B7FAA" w14:textId="77777777" w:rsidR="00E73C9D" w:rsidRPr="00EA6B2A" w:rsidRDefault="00C57731">
            <w:pPr>
              <w:pStyle w:val="Body"/>
              <w:spacing w:after="0"/>
              <w:rPr>
                <w:rFonts w:cs="Arial"/>
                <w:sz w:val="20"/>
                <w:szCs w:val="20"/>
              </w:rPr>
            </w:pPr>
            <w:r w:rsidRPr="00EA6B2A">
              <w:rPr>
                <w:rFonts w:cs="Arial"/>
                <w:sz w:val="20"/>
                <w:szCs w:val="20"/>
              </w:rPr>
              <w:t>(0.088, 0.195)</w:t>
            </w:r>
          </w:p>
        </w:tc>
        <w:tc>
          <w:tcPr>
            <w:tcW w:w="1381" w:type="dxa"/>
            <w:tcBorders>
              <w:top w:val="nil"/>
              <w:left w:val="nil"/>
              <w:bottom w:val="nil"/>
              <w:right w:val="nil"/>
            </w:tcBorders>
            <w:shd w:val="clear" w:color="auto" w:fill="auto"/>
            <w:tcMar>
              <w:top w:w="80" w:type="dxa"/>
              <w:left w:w="80" w:type="dxa"/>
              <w:bottom w:w="80" w:type="dxa"/>
              <w:right w:w="80" w:type="dxa"/>
            </w:tcMar>
          </w:tcPr>
          <w:p w14:paraId="56FD7C24" w14:textId="77777777" w:rsidR="00E73C9D" w:rsidRPr="00EA6B2A" w:rsidRDefault="00C57731">
            <w:pPr>
              <w:pStyle w:val="Body"/>
              <w:spacing w:after="0"/>
              <w:rPr>
                <w:rFonts w:cs="Arial"/>
                <w:sz w:val="20"/>
                <w:szCs w:val="20"/>
              </w:rPr>
            </w:pPr>
            <w:r w:rsidRPr="00EA6B2A">
              <w:rPr>
                <w:rFonts w:cs="Arial"/>
                <w:sz w:val="20"/>
                <w:szCs w:val="20"/>
              </w:rPr>
              <w:t>0.094 (P&lt;0.001)</w:t>
            </w:r>
          </w:p>
        </w:tc>
        <w:tc>
          <w:tcPr>
            <w:tcW w:w="1645" w:type="dxa"/>
            <w:tcBorders>
              <w:top w:val="nil"/>
              <w:left w:val="nil"/>
              <w:bottom w:val="nil"/>
              <w:right w:val="nil"/>
            </w:tcBorders>
            <w:shd w:val="clear" w:color="auto" w:fill="auto"/>
            <w:tcMar>
              <w:top w:w="80" w:type="dxa"/>
              <w:left w:w="80" w:type="dxa"/>
              <w:bottom w:w="80" w:type="dxa"/>
              <w:right w:w="80" w:type="dxa"/>
            </w:tcMar>
          </w:tcPr>
          <w:p w14:paraId="559053AF" w14:textId="77777777" w:rsidR="00E73C9D" w:rsidRPr="00EA6B2A" w:rsidRDefault="00C57731">
            <w:pPr>
              <w:pStyle w:val="Body"/>
              <w:spacing w:after="0"/>
              <w:rPr>
                <w:rFonts w:cs="Arial"/>
                <w:sz w:val="20"/>
                <w:szCs w:val="20"/>
              </w:rPr>
            </w:pPr>
            <w:r w:rsidRPr="00EA6B2A">
              <w:rPr>
                <w:rFonts w:cs="Arial"/>
                <w:sz w:val="20"/>
                <w:szCs w:val="20"/>
              </w:rPr>
              <w:t>(0.059, 0.129)</w:t>
            </w:r>
          </w:p>
        </w:tc>
      </w:tr>
      <w:tr w:rsidR="00E73C9D" w14:paraId="53806E41" w14:textId="77777777">
        <w:trPr>
          <w:trHeight w:val="609"/>
        </w:trPr>
        <w:tc>
          <w:tcPr>
            <w:tcW w:w="2556" w:type="dxa"/>
            <w:tcBorders>
              <w:top w:val="nil"/>
              <w:left w:val="nil"/>
              <w:bottom w:val="single" w:sz="8" w:space="0" w:color="000000"/>
              <w:right w:val="nil"/>
            </w:tcBorders>
            <w:shd w:val="clear" w:color="auto" w:fill="auto"/>
            <w:tcMar>
              <w:top w:w="80" w:type="dxa"/>
              <w:left w:w="80" w:type="dxa"/>
              <w:bottom w:w="80" w:type="dxa"/>
              <w:right w:w="80" w:type="dxa"/>
            </w:tcMar>
          </w:tcPr>
          <w:p w14:paraId="6DF24397" w14:textId="77777777" w:rsidR="00E73C9D" w:rsidRPr="00EA6B2A" w:rsidRDefault="00C57731">
            <w:pPr>
              <w:pStyle w:val="Body"/>
              <w:spacing w:after="0"/>
              <w:rPr>
                <w:rFonts w:cs="Arial"/>
                <w:sz w:val="20"/>
                <w:szCs w:val="20"/>
              </w:rPr>
            </w:pPr>
            <w:r w:rsidRPr="00EA6B2A">
              <w:rPr>
                <w:rFonts w:cs="Arial"/>
                <w:sz w:val="20"/>
                <w:szCs w:val="20"/>
              </w:rPr>
              <w:t>Chemotherapy</w:t>
            </w:r>
          </w:p>
          <w:p w14:paraId="0217F1EB" w14:textId="77777777" w:rsidR="00E73C9D" w:rsidRPr="00EA6B2A" w:rsidRDefault="00C57731">
            <w:pPr>
              <w:pStyle w:val="Body"/>
              <w:spacing w:after="0"/>
              <w:rPr>
                <w:rFonts w:cs="Arial"/>
                <w:sz w:val="20"/>
                <w:szCs w:val="20"/>
              </w:rPr>
            </w:pPr>
            <w:r w:rsidRPr="00EA6B2A">
              <w:rPr>
                <w:rFonts w:cs="Arial"/>
                <w:sz w:val="20"/>
                <w:szCs w:val="20"/>
              </w:rPr>
              <w:t>[2</w:t>
            </w:r>
            <w:r w:rsidRPr="00EA6B2A">
              <w:rPr>
                <w:rFonts w:cs="Arial"/>
                <w:sz w:val="20"/>
                <w:szCs w:val="20"/>
                <w:vertAlign w:val="superscript"/>
              </w:rPr>
              <w:t>nd</w:t>
            </w:r>
            <w:r w:rsidRPr="00EA6B2A">
              <w:rPr>
                <w:rFonts w:cs="Arial"/>
                <w:sz w:val="20"/>
                <w:szCs w:val="20"/>
              </w:rPr>
              <w:t xml:space="preserve"> stage]</w:t>
            </w:r>
          </w:p>
        </w:tc>
        <w:tc>
          <w:tcPr>
            <w:tcW w:w="1697" w:type="dxa"/>
            <w:tcBorders>
              <w:top w:val="nil"/>
              <w:left w:val="nil"/>
              <w:bottom w:val="single" w:sz="8" w:space="0" w:color="000000"/>
              <w:right w:val="nil"/>
            </w:tcBorders>
            <w:shd w:val="clear" w:color="auto" w:fill="auto"/>
            <w:tcMar>
              <w:top w:w="80" w:type="dxa"/>
              <w:left w:w="80" w:type="dxa"/>
              <w:bottom w:w="80" w:type="dxa"/>
              <w:right w:w="80" w:type="dxa"/>
            </w:tcMar>
          </w:tcPr>
          <w:p w14:paraId="6BA873CC" w14:textId="77777777" w:rsidR="00E73C9D" w:rsidRPr="00EA6B2A" w:rsidRDefault="00C57731">
            <w:pPr>
              <w:pStyle w:val="Body"/>
              <w:spacing w:after="0"/>
              <w:rPr>
                <w:rFonts w:cs="Arial"/>
                <w:sz w:val="20"/>
                <w:szCs w:val="20"/>
              </w:rPr>
            </w:pPr>
            <w:r w:rsidRPr="00EA6B2A">
              <w:rPr>
                <w:rFonts w:cs="Arial"/>
                <w:sz w:val="20"/>
                <w:szCs w:val="20"/>
              </w:rPr>
              <w:t>0.73</w:t>
            </w:r>
          </w:p>
        </w:tc>
        <w:tc>
          <w:tcPr>
            <w:tcW w:w="1737" w:type="dxa"/>
            <w:tcBorders>
              <w:top w:val="nil"/>
              <w:left w:val="nil"/>
              <w:bottom w:val="single" w:sz="8" w:space="0" w:color="000000"/>
              <w:right w:val="nil"/>
            </w:tcBorders>
            <w:shd w:val="clear" w:color="auto" w:fill="auto"/>
            <w:tcMar>
              <w:top w:w="80" w:type="dxa"/>
              <w:left w:w="80" w:type="dxa"/>
              <w:bottom w:w="80" w:type="dxa"/>
              <w:right w:w="80" w:type="dxa"/>
            </w:tcMar>
          </w:tcPr>
          <w:p w14:paraId="386F587E" w14:textId="77777777" w:rsidR="00E73C9D" w:rsidRPr="00EA6B2A" w:rsidRDefault="00C57731">
            <w:pPr>
              <w:pStyle w:val="Body"/>
              <w:spacing w:after="0"/>
              <w:rPr>
                <w:rFonts w:cs="Arial"/>
                <w:sz w:val="20"/>
                <w:szCs w:val="20"/>
              </w:rPr>
            </w:pPr>
            <w:r w:rsidRPr="00EA6B2A">
              <w:rPr>
                <w:rFonts w:cs="Arial"/>
                <w:sz w:val="20"/>
                <w:szCs w:val="20"/>
              </w:rPr>
              <w:t>(0.58, 0.96)</w:t>
            </w:r>
          </w:p>
        </w:tc>
        <w:tc>
          <w:tcPr>
            <w:tcW w:w="1381" w:type="dxa"/>
            <w:tcBorders>
              <w:top w:val="nil"/>
              <w:left w:val="nil"/>
              <w:bottom w:val="single" w:sz="8" w:space="0" w:color="000000"/>
              <w:right w:val="nil"/>
            </w:tcBorders>
            <w:shd w:val="clear" w:color="auto" w:fill="auto"/>
            <w:tcMar>
              <w:top w:w="80" w:type="dxa"/>
              <w:left w:w="80" w:type="dxa"/>
              <w:bottom w:w="80" w:type="dxa"/>
              <w:right w:w="80" w:type="dxa"/>
            </w:tcMar>
          </w:tcPr>
          <w:p w14:paraId="22A29C3D" w14:textId="77777777" w:rsidR="00E73C9D" w:rsidRPr="00EA6B2A" w:rsidRDefault="00C57731">
            <w:pPr>
              <w:pStyle w:val="Body"/>
              <w:spacing w:after="0"/>
              <w:rPr>
                <w:rFonts w:cs="Arial"/>
                <w:sz w:val="20"/>
                <w:szCs w:val="20"/>
              </w:rPr>
            </w:pPr>
            <w:r w:rsidRPr="00EA6B2A">
              <w:rPr>
                <w:rFonts w:cs="Arial"/>
                <w:sz w:val="20"/>
                <w:szCs w:val="20"/>
              </w:rPr>
              <w:t>0.8</w:t>
            </w:r>
          </w:p>
        </w:tc>
        <w:tc>
          <w:tcPr>
            <w:tcW w:w="1645" w:type="dxa"/>
            <w:tcBorders>
              <w:top w:val="nil"/>
              <w:left w:val="nil"/>
              <w:bottom w:val="single" w:sz="8" w:space="0" w:color="000000"/>
              <w:right w:val="nil"/>
            </w:tcBorders>
            <w:shd w:val="clear" w:color="auto" w:fill="auto"/>
            <w:tcMar>
              <w:top w:w="80" w:type="dxa"/>
              <w:left w:w="80" w:type="dxa"/>
              <w:bottom w:w="80" w:type="dxa"/>
              <w:right w:w="80" w:type="dxa"/>
            </w:tcMar>
          </w:tcPr>
          <w:p w14:paraId="5350880E" w14:textId="77777777" w:rsidR="00E73C9D" w:rsidRPr="00EA6B2A" w:rsidRDefault="00C57731">
            <w:pPr>
              <w:pStyle w:val="Body"/>
              <w:spacing w:after="0"/>
              <w:rPr>
                <w:rFonts w:cs="Arial"/>
                <w:sz w:val="20"/>
                <w:szCs w:val="20"/>
              </w:rPr>
            </w:pPr>
            <w:r w:rsidRPr="00EA6B2A">
              <w:rPr>
                <w:rFonts w:cs="Arial"/>
                <w:sz w:val="20"/>
                <w:szCs w:val="20"/>
              </w:rPr>
              <w:t>(0.72, 0.91)</w:t>
            </w:r>
          </w:p>
        </w:tc>
      </w:tr>
      <w:tr w:rsidR="00E73C9D" w14:paraId="295C6A83" w14:textId="77777777">
        <w:trPr>
          <w:trHeight w:val="253"/>
        </w:trPr>
        <w:tc>
          <w:tcPr>
            <w:tcW w:w="2556"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0112A668" w14:textId="77777777" w:rsidR="00E73C9D" w:rsidRPr="00EA6B2A" w:rsidRDefault="00C57731">
            <w:pPr>
              <w:pStyle w:val="Body"/>
              <w:spacing w:after="0"/>
              <w:rPr>
                <w:rFonts w:cs="Arial"/>
                <w:sz w:val="20"/>
                <w:szCs w:val="20"/>
              </w:rPr>
            </w:pPr>
            <w:r w:rsidRPr="00EA6B2A">
              <w:rPr>
                <w:rFonts w:cs="Arial"/>
                <w:sz w:val="20"/>
                <w:szCs w:val="20"/>
              </w:rPr>
              <w:t>Breast Cancer Mortality</w:t>
            </w:r>
          </w:p>
        </w:tc>
        <w:tc>
          <w:tcPr>
            <w:tcW w:w="169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4386A1BF" w14:textId="77777777" w:rsidR="00E73C9D" w:rsidRPr="00EA6B2A" w:rsidRDefault="00E73C9D">
            <w:pPr>
              <w:rPr>
                <w:rFonts w:ascii="Arial" w:hAnsi="Arial" w:cs="Arial"/>
                <w:sz w:val="20"/>
                <w:szCs w:val="20"/>
              </w:rPr>
            </w:pPr>
          </w:p>
        </w:tc>
        <w:tc>
          <w:tcPr>
            <w:tcW w:w="173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1EF7FE8C" w14:textId="77777777" w:rsidR="00E73C9D" w:rsidRPr="00EA6B2A" w:rsidRDefault="00E73C9D">
            <w:pPr>
              <w:rPr>
                <w:rFonts w:ascii="Arial" w:hAnsi="Arial" w:cs="Arial"/>
                <w:sz w:val="20"/>
                <w:szCs w:val="20"/>
              </w:rPr>
            </w:pPr>
          </w:p>
        </w:tc>
        <w:tc>
          <w:tcPr>
            <w:tcW w:w="1381"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2AECFDDA" w14:textId="77777777" w:rsidR="00E73C9D" w:rsidRPr="00EA6B2A" w:rsidRDefault="00E73C9D">
            <w:pPr>
              <w:rPr>
                <w:rFonts w:ascii="Arial" w:hAnsi="Arial" w:cs="Arial"/>
                <w:sz w:val="20"/>
                <w:szCs w:val="20"/>
              </w:rPr>
            </w:pPr>
          </w:p>
        </w:tc>
        <w:tc>
          <w:tcPr>
            <w:tcW w:w="164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60D3687D" w14:textId="77777777" w:rsidR="00E73C9D" w:rsidRPr="00EA6B2A" w:rsidRDefault="00E73C9D">
            <w:pPr>
              <w:rPr>
                <w:rFonts w:ascii="Arial" w:hAnsi="Arial" w:cs="Arial"/>
                <w:sz w:val="20"/>
                <w:szCs w:val="20"/>
              </w:rPr>
            </w:pPr>
          </w:p>
        </w:tc>
      </w:tr>
      <w:tr w:rsidR="00E73C9D" w14:paraId="4D34FEE9" w14:textId="77777777">
        <w:trPr>
          <w:trHeight w:val="253"/>
        </w:trPr>
        <w:tc>
          <w:tcPr>
            <w:tcW w:w="2556" w:type="dxa"/>
            <w:tcBorders>
              <w:top w:val="single" w:sz="8" w:space="0" w:color="000000"/>
              <w:left w:val="nil"/>
              <w:bottom w:val="nil"/>
              <w:right w:val="nil"/>
            </w:tcBorders>
            <w:shd w:val="clear" w:color="auto" w:fill="auto"/>
            <w:tcMar>
              <w:top w:w="80" w:type="dxa"/>
              <w:left w:w="80" w:type="dxa"/>
              <w:bottom w:w="80" w:type="dxa"/>
              <w:right w:w="80" w:type="dxa"/>
            </w:tcMar>
          </w:tcPr>
          <w:p w14:paraId="596EFB08" w14:textId="77777777" w:rsidR="00E73C9D" w:rsidRPr="00EA6B2A" w:rsidRDefault="00C57731">
            <w:pPr>
              <w:pStyle w:val="Body"/>
              <w:spacing w:after="0"/>
              <w:rPr>
                <w:rFonts w:cs="Arial"/>
                <w:sz w:val="20"/>
                <w:szCs w:val="20"/>
              </w:rPr>
            </w:pPr>
            <w:r w:rsidRPr="00EA6B2A">
              <w:rPr>
                <w:rFonts w:cs="Arial"/>
                <w:sz w:val="20"/>
                <w:szCs w:val="20"/>
              </w:rPr>
              <w:t>Instrument 1:</w:t>
            </w:r>
          </w:p>
        </w:tc>
        <w:tc>
          <w:tcPr>
            <w:tcW w:w="1697" w:type="dxa"/>
            <w:tcBorders>
              <w:top w:val="single" w:sz="8" w:space="0" w:color="000000"/>
              <w:left w:val="nil"/>
              <w:bottom w:val="nil"/>
              <w:right w:val="nil"/>
            </w:tcBorders>
            <w:shd w:val="clear" w:color="auto" w:fill="auto"/>
            <w:tcMar>
              <w:top w:w="80" w:type="dxa"/>
              <w:left w:w="80" w:type="dxa"/>
              <w:bottom w:w="80" w:type="dxa"/>
              <w:right w:w="80" w:type="dxa"/>
            </w:tcMar>
          </w:tcPr>
          <w:p w14:paraId="11A13AC6" w14:textId="77777777" w:rsidR="00E73C9D" w:rsidRPr="00EA6B2A" w:rsidRDefault="00E73C9D">
            <w:pPr>
              <w:rPr>
                <w:rFonts w:ascii="Arial" w:hAnsi="Arial" w:cs="Arial"/>
                <w:sz w:val="20"/>
                <w:szCs w:val="20"/>
              </w:rPr>
            </w:pPr>
          </w:p>
        </w:tc>
        <w:tc>
          <w:tcPr>
            <w:tcW w:w="1737" w:type="dxa"/>
            <w:tcBorders>
              <w:top w:val="single" w:sz="8" w:space="0" w:color="000000"/>
              <w:left w:val="nil"/>
              <w:bottom w:val="nil"/>
              <w:right w:val="nil"/>
            </w:tcBorders>
            <w:shd w:val="clear" w:color="auto" w:fill="auto"/>
            <w:tcMar>
              <w:top w:w="80" w:type="dxa"/>
              <w:left w:w="80" w:type="dxa"/>
              <w:bottom w:w="80" w:type="dxa"/>
              <w:right w:w="80" w:type="dxa"/>
            </w:tcMar>
          </w:tcPr>
          <w:p w14:paraId="715881BD" w14:textId="77777777" w:rsidR="00E73C9D" w:rsidRPr="00EA6B2A" w:rsidRDefault="00E73C9D">
            <w:pPr>
              <w:rPr>
                <w:rFonts w:ascii="Arial" w:hAnsi="Arial" w:cs="Arial"/>
                <w:sz w:val="20"/>
                <w:szCs w:val="20"/>
              </w:rPr>
            </w:pPr>
          </w:p>
        </w:tc>
        <w:tc>
          <w:tcPr>
            <w:tcW w:w="1381" w:type="dxa"/>
            <w:tcBorders>
              <w:top w:val="single" w:sz="8" w:space="0" w:color="000000"/>
              <w:left w:val="nil"/>
              <w:bottom w:val="nil"/>
              <w:right w:val="nil"/>
            </w:tcBorders>
            <w:shd w:val="clear" w:color="auto" w:fill="auto"/>
            <w:tcMar>
              <w:top w:w="80" w:type="dxa"/>
              <w:left w:w="80" w:type="dxa"/>
              <w:bottom w:w="80" w:type="dxa"/>
              <w:right w:w="80" w:type="dxa"/>
            </w:tcMar>
          </w:tcPr>
          <w:p w14:paraId="6B761842" w14:textId="77777777" w:rsidR="00E73C9D" w:rsidRPr="00EA6B2A" w:rsidRDefault="00E73C9D">
            <w:pPr>
              <w:rPr>
                <w:rFonts w:ascii="Arial" w:hAnsi="Arial" w:cs="Arial"/>
                <w:sz w:val="20"/>
                <w:szCs w:val="20"/>
              </w:rPr>
            </w:pPr>
          </w:p>
        </w:tc>
        <w:tc>
          <w:tcPr>
            <w:tcW w:w="1645" w:type="dxa"/>
            <w:tcBorders>
              <w:top w:val="single" w:sz="8" w:space="0" w:color="000000"/>
              <w:left w:val="nil"/>
              <w:bottom w:val="nil"/>
              <w:right w:val="nil"/>
            </w:tcBorders>
            <w:shd w:val="clear" w:color="auto" w:fill="auto"/>
            <w:tcMar>
              <w:top w:w="80" w:type="dxa"/>
              <w:left w:w="80" w:type="dxa"/>
              <w:bottom w:w="80" w:type="dxa"/>
              <w:right w:w="80" w:type="dxa"/>
            </w:tcMar>
          </w:tcPr>
          <w:p w14:paraId="2C8D8BB2" w14:textId="77777777" w:rsidR="00E73C9D" w:rsidRPr="00EA6B2A" w:rsidRDefault="00E73C9D">
            <w:pPr>
              <w:rPr>
                <w:rFonts w:ascii="Arial" w:hAnsi="Arial" w:cs="Arial"/>
                <w:sz w:val="20"/>
                <w:szCs w:val="20"/>
              </w:rPr>
            </w:pPr>
          </w:p>
        </w:tc>
      </w:tr>
      <w:tr w:rsidR="00E73C9D" w14:paraId="2818FEC2" w14:textId="77777777">
        <w:trPr>
          <w:trHeight w:val="609"/>
        </w:trPr>
        <w:tc>
          <w:tcPr>
            <w:tcW w:w="2556" w:type="dxa"/>
            <w:tcBorders>
              <w:top w:val="nil"/>
              <w:left w:val="nil"/>
              <w:bottom w:val="nil"/>
              <w:right w:val="nil"/>
            </w:tcBorders>
            <w:shd w:val="clear" w:color="auto" w:fill="auto"/>
            <w:tcMar>
              <w:top w:w="80" w:type="dxa"/>
              <w:left w:w="80" w:type="dxa"/>
              <w:bottom w:w="80" w:type="dxa"/>
              <w:right w:w="80" w:type="dxa"/>
            </w:tcMar>
          </w:tcPr>
          <w:p w14:paraId="052402EB" w14:textId="77777777" w:rsidR="00E73C9D" w:rsidRPr="00EA6B2A" w:rsidRDefault="00C57731">
            <w:pPr>
              <w:pStyle w:val="Body"/>
              <w:spacing w:after="0"/>
              <w:rPr>
                <w:rFonts w:cs="Arial"/>
                <w:sz w:val="20"/>
                <w:szCs w:val="20"/>
              </w:rPr>
            </w:pPr>
            <w:r w:rsidRPr="00EA6B2A">
              <w:rPr>
                <w:rFonts w:cs="Arial"/>
                <w:sz w:val="20"/>
                <w:szCs w:val="20"/>
              </w:rPr>
              <w:t>PREDICT benefit score</w:t>
            </w:r>
          </w:p>
          <w:p w14:paraId="5190B5C8" w14:textId="77777777" w:rsidR="00E73C9D" w:rsidRPr="00EA6B2A" w:rsidRDefault="00C57731">
            <w:pPr>
              <w:pStyle w:val="Body"/>
              <w:spacing w:after="0"/>
              <w:rPr>
                <w:rFonts w:cs="Arial"/>
                <w:sz w:val="20"/>
                <w:szCs w:val="20"/>
              </w:rPr>
            </w:pPr>
            <w:r w:rsidRPr="00EA6B2A">
              <w:rPr>
                <w:rFonts w:cs="Arial"/>
                <w:sz w:val="20"/>
                <w:szCs w:val="20"/>
              </w:rPr>
              <w:t>[1</w:t>
            </w:r>
            <w:r w:rsidRPr="00EA6B2A">
              <w:rPr>
                <w:rFonts w:cs="Arial"/>
                <w:sz w:val="20"/>
                <w:szCs w:val="20"/>
                <w:vertAlign w:val="superscript"/>
              </w:rPr>
              <w:t>st</w:t>
            </w:r>
            <w:r w:rsidRPr="00EA6B2A">
              <w:rPr>
                <w:rFonts w:cs="Arial"/>
                <w:sz w:val="20"/>
                <w:szCs w:val="20"/>
              </w:rPr>
              <w:t xml:space="preserve"> stage]</w:t>
            </w:r>
          </w:p>
        </w:tc>
        <w:tc>
          <w:tcPr>
            <w:tcW w:w="1697" w:type="dxa"/>
            <w:tcBorders>
              <w:top w:val="nil"/>
              <w:left w:val="nil"/>
              <w:bottom w:val="nil"/>
              <w:right w:val="nil"/>
            </w:tcBorders>
            <w:shd w:val="clear" w:color="auto" w:fill="auto"/>
            <w:tcMar>
              <w:top w:w="80" w:type="dxa"/>
              <w:left w:w="80" w:type="dxa"/>
              <w:bottom w:w="80" w:type="dxa"/>
              <w:right w:w="80" w:type="dxa"/>
            </w:tcMar>
          </w:tcPr>
          <w:p w14:paraId="379A8D47" w14:textId="77777777" w:rsidR="00E73C9D" w:rsidRPr="00EA6B2A" w:rsidRDefault="00C57731">
            <w:pPr>
              <w:pStyle w:val="Body"/>
              <w:spacing w:after="0"/>
              <w:rPr>
                <w:rFonts w:cs="Arial"/>
                <w:sz w:val="20"/>
                <w:szCs w:val="20"/>
              </w:rPr>
            </w:pPr>
            <w:r w:rsidRPr="00EA6B2A">
              <w:rPr>
                <w:rFonts w:cs="Arial"/>
                <w:sz w:val="20"/>
                <w:szCs w:val="20"/>
              </w:rPr>
              <w:t>0.295 (P&lt;0.001)</w:t>
            </w:r>
          </w:p>
        </w:tc>
        <w:tc>
          <w:tcPr>
            <w:tcW w:w="1737" w:type="dxa"/>
            <w:tcBorders>
              <w:top w:val="nil"/>
              <w:left w:val="nil"/>
              <w:bottom w:val="nil"/>
              <w:right w:val="nil"/>
            </w:tcBorders>
            <w:shd w:val="clear" w:color="auto" w:fill="auto"/>
            <w:tcMar>
              <w:top w:w="80" w:type="dxa"/>
              <w:left w:w="80" w:type="dxa"/>
              <w:bottom w:w="80" w:type="dxa"/>
              <w:right w:w="80" w:type="dxa"/>
            </w:tcMar>
          </w:tcPr>
          <w:p w14:paraId="3F2AAB8B" w14:textId="77777777" w:rsidR="00E73C9D" w:rsidRPr="00EA6B2A" w:rsidRDefault="00C57731">
            <w:pPr>
              <w:pStyle w:val="Body"/>
              <w:spacing w:after="0"/>
              <w:rPr>
                <w:rFonts w:cs="Arial"/>
                <w:sz w:val="20"/>
                <w:szCs w:val="20"/>
              </w:rPr>
            </w:pPr>
            <w:r w:rsidRPr="00EA6B2A">
              <w:rPr>
                <w:rFonts w:cs="Arial"/>
                <w:sz w:val="20"/>
                <w:szCs w:val="20"/>
              </w:rPr>
              <w:t>(0.222, 0.369)</w:t>
            </w:r>
          </w:p>
        </w:tc>
        <w:tc>
          <w:tcPr>
            <w:tcW w:w="1381" w:type="dxa"/>
            <w:tcBorders>
              <w:top w:val="nil"/>
              <w:left w:val="nil"/>
              <w:bottom w:val="nil"/>
              <w:right w:val="nil"/>
            </w:tcBorders>
            <w:shd w:val="clear" w:color="auto" w:fill="auto"/>
            <w:tcMar>
              <w:top w:w="80" w:type="dxa"/>
              <w:left w:w="80" w:type="dxa"/>
              <w:bottom w:w="80" w:type="dxa"/>
              <w:right w:w="80" w:type="dxa"/>
            </w:tcMar>
          </w:tcPr>
          <w:p w14:paraId="6303C9A9" w14:textId="77777777" w:rsidR="00E73C9D" w:rsidRPr="00EA6B2A" w:rsidRDefault="00C57731">
            <w:pPr>
              <w:pStyle w:val="Body"/>
              <w:spacing w:after="0"/>
              <w:rPr>
                <w:rFonts w:cs="Arial"/>
                <w:sz w:val="20"/>
                <w:szCs w:val="20"/>
              </w:rPr>
            </w:pPr>
            <w:r w:rsidRPr="00EA6B2A">
              <w:rPr>
                <w:rFonts w:cs="Arial"/>
                <w:sz w:val="20"/>
                <w:szCs w:val="20"/>
              </w:rPr>
              <w:t>0.457 (P&lt;0.001)</w:t>
            </w:r>
          </w:p>
        </w:tc>
        <w:tc>
          <w:tcPr>
            <w:tcW w:w="1645" w:type="dxa"/>
            <w:tcBorders>
              <w:top w:val="nil"/>
              <w:left w:val="nil"/>
              <w:bottom w:val="nil"/>
              <w:right w:val="nil"/>
            </w:tcBorders>
            <w:shd w:val="clear" w:color="auto" w:fill="auto"/>
            <w:tcMar>
              <w:top w:w="80" w:type="dxa"/>
              <w:left w:w="80" w:type="dxa"/>
              <w:bottom w:w="80" w:type="dxa"/>
              <w:right w:w="80" w:type="dxa"/>
            </w:tcMar>
          </w:tcPr>
          <w:p w14:paraId="235C5441" w14:textId="77777777" w:rsidR="00E73C9D" w:rsidRPr="00EA6B2A" w:rsidRDefault="00C57731">
            <w:pPr>
              <w:pStyle w:val="Body"/>
              <w:spacing w:after="0"/>
              <w:rPr>
                <w:rFonts w:cs="Arial"/>
                <w:sz w:val="20"/>
                <w:szCs w:val="20"/>
              </w:rPr>
            </w:pPr>
            <w:r w:rsidRPr="00EA6B2A">
              <w:rPr>
                <w:rFonts w:cs="Arial"/>
                <w:sz w:val="20"/>
                <w:szCs w:val="20"/>
              </w:rPr>
              <w:t>(0.398, 0.515)</w:t>
            </w:r>
          </w:p>
        </w:tc>
      </w:tr>
      <w:tr w:rsidR="00E73C9D" w14:paraId="6504845F" w14:textId="77777777">
        <w:trPr>
          <w:trHeight w:val="609"/>
        </w:trPr>
        <w:tc>
          <w:tcPr>
            <w:tcW w:w="2556" w:type="dxa"/>
            <w:tcBorders>
              <w:top w:val="nil"/>
              <w:left w:val="nil"/>
              <w:bottom w:val="nil"/>
              <w:right w:val="nil"/>
            </w:tcBorders>
            <w:shd w:val="clear" w:color="auto" w:fill="auto"/>
            <w:tcMar>
              <w:top w:w="80" w:type="dxa"/>
              <w:left w:w="80" w:type="dxa"/>
              <w:bottom w:w="80" w:type="dxa"/>
              <w:right w:w="80" w:type="dxa"/>
            </w:tcMar>
          </w:tcPr>
          <w:p w14:paraId="61F21458" w14:textId="77777777" w:rsidR="00E73C9D" w:rsidRPr="00EA6B2A" w:rsidRDefault="00C57731">
            <w:pPr>
              <w:pStyle w:val="Body"/>
              <w:spacing w:after="0"/>
              <w:rPr>
                <w:rFonts w:cs="Arial"/>
                <w:sz w:val="20"/>
                <w:szCs w:val="20"/>
              </w:rPr>
            </w:pPr>
            <w:r w:rsidRPr="00EA6B2A">
              <w:rPr>
                <w:rFonts w:cs="Arial"/>
                <w:sz w:val="20"/>
                <w:szCs w:val="20"/>
              </w:rPr>
              <w:t>Chemotherapy</w:t>
            </w:r>
          </w:p>
          <w:p w14:paraId="1F0352D5" w14:textId="77777777" w:rsidR="00E73C9D" w:rsidRPr="00EA6B2A" w:rsidRDefault="00C57731">
            <w:pPr>
              <w:pStyle w:val="Body"/>
              <w:spacing w:after="0"/>
              <w:rPr>
                <w:rFonts w:cs="Arial"/>
                <w:sz w:val="20"/>
                <w:szCs w:val="20"/>
              </w:rPr>
            </w:pPr>
            <w:r w:rsidRPr="00EA6B2A">
              <w:rPr>
                <w:rFonts w:cs="Arial"/>
                <w:sz w:val="20"/>
                <w:szCs w:val="20"/>
              </w:rPr>
              <w:t>[2</w:t>
            </w:r>
            <w:r w:rsidRPr="00EA6B2A">
              <w:rPr>
                <w:rFonts w:cs="Arial"/>
                <w:sz w:val="20"/>
                <w:szCs w:val="20"/>
                <w:vertAlign w:val="superscript"/>
              </w:rPr>
              <w:t>nd</w:t>
            </w:r>
            <w:r w:rsidRPr="00EA6B2A">
              <w:rPr>
                <w:rFonts w:cs="Arial"/>
                <w:sz w:val="20"/>
                <w:szCs w:val="20"/>
              </w:rPr>
              <w:t xml:space="preserve"> stage]</w:t>
            </w:r>
          </w:p>
        </w:tc>
        <w:tc>
          <w:tcPr>
            <w:tcW w:w="1697" w:type="dxa"/>
            <w:tcBorders>
              <w:top w:val="nil"/>
              <w:left w:val="nil"/>
              <w:bottom w:val="nil"/>
              <w:right w:val="nil"/>
            </w:tcBorders>
            <w:shd w:val="clear" w:color="auto" w:fill="auto"/>
            <w:tcMar>
              <w:top w:w="80" w:type="dxa"/>
              <w:left w:w="80" w:type="dxa"/>
              <w:bottom w:w="80" w:type="dxa"/>
              <w:right w:w="80" w:type="dxa"/>
            </w:tcMar>
          </w:tcPr>
          <w:p w14:paraId="5D8D6734" w14:textId="77777777" w:rsidR="00E73C9D" w:rsidRPr="00EA6B2A" w:rsidRDefault="00C57731">
            <w:pPr>
              <w:pStyle w:val="Body"/>
              <w:spacing w:after="0"/>
              <w:rPr>
                <w:rFonts w:cs="Arial"/>
                <w:sz w:val="20"/>
                <w:szCs w:val="20"/>
              </w:rPr>
            </w:pPr>
            <w:r w:rsidRPr="00EA6B2A">
              <w:rPr>
                <w:rFonts w:cs="Arial"/>
                <w:sz w:val="20"/>
                <w:szCs w:val="20"/>
              </w:rPr>
              <w:t>0.91</w:t>
            </w:r>
          </w:p>
        </w:tc>
        <w:tc>
          <w:tcPr>
            <w:tcW w:w="1737" w:type="dxa"/>
            <w:tcBorders>
              <w:top w:val="nil"/>
              <w:left w:val="nil"/>
              <w:bottom w:val="nil"/>
              <w:right w:val="nil"/>
            </w:tcBorders>
            <w:shd w:val="clear" w:color="auto" w:fill="auto"/>
            <w:tcMar>
              <w:top w:w="80" w:type="dxa"/>
              <w:left w:w="80" w:type="dxa"/>
              <w:bottom w:w="80" w:type="dxa"/>
              <w:right w:w="80" w:type="dxa"/>
            </w:tcMar>
          </w:tcPr>
          <w:p w14:paraId="14BD2E14" w14:textId="77777777" w:rsidR="00E73C9D" w:rsidRPr="00EA6B2A" w:rsidRDefault="00C57731">
            <w:pPr>
              <w:pStyle w:val="Body"/>
              <w:spacing w:after="0"/>
              <w:rPr>
                <w:rFonts w:cs="Arial"/>
                <w:sz w:val="20"/>
                <w:szCs w:val="20"/>
              </w:rPr>
            </w:pPr>
            <w:r w:rsidRPr="00EA6B2A">
              <w:rPr>
                <w:rFonts w:cs="Arial"/>
                <w:sz w:val="20"/>
                <w:szCs w:val="20"/>
              </w:rPr>
              <w:t>(0.7, 1.2)</w:t>
            </w:r>
          </w:p>
        </w:tc>
        <w:tc>
          <w:tcPr>
            <w:tcW w:w="1381" w:type="dxa"/>
            <w:tcBorders>
              <w:top w:val="nil"/>
              <w:left w:val="nil"/>
              <w:bottom w:val="nil"/>
              <w:right w:val="nil"/>
            </w:tcBorders>
            <w:shd w:val="clear" w:color="auto" w:fill="auto"/>
            <w:tcMar>
              <w:top w:w="80" w:type="dxa"/>
              <w:left w:w="80" w:type="dxa"/>
              <w:bottom w:w="80" w:type="dxa"/>
              <w:right w:w="80" w:type="dxa"/>
            </w:tcMar>
          </w:tcPr>
          <w:p w14:paraId="389D763B" w14:textId="77777777" w:rsidR="00E73C9D" w:rsidRPr="00EA6B2A" w:rsidRDefault="00C57731">
            <w:pPr>
              <w:pStyle w:val="Body"/>
              <w:spacing w:after="0"/>
              <w:rPr>
                <w:rFonts w:cs="Arial"/>
                <w:sz w:val="20"/>
                <w:szCs w:val="20"/>
              </w:rPr>
            </w:pPr>
            <w:r w:rsidRPr="00EA6B2A">
              <w:rPr>
                <w:rFonts w:cs="Arial"/>
                <w:sz w:val="20"/>
                <w:szCs w:val="20"/>
              </w:rPr>
              <w:t>0.88</w:t>
            </w:r>
          </w:p>
        </w:tc>
        <w:tc>
          <w:tcPr>
            <w:tcW w:w="1645" w:type="dxa"/>
            <w:tcBorders>
              <w:top w:val="nil"/>
              <w:left w:val="nil"/>
              <w:bottom w:val="nil"/>
              <w:right w:val="nil"/>
            </w:tcBorders>
            <w:shd w:val="clear" w:color="auto" w:fill="auto"/>
            <w:tcMar>
              <w:top w:w="80" w:type="dxa"/>
              <w:left w:w="80" w:type="dxa"/>
              <w:bottom w:w="80" w:type="dxa"/>
              <w:right w:w="80" w:type="dxa"/>
            </w:tcMar>
          </w:tcPr>
          <w:p w14:paraId="0BCD7B6C" w14:textId="77777777" w:rsidR="00E73C9D" w:rsidRPr="00EA6B2A" w:rsidRDefault="00C57731">
            <w:pPr>
              <w:pStyle w:val="Body"/>
              <w:spacing w:after="0"/>
              <w:rPr>
                <w:rFonts w:cs="Arial"/>
                <w:sz w:val="20"/>
                <w:szCs w:val="20"/>
              </w:rPr>
            </w:pPr>
            <w:r w:rsidRPr="00EA6B2A">
              <w:rPr>
                <w:rFonts w:cs="Arial"/>
                <w:sz w:val="20"/>
                <w:szCs w:val="20"/>
              </w:rPr>
              <w:t>(0.77, 1.03)</w:t>
            </w:r>
          </w:p>
        </w:tc>
      </w:tr>
      <w:tr w:rsidR="00E73C9D" w14:paraId="6A15D7CD" w14:textId="77777777">
        <w:trPr>
          <w:trHeight w:val="253"/>
        </w:trPr>
        <w:tc>
          <w:tcPr>
            <w:tcW w:w="2556" w:type="dxa"/>
            <w:tcBorders>
              <w:top w:val="nil"/>
              <w:left w:val="nil"/>
              <w:bottom w:val="nil"/>
              <w:right w:val="nil"/>
            </w:tcBorders>
            <w:shd w:val="clear" w:color="auto" w:fill="auto"/>
            <w:tcMar>
              <w:top w:w="80" w:type="dxa"/>
              <w:left w:w="80" w:type="dxa"/>
              <w:bottom w:w="80" w:type="dxa"/>
              <w:right w:w="80" w:type="dxa"/>
            </w:tcMar>
          </w:tcPr>
          <w:p w14:paraId="79571BCE" w14:textId="77777777" w:rsidR="00E73C9D" w:rsidRPr="00EA6B2A" w:rsidRDefault="00C57731">
            <w:pPr>
              <w:pStyle w:val="Body"/>
              <w:spacing w:after="0"/>
              <w:rPr>
                <w:rFonts w:cs="Arial"/>
                <w:sz w:val="20"/>
                <w:szCs w:val="20"/>
              </w:rPr>
            </w:pPr>
            <w:r w:rsidRPr="00EA6B2A">
              <w:rPr>
                <w:rFonts w:cs="Arial"/>
                <w:sz w:val="20"/>
                <w:szCs w:val="20"/>
              </w:rPr>
              <w:t>Instrument 2:</w:t>
            </w:r>
          </w:p>
        </w:tc>
        <w:tc>
          <w:tcPr>
            <w:tcW w:w="1697" w:type="dxa"/>
            <w:tcBorders>
              <w:top w:val="nil"/>
              <w:left w:val="nil"/>
              <w:bottom w:val="nil"/>
              <w:right w:val="nil"/>
            </w:tcBorders>
            <w:shd w:val="clear" w:color="auto" w:fill="auto"/>
            <w:tcMar>
              <w:top w:w="80" w:type="dxa"/>
              <w:left w:w="80" w:type="dxa"/>
              <w:bottom w:w="80" w:type="dxa"/>
              <w:right w:w="80" w:type="dxa"/>
            </w:tcMar>
          </w:tcPr>
          <w:p w14:paraId="1DD2B23D" w14:textId="77777777" w:rsidR="00E73C9D" w:rsidRPr="00EA6B2A" w:rsidRDefault="00E73C9D">
            <w:pPr>
              <w:rPr>
                <w:rFonts w:ascii="Arial" w:hAnsi="Arial" w:cs="Arial"/>
                <w:sz w:val="20"/>
                <w:szCs w:val="20"/>
              </w:rPr>
            </w:pPr>
          </w:p>
        </w:tc>
        <w:tc>
          <w:tcPr>
            <w:tcW w:w="1737" w:type="dxa"/>
            <w:tcBorders>
              <w:top w:val="nil"/>
              <w:left w:val="nil"/>
              <w:bottom w:val="nil"/>
              <w:right w:val="nil"/>
            </w:tcBorders>
            <w:shd w:val="clear" w:color="auto" w:fill="auto"/>
            <w:tcMar>
              <w:top w:w="80" w:type="dxa"/>
              <w:left w:w="80" w:type="dxa"/>
              <w:bottom w:w="80" w:type="dxa"/>
              <w:right w:w="80" w:type="dxa"/>
            </w:tcMar>
          </w:tcPr>
          <w:p w14:paraId="370C8023" w14:textId="77777777" w:rsidR="00E73C9D" w:rsidRPr="00EA6B2A" w:rsidRDefault="00E73C9D">
            <w:pPr>
              <w:rPr>
                <w:rFonts w:ascii="Arial" w:hAnsi="Arial" w:cs="Arial"/>
                <w:sz w:val="20"/>
                <w:szCs w:val="20"/>
              </w:rPr>
            </w:pPr>
          </w:p>
        </w:tc>
        <w:tc>
          <w:tcPr>
            <w:tcW w:w="1381" w:type="dxa"/>
            <w:tcBorders>
              <w:top w:val="nil"/>
              <w:left w:val="nil"/>
              <w:bottom w:val="nil"/>
              <w:right w:val="nil"/>
            </w:tcBorders>
            <w:shd w:val="clear" w:color="auto" w:fill="auto"/>
            <w:tcMar>
              <w:top w:w="80" w:type="dxa"/>
              <w:left w:w="80" w:type="dxa"/>
              <w:bottom w:w="80" w:type="dxa"/>
              <w:right w:w="80" w:type="dxa"/>
            </w:tcMar>
          </w:tcPr>
          <w:p w14:paraId="759C9E78" w14:textId="77777777" w:rsidR="00E73C9D" w:rsidRPr="00EA6B2A" w:rsidRDefault="00E73C9D">
            <w:pPr>
              <w:rPr>
                <w:rFonts w:ascii="Arial" w:hAnsi="Arial" w:cs="Arial"/>
                <w:sz w:val="20"/>
                <w:szCs w:val="20"/>
              </w:rPr>
            </w:pPr>
          </w:p>
        </w:tc>
        <w:tc>
          <w:tcPr>
            <w:tcW w:w="1645" w:type="dxa"/>
            <w:tcBorders>
              <w:top w:val="nil"/>
              <w:left w:val="nil"/>
              <w:bottom w:val="nil"/>
              <w:right w:val="nil"/>
            </w:tcBorders>
            <w:shd w:val="clear" w:color="auto" w:fill="auto"/>
            <w:tcMar>
              <w:top w:w="80" w:type="dxa"/>
              <w:left w:w="80" w:type="dxa"/>
              <w:bottom w:w="80" w:type="dxa"/>
              <w:right w:w="80" w:type="dxa"/>
            </w:tcMar>
          </w:tcPr>
          <w:p w14:paraId="1478670B" w14:textId="77777777" w:rsidR="00E73C9D" w:rsidRPr="00EA6B2A" w:rsidRDefault="00E73C9D">
            <w:pPr>
              <w:rPr>
                <w:rFonts w:ascii="Arial" w:hAnsi="Arial" w:cs="Arial"/>
                <w:sz w:val="20"/>
                <w:szCs w:val="20"/>
              </w:rPr>
            </w:pPr>
          </w:p>
        </w:tc>
      </w:tr>
      <w:tr w:rsidR="00E73C9D" w14:paraId="08A6E87F" w14:textId="77777777">
        <w:trPr>
          <w:trHeight w:val="966"/>
        </w:trPr>
        <w:tc>
          <w:tcPr>
            <w:tcW w:w="2556" w:type="dxa"/>
            <w:tcBorders>
              <w:top w:val="nil"/>
              <w:left w:val="nil"/>
              <w:bottom w:val="nil"/>
              <w:right w:val="nil"/>
            </w:tcBorders>
            <w:shd w:val="clear" w:color="auto" w:fill="auto"/>
            <w:tcMar>
              <w:top w:w="80" w:type="dxa"/>
              <w:left w:w="80" w:type="dxa"/>
              <w:bottom w:w="80" w:type="dxa"/>
              <w:right w:w="80" w:type="dxa"/>
            </w:tcMar>
          </w:tcPr>
          <w:p w14:paraId="6304C643" w14:textId="77777777" w:rsidR="00E73C9D" w:rsidRPr="00EA6B2A" w:rsidRDefault="00C57731">
            <w:pPr>
              <w:pStyle w:val="Body"/>
              <w:spacing w:after="0"/>
              <w:rPr>
                <w:rFonts w:cs="Arial"/>
                <w:sz w:val="20"/>
                <w:szCs w:val="20"/>
              </w:rPr>
            </w:pPr>
            <w:r w:rsidRPr="00EA6B2A">
              <w:rPr>
                <w:rFonts w:cs="Arial"/>
                <w:sz w:val="20"/>
                <w:szCs w:val="20"/>
              </w:rPr>
              <w:t>PREDICT benefit score*post-2010</w:t>
            </w:r>
          </w:p>
          <w:p w14:paraId="4936DCAB" w14:textId="77777777" w:rsidR="00E73C9D" w:rsidRPr="00EA6B2A" w:rsidRDefault="00C57731">
            <w:pPr>
              <w:pStyle w:val="Body"/>
              <w:spacing w:after="0"/>
              <w:rPr>
                <w:rFonts w:cs="Arial"/>
                <w:sz w:val="20"/>
                <w:szCs w:val="20"/>
              </w:rPr>
            </w:pPr>
            <w:r w:rsidRPr="00EA6B2A">
              <w:rPr>
                <w:rFonts w:cs="Arial"/>
                <w:sz w:val="20"/>
                <w:szCs w:val="20"/>
              </w:rPr>
              <w:t>[first stage]</w:t>
            </w:r>
          </w:p>
        </w:tc>
        <w:tc>
          <w:tcPr>
            <w:tcW w:w="1697" w:type="dxa"/>
            <w:tcBorders>
              <w:top w:val="nil"/>
              <w:left w:val="nil"/>
              <w:bottom w:val="nil"/>
              <w:right w:val="nil"/>
            </w:tcBorders>
            <w:shd w:val="clear" w:color="auto" w:fill="auto"/>
            <w:tcMar>
              <w:top w:w="80" w:type="dxa"/>
              <w:left w:w="80" w:type="dxa"/>
              <w:bottom w:w="80" w:type="dxa"/>
              <w:right w:w="80" w:type="dxa"/>
            </w:tcMar>
          </w:tcPr>
          <w:p w14:paraId="58BC6E47" w14:textId="77777777" w:rsidR="00E73C9D" w:rsidRPr="00EA6B2A" w:rsidRDefault="00C57731">
            <w:pPr>
              <w:pStyle w:val="Body"/>
              <w:spacing w:after="0"/>
              <w:rPr>
                <w:rFonts w:cs="Arial"/>
                <w:sz w:val="20"/>
                <w:szCs w:val="20"/>
              </w:rPr>
            </w:pPr>
            <w:r w:rsidRPr="00EA6B2A">
              <w:rPr>
                <w:rFonts w:cs="Arial"/>
                <w:sz w:val="20"/>
                <w:szCs w:val="20"/>
              </w:rPr>
              <w:t>0.142 (P&lt;0.001)</w:t>
            </w:r>
          </w:p>
        </w:tc>
        <w:tc>
          <w:tcPr>
            <w:tcW w:w="1737" w:type="dxa"/>
            <w:tcBorders>
              <w:top w:val="nil"/>
              <w:left w:val="nil"/>
              <w:bottom w:val="nil"/>
              <w:right w:val="nil"/>
            </w:tcBorders>
            <w:shd w:val="clear" w:color="auto" w:fill="auto"/>
            <w:tcMar>
              <w:top w:w="80" w:type="dxa"/>
              <w:left w:w="80" w:type="dxa"/>
              <w:bottom w:w="80" w:type="dxa"/>
              <w:right w:w="80" w:type="dxa"/>
            </w:tcMar>
          </w:tcPr>
          <w:p w14:paraId="4FDF71AF" w14:textId="77777777" w:rsidR="00E73C9D" w:rsidRPr="00EA6B2A" w:rsidRDefault="00C57731">
            <w:pPr>
              <w:pStyle w:val="Body"/>
              <w:spacing w:after="0"/>
              <w:rPr>
                <w:rFonts w:cs="Arial"/>
                <w:sz w:val="20"/>
                <w:szCs w:val="20"/>
              </w:rPr>
            </w:pPr>
            <w:r w:rsidRPr="00EA6B2A">
              <w:rPr>
                <w:rFonts w:cs="Arial"/>
                <w:sz w:val="20"/>
                <w:szCs w:val="20"/>
              </w:rPr>
              <w:t>(0.088, 0.195)</w:t>
            </w:r>
          </w:p>
        </w:tc>
        <w:tc>
          <w:tcPr>
            <w:tcW w:w="1381" w:type="dxa"/>
            <w:tcBorders>
              <w:top w:val="nil"/>
              <w:left w:val="nil"/>
              <w:bottom w:val="nil"/>
              <w:right w:val="nil"/>
            </w:tcBorders>
            <w:shd w:val="clear" w:color="auto" w:fill="auto"/>
            <w:tcMar>
              <w:top w:w="80" w:type="dxa"/>
              <w:left w:w="80" w:type="dxa"/>
              <w:bottom w:w="80" w:type="dxa"/>
              <w:right w:w="80" w:type="dxa"/>
            </w:tcMar>
          </w:tcPr>
          <w:p w14:paraId="4A1922E3" w14:textId="77777777" w:rsidR="00E73C9D" w:rsidRPr="00EA6B2A" w:rsidRDefault="00C57731">
            <w:pPr>
              <w:pStyle w:val="Body"/>
              <w:spacing w:after="0"/>
              <w:rPr>
                <w:rFonts w:cs="Arial"/>
                <w:sz w:val="20"/>
                <w:szCs w:val="20"/>
              </w:rPr>
            </w:pPr>
            <w:r w:rsidRPr="00EA6B2A">
              <w:rPr>
                <w:rFonts w:cs="Arial"/>
                <w:sz w:val="20"/>
                <w:szCs w:val="20"/>
              </w:rPr>
              <w:t>0.094 (P&lt;0.001)</w:t>
            </w:r>
          </w:p>
        </w:tc>
        <w:tc>
          <w:tcPr>
            <w:tcW w:w="1645" w:type="dxa"/>
            <w:tcBorders>
              <w:top w:val="nil"/>
              <w:left w:val="nil"/>
              <w:bottom w:val="nil"/>
              <w:right w:val="nil"/>
            </w:tcBorders>
            <w:shd w:val="clear" w:color="auto" w:fill="auto"/>
            <w:tcMar>
              <w:top w:w="80" w:type="dxa"/>
              <w:left w:w="80" w:type="dxa"/>
              <w:bottom w:w="80" w:type="dxa"/>
              <w:right w:w="80" w:type="dxa"/>
            </w:tcMar>
          </w:tcPr>
          <w:p w14:paraId="415C2FEA" w14:textId="77777777" w:rsidR="00E73C9D" w:rsidRPr="00EA6B2A" w:rsidRDefault="00C57731">
            <w:pPr>
              <w:pStyle w:val="Body"/>
              <w:spacing w:after="0"/>
              <w:rPr>
                <w:rFonts w:cs="Arial"/>
                <w:sz w:val="20"/>
                <w:szCs w:val="20"/>
              </w:rPr>
            </w:pPr>
            <w:r w:rsidRPr="00EA6B2A">
              <w:rPr>
                <w:rFonts w:cs="Arial"/>
                <w:sz w:val="20"/>
                <w:szCs w:val="20"/>
              </w:rPr>
              <w:t>(0.059, 0.129)</w:t>
            </w:r>
          </w:p>
        </w:tc>
      </w:tr>
      <w:tr w:rsidR="00E73C9D" w14:paraId="350853FE" w14:textId="77777777">
        <w:trPr>
          <w:trHeight w:val="614"/>
        </w:trPr>
        <w:tc>
          <w:tcPr>
            <w:tcW w:w="2556" w:type="dxa"/>
            <w:tcBorders>
              <w:top w:val="nil"/>
              <w:left w:val="nil"/>
              <w:bottom w:val="single" w:sz="12" w:space="0" w:color="000000"/>
              <w:right w:val="nil"/>
            </w:tcBorders>
            <w:shd w:val="clear" w:color="auto" w:fill="auto"/>
            <w:tcMar>
              <w:top w:w="80" w:type="dxa"/>
              <w:left w:w="80" w:type="dxa"/>
              <w:bottom w:w="80" w:type="dxa"/>
              <w:right w:w="80" w:type="dxa"/>
            </w:tcMar>
          </w:tcPr>
          <w:p w14:paraId="0632045E" w14:textId="77777777" w:rsidR="00E73C9D" w:rsidRPr="00EA6B2A" w:rsidRDefault="00C57731">
            <w:pPr>
              <w:pStyle w:val="Body"/>
              <w:spacing w:after="0"/>
              <w:rPr>
                <w:rFonts w:cs="Arial"/>
                <w:sz w:val="20"/>
                <w:szCs w:val="20"/>
              </w:rPr>
            </w:pPr>
            <w:r w:rsidRPr="00EA6B2A">
              <w:rPr>
                <w:rFonts w:cs="Arial"/>
                <w:sz w:val="20"/>
                <w:szCs w:val="20"/>
              </w:rPr>
              <w:t>Chemotherapy</w:t>
            </w:r>
          </w:p>
          <w:p w14:paraId="47DE2E6A" w14:textId="77777777" w:rsidR="00E73C9D" w:rsidRPr="00EA6B2A" w:rsidRDefault="00C57731">
            <w:pPr>
              <w:pStyle w:val="Body"/>
              <w:spacing w:after="0"/>
              <w:rPr>
                <w:rFonts w:cs="Arial"/>
                <w:sz w:val="20"/>
                <w:szCs w:val="20"/>
              </w:rPr>
            </w:pPr>
            <w:r w:rsidRPr="00EA6B2A">
              <w:rPr>
                <w:rFonts w:cs="Arial"/>
                <w:sz w:val="20"/>
                <w:szCs w:val="20"/>
              </w:rPr>
              <w:t>[2</w:t>
            </w:r>
            <w:r w:rsidRPr="00EA6B2A">
              <w:rPr>
                <w:rFonts w:cs="Arial"/>
                <w:sz w:val="20"/>
                <w:szCs w:val="20"/>
                <w:vertAlign w:val="superscript"/>
              </w:rPr>
              <w:t>nd</w:t>
            </w:r>
            <w:r w:rsidRPr="00EA6B2A">
              <w:rPr>
                <w:rFonts w:cs="Arial"/>
                <w:sz w:val="20"/>
                <w:szCs w:val="20"/>
              </w:rPr>
              <w:t xml:space="preserve"> stage]</w:t>
            </w:r>
          </w:p>
        </w:tc>
        <w:tc>
          <w:tcPr>
            <w:tcW w:w="1697" w:type="dxa"/>
            <w:tcBorders>
              <w:top w:val="nil"/>
              <w:left w:val="nil"/>
              <w:bottom w:val="single" w:sz="12" w:space="0" w:color="000000"/>
              <w:right w:val="nil"/>
            </w:tcBorders>
            <w:shd w:val="clear" w:color="auto" w:fill="auto"/>
            <w:tcMar>
              <w:top w:w="80" w:type="dxa"/>
              <w:left w:w="80" w:type="dxa"/>
              <w:bottom w:w="80" w:type="dxa"/>
              <w:right w:w="80" w:type="dxa"/>
            </w:tcMar>
          </w:tcPr>
          <w:p w14:paraId="31A76F0D" w14:textId="77777777" w:rsidR="00E73C9D" w:rsidRPr="00EA6B2A" w:rsidRDefault="00C57731">
            <w:pPr>
              <w:pStyle w:val="Body"/>
              <w:spacing w:after="0"/>
              <w:rPr>
                <w:rFonts w:cs="Arial"/>
                <w:sz w:val="20"/>
                <w:szCs w:val="20"/>
              </w:rPr>
            </w:pPr>
            <w:r w:rsidRPr="00EA6B2A">
              <w:rPr>
                <w:rFonts w:cs="Arial"/>
                <w:sz w:val="20"/>
                <w:szCs w:val="20"/>
              </w:rPr>
              <w:t>0.79</w:t>
            </w:r>
          </w:p>
        </w:tc>
        <w:tc>
          <w:tcPr>
            <w:tcW w:w="1737" w:type="dxa"/>
            <w:tcBorders>
              <w:top w:val="nil"/>
              <w:left w:val="nil"/>
              <w:bottom w:val="single" w:sz="12" w:space="0" w:color="000000"/>
              <w:right w:val="nil"/>
            </w:tcBorders>
            <w:shd w:val="clear" w:color="auto" w:fill="auto"/>
            <w:tcMar>
              <w:top w:w="80" w:type="dxa"/>
              <w:left w:w="80" w:type="dxa"/>
              <w:bottom w:w="80" w:type="dxa"/>
              <w:right w:w="80" w:type="dxa"/>
            </w:tcMar>
          </w:tcPr>
          <w:p w14:paraId="7F5C17B1" w14:textId="77777777" w:rsidR="00E73C9D" w:rsidRPr="00EA6B2A" w:rsidRDefault="00C57731">
            <w:pPr>
              <w:pStyle w:val="Body"/>
              <w:spacing w:after="0"/>
              <w:rPr>
                <w:rFonts w:cs="Arial"/>
                <w:sz w:val="20"/>
                <w:szCs w:val="20"/>
              </w:rPr>
            </w:pPr>
            <w:r w:rsidRPr="00EA6B2A">
              <w:rPr>
                <w:rFonts w:cs="Arial"/>
                <w:sz w:val="20"/>
                <w:szCs w:val="20"/>
              </w:rPr>
              <w:t>(0.62, 1.02)</w:t>
            </w:r>
          </w:p>
        </w:tc>
        <w:tc>
          <w:tcPr>
            <w:tcW w:w="1381" w:type="dxa"/>
            <w:tcBorders>
              <w:top w:val="nil"/>
              <w:left w:val="nil"/>
              <w:bottom w:val="single" w:sz="12" w:space="0" w:color="000000"/>
              <w:right w:val="nil"/>
            </w:tcBorders>
            <w:shd w:val="clear" w:color="auto" w:fill="auto"/>
            <w:tcMar>
              <w:top w:w="80" w:type="dxa"/>
              <w:left w:w="80" w:type="dxa"/>
              <w:bottom w:w="80" w:type="dxa"/>
              <w:right w:w="80" w:type="dxa"/>
            </w:tcMar>
          </w:tcPr>
          <w:p w14:paraId="0B05D691" w14:textId="77777777" w:rsidR="00E73C9D" w:rsidRPr="00EA6B2A" w:rsidRDefault="00C57731">
            <w:pPr>
              <w:pStyle w:val="Body"/>
              <w:spacing w:after="0"/>
              <w:rPr>
                <w:rFonts w:cs="Arial"/>
                <w:sz w:val="20"/>
                <w:szCs w:val="20"/>
              </w:rPr>
            </w:pPr>
            <w:r w:rsidRPr="00EA6B2A">
              <w:rPr>
                <w:rFonts w:cs="Arial"/>
                <w:sz w:val="20"/>
                <w:szCs w:val="20"/>
              </w:rPr>
              <w:t>0.82</w:t>
            </w:r>
          </w:p>
        </w:tc>
        <w:tc>
          <w:tcPr>
            <w:tcW w:w="1645" w:type="dxa"/>
            <w:tcBorders>
              <w:top w:val="nil"/>
              <w:left w:val="nil"/>
              <w:bottom w:val="single" w:sz="12" w:space="0" w:color="000000"/>
              <w:right w:val="nil"/>
            </w:tcBorders>
            <w:shd w:val="clear" w:color="auto" w:fill="auto"/>
            <w:tcMar>
              <w:top w:w="80" w:type="dxa"/>
              <w:left w:w="80" w:type="dxa"/>
              <w:bottom w:w="80" w:type="dxa"/>
              <w:right w:w="80" w:type="dxa"/>
            </w:tcMar>
          </w:tcPr>
          <w:p w14:paraId="7A05367D" w14:textId="77777777" w:rsidR="00E73C9D" w:rsidRPr="00EA6B2A" w:rsidRDefault="00C57731">
            <w:pPr>
              <w:pStyle w:val="Body"/>
              <w:spacing w:after="0"/>
              <w:rPr>
                <w:rFonts w:cs="Arial"/>
                <w:sz w:val="20"/>
                <w:szCs w:val="20"/>
              </w:rPr>
            </w:pPr>
            <w:r w:rsidRPr="00EA6B2A">
              <w:rPr>
                <w:rFonts w:cs="Arial"/>
                <w:sz w:val="20"/>
                <w:szCs w:val="20"/>
              </w:rPr>
              <w:t>(0.72, 0.96)</w:t>
            </w:r>
          </w:p>
        </w:tc>
      </w:tr>
      <w:tr w:rsidR="00E73C9D" w14:paraId="420DCC58" w14:textId="77777777">
        <w:trPr>
          <w:trHeight w:val="258"/>
        </w:trPr>
        <w:tc>
          <w:tcPr>
            <w:tcW w:w="9016" w:type="dxa"/>
            <w:gridSpan w:val="5"/>
            <w:tcBorders>
              <w:top w:val="single" w:sz="12" w:space="0" w:color="000000"/>
              <w:left w:val="nil"/>
              <w:bottom w:val="nil"/>
              <w:right w:val="nil"/>
            </w:tcBorders>
            <w:shd w:val="clear" w:color="auto" w:fill="auto"/>
            <w:tcMar>
              <w:top w:w="80" w:type="dxa"/>
              <w:left w:w="80" w:type="dxa"/>
              <w:bottom w:w="80" w:type="dxa"/>
              <w:right w:w="80" w:type="dxa"/>
            </w:tcMar>
          </w:tcPr>
          <w:p w14:paraId="1B8B1769" w14:textId="77777777" w:rsidR="00E73C9D" w:rsidRPr="00EA6B2A" w:rsidRDefault="00C57731">
            <w:pPr>
              <w:pStyle w:val="Body"/>
              <w:spacing w:after="0"/>
              <w:rPr>
                <w:rFonts w:cs="Arial"/>
                <w:sz w:val="20"/>
                <w:szCs w:val="20"/>
              </w:rPr>
            </w:pPr>
            <w:r w:rsidRPr="00EA6B2A">
              <w:rPr>
                <w:rFonts w:cs="Arial"/>
                <w:sz w:val="20"/>
                <w:szCs w:val="20"/>
              </w:rPr>
              <w:t>Other explanatory variables omitted from table</w:t>
            </w:r>
          </w:p>
        </w:tc>
      </w:tr>
    </w:tbl>
    <w:p w14:paraId="3D2F510D" w14:textId="6CE1D996" w:rsidR="00E73C9D" w:rsidRDefault="00637109">
      <w:pPr>
        <w:pStyle w:val="Heading2"/>
      </w:pPr>
      <w:r>
        <w:rPr>
          <w:lang w:val="en-US"/>
        </w:rPr>
        <w:lastRenderedPageBreak/>
        <w:t>5</w:t>
      </w:r>
      <w:r w:rsidR="00C57731">
        <w:rPr>
          <w:lang w:val="en-US"/>
        </w:rPr>
        <w:t xml:space="preserve"> Details of assessment of RDD assumptions/requirements</w:t>
      </w:r>
    </w:p>
    <w:p w14:paraId="5B454553" w14:textId="77777777" w:rsidR="00E73C9D" w:rsidRDefault="00E73C9D">
      <w:pPr>
        <w:pStyle w:val="Body"/>
      </w:pPr>
    </w:p>
    <w:p w14:paraId="0B8166AF" w14:textId="77777777" w:rsidR="00E73C9D" w:rsidRDefault="00C57731">
      <w:pPr>
        <w:pStyle w:val="Body"/>
      </w:pPr>
      <w:r>
        <w:t>Figure 5 shows histograms over the full range and restricted to the region of the thresholds for PREDICT v1.2. Figure 6 shows the same for PREDICT version 2. The continuity assumption appears to not be met for PREDICT v1.2 due to the high density of observation immediately following the 3% threshold and the high density of observations immediately preceding the 5% threshold. The existence of many peaks and troughs across the whole distribution, along with details of the construction of the score, suggests that this is probably due to the dominance of the categorical variables in the algorithm which generates the scores. The continuity assumption appears to be met for PREDICT v2 because the histogram is relatively smooth in the region of the thresholds. PREDICT version 1.2 was eliminated as a candidate assignment variable based on this assessment.</w:t>
      </w:r>
    </w:p>
    <w:p w14:paraId="7E4CFFC4" w14:textId="0F4751FE" w:rsidR="00E73C9D" w:rsidRDefault="00C57731">
      <w:pPr>
        <w:pStyle w:val="Body"/>
        <w:rPr>
          <w:b/>
          <w:bCs/>
        </w:rPr>
      </w:pPr>
      <w:r>
        <w:rPr>
          <w:b/>
          <w:bCs/>
        </w:rPr>
        <w:t xml:space="preserve">Figure </w:t>
      </w:r>
      <w:r w:rsidR="00B26A21">
        <w:rPr>
          <w:b/>
          <w:bCs/>
        </w:rPr>
        <w:t>5</w:t>
      </w:r>
      <w:r>
        <w:rPr>
          <w:b/>
          <w:bCs/>
        </w:rPr>
        <w:t>.1 Histograms, PREDICT version 1.2 chemotherapy benefit, full range and region of thresholds</w:t>
      </w:r>
    </w:p>
    <w:p w14:paraId="6AFD0B3F" w14:textId="77777777" w:rsidR="00E73C9D" w:rsidRDefault="00C57731">
      <w:pPr>
        <w:pStyle w:val="Body"/>
      </w:pPr>
      <w:r>
        <w:rPr>
          <w:noProof/>
          <w:lang w:val="en-GB"/>
        </w:rPr>
        <w:drawing>
          <wp:inline distT="0" distB="0" distL="0" distR="0" wp14:anchorId="198DDC89" wp14:editId="725237A7">
            <wp:extent cx="5727701" cy="2096011"/>
            <wp:effectExtent l="0" t="0" r="0" b="0"/>
            <wp:docPr id="1073741868" name="officeArt object" descr="Histogram v1_2.png"/>
            <wp:cNvGraphicFramePr/>
            <a:graphic xmlns:a="http://schemas.openxmlformats.org/drawingml/2006/main">
              <a:graphicData uri="http://schemas.openxmlformats.org/drawingml/2006/picture">
                <pic:pic xmlns:pic="http://schemas.openxmlformats.org/drawingml/2006/picture">
                  <pic:nvPicPr>
                    <pic:cNvPr id="1073741868" name="Histogram v1_2.png" descr="Histogram v1_2.png"/>
                    <pic:cNvPicPr>
                      <a:picLocks noChangeAspect="1"/>
                    </pic:cNvPicPr>
                  </pic:nvPicPr>
                  <pic:blipFill>
                    <a:blip r:embed="rId14">
                      <a:extLst/>
                    </a:blip>
                    <a:stretch>
                      <a:fillRect/>
                    </a:stretch>
                  </pic:blipFill>
                  <pic:spPr>
                    <a:xfrm>
                      <a:off x="0" y="0"/>
                      <a:ext cx="5727701" cy="2096011"/>
                    </a:xfrm>
                    <a:prstGeom prst="rect">
                      <a:avLst/>
                    </a:prstGeom>
                    <a:ln w="12700" cap="flat">
                      <a:noFill/>
                      <a:miter lim="400000"/>
                    </a:ln>
                    <a:effectLst/>
                  </pic:spPr>
                </pic:pic>
              </a:graphicData>
            </a:graphic>
          </wp:inline>
        </w:drawing>
      </w:r>
    </w:p>
    <w:p w14:paraId="08A55245" w14:textId="5E0AA90D" w:rsidR="00E73C9D" w:rsidRDefault="00C57731">
      <w:pPr>
        <w:pStyle w:val="Body"/>
        <w:rPr>
          <w:b/>
          <w:bCs/>
        </w:rPr>
      </w:pPr>
      <w:r>
        <w:rPr>
          <w:b/>
          <w:bCs/>
        </w:rPr>
        <w:t xml:space="preserve">Figure </w:t>
      </w:r>
      <w:r w:rsidR="00B26A21">
        <w:rPr>
          <w:b/>
          <w:bCs/>
        </w:rPr>
        <w:t>5</w:t>
      </w:r>
      <w:r>
        <w:rPr>
          <w:b/>
          <w:bCs/>
        </w:rPr>
        <w:t>.2 Histograms, PREDICT version 2 chemotherapy benefit, full range and region of thresholds</w:t>
      </w:r>
    </w:p>
    <w:p w14:paraId="4951E793" w14:textId="77777777" w:rsidR="00E73C9D" w:rsidRDefault="00C57731">
      <w:pPr>
        <w:pStyle w:val="BodyA"/>
      </w:pPr>
      <w:r>
        <w:rPr>
          <w:noProof/>
          <w:lang w:val="en-GB"/>
        </w:rPr>
        <w:drawing>
          <wp:inline distT="0" distB="0" distL="0" distR="0" wp14:anchorId="572DF13C" wp14:editId="188C7679">
            <wp:extent cx="5727701" cy="2112510"/>
            <wp:effectExtent l="0" t="0" r="0" b="0"/>
            <wp:docPr id="1073741869" name="officeArt object" descr="Histogram v2.png"/>
            <wp:cNvGraphicFramePr/>
            <a:graphic xmlns:a="http://schemas.openxmlformats.org/drawingml/2006/main">
              <a:graphicData uri="http://schemas.openxmlformats.org/drawingml/2006/picture">
                <pic:pic xmlns:pic="http://schemas.openxmlformats.org/drawingml/2006/picture">
                  <pic:nvPicPr>
                    <pic:cNvPr id="1073741869" name="Histogram v2.png" descr="Histogram v2.png"/>
                    <pic:cNvPicPr>
                      <a:picLocks noChangeAspect="1"/>
                    </pic:cNvPicPr>
                  </pic:nvPicPr>
                  <pic:blipFill>
                    <a:blip r:embed="rId15">
                      <a:extLst/>
                    </a:blip>
                    <a:stretch>
                      <a:fillRect/>
                    </a:stretch>
                  </pic:blipFill>
                  <pic:spPr>
                    <a:xfrm>
                      <a:off x="0" y="0"/>
                      <a:ext cx="5727701" cy="2112510"/>
                    </a:xfrm>
                    <a:prstGeom prst="rect">
                      <a:avLst/>
                    </a:prstGeom>
                    <a:ln w="12700" cap="flat">
                      <a:noFill/>
                      <a:miter lim="400000"/>
                    </a:ln>
                    <a:effectLst/>
                  </pic:spPr>
                </pic:pic>
              </a:graphicData>
            </a:graphic>
          </wp:inline>
        </w:drawing>
      </w:r>
    </w:p>
    <w:p w14:paraId="662DC951" w14:textId="77777777" w:rsidR="00E73C9D" w:rsidRDefault="00C57731">
      <w:pPr>
        <w:pStyle w:val="Body"/>
      </w:pPr>
      <w:r>
        <w:lastRenderedPageBreak/>
        <w:t>Baseline covariate balance around the 3% threshold is assessed in table 11 and around the 5% threshold in table 12. Many baseline covariates are inputs to the PREDICT model and therefore highly correlated with the assignment variable because PREDICT chemotherapy benefit scores are a complex function of these inputs. PREDICT 10-year survival scores and the prognostic input variables are significantly different on either side of threshold. This is as expected and does not invalidate the RDD method. Two important baseline covariates that are not inputs to the PREDICT model are Charlson comorbidity and inpatient bed days, these are approximately balanced on either side of the threshold. This is supportive of the continuity assumption.</w:t>
      </w:r>
    </w:p>
    <w:p w14:paraId="05911D3E" w14:textId="20202FE1" w:rsidR="00E73C9D" w:rsidRDefault="00C57731">
      <w:pPr>
        <w:pStyle w:val="Body"/>
        <w:rPr>
          <w:b/>
          <w:bCs/>
        </w:rPr>
      </w:pPr>
      <w:r>
        <w:rPr>
          <w:b/>
          <w:bCs/>
        </w:rPr>
        <w:t xml:space="preserve">Table </w:t>
      </w:r>
      <w:r w:rsidR="00B26A21">
        <w:rPr>
          <w:b/>
          <w:bCs/>
        </w:rPr>
        <w:t>5</w:t>
      </w:r>
      <w:r>
        <w:rPr>
          <w:b/>
          <w:bCs/>
        </w:rPr>
        <w:t>.1 Baseline covariate balance around 3% threshold</w:t>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656"/>
        <w:gridCol w:w="1502"/>
        <w:gridCol w:w="1506"/>
        <w:gridCol w:w="1502"/>
        <w:gridCol w:w="1507"/>
        <w:gridCol w:w="1343"/>
      </w:tblGrid>
      <w:tr w:rsidR="00E73C9D" w14:paraId="41B45DC1" w14:textId="77777777">
        <w:trPr>
          <w:trHeight w:val="570"/>
        </w:trPr>
        <w:tc>
          <w:tcPr>
            <w:tcW w:w="1656"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14:paraId="2B1B8DD2" w14:textId="77777777" w:rsidR="00E73C9D" w:rsidRPr="003B10BC" w:rsidRDefault="00C57731">
            <w:pPr>
              <w:pStyle w:val="Body"/>
              <w:rPr>
                <w:rFonts w:cs="Arial"/>
                <w:sz w:val="20"/>
                <w:szCs w:val="20"/>
              </w:rPr>
            </w:pPr>
            <w:r w:rsidRPr="003B10BC">
              <w:rPr>
                <w:rFonts w:eastAsia="Calibri" w:cs="Arial"/>
                <w:b/>
                <w:bCs/>
                <w:sz w:val="20"/>
                <w:szCs w:val="20"/>
              </w:rPr>
              <w:t>Variable</w:t>
            </w:r>
          </w:p>
        </w:tc>
        <w:tc>
          <w:tcPr>
            <w:tcW w:w="1502"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14:paraId="5B1C70E7" w14:textId="77777777" w:rsidR="00E73C9D" w:rsidRPr="003B10BC" w:rsidRDefault="00C57731">
            <w:pPr>
              <w:pStyle w:val="Body"/>
              <w:spacing w:after="0"/>
              <w:rPr>
                <w:rFonts w:eastAsia="Calibri" w:cs="Arial"/>
                <w:b/>
                <w:bCs/>
                <w:sz w:val="20"/>
                <w:szCs w:val="20"/>
              </w:rPr>
            </w:pPr>
            <w:r w:rsidRPr="003B10BC">
              <w:rPr>
                <w:rFonts w:eastAsia="Calibri" w:cs="Arial"/>
                <w:b/>
                <w:bCs/>
                <w:sz w:val="20"/>
                <w:szCs w:val="20"/>
              </w:rPr>
              <w:t xml:space="preserve">Below </w:t>
            </w:r>
          </w:p>
          <w:p w14:paraId="6D242FEC" w14:textId="77777777" w:rsidR="00E73C9D" w:rsidRPr="003B10BC" w:rsidRDefault="00C57731">
            <w:pPr>
              <w:pStyle w:val="Body"/>
              <w:spacing w:after="0"/>
              <w:rPr>
                <w:rFonts w:cs="Arial"/>
                <w:sz w:val="20"/>
                <w:szCs w:val="20"/>
              </w:rPr>
            </w:pPr>
            <w:r w:rsidRPr="003B10BC">
              <w:rPr>
                <w:rFonts w:eastAsia="Calibri" w:cs="Arial"/>
                <w:b/>
                <w:bCs/>
                <w:sz w:val="20"/>
                <w:szCs w:val="20"/>
              </w:rPr>
              <w:t>(-0.5%)</w:t>
            </w:r>
          </w:p>
        </w:tc>
        <w:tc>
          <w:tcPr>
            <w:tcW w:w="1506"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14:paraId="204F610E" w14:textId="77777777" w:rsidR="00E73C9D" w:rsidRPr="003B10BC" w:rsidRDefault="00C57731">
            <w:pPr>
              <w:pStyle w:val="Body"/>
              <w:spacing w:after="0"/>
              <w:rPr>
                <w:rFonts w:eastAsia="Calibri" w:cs="Arial"/>
                <w:b/>
                <w:bCs/>
                <w:sz w:val="20"/>
                <w:szCs w:val="20"/>
              </w:rPr>
            </w:pPr>
            <w:r w:rsidRPr="003B10BC">
              <w:rPr>
                <w:rFonts w:eastAsia="Calibri" w:cs="Arial"/>
                <w:b/>
                <w:bCs/>
                <w:sz w:val="20"/>
                <w:szCs w:val="20"/>
              </w:rPr>
              <w:t xml:space="preserve">Above </w:t>
            </w:r>
          </w:p>
          <w:p w14:paraId="204B145B" w14:textId="77777777" w:rsidR="00E73C9D" w:rsidRPr="003B10BC" w:rsidRDefault="00C57731">
            <w:pPr>
              <w:pStyle w:val="Body"/>
              <w:spacing w:after="0"/>
              <w:rPr>
                <w:rFonts w:cs="Arial"/>
                <w:sz w:val="20"/>
                <w:szCs w:val="20"/>
              </w:rPr>
            </w:pPr>
            <w:r w:rsidRPr="003B10BC">
              <w:rPr>
                <w:rFonts w:eastAsia="Calibri" w:cs="Arial"/>
                <w:b/>
                <w:bCs/>
                <w:sz w:val="20"/>
                <w:szCs w:val="20"/>
              </w:rPr>
              <w:t>(+0.5%)</w:t>
            </w:r>
          </w:p>
        </w:tc>
        <w:tc>
          <w:tcPr>
            <w:tcW w:w="1502"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14:paraId="7B58985C" w14:textId="77777777" w:rsidR="00E73C9D" w:rsidRPr="003B10BC" w:rsidRDefault="00C57731">
            <w:pPr>
              <w:pStyle w:val="Body"/>
              <w:spacing w:after="0"/>
              <w:rPr>
                <w:rFonts w:eastAsia="Calibri" w:cs="Arial"/>
                <w:b/>
                <w:bCs/>
                <w:sz w:val="20"/>
                <w:szCs w:val="20"/>
              </w:rPr>
            </w:pPr>
            <w:r w:rsidRPr="003B10BC">
              <w:rPr>
                <w:rFonts w:eastAsia="Calibri" w:cs="Arial"/>
                <w:b/>
                <w:bCs/>
                <w:sz w:val="20"/>
                <w:szCs w:val="20"/>
              </w:rPr>
              <w:t>Below</w:t>
            </w:r>
          </w:p>
          <w:p w14:paraId="10D9EF32" w14:textId="77777777" w:rsidR="00E73C9D" w:rsidRPr="003B10BC" w:rsidRDefault="00C57731">
            <w:pPr>
              <w:pStyle w:val="Body"/>
              <w:spacing w:after="0"/>
              <w:rPr>
                <w:rFonts w:cs="Arial"/>
                <w:sz w:val="20"/>
                <w:szCs w:val="20"/>
              </w:rPr>
            </w:pPr>
            <w:r w:rsidRPr="003B10BC">
              <w:rPr>
                <w:rFonts w:eastAsia="Calibri" w:cs="Arial"/>
                <w:b/>
                <w:bCs/>
                <w:sz w:val="20"/>
                <w:szCs w:val="20"/>
              </w:rPr>
              <w:t>(-0.5%)</w:t>
            </w:r>
          </w:p>
        </w:tc>
        <w:tc>
          <w:tcPr>
            <w:tcW w:w="1507"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14:paraId="13BA08B0" w14:textId="77777777" w:rsidR="00E73C9D" w:rsidRPr="003B10BC" w:rsidRDefault="00C57731">
            <w:pPr>
              <w:pStyle w:val="Body"/>
              <w:spacing w:after="0"/>
              <w:rPr>
                <w:rFonts w:eastAsia="Calibri" w:cs="Arial"/>
                <w:b/>
                <w:bCs/>
                <w:sz w:val="20"/>
                <w:szCs w:val="20"/>
              </w:rPr>
            </w:pPr>
            <w:r w:rsidRPr="003B10BC">
              <w:rPr>
                <w:rFonts w:eastAsia="Calibri" w:cs="Arial"/>
                <w:b/>
                <w:bCs/>
                <w:sz w:val="20"/>
                <w:szCs w:val="20"/>
              </w:rPr>
              <w:t>Above</w:t>
            </w:r>
          </w:p>
          <w:p w14:paraId="62EC1244" w14:textId="77777777" w:rsidR="00E73C9D" w:rsidRPr="003B10BC" w:rsidRDefault="00C57731">
            <w:pPr>
              <w:pStyle w:val="Body"/>
              <w:spacing w:after="0"/>
              <w:rPr>
                <w:rFonts w:cs="Arial"/>
                <w:sz w:val="20"/>
                <w:szCs w:val="20"/>
              </w:rPr>
            </w:pPr>
            <w:r w:rsidRPr="003B10BC">
              <w:rPr>
                <w:rFonts w:eastAsia="Calibri" w:cs="Arial"/>
                <w:b/>
                <w:bCs/>
                <w:sz w:val="20"/>
                <w:szCs w:val="20"/>
              </w:rPr>
              <w:t>(+0.5%)</w:t>
            </w:r>
          </w:p>
        </w:tc>
        <w:tc>
          <w:tcPr>
            <w:tcW w:w="1343"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14:paraId="15859BBD" w14:textId="77777777" w:rsidR="00E73C9D" w:rsidRPr="003B10BC" w:rsidRDefault="00E73C9D">
            <w:pPr>
              <w:rPr>
                <w:rFonts w:ascii="Arial" w:hAnsi="Arial" w:cs="Arial"/>
                <w:sz w:val="20"/>
                <w:szCs w:val="20"/>
              </w:rPr>
            </w:pPr>
          </w:p>
        </w:tc>
      </w:tr>
      <w:tr w:rsidR="00E73C9D" w14:paraId="488BA46F" w14:textId="77777777">
        <w:trPr>
          <w:trHeight w:val="890"/>
        </w:trPr>
        <w:tc>
          <w:tcPr>
            <w:tcW w:w="16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F7D8284" w14:textId="77777777" w:rsidR="00E73C9D" w:rsidRPr="003B10BC" w:rsidRDefault="00E73C9D">
            <w:pPr>
              <w:rPr>
                <w:rFonts w:ascii="Arial" w:hAnsi="Arial" w:cs="Arial"/>
                <w:sz w:val="20"/>
                <w:szCs w:val="20"/>
              </w:rPr>
            </w:pPr>
          </w:p>
        </w:tc>
        <w:tc>
          <w:tcPr>
            <w:tcW w:w="15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D04CDC8" w14:textId="77777777" w:rsidR="00E73C9D" w:rsidRPr="003B10BC" w:rsidRDefault="00C57731">
            <w:pPr>
              <w:pStyle w:val="Body"/>
              <w:spacing w:after="0"/>
              <w:rPr>
                <w:rFonts w:cs="Arial"/>
                <w:sz w:val="20"/>
                <w:szCs w:val="20"/>
              </w:rPr>
            </w:pPr>
            <w:r w:rsidRPr="003B10BC">
              <w:rPr>
                <w:rFonts w:eastAsia="Calibri" w:cs="Arial"/>
                <w:b/>
                <w:bCs/>
                <w:sz w:val="20"/>
                <w:szCs w:val="20"/>
              </w:rPr>
              <w:t>N</w:t>
            </w:r>
          </w:p>
        </w:tc>
        <w:tc>
          <w:tcPr>
            <w:tcW w:w="15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C57449A" w14:textId="77777777" w:rsidR="00E73C9D" w:rsidRPr="003B10BC" w:rsidRDefault="00C57731">
            <w:pPr>
              <w:pStyle w:val="Body"/>
              <w:spacing w:after="0"/>
              <w:rPr>
                <w:rFonts w:cs="Arial"/>
                <w:sz w:val="20"/>
                <w:szCs w:val="20"/>
              </w:rPr>
            </w:pPr>
            <w:r w:rsidRPr="003B10BC">
              <w:rPr>
                <w:rFonts w:eastAsia="Calibri" w:cs="Arial"/>
                <w:b/>
                <w:bCs/>
                <w:sz w:val="20"/>
                <w:szCs w:val="20"/>
              </w:rPr>
              <w:t>N</w:t>
            </w:r>
          </w:p>
        </w:tc>
        <w:tc>
          <w:tcPr>
            <w:tcW w:w="15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AEFA4B5" w14:textId="77777777" w:rsidR="00E73C9D" w:rsidRPr="003B10BC" w:rsidRDefault="00C57731">
            <w:pPr>
              <w:pStyle w:val="Body"/>
              <w:spacing w:after="0"/>
              <w:rPr>
                <w:rFonts w:cs="Arial"/>
                <w:sz w:val="20"/>
                <w:szCs w:val="20"/>
              </w:rPr>
            </w:pPr>
            <w:r w:rsidRPr="003B10BC">
              <w:rPr>
                <w:rFonts w:eastAsia="Calibri" w:cs="Arial"/>
                <w:b/>
                <w:bCs/>
                <w:sz w:val="20"/>
                <w:szCs w:val="20"/>
              </w:rPr>
              <w:t>Mean or %</w:t>
            </w:r>
          </w:p>
        </w:tc>
        <w:tc>
          <w:tcPr>
            <w:tcW w:w="150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68E88A5" w14:textId="77777777" w:rsidR="00E73C9D" w:rsidRPr="003B10BC" w:rsidRDefault="00C57731">
            <w:pPr>
              <w:pStyle w:val="Body"/>
              <w:spacing w:after="0"/>
              <w:rPr>
                <w:rFonts w:cs="Arial"/>
                <w:sz w:val="20"/>
                <w:szCs w:val="20"/>
              </w:rPr>
            </w:pPr>
            <w:r w:rsidRPr="003B10BC">
              <w:rPr>
                <w:rFonts w:eastAsia="Calibri" w:cs="Arial"/>
                <w:b/>
                <w:bCs/>
                <w:sz w:val="20"/>
                <w:szCs w:val="20"/>
              </w:rPr>
              <w:t>Mean or %</w:t>
            </w:r>
          </w:p>
        </w:tc>
        <w:tc>
          <w:tcPr>
            <w:tcW w:w="134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51D1A6E" w14:textId="77777777" w:rsidR="00E73C9D" w:rsidRPr="003B10BC" w:rsidRDefault="00C57731">
            <w:pPr>
              <w:pStyle w:val="Body"/>
              <w:spacing w:after="0"/>
              <w:rPr>
                <w:rFonts w:cs="Arial"/>
                <w:sz w:val="20"/>
                <w:szCs w:val="20"/>
              </w:rPr>
            </w:pPr>
            <w:r w:rsidRPr="003B10BC">
              <w:rPr>
                <w:rFonts w:eastAsia="Calibri" w:cs="Arial"/>
                <w:b/>
                <w:bCs/>
                <w:sz w:val="20"/>
                <w:szCs w:val="20"/>
              </w:rPr>
              <w:t xml:space="preserve">Statistical test </w:t>
            </w:r>
          </w:p>
        </w:tc>
      </w:tr>
      <w:tr w:rsidR="00E73C9D" w14:paraId="46AEC042" w14:textId="77777777">
        <w:trPr>
          <w:trHeight w:val="560"/>
        </w:trPr>
        <w:tc>
          <w:tcPr>
            <w:tcW w:w="16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0301230" w14:textId="77777777" w:rsidR="00E73C9D" w:rsidRPr="003B10BC" w:rsidRDefault="00C57731">
            <w:pPr>
              <w:pStyle w:val="Body"/>
              <w:spacing w:after="0"/>
              <w:rPr>
                <w:rFonts w:cs="Arial"/>
                <w:sz w:val="20"/>
                <w:szCs w:val="20"/>
              </w:rPr>
            </w:pPr>
            <w:r w:rsidRPr="003B10BC">
              <w:rPr>
                <w:rFonts w:eastAsia="Calibri" w:cs="Arial"/>
                <w:sz w:val="20"/>
                <w:szCs w:val="20"/>
              </w:rPr>
              <w:t xml:space="preserve">Prognostic – in PREDICT </w:t>
            </w:r>
          </w:p>
        </w:tc>
        <w:tc>
          <w:tcPr>
            <w:tcW w:w="15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F368970" w14:textId="77777777" w:rsidR="00E73C9D" w:rsidRPr="003B10BC" w:rsidRDefault="00E73C9D">
            <w:pPr>
              <w:rPr>
                <w:rFonts w:ascii="Arial" w:hAnsi="Arial" w:cs="Arial"/>
                <w:sz w:val="20"/>
                <w:szCs w:val="20"/>
              </w:rPr>
            </w:pPr>
          </w:p>
        </w:tc>
        <w:tc>
          <w:tcPr>
            <w:tcW w:w="15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A436AE6" w14:textId="77777777" w:rsidR="00E73C9D" w:rsidRPr="003B10BC" w:rsidRDefault="00E73C9D">
            <w:pPr>
              <w:rPr>
                <w:rFonts w:ascii="Arial" w:hAnsi="Arial" w:cs="Arial"/>
                <w:sz w:val="20"/>
                <w:szCs w:val="20"/>
              </w:rPr>
            </w:pPr>
          </w:p>
        </w:tc>
        <w:tc>
          <w:tcPr>
            <w:tcW w:w="15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768D1E4" w14:textId="77777777" w:rsidR="00E73C9D" w:rsidRPr="003B10BC" w:rsidRDefault="00E73C9D">
            <w:pPr>
              <w:rPr>
                <w:rFonts w:ascii="Arial" w:hAnsi="Arial" w:cs="Arial"/>
                <w:sz w:val="20"/>
                <w:szCs w:val="20"/>
              </w:rPr>
            </w:pPr>
          </w:p>
        </w:tc>
        <w:tc>
          <w:tcPr>
            <w:tcW w:w="150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B491DF4" w14:textId="77777777" w:rsidR="00E73C9D" w:rsidRPr="003B10BC" w:rsidRDefault="00E73C9D">
            <w:pPr>
              <w:rPr>
                <w:rFonts w:ascii="Arial" w:hAnsi="Arial" w:cs="Arial"/>
                <w:sz w:val="20"/>
                <w:szCs w:val="20"/>
              </w:rPr>
            </w:pPr>
          </w:p>
        </w:tc>
        <w:tc>
          <w:tcPr>
            <w:tcW w:w="134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F0ED284" w14:textId="77777777" w:rsidR="00E73C9D" w:rsidRPr="003B10BC" w:rsidRDefault="00E73C9D">
            <w:pPr>
              <w:rPr>
                <w:rFonts w:ascii="Arial" w:hAnsi="Arial" w:cs="Arial"/>
                <w:sz w:val="20"/>
                <w:szCs w:val="20"/>
              </w:rPr>
            </w:pPr>
          </w:p>
        </w:tc>
      </w:tr>
      <w:tr w:rsidR="00E73C9D" w14:paraId="2EF9B5BD" w14:textId="77777777">
        <w:trPr>
          <w:trHeight w:val="235"/>
        </w:trPr>
        <w:tc>
          <w:tcPr>
            <w:tcW w:w="1656" w:type="dxa"/>
            <w:tcBorders>
              <w:top w:val="single" w:sz="4" w:space="0" w:color="000000"/>
              <w:left w:val="nil"/>
              <w:bottom w:val="nil"/>
              <w:right w:val="nil"/>
            </w:tcBorders>
            <w:shd w:val="clear" w:color="auto" w:fill="auto"/>
            <w:tcMar>
              <w:top w:w="80" w:type="dxa"/>
              <w:left w:w="80" w:type="dxa"/>
              <w:bottom w:w="80" w:type="dxa"/>
              <w:right w:w="80" w:type="dxa"/>
            </w:tcMar>
          </w:tcPr>
          <w:p w14:paraId="3912878F" w14:textId="77777777" w:rsidR="00E73C9D" w:rsidRPr="003B10BC" w:rsidRDefault="00C57731">
            <w:pPr>
              <w:pStyle w:val="Body"/>
              <w:spacing w:after="0"/>
              <w:rPr>
                <w:rFonts w:cs="Arial"/>
                <w:sz w:val="20"/>
                <w:szCs w:val="20"/>
              </w:rPr>
            </w:pPr>
            <w:r w:rsidRPr="003B10BC">
              <w:rPr>
                <w:rFonts w:eastAsia="Calibri" w:cs="Arial"/>
                <w:sz w:val="20"/>
                <w:szCs w:val="20"/>
              </w:rPr>
              <w:t>Age</w:t>
            </w:r>
          </w:p>
        </w:tc>
        <w:tc>
          <w:tcPr>
            <w:tcW w:w="1502" w:type="dxa"/>
            <w:tcBorders>
              <w:top w:val="single" w:sz="4" w:space="0" w:color="000000"/>
              <w:left w:val="nil"/>
              <w:bottom w:val="nil"/>
              <w:right w:val="nil"/>
            </w:tcBorders>
            <w:shd w:val="clear" w:color="auto" w:fill="auto"/>
            <w:tcMar>
              <w:top w:w="80" w:type="dxa"/>
              <w:left w:w="80" w:type="dxa"/>
              <w:bottom w:w="80" w:type="dxa"/>
              <w:right w:w="80" w:type="dxa"/>
            </w:tcMar>
          </w:tcPr>
          <w:p w14:paraId="16E73BCA" w14:textId="77777777" w:rsidR="00E73C9D" w:rsidRPr="003B10BC" w:rsidRDefault="00C57731">
            <w:pPr>
              <w:pStyle w:val="Body"/>
              <w:spacing w:after="0"/>
              <w:rPr>
                <w:rFonts w:cs="Arial"/>
                <w:sz w:val="20"/>
                <w:szCs w:val="20"/>
              </w:rPr>
            </w:pPr>
            <w:r w:rsidRPr="003B10BC">
              <w:rPr>
                <w:rFonts w:eastAsia="Calibri" w:cs="Arial"/>
                <w:sz w:val="20"/>
                <w:szCs w:val="20"/>
              </w:rPr>
              <w:t>2,538</w:t>
            </w:r>
          </w:p>
        </w:tc>
        <w:tc>
          <w:tcPr>
            <w:tcW w:w="1506" w:type="dxa"/>
            <w:tcBorders>
              <w:top w:val="single" w:sz="4" w:space="0" w:color="000000"/>
              <w:left w:val="nil"/>
              <w:bottom w:val="nil"/>
              <w:right w:val="nil"/>
            </w:tcBorders>
            <w:shd w:val="clear" w:color="auto" w:fill="auto"/>
            <w:tcMar>
              <w:top w:w="80" w:type="dxa"/>
              <w:left w:w="80" w:type="dxa"/>
              <w:bottom w:w="80" w:type="dxa"/>
              <w:right w:w="80" w:type="dxa"/>
            </w:tcMar>
          </w:tcPr>
          <w:p w14:paraId="3FED68C2" w14:textId="77777777" w:rsidR="00E73C9D" w:rsidRPr="003B10BC" w:rsidRDefault="00C57731">
            <w:pPr>
              <w:pStyle w:val="Body"/>
              <w:spacing w:after="0"/>
              <w:rPr>
                <w:rFonts w:cs="Arial"/>
                <w:sz w:val="20"/>
                <w:szCs w:val="20"/>
              </w:rPr>
            </w:pPr>
            <w:r w:rsidRPr="003B10BC">
              <w:rPr>
                <w:rFonts w:eastAsia="Calibri" w:cs="Arial"/>
                <w:sz w:val="20"/>
                <w:szCs w:val="20"/>
              </w:rPr>
              <w:t>2,307</w:t>
            </w:r>
          </w:p>
        </w:tc>
        <w:tc>
          <w:tcPr>
            <w:tcW w:w="1502" w:type="dxa"/>
            <w:tcBorders>
              <w:top w:val="single" w:sz="4" w:space="0" w:color="000000"/>
              <w:left w:val="nil"/>
              <w:bottom w:val="nil"/>
              <w:right w:val="nil"/>
            </w:tcBorders>
            <w:shd w:val="clear" w:color="auto" w:fill="auto"/>
            <w:tcMar>
              <w:top w:w="80" w:type="dxa"/>
              <w:left w:w="80" w:type="dxa"/>
              <w:bottom w:w="80" w:type="dxa"/>
              <w:right w:w="80" w:type="dxa"/>
            </w:tcMar>
          </w:tcPr>
          <w:p w14:paraId="11D8B30C" w14:textId="77777777" w:rsidR="00E73C9D" w:rsidRPr="003B10BC" w:rsidRDefault="00C57731">
            <w:pPr>
              <w:pStyle w:val="Body"/>
              <w:spacing w:after="0"/>
              <w:rPr>
                <w:rFonts w:cs="Arial"/>
                <w:sz w:val="20"/>
                <w:szCs w:val="20"/>
              </w:rPr>
            </w:pPr>
            <w:r w:rsidRPr="003B10BC">
              <w:rPr>
                <w:rFonts w:eastAsia="Calibri" w:cs="Arial"/>
                <w:sz w:val="20"/>
                <w:szCs w:val="20"/>
              </w:rPr>
              <w:t>61.1</w:t>
            </w:r>
          </w:p>
        </w:tc>
        <w:tc>
          <w:tcPr>
            <w:tcW w:w="1507" w:type="dxa"/>
            <w:tcBorders>
              <w:top w:val="single" w:sz="4" w:space="0" w:color="000000"/>
              <w:left w:val="nil"/>
              <w:bottom w:val="nil"/>
              <w:right w:val="nil"/>
            </w:tcBorders>
            <w:shd w:val="clear" w:color="auto" w:fill="auto"/>
            <w:tcMar>
              <w:top w:w="80" w:type="dxa"/>
              <w:left w:w="80" w:type="dxa"/>
              <w:bottom w:w="80" w:type="dxa"/>
              <w:right w:w="80" w:type="dxa"/>
            </w:tcMar>
          </w:tcPr>
          <w:p w14:paraId="41597B4C" w14:textId="77777777" w:rsidR="00E73C9D" w:rsidRPr="003B10BC" w:rsidRDefault="00C57731">
            <w:pPr>
              <w:pStyle w:val="Body"/>
              <w:spacing w:after="0"/>
              <w:rPr>
                <w:rFonts w:cs="Arial"/>
                <w:sz w:val="20"/>
                <w:szCs w:val="20"/>
              </w:rPr>
            </w:pPr>
            <w:r w:rsidRPr="003B10BC">
              <w:rPr>
                <w:rFonts w:eastAsia="Calibri" w:cs="Arial"/>
                <w:sz w:val="20"/>
                <w:szCs w:val="20"/>
              </w:rPr>
              <w:t>60.6</w:t>
            </w:r>
          </w:p>
        </w:tc>
        <w:tc>
          <w:tcPr>
            <w:tcW w:w="1343" w:type="dxa"/>
            <w:tcBorders>
              <w:top w:val="single" w:sz="4" w:space="0" w:color="000000"/>
              <w:left w:val="nil"/>
              <w:bottom w:val="nil"/>
              <w:right w:val="nil"/>
            </w:tcBorders>
            <w:shd w:val="clear" w:color="auto" w:fill="auto"/>
            <w:tcMar>
              <w:top w:w="80" w:type="dxa"/>
              <w:left w:w="80" w:type="dxa"/>
              <w:bottom w:w="80" w:type="dxa"/>
              <w:right w:w="80" w:type="dxa"/>
            </w:tcMar>
          </w:tcPr>
          <w:p w14:paraId="20DBE555" w14:textId="77777777" w:rsidR="00E73C9D" w:rsidRPr="003B10BC" w:rsidRDefault="00E73C9D">
            <w:pPr>
              <w:rPr>
                <w:rFonts w:ascii="Arial" w:hAnsi="Arial" w:cs="Arial"/>
                <w:sz w:val="20"/>
                <w:szCs w:val="20"/>
              </w:rPr>
            </w:pPr>
          </w:p>
        </w:tc>
      </w:tr>
      <w:tr w:rsidR="00E73C9D" w14:paraId="3E5D39F5" w14:textId="77777777">
        <w:trPr>
          <w:trHeight w:val="570"/>
        </w:trPr>
        <w:tc>
          <w:tcPr>
            <w:tcW w:w="1656" w:type="dxa"/>
            <w:tcBorders>
              <w:top w:val="nil"/>
              <w:left w:val="nil"/>
              <w:bottom w:val="nil"/>
              <w:right w:val="nil"/>
            </w:tcBorders>
            <w:shd w:val="clear" w:color="auto" w:fill="auto"/>
            <w:tcMar>
              <w:top w:w="80" w:type="dxa"/>
              <w:left w:w="80" w:type="dxa"/>
              <w:bottom w:w="80" w:type="dxa"/>
              <w:right w:w="80" w:type="dxa"/>
            </w:tcMar>
          </w:tcPr>
          <w:p w14:paraId="3CBDCE8E" w14:textId="77777777" w:rsidR="00E73C9D" w:rsidRPr="003B10BC" w:rsidRDefault="00C57731">
            <w:pPr>
              <w:pStyle w:val="Body"/>
              <w:spacing w:after="0"/>
              <w:rPr>
                <w:rFonts w:cs="Arial"/>
                <w:sz w:val="20"/>
                <w:szCs w:val="20"/>
              </w:rPr>
            </w:pPr>
            <w:r w:rsidRPr="003B10BC">
              <w:rPr>
                <w:rFonts w:eastAsia="Calibri" w:cs="Arial"/>
                <w:sz w:val="20"/>
                <w:szCs w:val="20"/>
              </w:rPr>
              <w:t>Screen detected (%)</w:t>
            </w:r>
          </w:p>
        </w:tc>
        <w:tc>
          <w:tcPr>
            <w:tcW w:w="1502" w:type="dxa"/>
            <w:tcBorders>
              <w:top w:val="nil"/>
              <w:left w:val="nil"/>
              <w:bottom w:val="nil"/>
              <w:right w:val="nil"/>
            </w:tcBorders>
            <w:shd w:val="clear" w:color="auto" w:fill="auto"/>
            <w:tcMar>
              <w:top w:w="80" w:type="dxa"/>
              <w:left w:w="80" w:type="dxa"/>
              <w:bottom w:w="80" w:type="dxa"/>
              <w:right w:w="80" w:type="dxa"/>
            </w:tcMar>
          </w:tcPr>
          <w:p w14:paraId="58A9EE95" w14:textId="77777777" w:rsidR="00E73C9D" w:rsidRPr="003B10BC" w:rsidRDefault="00C57731">
            <w:pPr>
              <w:pStyle w:val="Body"/>
              <w:spacing w:after="0"/>
              <w:rPr>
                <w:rFonts w:cs="Arial"/>
                <w:sz w:val="20"/>
                <w:szCs w:val="20"/>
              </w:rPr>
            </w:pPr>
            <w:r w:rsidRPr="003B10BC">
              <w:rPr>
                <w:rFonts w:eastAsia="Calibri" w:cs="Arial"/>
                <w:sz w:val="20"/>
                <w:szCs w:val="20"/>
              </w:rPr>
              <w:t>2,536</w:t>
            </w:r>
          </w:p>
        </w:tc>
        <w:tc>
          <w:tcPr>
            <w:tcW w:w="1506" w:type="dxa"/>
            <w:tcBorders>
              <w:top w:val="nil"/>
              <w:left w:val="nil"/>
              <w:bottom w:val="nil"/>
              <w:right w:val="nil"/>
            </w:tcBorders>
            <w:shd w:val="clear" w:color="auto" w:fill="auto"/>
            <w:tcMar>
              <w:top w:w="80" w:type="dxa"/>
              <w:left w:w="80" w:type="dxa"/>
              <w:bottom w:w="80" w:type="dxa"/>
              <w:right w:w="80" w:type="dxa"/>
            </w:tcMar>
          </w:tcPr>
          <w:p w14:paraId="0A32B189" w14:textId="77777777" w:rsidR="00E73C9D" w:rsidRPr="003B10BC" w:rsidRDefault="00C57731">
            <w:pPr>
              <w:pStyle w:val="Body"/>
              <w:spacing w:after="0"/>
              <w:rPr>
                <w:rFonts w:cs="Arial"/>
                <w:sz w:val="20"/>
                <w:szCs w:val="20"/>
              </w:rPr>
            </w:pPr>
            <w:r w:rsidRPr="003B10BC">
              <w:rPr>
                <w:rFonts w:eastAsia="Calibri" w:cs="Arial"/>
                <w:sz w:val="20"/>
                <w:szCs w:val="20"/>
              </w:rPr>
              <w:t>2,305</w:t>
            </w:r>
          </w:p>
        </w:tc>
        <w:tc>
          <w:tcPr>
            <w:tcW w:w="1502" w:type="dxa"/>
            <w:tcBorders>
              <w:top w:val="nil"/>
              <w:left w:val="nil"/>
              <w:bottom w:val="nil"/>
              <w:right w:val="nil"/>
            </w:tcBorders>
            <w:shd w:val="clear" w:color="auto" w:fill="auto"/>
            <w:tcMar>
              <w:top w:w="80" w:type="dxa"/>
              <w:left w:w="80" w:type="dxa"/>
              <w:bottom w:w="80" w:type="dxa"/>
              <w:right w:w="80" w:type="dxa"/>
            </w:tcMar>
          </w:tcPr>
          <w:p w14:paraId="55D17B5B" w14:textId="77777777" w:rsidR="00E73C9D" w:rsidRPr="003B10BC" w:rsidRDefault="00C57731">
            <w:pPr>
              <w:pStyle w:val="Body"/>
              <w:spacing w:after="0"/>
              <w:rPr>
                <w:rFonts w:cs="Arial"/>
                <w:sz w:val="20"/>
                <w:szCs w:val="20"/>
              </w:rPr>
            </w:pPr>
            <w:r w:rsidRPr="003B10BC">
              <w:rPr>
                <w:rFonts w:eastAsia="Calibri" w:cs="Arial"/>
                <w:sz w:val="20"/>
                <w:szCs w:val="20"/>
              </w:rPr>
              <w:t>24.3</w:t>
            </w:r>
          </w:p>
        </w:tc>
        <w:tc>
          <w:tcPr>
            <w:tcW w:w="1507" w:type="dxa"/>
            <w:tcBorders>
              <w:top w:val="nil"/>
              <w:left w:val="nil"/>
              <w:bottom w:val="nil"/>
              <w:right w:val="nil"/>
            </w:tcBorders>
            <w:shd w:val="clear" w:color="auto" w:fill="auto"/>
            <w:tcMar>
              <w:top w:w="80" w:type="dxa"/>
              <w:left w:w="80" w:type="dxa"/>
              <w:bottom w:w="80" w:type="dxa"/>
              <w:right w:w="80" w:type="dxa"/>
            </w:tcMar>
          </w:tcPr>
          <w:p w14:paraId="607640CD" w14:textId="77777777" w:rsidR="00E73C9D" w:rsidRPr="003B10BC" w:rsidRDefault="00C57731">
            <w:pPr>
              <w:pStyle w:val="Body"/>
              <w:spacing w:after="0"/>
              <w:rPr>
                <w:rFonts w:cs="Arial"/>
                <w:sz w:val="20"/>
                <w:szCs w:val="20"/>
              </w:rPr>
            </w:pPr>
            <w:r w:rsidRPr="003B10BC">
              <w:rPr>
                <w:rFonts w:eastAsia="Calibri" w:cs="Arial"/>
                <w:sz w:val="20"/>
                <w:szCs w:val="20"/>
              </w:rPr>
              <w:t>19.8</w:t>
            </w:r>
          </w:p>
        </w:tc>
        <w:tc>
          <w:tcPr>
            <w:tcW w:w="1343" w:type="dxa"/>
            <w:tcBorders>
              <w:top w:val="nil"/>
              <w:left w:val="nil"/>
              <w:bottom w:val="nil"/>
              <w:right w:val="nil"/>
            </w:tcBorders>
            <w:shd w:val="clear" w:color="auto" w:fill="auto"/>
            <w:tcMar>
              <w:top w:w="80" w:type="dxa"/>
              <w:left w:w="80" w:type="dxa"/>
              <w:bottom w:w="80" w:type="dxa"/>
              <w:right w:w="80" w:type="dxa"/>
            </w:tcMar>
          </w:tcPr>
          <w:p w14:paraId="33A0E425" w14:textId="77777777" w:rsidR="00E73C9D" w:rsidRPr="003B10BC" w:rsidRDefault="00E73C9D">
            <w:pPr>
              <w:rPr>
                <w:rFonts w:ascii="Arial" w:hAnsi="Arial" w:cs="Arial"/>
                <w:sz w:val="20"/>
                <w:szCs w:val="20"/>
              </w:rPr>
            </w:pPr>
          </w:p>
        </w:tc>
      </w:tr>
      <w:tr w:rsidR="00E73C9D" w14:paraId="0BD02CA0" w14:textId="77777777">
        <w:trPr>
          <w:trHeight w:val="240"/>
        </w:trPr>
        <w:tc>
          <w:tcPr>
            <w:tcW w:w="1656" w:type="dxa"/>
            <w:tcBorders>
              <w:top w:val="nil"/>
              <w:left w:val="nil"/>
              <w:bottom w:val="nil"/>
              <w:right w:val="nil"/>
            </w:tcBorders>
            <w:shd w:val="clear" w:color="auto" w:fill="auto"/>
            <w:tcMar>
              <w:top w:w="80" w:type="dxa"/>
              <w:left w:w="80" w:type="dxa"/>
              <w:bottom w:w="80" w:type="dxa"/>
              <w:right w:w="80" w:type="dxa"/>
            </w:tcMar>
          </w:tcPr>
          <w:p w14:paraId="19852FAB" w14:textId="77777777" w:rsidR="00E73C9D" w:rsidRPr="003B10BC" w:rsidRDefault="00C57731">
            <w:pPr>
              <w:pStyle w:val="Body"/>
              <w:spacing w:after="0"/>
              <w:rPr>
                <w:rFonts w:cs="Arial"/>
                <w:sz w:val="20"/>
                <w:szCs w:val="20"/>
              </w:rPr>
            </w:pPr>
            <w:r w:rsidRPr="003B10BC">
              <w:rPr>
                <w:rFonts w:eastAsia="Calibri" w:cs="Arial"/>
                <w:sz w:val="20"/>
                <w:szCs w:val="20"/>
              </w:rPr>
              <w:t>Tumour size</w:t>
            </w:r>
          </w:p>
        </w:tc>
        <w:tc>
          <w:tcPr>
            <w:tcW w:w="1502" w:type="dxa"/>
            <w:tcBorders>
              <w:top w:val="nil"/>
              <w:left w:val="nil"/>
              <w:bottom w:val="nil"/>
              <w:right w:val="nil"/>
            </w:tcBorders>
            <w:shd w:val="clear" w:color="auto" w:fill="auto"/>
            <w:tcMar>
              <w:top w:w="80" w:type="dxa"/>
              <w:left w:w="80" w:type="dxa"/>
              <w:bottom w:w="80" w:type="dxa"/>
              <w:right w:w="80" w:type="dxa"/>
            </w:tcMar>
          </w:tcPr>
          <w:p w14:paraId="2582676C" w14:textId="77777777" w:rsidR="00E73C9D" w:rsidRPr="003B10BC" w:rsidRDefault="00C57731">
            <w:pPr>
              <w:pStyle w:val="Body"/>
              <w:spacing w:after="0"/>
              <w:rPr>
                <w:rFonts w:cs="Arial"/>
                <w:sz w:val="20"/>
                <w:szCs w:val="20"/>
              </w:rPr>
            </w:pPr>
            <w:r w:rsidRPr="003B10BC">
              <w:rPr>
                <w:rFonts w:eastAsia="Calibri" w:cs="Arial"/>
                <w:sz w:val="20"/>
                <w:szCs w:val="20"/>
              </w:rPr>
              <w:t>2,538</w:t>
            </w:r>
          </w:p>
        </w:tc>
        <w:tc>
          <w:tcPr>
            <w:tcW w:w="1506" w:type="dxa"/>
            <w:tcBorders>
              <w:top w:val="nil"/>
              <w:left w:val="nil"/>
              <w:bottom w:val="nil"/>
              <w:right w:val="nil"/>
            </w:tcBorders>
            <w:shd w:val="clear" w:color="auto" w:fill="auto"/>
            <w:tcMar>
              <w:top w:w="80" w:type="dxa"/>
              <w:left w:w="80" w:type="dxa"/>
              <w:bottom w:w="80" w:type="dxa"/>
              <w:right w:w="80" w:type="dxa"/>
            </w:tcMar>
          </w:tcPr>
          <w:p w14:paraId="16C66BD6" w14:textId="77777777" w:rsidR="00E73C9D" w:rsidRPr="003B10BC" w:rsidRDefault="00C57731">
            <w:pPr>
              <w:pStyle w:val="Body"/>
              <w:spacing w:after="0"/>
              <w:rPr>
                <w:rFonts w:cs="Arial"/>
                <w:sz w:val="20"/>
                <w:szCs w:val="20"/>
              </w:rPr>
            </w:pPr>
            <w:r w:rsidRPr="003B10BC">
              <w:rPr>
                <w:rFonts w:eastAsia="Calibri" w:cs="Arial"/>
                <w:sz w:val="20"/>
                <w:szCs w:val="20"/>
              </w:rPr>
              <w:t>2,307</w:t>
            </w:r>
          </w:p>
        </w:tc>
        <w:tc>
          <w:tcPr>
            <w:tcW w:w="1502" w:type="dxa"/>
            <w:tcBorders>
              <w:top w:val="nil"/>
              <w:left w:val="nil"/>
              <w:bottom w:val="nil"/>
              <w:right w:val="nil"/>
            </w:tcBorders>
            <w:shd w:val="clear" w:color="auto" w:fill="auto"/>
            <w:tcMar>
              <w:top w:w="80" w:type="dxa"/>
              <w:left w:w="80" w:type="dxa"/>
              <w:bottom w:w="80" w:type="dxa"/>
              <w:right w:w="80" w:type="dxa"/>
            </w:tcMar>
          </w:tcPr>
          <w:p w14:paraId="55239CCD" w14:textId="77777777" w:rsidR="00E73C9D" w:rsidRPr="003B10BC" w:rsidRDefault="00C57731">
            <w:pPr>
              <w:pStyle w:val="Body"/>
              <w:spacing w:after="0"/>
              <w:rPr>
                <w:rFonts w:cs="Arial"/>
                <w:sz w:val="20"/>
                <w:szCs w:val="20"/>
              </w:rPr>
            </w:pPr>
            <w:r w:rsidRPr="003B10BC">
              <w:rPr>
                <w:rFonts w:eastAsia="Calibri" w:cs="Arial"/>
                <w:sz w:val="20"/>
                <w:szCs w:val="20"/>
              </w:rPr>
              <w:t>23.4</w:t>
            </w:r>
          </w:p>
        </w:tc>
        <w:tc>
          <w:tcPr>
            <w:tcW w:w="1507" w:type="dxa"/>
            <w:tcBorders>
              <w:top w:val="nil"/>
              <w:left w:val="nil"/>
              <w:bottom w:val="nil"/>
              <w:right w:val="nil"/>
            </w:tcBorders>
            <w:shd w:val="clear" w:color="auto" w:fill="auto"/>
            <w:tcMar>
              <w:top w:w="80" w:type="dxa"/>
              <w:left w:w="80" w:type="dxa"/>
              <w:bottom w:w="80" w:type="dxa"/>
              <w:right w:w="80" w:type="dxa"/>
            </w:tcMar>
          </w:tcPr>
          <w:p w14:paraId="524336D1" w14:textId="77777777" w:rsidR="00E73C9D" w:rsidRPr="003B10BC" w:rsidRDefault="00C57731">
            <w:pPr>
              <w:pStyle w:val="Body"/>
              <w:spacing w:after="0"/>
              <w:rPr>
                <w:rFonts w:cs="Arial"/>
                <w:sz w:val="20"/>
                <w:szCs w:val="20"/>
              </w:rPr>
            </w:pPr>
            <w:r w:rsidRPr="003B10BC">
              <w:rPr>
                <w:rFonts w:eastAsia="Calibri" w:cs="Arial"/>
                <w:sz w:val="20"/>
                <w:szCs w:val="20"/>
              </w:rPr>
              <w:t>25.1</w:t>
            </w:r>
          </w:p>
        </w:tc>
        <w:tc>
          <w:tcPr>
            <w:tcW w:w="1343" w:type="dxa"/>
            <w:tcBorders>
              <w:top w:val="nil"/>
              <w:left w:val="nil"/>
              <w:bottom w:val="nil"/>
              <w:right w:val="nil"/>
            </w:tcBorders>
            <w:shd w:val="clear" w:color="auto" w:fill="auto"/>
            <w:tcMar>
              <w:top w:w="80" w:type="dxa"/>
              <w:left w:w="80" w:type="dxa"/>
              <w:bottom w:w="80" w:type="dxa"/>
              <w:right w:w="80" w:type="dxa"/>
            </w:tcMar>
          </w:tcPr>
          <w:p w14:paraId="779AE1AA" w14:textId="77777777" w:rsidR="00E73C9D" w:rsidRPr="003B10BC" w:rsidRDefault="00E73C9D">
            <w:pPr>
              <w:rPr>
                <w:rFonts w:ascii="Arial" w:hAnsi="Arial" w:cs="Arial"/>
                <w:sz w:val="20"/>
                <w:szCs w:val="20"/>
              </w:rPr>
            </w:pPr>
          </w:p>
        </w:tc>
      </w:tr>
      <w:tr w:rsidR="00E73C9D" w14:paraId="789C2259" w14:textId="77777777">
        <w:trPr>
          <w:trHeight w:val="570"/>
        </w:trPr>
        <w:tc>
          <w:tcPr>
            <w:tcW w:w="1656" w:type="dxa"/>
            <w:tcBorders>
              <w:top w:val="nil"/>
              <w:left w:val="nil"/>
              <w:bottom w:val="nil"/>
              <w:right w:val="nil"/>
            </w:tcBorders>
            <w:shd w:val="clear" w:color="auto" w:fill="auto"/>
            <w:tcMar>
              <w:top w:w="80" w:type="dxa"/>
              <w:left w:w="80" w:type="dxa"/>
              <w:bottom w:w="80" w:type="dxa"/>
              <w:right w:w="80" w:type="dxa"/>
            </w:tcMar>
          </w:tcPr>
          <w:p w14:paraId="4C4C9EF6" w14:textId="77777777" w:rsidR="00E73C9D" w:rsidRPr="003B10BC" w:rsidRDefault="00C57731">
            <w:pPr>
              <w:pStyle w:val="Body"/>
              <w:spacing w:after="0"/>
              <w:rPr>
                <w:rFonts w:cs="Arial"/>
                <w:sz w:val="20"/>
                <w:szCs w:val="20"/>
              </w:rPr>
            </w:pPr>
            <w:r w:rsidRPr="003B10BC">
              <w:rPr>
                <w:rFonts w:eastAsia="Calibri" w:cs="Arial"/>
                <w:sz w:val="20"/>
                <w:szCs w:val="20"/>
              </w:rPr>
              <w:t>Number of nodes positive</w:t>
            </w:r>
          </w:p>
        </w:tc>
        <w:tc>
          <w:tcPr>
            <w:tcW w:w="1502" w:type="dxa"/>
            <w:tcBorders>
              <w:top w:val="nil"/>
              <w:left w:val="nil"/>
              <w:bottom w:val="nil"/>
              <w:right w:val="nil"/>
            </w:tcBorders>
            <w:shd w:val="clear" w:color="auto" w:fill="auto"/>
            <w:tcMar>
              <w:top w:w="80" w:type="dxa"/>
              <w:left w:w="80" w:type="dxa"/>
              <w:bottom w:w="80" w:type="dxa"/>
              <w:right w:w="80" w:type="dxa"/>
            </w:tcMar>
          </w:tcPr>
          <w:p w14:paraId="327B1CFC" w14:textId="77777777" w:rsidR="00E73C9D" w:rsidRPr="003B10BC" w:rsidRDefault="00C57731">
            <w:pPr>
              <w:pStyle w:val="Body"/>
              <w:spacing w:after="0"/>
              <w:rPr>
                <w:rFonts w:cs="Arial"/>
                <w:sz w:val="20"/>
                <w:szCs w:val="20"/>
              </w:rPr>
            </w:pPr>
            <w:r w:rsidRPr="003B10BC">
              <w:rPr>
                <w:rFonts w:eastAsia="Calibri" w:cs="Arial"/>
                <w:sz w:val="20"/>
                <w:szCs w:val="20"/>
              </w:rPr>
              <w:t>2,538</w:t>
            </w:r>
          </w:p>
        </w:tc>
        <w:tc>
          <w:tcPr>
            <w:tcW w:w="1506" w:type="dxa"/>
            <w:tcBorders>
              <w:top w:val="nil"/>
              <w:left w:val="nil"/>
              <w:bottom w:val="nil"/>
              <w:right w:val="nil"/>
            </w:tcBorders>
            <w:shd w:val="clear" w:color="auto" w:fill="auto"/>
            <w:tcMar>
              <w:top w:w="80" w:type="dxa"/>
              <w:left w:w="80" w:type="dxa"/>
              <w:bottom w:w="80" w:type="dxa"/>
              <w:right w:w="80" w:type="dxa"/>
            </w:tcMar>
          </w:tcPr>
          <w:p w14:paraId="3813AC51" w14:textId="77777777" w:rsidR="00E73C9D" w:rsidRPr="003B10BC" w:rsidRDefault="00C57731">
            <w:pPr>
              <w:pStyle w:val="Body"/>
              <w:spacing w:after="0"/>
              <w:rPr>
                <w:rFonts w:cs="Arial"/>
                <w:sz w:val="20"/>
                <w:szCs w:val="20"/>
              </w:rPr>
            </w:pPr>
            <w:r w:rsidRPr="003B10BC">
              <w:rPr>
                <w:rFonts w:eastAsia="Calibri" w:cs="Arial"/>
                <w:sz w:val="20"/>
                <w:szCs w:val="20"/>
              </w:rPr>
              <w:t>2,307</w:t>
            </w:r>
          </w:p>
        </w:tc>
        <w:tc>
          <w:tcPr>
            <w:tcW w:w="1502" w:type="dxa"/>
            <w:tcBorders>
              <w:top w:val="nil"/>
              <w:left w:val="nil"/>
              <w:bottom w:val="nil"/>
              <w:right w:val="nil"/>
            </w:tcBorders>
            <w:shd w:val="clear" w:color="auto" w:fill="auto"/>
            <w:tcMar>
              <w:top w:w="80" w:type="dxa"/>
              <w:left w:w="80" w:type="dxa"/>
              <w:bottom w:w="80" w:type="dxa"/>
              <w:right w:w="80" w:type="dxa"/>
            </w:tcMar>
          </w:tcPr>
          <w:p w14:paraId="65C65ED0" w14:textId="77777777" w:rsidR="00E73C9D" w:rsidRPr="003B10BC" w:rsidRDefault="00C57731">
            <w:pPr>
              <w:pStyle w:val="Body"/>
              <w:spacing w:after="0"/>
              <w:rPr>
                <w:rFonts w:cs="Arial"/>
                <w:sz w:val="20"/>
                <w:szCs w:val="20"/>
              </w:rPr>
            </w:pPr>
            <w:r w:rsidRPr="003B10BC">
              <w:rPr>
                <w:rFonts w:eastAsia="Calibri" w:cs="Arial"/>
                <w:sz w:val="20"/>
                <w:szCs w:val="20"/>
              </w:rPr>
              <w:t>0.7</w:t>
            </w:r>
          </w:p>
        </w:tc>
        <w:tc>
          <w:tcPr>
            <w:tcW w:w="1507" w:type="dxa"/>
            <w:tcBorders>
              <w:top w:val="nil"/>
              <w:left w:val="nil"/>
              <w:bottom w:val="nil"/>
              <w:right w:val="nil"/>
            </w:tcBorders>
            <w:shd w:val="clear" w:color="auto" w:fill="auto"/>
            <w:tcMar>
              <w:top w:w="80" w:type="dxa"/>
              <w:left w:w="80" w:type="dxa"/>
              <w:bottom w:w="80" w:type="dxa"/>
              <w:right w:w="80" w:type="dxa"/>
            </w:tcMar>
          </w:tcPr>
          <w:p w14:paraId="06304508" w14:textId="77777777" w:rsidR="00E73C9D" w:rsidRPr="003B10BC" w:rsidRDefault="00C57731">
            <w:pPr>
              <w:pStyle w:val="Body"/>
              <w:spacing w:after="0"/>
              <w:rPr>
                <w:rFonts w:cs="Arial"/>
                <w:sz w:val="20"/>
                <w:szCs w:val="20"/>
              </w:rPr>
            </w:pPr>
            <w:r w:rsidRPr="003B10BC">
              <w:rPr>
                <w:rFonts w:eastAsia="Calibri" w:cs="Arial"/>
                <w:sz w:val="20"/>
                <w:szCs w:val="20"/>
              </w:rPr>
              <w:t>1</w:t>
            </w:r>
          </w:p>
        </w:tc>
        <w:tc>
          <w:tcPr>
            <w:tcW w:w="1343" w:type="dxa"/>
            <w:tcBorders>
              <w:top w:val="nil"/>
              <w:left w:val="nil"/>
              <w:bottom w:val="nil"/>
              <w:right w:val="nil"/>
            </w:tcBorders>
            <w:shd w:val="clear" w:color="auto" w:fill="auto"/>
            <w:tcMar>
              <w:top w:w="80" w:type="dxa"/>
              <w:left w:w="80" w:type="dxa"/>
              <w:bottom w:w="80" w:type="dxa"/>
              <w:right w:w="80" w:type="dxa"/>
            </w:tcMar>
          </w:tcPr>
          <w:p w14:paraId="04D4F3DD" w14:textId="77777777" w:rsidR="00E73C9D" w:rsidRPr="003B10BC" w:rsidRDefault="00E73C9D">
            <w:pPr>
              <w:rPr>
                <w:rFonts w:ascii="Arial" w:hAnsi="Arial" w:cs="Arial"/>
                <w:sz w:val="20"/>
                <w:szCs w:val="20"/>
              </w:rPr>
            </w:pPr>
          </w:p>
        </w:tc>
      </w:tr>
      <w:tr w:rsidR="00E73C9D" w14:paraId="1F855E60" w14:textId="77777777">
        <w:trPr>
          <w:trHeight w:val="240"/>
        </w:trPr>
        <w:tc>
          <w:tcPr>
            <w:tcW w:w="1656" w:type="dxa"/>
            <w:tcBorders>
              <w:top w:val="nil"/>
              <w:left w:val="nil"/>
              <w:bottom w:val="nil"/>
              <w:right w:val="nil"/>
            </w:tcBorders>
            <w:shd w:val="clear" w:color="auto" w:fill="auto"/>
            <w:tcMar>
              <w:top w:w="80" w:type="dxa"/>
              <w:left w:w="80" w:type="dxa"/>
              <w:bottom w:w="80" w:type="dxa"/>
              <w:right w:w="80" w:type="dxa"/>
            </w:tcMar>
          </w:tcPr>
          <w:p w14:paraId="18DEB1F6" w14:textId="77777777" w:rsidR="00E73C9D" w:rsidRPr="003B10BC" w:rsidRDefault="00C57731">
            <w:pPr>
              <w:pStyle w:val="Body"/>
              <w:spacing w:after="0"/>
              <w:rPr>
                <w:rFonts w:cs="Arial"/>
                <w:sz w:val="20"/>
                <w:szCs w:val="20"/>
              </w:rPr>
            </w:pPr>
            <w:r w:rsidRPr="003B10BC">
              <w:rPr>
                <w:rFonts w:eastAsia="Calibri" w:cs="Arial"/>
                <w:sz w:val="20"/>
                <w:szCs w:val="20"/>
              </w:rPr>
              <w:t>Grade   1 (%)</w:t>
            </w:r>
          </w:p>
        </w:tc>
        <w:tc>
          <w:tcPr>
            <w:tcW w:w="1502" w:type="dxa"/>
            <w:tcBorders>
              <w:top w:val="nil"/>
              <w:left w:val="nil"/>
              <w:bottom w:val="nil"/>
              <w:right w:val="nil"/>
            </w:tcBorders>
            <w:shd w:val="clear" w:color="auto" w:fill="auto"/>
            <w:tcMar>
              <w:top w:w="80" w:type="dxa"/>
              <w:left w:w="80" w:type="dxa"/>
              <w:bottom w:w="80" w:type="dxa"/>
              <w:right w:w="80" w:type="dxa"/>
            </w:tcMar>
          </w:tcPr>
          <w:p w14:paraId="325DE723" w14:textId="77777777" w:rsidR="00E73C9D" w:rsidRPr="003B10BC" w:rsidRDefault="00C57731">
            <w:pPr>
              <w:pStyle w:val="Body"/>
              <w:spacing w:after="0"/>
              <w:rPr>
                <w:rFonts w:cs="Arial"/>
                <w:sz w:val="20"/>
                <w:szCs w:val="20"/>
              </w:rPr>
            </w:pPr>
            <w:r w:rsidRPr="003B10BC">
              <w:rPr>
                <w:rFonts w:eastAsia="Calibri" w:cs="Arial"/>
                <w:sz w:val="20"/>
                <w:szCs w:val="20"/>
              </w:rPr>
              <w:t>2,524</w:t>
            </w:r>
          </w:p>
        </w:tc>
        <w:tc>
          <w:tcPr>
            <w:tcW w:w="1506" w:type="dxa"/>
            <w:tcBorders>
              <w:top w:val="nil"/>
              <w:left w:val="nil"/>
              <w:bottom w:val="nil"/>
              <w:right w:val="nil"/>
            </w:tcBorders>
            <w:shd w:val="clear" w:color="auto" w:fill="auto"/>
            <w:tcMar>
              <w:top w:w="80" w:type="dxa"/>
              <w:left w:w="80" w:type="dxa"/>
              <w:bottom w:w="80" w:type="dxa"/>
              <w:right w:w="80" w:type="dxa"/>
            </w:tcMar>
          </w:tcPr>
          <w:p w14:paraId="5778E91A" w14:textId="77777777" w:rsidR="00E73C9D" w:rsidRPr="003B10BC" w:rsidRDefault="00C57731">
            <w:pPr>
              <w:pStyle w:val="Body"/>
              <w:spacing w:after="0"/>
              <w:rPr>
                <w:rFonts w:cs="Arial"/>
                <w:sz w:val="20"/>
                <w:szCs w:val="20"/>
              </w:rPr>
            </w:pPr>
            <w:r w:rsidRPr="003B10BC">
              <w:rPr>
                <w:rFonts w:eastAsia="Calibri" w:cs="Arial"/>
                <w:sz w:val="20"/>
                <w:szCs w:val="20"/>
              </w:rPr>
              <w:t>2,293</w:t>
            </w:r>
          </w:p>
        </w:tc>
        <w:tc>
          <w:tcPr>
            <w:tcW w:w="1502" w:type="dxa"/>
            <w:tcBorders>
              <w:top w:val="nil"/>
              <w:left w:val="nil"/>
              <w:bottom w:val="nil"/>
              <w:right w:val="nil"/>
            </w:tcBorders>
            <w:shd w:val="clear" w:color="auto" w:fill="auto"/>
            <w:tcMar>
              <w:top w:w="80" w:type="dxa"/>
              <w:left w:w="80" w:type="dxa"/>
              <w:bottom w:w="80" w:type="dxa"/>
              <w:right w:w="80" w:type="dxa"/>
            </w:tcMar>
          </w:tcPr>
          <w:p w14:paraId="54937DE9" w14:textId="77777777" w:rsidR="00E73C9D" w:rsidRPr="003B10BC" w:rsidRDefault="00C57731">
            <w:pPr>
              <w:pStyle w:val="Body"/>
              <w:spacing w:after="0"/>
              <w:rPr>
                <w:rFonts w:cs="Arial"/>
                <w:sz w:val="20"/>
                <w:szCs w:val="20"/>
              </w:rPr>
            </w:pPr>
            <w:r w:rsidRPr="003B10BC">
              <w:rPr>
                <w:rFonts w:eastAsia="Calibri" w:cs="Arial"/>
                <w:sz w:val="20"/>
                <w:szCs w:val="20"/>
              </w:rPr>
              <w:t>1.9</w:t>
            </w:r>
          </w:p>
        </w:tc>
        <w:tc>
          <w:tcPr>
            <w:tcW w:w="1507" w:type="dxa"/>
            <w:tcBorders>
              <w:top w:val="nil"/>
              <w:left w:val="nil"/>
              <w:bottom w:val="nil"/>
              <w:right w:val="nil"/>
            </w:tcBorders>
            <w:shd w:val="clear" w:color="auto" w:fill="auto"/>
            <w:tcMar>
              <w:top w:w="80" w:type="dxa"/>
              <w:left w:w="80" w:type="dxa"/>
              <w:bottom w:w="80" w:type="dxa"/>
              <w:right w:w="80" w:type="dxa"/>
            </w:tcMar>
          </w:tcPr>
          <w:p w14:paraId="395229F6" w14:textId="77777777" w:rsidR="00E73C9D" w:rsidRPr="003B10BC" w:rsidRDefault="00C57731">
            <w:pPr>
              <w:pStyle w:val="Body"/>
              <w:spacing w:after="0"/>
              <w:rPr>
                <w:rFonts w:cs="Arial"/>
                <w:sz w:val="20"/>
                <w:szCs w:val="20"/>
              </w:rPr>
            </w:pPr>
            <w:r w:rsidRPr="003B10BC">
              <w:rPr>
                <w:rFonts w:eastAsia="Calibri" w:cs="Arial"/>
                <w:sz w:val="20"/>
                <w:szCs w:val="20"/>
              </w:rPr>
              <w:t>1.2</w:t>
            </w:r>
          </w:p>
        </w:tc>
        <w:tc>
          <w:tcPr>
            <w:tcW w:w="1343" w:type="dxa"/>
            <w:tcBorders>
              <w:top w:val="nil"/>
              <w:left w:val="nil"/>
              <w:bottom w:val="nil"/>
              <w:right w:val="nil"/>
            </w:tcBorders>
            <w:shd w:val="clear" w:color="auto" w:fill="auto"/>
            <w:tcMar>
              <w:top w:w="80" w:type="dxa"/>
              <w:left w:w="80" w:type="dxa"/>
              <w:bottom w:w="80" w:type="dxa"/>
              <w:right w:w="80" w:type="dxa"/>
            </w:tcMar>
          </w:tcPr>
          <w:p w14:paraId="2020A5CD" w14:textId="77777777" w:rsidR="00E73C9D" w:rsidRPr="003B10BC" w:rsidRDefault="00E73C9D">
            <w:pPr>
              <w:rPr>
                <w:rFonts w:ascii="Arial" w:hAnsi="Arial" w:cs="Arial"/>
                <w:sz w:val="20"/>
                <w:szCs w:val="20"/>
              </w:rPr>
            </w:pPr>
          </w:p>
        </w:tc>
      </w:tr>
      <w:tr w:rsidR="00E73C9D" w14:paraId="0E399FE2" w14:textId="77777777">
        <w:trPr>
          <w:trHeight w:val="240"/>
        </w:trPr>
        <w:tc>
          <w:tcPr>
            <w:tcW w:w="1656" w:type="dxa"/>
            <w:tcBorders>
              <w:top w:val="nil"/>
              <w:left w:val="nil"/>
              <w:bottom w:val="nil"/>
              <w:right w:val="nil"/>
            </w:tcBorders>
            <w:shd w:val="clear" w:color="auto" w:fill="auto"/>
            <w:tcMar>
              <w:top w:w="80" w:type="dxa"/>
              <w:left w:w="80" w:type="dxa"/>
              <w:bottom w:w="80" w:type="dxa"/>
              <w:right w:w="80" w:type="dxa"/>
            </w:tcMar>
          </w:tcPr>
          <w:p w14:paraId="5A82457E" w14:textId="77777777" w:rsidR="00E73C9D" w:rsidRPr="003B10BC" w:rsidRDefault="00C57731">
            <w:pPr>
              <w:pStyle w:val="Body"/>
              <w:spacing w:after="0"/>
              <w:rPr>
                <w:rFonts w:cs="Arial"/>
                <w:sz w:val="20"/>
                <w:szCs w:val="20"/>
              </w:rPr>
            </w:pPr>
            <w:r w:rsidRPr="003B10BC">
              <w:rPr>
                <w:rFonts w:eastAsia="Calibri" w:cs="Arial"/>
                <w:sz w:val="20"/>
                <w:szCs w:val="20"/>
              </w:rPr>
              <w:t>2</w:t>
            </w:r>
          </w:p>
        </w:tc>
        <w:tc>
          <w:tcPr>
            <w:tcW w:w="1502" w:type="dxa"/>
            <w:tcBorders>
              <w:top w:val="nil"/>
              <w:left w:val="nil"/>
              <w:bottom w:val="nil"/>
              <w:right w:val="nil"/>
            </w:tcBorders>
            <w:shd w:val="clear" w:color="auto" w:fill="auto"/>
            <w:tcMar>
              <w:top w:w="80" w:type="dxa"/>
              <w:left w:w="80" w:type="dxa"/>
              <w:bottom w:w="80" w:type="dxa"/>
              <w:right w:w="80" w:type="dxa"/>
            </w:tcMar>
          </w:tcPr>
          <w:p w14:paraId="52B0CA97" w14:textId="77777777" w:rsidR="00E73C9D" w:rsidRPr="003B10BC" w:rsidRDefault="00E73C9D">
            <w:pPr>
              <w:rPr>
                <w:rFonts w:ascii="Arial" w:hAnsi="Arial" w:cs="Arial"/>
                <w:sz w:val="20"/>
                <w:szCs w:val="20"/>
              </w:rPr>
            </w:pPr>
          </w:p>
        </w:tc>
        <w:tc>
          <w:tcPr>
            <w:tcW w:w="1506" w:type="dxa"/>
            <w:tcBorders>
              <w:top w:val="nil"/>
              <w:left w:val="nil"/>
              <w:bottom w:val="nil"/>
              <w:right w:val="nil"/>
            </w:tcBorders>
            <w:shd w:val="clear" w:color="auto" w:fill="auto"/>
            <w:tcMar>
              <w:top w:w="80" w:type="dxa"/>
              <w:left w:w="80" w:type="dxa"/>
              <w:bottom w:w="80" w:type="dxa"/>
              <w:right w:w="80" w:type="dxa"/>
            </w:tcMar>
          </w:tcPr>
          <w:p w14:paraId="6358D832" w14:textId="77777777" w:rsidR="00E73C9D" w:rsidRPr="003B10BC" w:rsidRDefault="00E73C9D">
            <w:pPr>
              <w:rPr>
                <w:rFonts w:ascii="Arial" w:hAnsi="Arial" w:cs="Arial"/>
                <w:sz w:val="20"/>
                <w:szCs w:val="20"/>
              </w:rPr>
            </w:pPr>
          </w:p>
        </w:tc>
        <w:tc>
          <w:tcPr>
            <w:tcW w:w="1502" w:type="dxa"/>
            <w:tcBorders>
              <w:top w:val="nil"/>
              <w:left w:val="nil"/>
              <w:bottom w:val="nil"/>
              <w:right w:val="nil"/>
            </w:tcBorders>
            <w:shd w:val="clear" w:color="auto" w:fill="auto"/>
            <w:tcMar>
              <w:top w:w="80" w:type="dxa"/>
              <w:left w:w="80" w:type="dxa"/>
              <w:bottom w:w="80" w:type="dxa"/>
              <w:right w:w="80" w:type="dxa"/>
            </w:tcMar>
          </w:tcPr>
          <w:p w14:paraId="626AF218" w14:textId="77777777" w:rsidR="00E73C9D" w:rsidRPr="003B10BC" w:rsidRDefault="00C57731">
            <w:pPr>
              <w:pStyle w:val="Body"/>
              <w:spacing w:after="0"/>
              <w:rPr>
                <w:rFonts w:cs="Arial"/>
                <w:sz w:val="20"/>
                <w:szCs w:val="20"/>
              </w:rPr>
            </w:pPr>
            <w:r w:rsidRPr="003B10BC">
              <w:rPr>
                <w:rFonts w:eastAsia="Calibri" w:cs="Arial"/>
                <w:sz w:val="20"/>
                <w:szCs w:val="20"/>
              </w:rPr>
              <w:t>45</w:t>
            </w:r>
          </w:p>
        </w:tc>
        <w:tc>
          <w:tcPr>
            <w:tcW w:w="1507" w:type="dxa"/>
            <w:tcBorders>
              <w:top w:val="nil"/>
              <w:left w:val="nil"/>
              <w:bottom w:val="nil"/>
              <w:right w:val="nil"/>
            </w:tcBorders>
            <w:shd w:val="clear" w:color="auto" w:fill="auto"/>
            <w:tcMar>
              <w:top w:w="80" w:type="dxa"/>
              <w:left w:w="80" w:type="dxa"/>
              <w:bottom w:w="80" w:type="dxa"/>
              <w:right w:w="80" w:type="dxa"/>
            </w:tcMar>
          </w:tcPr>
          <w:p w14:paraId="3BD66D31" w14:textId="77777777" w:rsidR="00E73C9D" w:rsidRPr="003B10BC" w:rsidRDefault="00C57731">
            <w:pPr>
              <w:pStyle w:val="Body"/>
              <w:spacing w:after="0"/>
              <w:rPr>
                <w:rFonts w:cs="Arial"/>
                <w:sz w:val="20"/>
                <w:szCs w:val="20"/>
              </w:rPr>
            </w:pPr>
            <w:r w:rsidRPr="003B10BC">
              <w:rPr>
                <w:rFonts w:eastAsia="Calibri" w:cs="Arial"/>
                <w:sz w:val="20"/>
                <w:szCs w:val="20"/>
              </w:rPr>
              <w:t>36</w:t>
            </w:r>
          </w:p>
        </w:tc>
        <w:tc>
          <w:tcPr>
            <w:tcW w:w="1343" w:type="dxa"/>
            <w:tcBorders>
              <w:top w:val="nil"/>
              <w:left w:val="nil"/>
              <w:bottom w:val="nil"/>
              <w:right w:val="nil"/>
            </w:tcBorders>
            <w:shd w:val="clear" w:color="auto" w:fill="auto"/>
            <w:tcMar>
              <w:top w:w="80" w:type="dxa"/>
              <w:left w:w="80" w:type="dxa"/>
              <w:bottom w:w="80" w:type="dxa"/>
              <w:right w:w="80" w:type="dxa"/>
            </w:tcMar>
          </w:tcPr>
          <w:p w14:paraId="2C27CEEA" w14:textId="77777777" w:rsidR="00E73C9D" w:rsidRPr="003B10BC" w:rsidRDefault="00E73C9D">
            <w:pPr>
              <w:rPr>
                <w:rFonts w:ascii="Arial" w:hAnsi="Arial" w:cs="Arial"/>
                <w:sz w:val="20"/>
                <w:szCs w:val="20"/>
              </w:rPr>
            </w:pPr>
          </w:p>
        </w:tc>
      </w:tr>
      <w:tr w:rsidR="00E73C9D" w14:paraId="01C47FC9" w14:textId="77777777">
        <w:trPr>
          <w:trHeight w:val="240"/>
        </w:trPr>
        <w:tc>
          <w:tcPr>
            <w:tcW w:w="1656" w:type="dxa"/>
            <w:tcBorders>
              <w:top w:val="nil"/>
              <w:left w:val="nil"/>
              <w:bottom w:val="nil"/>
              <w:right w:val="nil"/>
            </w:tcBorders>
            <w:shd w:val="clear" w:color="auto" w:fill="auto"/>
            <w:tcMar>
              <w:top w:w="80" w:type="dxa"/>
              <w:left w:w="80" w:type="dxa"/>
              <w:bottom w:w="80" w:type="dxa"/>
              <w:right w:w="80" w:type="dxa"/>
            </w:tcMar>
          </w:tcPr>
          <w:p w14:paraId="53B74F68" w14:textId="77777777" w:rsidR="00E73C9D" w:rsidRPr="003B10BC" w:rsidRDefault="00C57731">
            <w:pPr>
              <w:pStyle w:val="Body"/>
              <w:spacing w:after="0"/>
              <w:rPr>
                <w:rFonts w:cs="Arial"/>
                <w:sz w:val="20"/>
                <w:szCs w:val="20"/>
              </w:rPr>
            </w:pPr>
            <w:r w:rsidRPr="003B10BC">
              <w:rPr>
                <w:rFonts w:eastAsia="Calibri" w:cs="Arial"/>
                <w:sz w:val="20"/>
                <w:szCs w:val="20"/>
              </w:rPr>
              <w:t>3</w:t>
            </w:r>
          </w:p>
        </w:tc>
        <w:tc>
          <w:tcPr>
            <w:tcW w:w="1502" w:type="dxa"/>
            <w:tcBorders>
              <w:top w:val="nil"/>
              <w:left w:val="nil"/>
              <w:bottom w:val="nil"/>
              <w:right w:val="nil"/>
            </w:tcBorders>
            <w:shd w:val="clear" w:color="auto" w:fill="auto"/>
            <w:tcMar>
              <w:top w:w="80" w:type="dxa"/>
              <w:left w:w="80" w:type="dxa"/>
              <w:bottom w:w="80" w:type="dxa"/>
              <w:right w:w="80" w:type="dxa"/>
            </w:tcMar>
          </w:tcPr>
          <w:p w14:paraId="3A6E2C5D" w14:textId="77777777" w:rsidR="00E73C9D" w:rsidRPr="003B10BC" w:rsidRDefault="00E73C9D">
            <w:pPr>
              <w:rPr>
                <w:rFonts w:ascii="Arial" w:hAnsi="Arial" w:cs="Arial"/>
                <w:sz w:val="20"/>
                <w:szCs w:val="20"/>
              </w:rPr>
            </w:pPr>
          </w:p>
        </w:tc>
        <w:tc>
          <w:tcPr>
            <w:tcW w:w="1506" w:type="dxa"/>
            <w:tcBorders>
              <w:top w:val="nil"/>
              <w:left w:val="nil"/>
              <w:bottom w:val="nil"/>
              <w:right w:val="nil"/>
            </w:tcBorders>
            <w:shd w:val="clear" w:color="auto" w:fill="auto"/>
            <w:tcMar>
              <w:top w:w="80" w:type="dxa"/>
              <w:left w:w="80" w:type="dxa"/>
              <w:bottom w:w="80" w:type="dxa"/>
              <w:right w:w="80" w:type="dxa"/>
            </w:tcMar>
          </w:tcPr>
          <w:p w14:paraId="2FA8AE9F" w14:textId="77777777" w:rsidR="00E73C9D" w:rsidRPr="003B10BC" w:rsidRDefault="00E73C9D">
            <w:pPr>
              <w:rPr>
                <w:rFonts w:ascii="Arial" w:hAnsi="Arial" w:cs="Arial"/>
                <w:sz w:val="20"/>
                <w:szCs w:val="20"/>
              </w:rPr>
            </w:pPr>
          </w:p>
        </w:tc>
        <w:tc>
          <w:tcPr>
            <w:tcW w:w="1502" w:type="dxa"/>
            <w:tcBorders>
              <w:top w:val="nil"/>
              <w:left w:val="nil"/>
              <w:bottom w:val="nil"/>
              <w:right w:val="nil"/>
            </w:tcBorders>
            <w:shd w:val="clear" w:color="auto" w:fill="auto"/>
            <w:tcMar>
              <w:top w:w="80" w:type="dxa"/>
              <w:left w:w="80" w:type="dxa"/>
              <w:bottom w:w="80" w:type="dxa"/>
              <w:right w:w="80" w:type="dxa"/>
            </w:tcMar>
          </w:tcPr>
          <w:p w14:paraId="753FE47F" w14:textId="77777777" w:rsidR="00E73C9D" w:rsidRPr="003B10BC" w:rsidRDefault="00C57731">
            <w:pPr>
              <w:pStyle w:val="Body"/>
              <w:spacing w:after="0"/>
              <w:rPr>
                <w:rFonts w:cs="Arial"/>
                <w:sz w:val="20"/>
                <w:szCs w:val="20"/>
              </w:rPr>
            </w:pPr>
            <w:r w:rsidRPr="003B10BC">
              <w:rPr>
                <w:rFonts w:eastAsia="Calibri" w:cs="Arial"/>
                <w:sz w:val="20"/>
                <w:szCs w:val="20"/>
              </w:rPr>
              <w:t>53.1</w:t>
            </w:r>
          </w:p>
        </w:tc>
        <w:tc>
          <w:tcPr>
            <w:tcW w:w="1507" w:type="dxa"/>
            <w:tcBorders>
              <w:top w:val="nil"/>
              <w:left w:val="nil"/>
              <w:bottom w:val="nil"/>
              <w:right w:val="nil"/>
            </w:tcBorders>
            <w:shd w:val="clear" w:color="auto" w:fill="auto"/>
            <w:tcMar>
              <w:top w:w="80" w:type="dxa"/>
              <w:left w:w="80" w:type="dxa"/>
              <w:bottom w:w="80" w:type="dxa"/>
              <w:right w:w="80" w:type="dxa"/>
            </w:tcMar>
          </w:tcPr>
          <w:p w14:paraId="2F2DDB11" w14:textId="77777777" w:rsidR="00E73C9D" w:rsidRPr="003B10BC" w:rsidRDefault="00C57731">
            <w:pPr>
              <w:pStyle w:val="Body"/>
              <w:spacing w:after="0"/>
              <w:rPr>
                <w:rFonts w:cs="Arial"/>
                <w:sz w:val="20"/>
                <w:szCs w:val="20"/>
              </w:rPr>
            </w:pPr>
            <w:r w:rsidRPr="003B10BC">
              <w:rPr>
                <w:rFonts w:eastAsia="Calibri" w:cs="Arial"/>
                <w:sz w:val="20"/>
                <w:szCs w:val="20"/>
              </w:rPr>
              <w:t>62.8</w:t>
            </w:r>
          </w:p>
        </w:tc>
        <w:tc>
          <w:tcPr>
            <w:tcW w:w="1343" w:type="dxa"/>
            <w:tcBorders>
              <w:top w:val="nil"/>
              <w:left w:val="nil"/>
              <w:bottom w:val="nil"/>
              <w:right w:val="nil"/>
            </w:tcBorders>
            <w:shd w:val="clear" w:color="auto" w:fill="auto"/>
            <w:tcMar>
              <w:top w:w="80" w:type="dxa"/>
              <w:left w:w="80" w:type="dxa"/>
              <w:bottom w:w="80" w:type="dxa"/>
              <w:right w:w="80" w:type="dxa"/>
            </w:tcMar>
          </w:tcPr>
          <w:p w14:paraId="0D39E9A1" w14:textId="77777777" w:rsidR="00E73C9D" w:rsidRPr="003B10BC" w:rsidRDefault="00E73C9D">
            <w:pPr>
              <w:rPr>
                <w:rFonts w:ascii="Arial" w:hAnsi="Arial" w:cs="Arial"/>
                <w:sz w:val="20"/>
                <w:szCs w:val="20"/>
              </w:rPr>
            </w:pPr>
          </w:p>
        </w:tc>
      </w:tr>
      <w:tr w:rsidR="00E73C9D" w14:paraId="4C5710F4" w14:textId="77777777">
        <w:trPr>
          <w:trHeight w:val="240"/>
        </w:trPr>
        <w:tc>
          <w:tcPr>
            <w:tcW w:w="1656" w:type="dxa"/>
            <w:tcBorders>
              <w:top w:val="nil"/>
              <w:left w:val="nil"/>
              <w:bottom w:val="nil"/>
              <w:right w:val="nil"/>
            </w:tcBorders>
            <w:shd w:val="clear" w:color="auto" w:fill="auto"/>
            <w:tcMar>
              <w:top w:w="80" w:type="dxa"/>
              <w:left w:w="80" w:type="dxa"/>
              <w:bottom w:w="80" w:type="dxa"/>
              <w:right w:w="80" w:type="dxa"/>
            </w:tcMar>
          </w:tcPr>
          <w:p w14:paraId="6A6701A2" w14:textId="77777777" w:rsidR="00E73C9D" w:rsidRPr="003B10BC" w:rsidRDefault="00C57731">
            <w:pPr>
              <w:pStyle w:val="Body"/>
              <w:spacing w:after="0"/>
              <w:rPr>
                <w:rFonts w:cs="Arial"/>
                <w:sz w:val="20"/>
                <w:szCs w:val="20"/>
              </w:rPr>
            </w:pPr>
            <w:r w:rsidRPr="003B10BC">
              <w:rPr>
                <w:rFonts w:eastAsia="Calibri" w:cs="Arial"/>
                <w:sz w:val="20"/>
                <w:szCs w:val="20"/>
              </w:rPr>
              <w:t>ER status + (%)</w:t>
            </w:r>
          </w:p>
        </w:tc>
        <w:tc>
          <w:tcPr>
            <w:tcW w:w="1502" w:type="dxa"/>
            <w:tcBorders>
              <w:top w:val="nil"/>
              <w:left w:val="nil"/>
              <w:bottom w:val="nil"/>
              <w:right w:val="nil"/>
            </w:tcBorders>
            <w:shd w:val="clear" w:color="auto" w:fill="auto"/>
            <w:tcMar>
              <w:top w:w="80" w:type="dxa"/>
              <w:left w:w="80" w:type="dxa"/>
              <w:bottom w:w="80" w:type="dxa"/>
              <w:right w:w="80" w:type="dxa"/>
            </w:tcMar>
          </w:tcPr>
          <w:p w14:paraId="0CB685DD" w14:textId="77777777" w:rsidR="00E73C9D" w:rsidRPr="003B10BC" w:rsidRDefault="00C57731">
            <w:pPr>
              <w:pStyle w:val="Body"/>
              <w:spacing w:after="0"/>
              <w:rPr>
                <w:rFonts w:cs="Arial"/>
                <w:sz w:val="20"/>
                <w:szCs w:val="20"/>
              </w:rPr>
            </w:pPr>
            <w:r w:rsidRPr="003B10BC">
              <w:rPr>
                <w:rFonts w:eastAsia="Calibri" w:cs="Arial"/>
                <w:sz w:val="20"/>
                <w:szCs w:val="20"/>
              </w:rPr>
              <w:t>2,538</w:t>
            </w:r>
          </w:p>
        </w:tc>
        <w:tc>
          <w:tcPr>
            <w:tcW w:w="1506" w:type="dxa"/>
            <w:tcBorders>
              <w:top w:val="nil"/>
              <w:left w:val="nil"/>
              <w:bottom w:val="nil"/>
              <w:right w:val="nil"/>
            </w:tcBorders>
            <w:shd w:val="clear" w:color="auto" w:fill="auto"/>
            <w:tcMar>
              <w:top w:w="80" w:type="dxa"/>
              <w:left w:w="80" w:type="dxa"/>
              <w:bottom w:w="80" w:type="dxa"/>
              <w:right w:w="80" w:type="dxa"/>
            </w:tcMar>
          </w:tcPr>
          <w:p w14:paraId="513A29E1" w14:textId="77777777" w:rsidR="00E73C9D" w:rsidRPr="003B10BC" w:rsidRDefault="00C57731">
            <w:pPr>
              <w:pStyle w:val="Body"/>
              <w:spacing w:after="0"/>
              <w:rPr>
                <w:rFonts w:cs="Arial"/>
                <w:sz w:val="20"/>
                <w:szCs w:val="20"/>
              </w:rPr>
            </w:pPr>
            <w:r w:rsidRPr="003B10BC">
              <w:rPr>
                <w:rFonts w:eastAsia="Calibri" w:cs="Arial"/>
                <w:sz w:val="20"/>
                <w:szCs w:val="20"/>
              </w:rPr>
              <w:t>2,307</w:t>
            </w:r>
          </w:p>
        </w:tc>
        <w:tc>
          <w:tcPr>
            <w:tcW w:w="1502" w:type="dxa"/>
            <w:tcBorders>
              <w:top w:val="nil"/>
              <w:left w:val="nil"/>
              <w:bottom w:val="nil"/>
              <w:right w:val="nil"/>
            </w:tcBorders>
            <w:shd w:val="clear" w:color="auto" w:fill="auto"/>
            <w:tcMar>
              <w:top w:w="80" w:type="dxa"/>
              <w:left w:w="80" w:type="dxa"/>
              <w:bottom w:w="80" w:type="dxa"/>
              <w:right w:w="80" w:type="dxa"/>
            </w:tcMar>
          </w:tcPr>
          <w:p w14:paraId="3F65783A" w14:textId="77777777" w:rsidR="00E73C9D" w:rsidRPr="003B10BC" w:rsidRDefault="00C57731">
            <w:pPr>
              <w:pStyle w:val="Body"/>
              <w:spacing w:after="0"/>
              <w:rPr>
                <w:rFonts w:cs="Arial"/>
                <w:sz w:val="20"/>
                <w:szCs w:val="20"/>
              </w:rPr>
            </w:pPr>
            <w:r w:rsidRPr="003B10BC">
              <w:rPr>
                <w:rFonts w:eastAsia="Calibri" w:cs="Arial"/>
                <w:sz w:val="20"/>
                <w:szCs w:val="20"/>
              </w:rPr>
              <w:t>95.4</w:t>
            </w:r>
          </w:p>
        </w:tc>
        <w:tc>
          <w:tcPr>
            <w:tcW w:w="1507" w:type="dxa"/>
            <w:tcBorders>
              <w:top w:val="nil"/>
              <w:left w:val="nil"/>
              <w:bottom w:val="nil"/>
              <w:right w:val="nil"/>
            </w:tcBorders>
            <w:shd w:val="clear" w:color="auto" w:fill="auto"/>
            <w:tcMar>
              <w:top w:w="80" w:type="dxa"/>
              <w:left w:w="80" w:type="dxa"/>
              <w:bottom w:w="80" w:type="dxa"/>
              <w:right w:w="80" w:type="dxa"/>
            </w:tcMar>
          </w:tcPr>
          <w:p w14:paraId="32C21A98" w14:textId="77777777" w:rsidR="00E73C9D" w:rsidRPr="003B10BC" w:rsidRDefault="00C57731">
            <w:pPr>
              <w:pStyle w:val="Body"/>
              <w:spacing w:after="0"/>
              <w:rPr>
                <w:rFonts w:cs="Arial"/>
                <w:sz w:val="20"/>
                <w:szCs w:val="20"/>
              </w:rPr>
            </w:pPr>
            <w:r w:rsidRPr="003B10BC">
              <w:rPr>
                <w:rFonts w:eastAsia="Calibri" w:cs="Arial"/>
                <w:sz w:val="20"/>
                <w:szCs w:val="20"/>
              </w:rPr>
              <w:t>86.8</w:t>
            </w:r>
          </w:p>
        </w:tc>
        <w:tc>
          <w:tcPr>
            <w:tcW w:w="1343" w:type="dxa"/>
            <w:tcBorders>
              <w:top w:val="nil"/>
              <w:left w:val="nil"/>
              <w:bottom w:val="nil"/>
              <w:right w:val="nil"/>
            </w:tcBorders>
            <w:shd w:val="clear" w:color="auto" w:fill="auto"/>
            <w:tcMar>
              <w:top w:w="80" w:type="dxa"/>
              <w:left w:w="80" w:type="dxa"/>
              <w:bottom w:w="80" w:type="dxa"/>
              <w:right w:w="80" w:type="dxa"/>
            </w:tcMar>
          </w:tcPr>
          <w:p w14:paraId="5B8304AC" w14:textId="77777777" w:rsidR="00E73C9D" w:rsidRPr="003B10BC" w:rsidRDefault="00E73C9D">
            <w:pPr>
              <w:rPr>
                <w:rFonts w:ascii="Arial" w:hAnsi="Arial" w:cs="Arial"/>
                <w:sz w:val="20"/>
                <w:szCs w:val="20"/>
              </w:rPr>
            </w:pPr>
          </w:p>
        </w:tc>
      </w:tr>
      <w:tr w:rsidR="00E73C9D" w14:paraId="4968574B" w14:textId="77777777">
        <w:trPr>
          <w:trHeight w:val="565"/>
        </w:trPr>
        <w:tc>
          <w:tcPr>
            <w:tcW w:w="1656" w:type="dxa"/>
            <w:tcBorders>
              <w:top w:val="nil"/>
              <w:left w:val="nil"/>
              <w:bottom w:val="single" w:sz="4" w:space="0" w:color="000000"/>
              <w:right w:val="nil"/>
            </w:tcBorders>
            <w:shd w:val="clear" w:color="auto" w:fill="auto"/>
            <w:tcMar>
              <w:top w:w="80" w:type="dxa"/>
              <w:left w:w="80" w:type="dxa"/>
              <w:bottom w:w="80" w:type="dxa"/>
              <w:right w:w="80" w:type="dxa"/>
            </w:tcMar>
          </w:tcPr>
          <w:p w14:paraId="43322BA5" w14:textId="77777777" w:rsidR="00E73C9D" w:rsidRPr="003B10BC" w:rsidRDefault="00C57731">
            <w:pPr>
              <w:pStyle w:val="Body"/>
              <w:spacing w:after="0"/>
              <w:rPr>
                <w:rFonts w:cs="Arial"/>
                <w:sz w:val="20"/>
                <w:szCs w:val="20"/>
              </w:rPr>
            </w:pPr>
            <w:r w:rsidRPr="003B10BC">
              <w:rPr>
                <w:rFonts w:eastAsia="Calibri" w:cs="Arial"/>
                <w:sz w:val="20"/>
                <w:szCs w:val="20"/>
              </w:rPr>
              <w:t>PREDICT 10-year survival</w:t>
            </w:r>
          </w:p>
        </w:tc>
        <w:tc>
          <w:tcPr>
            <w:tcW w:w="1502" w:type="dxa"/>
            <w:tcBorders>
              <w:top w:val="nil"/>
              <w:left w:val="nil"/>
              <w:bottom w:val="single" w:sz="4" w:space="0" w:color="000000"/>
              <w:right w:val="nil"/>
            </w:tcBorders>
            <w:shd w:val="clear" w:color="auto" w:fill="auto"/>
            <w:tcMar>
              <w:top w:w="80" w:type="dxa"/>
              <w:left w:w="80" w:type="dxa"/>
              <w:bottom w:w="80" w:type="dxa"/>
              <w:right w:w="80" w:type="dxa"/>
            </w:tcMar>
          </w:tcPr>
          <w:p w14:paraId="76C12BF5" w14:textId="77777777" w:rsidR="00E73C9D" w:rsidRPr="003B10BC" w:rsidRDefault="00C57731">
            <w:pPr>
              <w:pStyle w:val="Body"/>
              <w:spacing w:after="0"/>
              <w:rPr>
                <w:rFonts w:cs="Arial"/>
                <w:sz w:val="20"/>
                <w:szCs w:val="20"/>
              </w:rPr>
            </w:pPr>
            <w:r w:rsidRPr="003B10BC">
              <w:rPr>
                <w:rFonts w:eastAsia="Calibri" w:cs="Arial"/>
                <w:sz w:val="20"/>
                <w:szCs w:val="20"/>
              </w:rPr>
              <w:t>2,538</w:t>
            </w:r>
          </w:p>
        </w:tc>
        <w:tc>
          <w:tcPr>
            <w:tcW w:w="1506" w:type="dxa"/>
            <w:tcBorders>
              <w:top w:val="nil"/>
              <w:left w:val="nil"/>
              <w:bottom w:val="single" w:sz="4" w:space="0" w:color="000000"/>
              <w:right w:val="nil"/>
            </w:tcBorders>
            <w:shd w:val="clear" w:color="auto" w:fill="auto"/>
            <w:tcMar>
              <w:top w:w="80" w:type="dxa"/>
              <w:left w:w="80" w:type="dxa"/>
              <w:bottom w:w="80" w:type="dxa"/>
              <w:right w:w="80" w:type="dxa"/>
            </w:tcMar>
          </w:tcPr>
          <w:p w14:paraId="6BC06018" w14:textId="77777777" w:rsidR="00E73C9D" w:rsidRPr="003B10BC" w:rsidRDefault="00C57731">
            <w:pPr>
              <w:pStyle w:val="Body"/>
              <w:spacing w:after="0"/>
              <w:rPr>
                <w:rFonts w:cs="Arial"/>
                <w:sz w:val="20"/>
                <w:szCs w:val="20"/>
              </w:rPr>
            </w:pPr>
            <w:r w:rsidRPr="003B10BC">
              <w:rPr>
                <w:rFonts w:eastAsia="Calibri" w:cs="Arial"/>
                <w:sz w:val="20"/>
                <w:szCs w:val="20"/>
              </w:rPr>
              <w:t>2,307</w:t>
            </w:r>
          </w:p>
        </w:tc>
        <w:tc>
          <w:tcPr>
            <w:tcW w:w="1502" w:type="dxa"/>
            <w:tcBorders>
              <w:top w:val="nil"/>
              <w:left w:val="nil"/>
              <w:bottom w:val="single" w:sz="4" w:space="0" w:color="000000"/>
              <w:right w:val="nil"/>
            </w:tcBorders>
            <w:shd w:val="clear" w:color="auto" w:fill="auto"/>
            <w:tcMar>
              <w:top w:w="80" w:type="dxa"/>
              <w:left w:w="80" w:type="dxa"/>
              <w:bottom w:w="80" w:type="dxa"/>
              <w:right w:w="80" w:type="dxa"/>
            </w:tcMar>
          </w:tcPr>
          <w:p w14:paraId="4E336FEE" w14:textId="77777777" w:rsidR="00E73C9D" w:rsidRPr="003B10BC" w:rsidRDefault="00C57731">
            <w:pPr>
              <w:pStyle w:val="Body"/>
              <w:spacing w:after="0"/>
              <w:rPr>
                <w:rFonts w:cs="Arial"/>
                <w:sz w:val="20"/>
                <w:szCs w:val="20"/>
              </w:rPr>
            </w:pPr>
            <w:r w:rsidRPr="003B10BC">
              <w:rPr>
                <w:rFonts w:eastAsia="Calibri" w:cs="Arial"/>
                <w:sz w:val="20"/>
                <w:szCs w:val="20"/>
              </w:rPr>
              <w:t>66.1</w:t>
            </w:r>
          </w:p>
        </w:tc>
        <w:tc>
          <w:tcPr>
            <w:tcW w:w="1507" w:type="dxa"/>
            <w:tcBorders>
              <w:top w:val="nil"/>
              <w:left w:val="nil"/>
              <w:bottom w:val="single" w:sz="4" w:space="0" w:color="000000"/>
              <w:right w:val="nil"/>
            </w:tcBorders>
            <w:shd w:val="clear" w:color="auto" w:fill="auto"/>
            <w:tcMar>
              <w:top w:w="80" w:type="dxa"/>
              <w:left w:w="80" w:type="dxa"/>
              <w:bottom w:w="80" w:type="dxa"/>
              <w:right w:w="80" w:type="dxa"/>
            </w:tcMar>
          </w:tcPr>
          <w:p w14:paraId="2659D701" w14:textId="77777777" w:rsidR="00E73C9D" w:rsidRPr="003B10BC" w:rsidRDefault="00C57731">
            <w:pPr>
              <w:pStyle w:val="Body"/>
              <w:spacing w:after="0"/>
              <w:rPr>
                <w:rFonts w:cs="Arial"/>
                <w:sz w:val="20"/>
                <w:szCs w:val="20"/>
              </w:rPr>
            </w:pPr>
            <w:r w:rsidRPr="003B10BC">
              <w:rPr>
                <w:rFonts w:eastAsia="Calibri" w:cs="Arial"/>
                <w:sz w:val="20"/>
                <w:szCs w:val="20"/>
              </w:rPr>
              <w:t>62.9</w:t>
            </w:r>
          </w:p>
        </w:tc>
        <w:tc>
          <w:tcPr>
            <w:tcW w:w="1343" w:type="dxa"/>
            <w:tcBorders>
              <w:top w:val="nil"/>
              <w:left w:val="nil"/>
              <w:bottom w:val="single" w:sz="4" w:space="0" w:color="000000"/>
              <w:right w:val="nil"/>
            </w:tcBorders>
            <w:shd w:val="clear" w:color="auto" w:fill="auto"/>
            <w:tcMar>
              <w:top w:w="80" w:type="dxa"/>
              <w:left w:w="80" w:type="dxa"/>
              <w:bottom w:w="80" w:type="dxa"/>
              <w:right w:w="80" w:type="dxa"/>
            </w:tcMar>
          </w:tcPr>
          <w:p w14:paraId="5F99F729" w14:textId="77777777" w:rsidR="00E73C9D" w:rsidRPr="003B10BC" w:rsidRDefault="00C57731">
            <w:pPr>
              <w:pStyle w:val="Body"/>
              <w:spacing w:after="0"/>
              <w:rPr>
                <w:rFonts w:eastAsia="Calibri" w:cs="Arial"/>
                <w:sz w:val="20"/>
                <w:szCs w:val="20"/>
              </w:rPr>
            </w:pPr>
            <w:r w:rsidRPr="003B10BC">
              <w:rPr>
                <w:rFonts w:eastAsia="Calibri" w:cs="Arial"/>
                <w:sz w:val="20"/>
                <w:szCs w:val="20"/>
              </w:rPr>
              <w:t>T test</w:t>
            </w:r>
          </w:p>
          <w:p w14:paraId="30ABC9C5" w14:textId="77777777" w:rsidR="00E73C9D" w:rsidRPr="003B10BC" w:rsidRDefault="00C57731">
            <w:pPr>
              <w:pStyle w:val="Body"/>
              <w:spacing w:after="0"/>
              <w:rPr>
                <w:rFonts w:cs="Arial"/>
                <w:sz w:val="20"/>
                <w:szCs w:val="20"/>
              </w:rPr>
            </w:pPr>
            <w:r w:rsidRPr="003B10BC">
              <w:rPr>
                <w:rFonts w:eastAsia="Calibri" w:cs="Arial"/>
                <w:sz w:val="20"/>
                <w:szCs w:val="20"/>
              </w:rPr>
              <w:t>P &lt; 0.0001</w:t>
            </w:r>
          </w:p>
        </w:tc>
      </w:tr>
      <w:tr w:rsidR="00E73C9D" w14:paraId="22C54C65" w14:textId="77777777">
        <w:trPr>
          <w:trHeight w:val="560"/>
        </w:trPr>
        <w:tc>
          <w:tcPr>
            <w:tcW w:w="16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2E9B216" w14:textId="77777777" w:rsidR="00E73C9D" w:rsidRPr="003B10BC" w:rsidRDefault="00C57731">
            <w:pPr>
              <w:pStyle w:val="Body"/>
              <w:spacing w:after="0"/>
              <w:rPr>
                <w:rFonts w:cs="Arial"/>
                <w:sz w:val="20"/>
                <w:szCs w:val="20"/>
              </w:rPr>
            </w:pPr>
            <w:r w:rsidRPr="003B10BC">
              <w:rPr>
                <w:rFonts w:eastAsia="Calibri" w:cs="Arial"/>
                <w:sz w:val="20"/>
                <w:szCs w:val="20"/>
              </w:rPr>
              <w:t>Prognostic – Not in PREDICT</w:t>
            </w:r>
          </w:p>
        </w:tc>
        <w:tc>
          <w:tcPr>
            <w:tcW w:w="15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A61C7AB" w14:textId="77777777" w:rsidR="00E73C9D" w:rsidRPr="003B10BC" w:rsidRDefault="00E73C9D">
            <w:pPr>
              <w:rPr>
                <w:rFonts w:ascii="Arial" w:hAnsi="Arial" w:cs="Arial"/>
                <w:sz w:val="20"/>
                <w:szCs w:val="20"/>
              </w:rPr>
            </w:pPr>
          </w:p>
        </w:tc>
        <w:tc>
          <w:tcPr>
            <w:tcW w:w="15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4359E26" w14:textId="77777777" w:rsidR="00E73C9D" w:rsidRPr="003B10BC" w:rsidRDefault="00E73C9D">
            <w:pPr>
              <w:rPr>
                <w:rFonts w:ascii="Arial" w:hAnsi="Arial" w:cs="Arial"/>
                <w:sz w:val="20"/>
                <w:szCs w:val="20"/>
              </w:rPr>
            </w:pPr>
          </w:p>
        </w:tc>
        <w:tc>
          <w:tcPr>
            <w:tcW w:w="15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800E609" w14:textId="77777777" w:rsidR="00E73C9D" w:rsidRPr="003B10BC" w:rsidRDefault="00E73C9D">
            <w:pPr>
              <w:rPr>
                <w:rFonts w:ascii="Arial" w:hAnsi="Arial" w:cs="Arial"/>
                <w:sz w:val="20"/>
                <w:szCs w:val="20"/>
              </w:rPr>
            </w:pPr>
          </w:p>
        </w:tc>
        <w:tc>
          <w:tcPr>
            <w:tcW w:w="150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5858CA9" w14:textId="77777777" w:rsidR="00E73C9D" w:rsidRPr="003B10BC" w:rsidRDefault="00E73C9D">
            <w:pPr>
              <w:rPr>
                <w:rFonts w:ascii="Arial" w:hAnsi="Arial" w:cs="Arial"/>
                <w:sz w:val="20"/>
                <w:szCs w:val="20"/>
              </w:rPr>
            </w:pPr>
          </w:p>
        </w:tc>
        <w:tc>
          <w:tcPr>
            <w:tcW w:w="134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F71FB60" w14:textId="77777777" w:rsidR="00E73C9D" w:rsidRPr="003B10BC" w:rsidRDefault="00E73C9D">
            <w:pPr>
              <w:rPr>
                <w:rFonts w:ascii="Arial" w:hAnsi="Arial" w:cs="Arial"/>
                <w:sz w:val="20"/>
                <w:szCs w:val="20"/>
              </w:rPr>
            </w:pPr>
          </w:p>
        </w:tc>
      </w:tr>
      <w:tr w:rsidR="00E73C9D" w14:paraId="330892E5" w14:textId="77777777">
        <w:trPr>
          <w:trHeight w:val="675"/>
        </w:trPr>
        <w:tc>
          <w:tcPr>
            <w:tcW w:w="1656" w:type="dxa"/>
            <w:tcBorders>
              <w:top w:val="single" w:sz="4" w:space="0" w:color="000000"/>
              <w:left w:val="nil"/>
              <w:bottom w:val="nil"/>
              <w:right w:val="nil"/>
            </w:tcBorders>
            <w:shd w:val="clear" w:color="auto" w:fill="auto"/>
            <w:tcMar>
              <w:top w:w="80" w:type="dxa"/>
              <w:left w:w="80" w:type="dxa"/>
              <w:bottom w:w="80" w:type="dxa"/>
              <w:right w:w="80" w:type="dxa"/>
            </w:tcMar>
          </w:tcPr>
          <w:p w14:paraId="06109337" w14:textId="77777777" w:rsidR="00E73C9D" w:rsidRPr="003B10BC" w:rsidRDefault="00C57731">
            <w:pPr>
              <w:pStyle w:val="Body"/>
              <w:spacing w:after="0" w:line="240" w:lineRule="auto"/>
              <w:rPr>
                <w:rFonts w:cs="Arial"/>
                <w:sz w:val="20"/>
                <w:szCs w:val="20"/>
              </w:rPr>
            </w:pPr>
            <w:r w:rsidRPr="003B10BC">
              <w:rPr>
                <w:rFonts w:eastAsia="Calibri" w:cs="Arial"/>
                <w:sz w:val="20"/>
                <w:szCs w:val="20"/>
              </w:rPr>
              <w:lastRenderedPageBreak/>
              <w:t>Charlson comorbidity (%)</w:t>
            </w:r>
          </w:p>
        </w:tc>
        <w:tc>
          <w:tcPr>
            <w:tcW w:w="1502" w:type="dxa"/>
            <w:tcBorders>
              <w:top w:val="single" w:sz="4" w:space="0" w:color="000000"/>
              <w:left w:val="nil"/>
              <w:bottom w:val="nil"/>
              <w:right w:val="nil"/>
            </w:tcBorders>
            <w:shd w:val="clear" w:color="auto" w:fill="auto"/>
            <w:tcMar>
              <w:top w:w="80" w:type="dxa"/>
              <w:left w:w="80" w:type="dxa"/>
              <w:bottom w:w="80" w:type="dxa"/>
              <w:right w:w="80" w:type="dxa"/>
            </w:tcMar>
          </w:tcPr>
          <w:p w14:paraId="44EC5443" w14:textId="77777777" w:rsidR="00E73C9D" w:rsidRPr="003B10BC" w:rsidRDefault="00C57731">
            <w:pPr>
              <w:pStyle w:val="Body"/>
              <w:spacing w:after="0" w:line="240" w:lineRule="auto"/>
              <w:rPr>
                <w:rFonts w:cs="Arial"/>
                <w:sz w:val="20"/>
                <w:szCs w:val="20"/>
              </w:rPr>
            </w:pPr>
            <w:r w:rsidRPr="003B10BC">
              <w:rPr>
                <w:rFonts w:eastAsia="Calibri" w:cs="Arial"/>
                <w:sz w:val="20"/>
                <w:szCs w:val="20"/>
              </w:rPr>
              <w:t>2,538</w:t>
            </w:r>
          </w:p>
        </w:tc>
        <w:tc>
          <w:tcPr>
            <w:tcW w:w="1506" w:type="dxa"/>
            <w:tcBorders>
              <w:top w:val="single" w:sz="4" w:space="0" w:color="000000"/>
              <w:left w:val="nil"/>
              <w:bottom w:val="nil"/>
              <w:right w:val="nil"/>
            </w:tcBorders>
            <w:shd w:val="clear" w:color="auto" w:fill="auto"/>
            <w:tcMar>
              <w:top w:w="80" w:type="dxa"/>
              <w:left w:w="80" w:type="dxa"/>
              <w:bottom w:w="80" w:type="dxa"/>
              <w:right w:w="80" w:type="dxa"/>
            </w:tcMar>
          </w:tcPr>
          <w:p w14:paraId="3969596B" w14:textId="77777777" w:rsidR="00E73C9D" w:rsidRPr="003B10BC" w:rsidRDefault="00C57731">
            <w:pPr>
              <w:pStyle w:val="Body"/>
              <w:spacing w:after="0" w:line="240" w:lineRule="auto"/>
              <w:rPr>
                <w:rFonts w:cs="Arial"/>
                <w:sz w:val="20"/>
                <w:szCs w:val="20"/>
              </w:rPr>
            </w:pPr>
            <w:r w:rsidRPr="003B10BC">
              <w:rPr>
                <w:rFonts w:eastAsia="Calibri" w:cs="Arial"/>
                <w:sz w:val="20"/>
                <w:szCs w:val="20"/>
              </w:rPr>
              <w:t>2,307</w:t>
            </w:r>
          </w:p>
        </w:tc>
        <w:tc>
          <w:tcPr>
            <w:tcW w:w="1502" w:type="dxa"/>
            <w:tcBorders>
              <w:top w:val="single" w:sz="4" w:space="0" w:color="000000"/>
              <w:left w:val="nil"/>
              <w:bottom w:val="nil"/>
              <w:right w:val="nil"/>
            </w:tcBorders>
            <w:shd w:val="clear" w:color="auto" w:fill="auto"/>
            <w:tcMar>
              <w:top w:w="80" w:type="dxa"/>
              <w:left w:w="80" w:type="dxa"/>
              <w:bottom w:w="80" w:type="dxa"/>
              <w:right w:w="80" w:type="dxa"/>
            </w:tcMar>
          </w:tcPr>
          <w:p w14:paraId="199837DD" w14:textId="77777777" w:rsidR="00E73C9D" w:rsidRPr="003B10BC" w:rsidRDefault="00C57731">
            <w:pPr>
              <w:pStyle w:val="Body"/>
              <w:spacing w:after="0" w:line="240" w:lineRule="auto"/>
              <w:rPr>
                <w:rFonts w:cs="Arial"/>
                <w:sz w:val="20"/>
                <w:szCs w:val="20"/>
              </w:rPr>
            </w:pPr>
            <w:r w:rsidRPr="003B10BC">
              <w:rPr>
                <w:rFonts w:eastAsia="Calibri" w:cs="Arial"/>
                <w:sz w:val="20"/>
                <w:szCs w:val="20"/>
              </w:rPr>
              <w:t>6.7</w:t>
            </w:r>
          </w:p>
        </w:tc>
        <w:tc>
          <w:tcPr>
            <w:tcW w:w="1507" w:type="dxa"/>
            <w:tcBorders>
              <w:top w:val="single" w:sz="4" w:space="0" w:color="000000"/>
              <w:left w:val="nil"/>
              <w:bottom w:val="nil"/>
              <w:right w:val="nil"/>
            </w:tcBorders>
            <w:shd w:val="clear" w:color="auto" w:fill="auto"/>
            <w:tcMar>
              <w:top w:w="80" w:type="dxa"/>
              <w:left w:w="80" w:type="dxa"/>
              <w:bottom w:w="80" w:type="dxa"/>
              <w:right w:w="80" w:type="dxa"/>
            </w:tcMar>
          </w:tcPr>
          <w:p w14:paraId="7FA3D287" w14:textId="77777777" w:rsidR="00E73C9D" w:rsidRPr="003B10BC" w:rsidRDefault="00C57731">
            <w:pPr>
              <w:pStyle w:val="Body"/>
              <w:spacing w:after="0" w:line="240" w:lineRule="auto"/>
              <w:rPr>
                <w:rFonts w:cs="Arial"/>
                <w:sz w:val="20"/>
                <w:szCs w:val="20"/>
              </w:rPr>
            </w:pPr>
            <w:r w:rsidRPr="003B10BC">
              <w:rPr>
                <w:rFonts w:eastAsia="Calibri" w:cs="Arial"/>
                <w:sz w:val="20"/>
                <w:szCs w:val="20"/>
              </w:rPr>
              <w:t>6.2</w:t>
            </w:r>
          </w:p>
        </w:tc>
        <w:tc>
          <w:tcPr>
            <w:tcW w:w="1343" w:type="dxa"/>
            <w:tcBorders>
              <w:top w:val="single" w:sz="4" w:space="0" w:color="000000"/>
              <w:left w:val="nil"/>
              <w:bottom w:val="nil"/>
              <w:right w:val="nil"/>
            </w:tcBorders>
            <w:shd w:val="clear" w:color="auto" w:fill="auto"/>
            <w:tcMar>
              <w:top w:w="80" w:type="dxa"/>
              <w:left w:w="80" w:type="dxa"/>
              <w:bottom w:w="80" w:type="dxa"/>
              <w:right w:w="80" w:type="dxa"/>
            </w:tcMar>
          </w:tcPr>
          <w:p w14:paraId="4AD07C8E" w14:textId="77777777" w:rsidR="00E73C9D" w:rsidRPr="003B10BC" w:rsidRDefault="00C57731">
            <w:pPr>
              <w:pStyle w:val="Body"/>
              <w:spacing w:after="0" w:line="240" w:lineRule="auto"/>
              <w:rPr>
                <w:rFonts w:eastAsia="Calibri" w:cs="Arial"/>
                <w:sz w:val="20"/>
                <w:szCs w:val="20"/>
              </w:rPr>
            </w:pPr>
            <w:r w:rsidRPr="003B10BC">
              <w:rPr>
                <w:rFonts w:eastAsia="Calibri" w:cs="Arial"/>
                <w:sz w:val="20"/>
                <w:szCs w:val="20"/>
              </w:rPr>
              <w:t>Pearson chi-sq.</w:t>
            </w:r>
          </w:p>
          <w:p w14:paraId="3B4722A3" w14:textId="77777777" w:rsidR="00E73C9D" w:rsidRPr="003B10BC" w:rsidRDefault="00C57731">
            <w:pPr>
              <w:pStyle w:val="Body"/>
              <w:spacing w:after="0" w:line="240" w:lineRule="auto"/>
              <w:rPr>
                <w:rFonts w:cs="Arial"/>
                <w:sz w:val="20"/>
                <w:szCs w:val="20"/>
              </w:rPr>
            </w:pPr>
            <w:r w:rsidRPr="003B10BC">
              <w:rPr>
                <w:rFonts w:eastAsia="Calibri" w:cs="Arial"/>
                <w:sz w:val="20"/>
                <w:szCs w:val="20"/>
              </w:rPr>
              <w:t>P = 0.410</w:t>
            </w:r>
          </w:p>
        </w:tc>
      </w:tr>
      <w:tr w:rsidR="00E73C9D" w14:paraId="01A43672" w14:textId="77777777">
        <w:trPr>
          <w:trHeight w:val="685"/>
        </w:trPr>
        <w:tc>
          <w:tcPr>
            <w:tcW w:w="1656" w:type="dxa"/>
            <w:tcBorders>
              <w:top w:val="nil"/>
              <w:left w:val="nil"/>
              <w:bottom w:val="single" w:sz="12" w:space="0" w:color="000000"/>
              <w:right w:val="nil"/>
            </w:tcBorders>
            <w:shd w:val="clear" w:color="auto" w:fill="auto"/>
            <w:tcMar>
              <w:top w:w="80" w:type="dxa"/>
              <w:left w:w="80" w:type="dxa"/>
              <w:bottom w:w="80" w:type="dxa"/>
              <w:right w:w="80" w:type="dxa"/>
            </w:tcMar>
          </w:tcPr>
          <w:p w14:paraId="6AF82033" w14:textId="77777777" w:rsidR="00E73C9D" w:rsidRPr="003B10BC" w:rsidRDefault="00C57731">
            <w:pPr>
              <w:pStyle w:val="Body"/>
              <w:spacing w:after="0" w:line="240" w:lineRule="auto"/>
              <w:rPr>
                <w:rFonts w:cs="Arial"/>
                <w:sz w:val="20"/>
                <w:szCs w:val="20"/>
              </w:rPr>
            </w:pPr>
            <w:r w:rsidRPr="003B10BC">
              <w:rPr>
                <w:rFonts w:eastAsia="Calibri" w:cs="Arial"/>
                <w:sz w:val="20"/>
                <w:szCs w:val="20"/>
              </w:rPr>
              <w:t>Inpatient bed days, all 5 years prior</w:t>
            </w:r>
          </w:p>
        </w:tc>
        <w:tc>
          <w:tcPr>
            <w:tcW w:w="1502" w:type="dxa"/>
            <w:tcBorders>
              <w:top w:val="nil"/>
              <w:left w:val="nil"/>
              <w:bottom w:val="single" w:sz="12" w:space="0" w:color="000000"/>
              <w:right w:val="nil"/>
            </w:tcBorders>
            <w:shd w:val="clear" w:color="auto" w:fill="auto"/>
            <w:tcMar>
              <w:top w:w="80" w:type="dxa"/>
              <w:left w:w="80" w:type="dxa"/>
              <w:bottom w:w="80" w:type="dxa"/>
              <w:right w:w="80" w:type="dxa"/>
            </w:tcMar>
          </w:tcPr>
          <w:p w14:paraId="4BF82988" w14:textId="77777777" w:rsidR="00E73C9D" w:rsidRPr="003B10BC" w:rsidRDefault="00C57731">
            <w:pPr>
              <w:pStyle w:val="Body"/>
              <w:spacing w:after="0" w:line="240" w:lineRule="auto"/>
              <w:rPr>
                <w:rFonts w:cs="Arial"/>
                <w:sz w:val="20"/>
                <w:szCs w:val="20"/>
              </w:rPr>
            </w:pPr>
            <w:r w:rsidRPr="003B10BC">
              <w:rPr>
                <w:rFonts w:eastAsia="Calibri" w:cs="Arial"/>
                <w:sz w:val="20"/>
                <w:szCs w:val="20"/>
              </w:rPr>
              <w:t>2,538</w:t>
            </w:r>
          </w:p>
        </w:tc>
        <w:tc>
          <w:tcPr>
            <w:tcW w:w="1506" w:type="dxa"/>
            <w:tcBorders>
              <w:top w:val="nil"/>
              <w:left w:val="nil"/>
              <w:bottom w:val="single" w:sz="12" w:space="0" w:color="000000"/>
              <w:right w:val="nil"/>
            </w:tcBorders>
            <w:shd w:val="clear" w:color="auto" w:fill="auto"/>
            <w:tcMar>
              <w:top w:w="80" w:type="dxa"/>
              <w:left w:w="80" w:type="dxa"/>
              <w:bottom w:w="80" w:type="dxa"/>
              <w:right w:w="80" w:type="dxa"/>
            </w:tcMar>
          </w:tcPr>
          <w:p w14:paraId="0A5E1A8E" w14:textId="77777777" w:rsidR="00E73C9D" w:rsidRPr="003B10BC" w:rsidRDefault="00C57731">
            <w:pPr>
              <w:pStyle w:val="Body"/>
              <w:spacing w:after="0" w:line="240" w:lineRule="auto"/>
              <w:rPr>
                <w:rFonts w:cs="Arial"/>
                <w:sz w:val="20"/>
                <w:szCs w:val="20"/>
              </w:rPr>
            </w:pPr>
            <w:r w:rsidRPr="003B10BC">
              <w:rPr>
                <w:rFonts w:eastAsia="Calibri" w:cs="Arial"/>
                <w:sz w:val="20"/>
                <w:szCs w:val="20"/>
              </w:rPr>
              <w:t>2,307</w:t>
            </w:r>
          </w:p>
        </w:tc>
        <w:tc>
          <w:tcPr>
            <w:tcW w:w="1502" w:type="dxa"/>
            <w:tcBorders>
              <w:top w:val="nil"/>
              <w:left w:val="nil"/>
              <w:bottom w:val="single" w:sz="12" w:space="0" w:color="000000"/>
              <w:right w:val="nil"/>
            </w:tcBorders>
            <w:shd w:val="clear" w:color="auto" w:fill="auto"/>
            <w:tcMar>
              <w:top w:w="80" w:type="dxa"/>
              <w:left w:w="80" w:type="dxa"/>
              <w:bottom w:w="80" w:type="dxa"/>
              <w:right w:w="80" w:type="dxa"/>
            </w:tcMar>
          </w:tcPr>
          <w:p w14:paraId="572D6C63" w14:textId="77777777" w:rsidR="00E73C9D" w:rsidRPr="003B10BC" w:rsidRDefault="00C57731">
            <w:pPr>
              <w:pStyle w:val="Body"/>
              <w:spacing w:after="0" w:line="240" w:lineRule="auto"/>
              <w:rPr>
                <w:rFonts w:cs="Arial"/>
                <w:sz w:val="20"/>
                <w:szCs w:val="20"/>
              </w:rPr>
            </w:pPr>
            <w:r w:rsidRPr="003B10BC">
              <w:rPr>
                <w:rFonts w:eastAsia="Calibri" w:cs="Arial"/>
                <w:sz w:val="20"/>
                <w:szCs w:val="20"/>
              </w:rPr>
              <w:t>2.7</w:t>
            </w:r>
          </w:p>
        </w:tc>
        <w:tc>
          <w:tcPr>
            <w:tcW w:w="1507" w:type="dxa"/>
            <w:tcBorders>
              <w:top w:val="nil"/>
              <w:left w:val="nil"/>
              <w:bottom w:val="single" w:sz="12" w:space="0" w:color="000000"/>
              <w:right w:val="nil"/>
            </w:tcBorders>
            <w:shd w:val="clear" w:color="auto" w:fill="auto"/>
            <w:tcMar>
              <w:top w:w="80" w:type="dxa"/>
              <w:left w:w="80" w:type="dxa"/>
              <w:bottom w:w="80" w:type="dxa"/>
              <w:right w:w="80" w:type="dxa"/>
            </w:tcMar>
          </w:tcPr>
          <w:p w14:paraId="04A3F1A7" w14:textId="77777777" w:rsidR="00E73C9D" w:rsidRPr="003B10BC" w:rsidRDefault="00C57731">
            <w:pPr>
              <w:pStyle w:val="Body"/>
              <w:spacing w:after="0" w:line="240" w:lineRule="auto"/>
              <w:rPr>
                <w:rFonts w:cs="Arial"/>
                <w:sz w:val="20"/>
                <w:szCs w:val="20"/>
              </w:rPr>
            </w:pPr>
            <w:r w:rsidRPr="003B10BC">
              <w:rPr>
                <w:rFonts w:eastAsia="Calibri" w:cs="Arial"/>
                <w:sz w:val="20"/>
                <w:szCs w:val="20"/>
              </w:rPr>
              <w:t>2.5</w:t>
            </w:r>
          </w:p>
        </w:tc>
        <w:tc>
          <w:tcPr>
            <w:tcW w:w="1343" w:type="dxa"/>
            <w:tcBorders>
              <w:top w:val="nil"/>
              <w:left w:val="nil"/>
              <w:bottom w:val="single" w:sz="12" w:space="0" w:color="000000"/>
              <w:right w:val="nil"/>
            </w:tcBorders>
            <w:shd w:val="clear" w:color="auto" w:fill="auto"/>
            <w:tcMar>
              <w:top w:w="80" w:type="dxa"/>
              <w:left w:w="80" w:type="dxa"/>
              <w:bottom w:w="80" w:type="dxa"/>
              <w:right w:w="80" w:type="dxa"/>
            </w:tcMar>
          </w:tcPr>
          <w:p w14:paraId="207A456C" w14:textId="77777777" w:rsidR="00E73C9D" w:rsidRPr="003B10BC" w:rsidRDefault="00C57731">
            <w:pPr>
              <w:pStyle w:val="Body"/>
              <w:spacing w:after="0" w:line="240" w:lineRule="auto"/>
              <w:rPr>
                <w:rFonts w:eastAsia="Calibri" w:cs="Arial"/>
                <w:sz w:val="20"/>
                <w:szCs w:val="20"/>
              </w:rPr>
            </w:pPr>
            <w:r w:rsidRPr="003B10BC">
              <w:rPr>
                <w:rFonts w:eastAsia="Calibri" w:cs="Arial"/>
                <w:sz w:val="20"/>
                <w:szCs w:val="20"/>
              </w:rPr>
              <w:t>T test</w:t>
            </w:r>
          </w:p>
          <w:p w14:paraId="0DC60B17" w14:textId="77777777" w:rsidR="00E73C9D" w:rsidRPr="003B10BC" w:rsidRDefault="00C57731">
            <w:pPr>
              <w:pStyle w:val="Body"/>
              <w:spacing w:after="0" w:line="240" w:lineRule="auto"/>
              <w:rPr>
                <w:rFonts w:cs="Arial"/>
                <w:sz w:val="20"/>
                <w:szCs w:val="20"/>
              </w:rPr>
            </w:pPr>
            <w:r w:rsidRPr="003B10BC">
              <w:rPr>
                <w:rFonts w:eastAsia="Calibri" w:cs="Arial"/>
                <w:sz w:val="20"/>
                <w:szCs w:val="20"/>
              </w:rPr>
              <w:t>P = 0.4497</w:t>
            </w:r>
          </w:p>
        </w:tc>
      </w:tr>
    </w:tbl>
    <w:p w14:paraId="13C952AA" w14:textId="77777777" w:rsidR="00E73C9D" w:rsidRDefault="00E73C9D">
      <w:pPr>
        <w:pStyle w:val="Body"/>
        <w:widowControl w:val="0"/>
        <w:spacing w:line="240" w:lineRule="auto"/>
        <w:rPr>
          <w:b/>
          <w:bCs/>
        </w:rPr>
      </w:pPr>
    </w:p>
    <w:p w14:paraId="2D74ED6C" w14:textId="77777777" w:rsidR="00E73C9D" w:rsidRDefault="00E73C9D">
      <w:pPr>
        <w:pStyle w:val="Body"/>
      </w:pPr>
    </w:p>
    <w:p w14:paraId="79C506E9" w14:textId="32D4FD4D" w:rsidR="00E73C9D" w:rsidRDefault="00C57731">
      <w:pPr>
        <w:pStyle w:val="Body"/>
        <w:rPr>
          <w:b/>
          <w:bCs/>
        </w:rPr>
      </w:pPr>
      <w:r>
        <w:rPr>
          <w:b/>
          <w:bCs/>
        </w:rPr>
        <w:t xml:space="preserve">Table </w:t>
      </w:r>
      <w:r w:rsidR="00B26A21">
        <w:rPr>
          <w:b/>
          <w:bCs/>
        </w:rPr>
        <w:t>5</w:t>
      </w:r>
      <w:r>
        <w:rPr>
          <w:b/>
          <w:bCs/>
        </w:rPr>
        <w:t>.2 Baseline covariate balance around 5% threshold</w:t>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656"/>
        <w:gridCol w:w="1502"/>
        <w:gridCol w:w="1506"/>
        <w:gridCol w:w="1502"/>
        <w:gridCol w:w="1507"/>
        <w:gridCol w:w="1343"/>
      </w:tblGrid>
      <w:tr w:rsidR="00E73C9D" w14:paraId="3DC499D3" w14:textId="77777777">
        <w:trPr>
          <w:trHeight w:val="570"/>
        </w:trPr>
        <w:tc>
          <w:tcPr>
            <w:tcW w:w="1656"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14:paraId="16A70375" w14:textId="77777777" w:rsidR="00E73C9D" w:rsidRPr="003B10BC" w:rsidRDefault="00C57731">
            <w:pPr>
              <w:pStyle w:val="Body"/>
              <w:rPr>
                <w:rFonts w:cs="Arial"/>
                <w:sz w:val="20"/>
                <w:szCs w:val="20"/>
              </w:rPr>
            </w:pPr>
            <w:r w:rsidRPr="003B10BC">
              <w:rPr>
                <w:rFonts w:eastAsia="Calibri" w:cs="Arial"/>
                <w:b/>
                <w:bCs/>
                <w:sz w:val="20"/>
                <w:szCs w:val="20"/>
              </w:rPr>
              <w:t>Variable</w:t>
            </w:r>
          </w:p>
        </w:tc>
        <w:tc>
          <w:tcPr>
            <w:tcW w:w="1502"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14:paraId="203C6377" w14:textId="77777777" w:rsidR="00E73C9D" w:rsidRPr="003B10BC" w:rsidRDefault="00C57731">
            <w:pPr>
              <w:pStyle w:val="Body"/>
              <w:spacing w:after="0"/>
              <w:rPr>
                <w:rFonts w:eastAsia="Calibri" w:cs="Arial"/>
                <w:b/>
                <w:bCs/>
                <w:sz w:val="20"/>
                <w:szCs w:val="20"/>
              </w:rPr>
            </w:pPr>
            <w:r w:rsidRPr="003B10BC">
              <w:rPr>
                <w:rFonts w:eastAsia="Calibri" w:cs="Arial"/>
                <w:b/>
                <w:bCs/>
                <w:sz w:val="20"/>
                <w:szCs w:val="20"/>
              </w:rPr>
              <w:t xml:space="preserve">Below </w:t>
            </w:r>
          </w:p>
          <w:p w14:paraId="47C09C67" w14:textId="77777777" w:rsidR="00E73C9D" w:rsidRPr="003B10BC" w:rsidRDefault="00C57731">
            <w:pPr>
              <w:pStyle w:val="Body"/>
              <w:spacing w:after="0"/>
              <w:rPr>
                <w:rFonts w:cs="Arial"/>
                <w:sz w:val="20"/>
                <w:szCs w:val="20"/>
              </w:rPr>
            </w:pPr>
            <w:r w:rsidRPr="003B10BC">
              <w:rPr>
                <w:rFonts w:eastAsia="Calibri" w:cs="Arial"/>
                <w:b/>
                <w:bCs/>
                <w:sz w:val="20"/>
                <w:szCs w:val="20"/>
              </w:rPr>
              <w:t>(-0.5%)</w:t>
            </w:r>
          </w:p>
        </w:tc>
        <w:tc>
          <w:tcPr>
            <w:tcW w:w="1506"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14:paraId="433D02E5" w14:textId="77777777" w:rsidR="00E73C9D" w:rsidRPr="003B10BC" w:rsidRDefault="00C57731">
            <w:pPr>
              <w:pStyle w:val="Body"/>
              <w:spacing w:after="0"/>
              <w:rPr>
                <w:rFonts w:eastAsia="Calibri" w:cs="Arial"/>
                <w:b/>
                <w:bCs/>
                <w:sz w:val="20"/>
                <w:szCs w:val="20"/>
              </w:rPr>
            </w:pPr>
            <w:r w:rsidRPr="003B10BC">
              <w:rPr>
                <w:rFonts w:eastAsia="Calibri" w:cs="Arial"/>
                <w:b/>
                <w:bCs/>
                <w:sz w:val="20"/>
                <w:szCs w:val="20"/>
              </w:rPr>
              <w:t xml:space="preserve">Above </w:t>
            </w:r>
          </w:p>
          <w:p w14:paraId="16A4DF1D" w14:textId="77777777" w:rsidR="00E73C9D" w:rsidRPr="003B10BC" w:rsidRDefault="00C57731">
            <w:pPr>
              <w:pStyle w:val="Body"/>
              <w:spacing w:after="0"/>
              <w:rPr>
                <w:rFonts w:cs="Arial"/>
                <w:sz w:val="20"/>
                <w:szCs w:val="20"/>
              </w:rPr>
            </w:pPr>
            <w:r w:rsidRPr="003B10BC">
              <w:rPr>
                <w:rFonts w:eastAsia="Calibri" w:cs="Arial"/>
                <w:b/>
                <w:bCs/>
                <w:sz w:val="20"/>
                <w:szCs w:val="20"/>
              </w:rPr>
              <w:t>(+0.5%)</w:t>
            </w:r>
          </w:p>
        </w:tc>
        <w:tc>
          <w:tcPr>
            <w:tcW w:w="1502"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14:paraId="4E101FCB" w14:textId="77777777" w:rsidR="00E73C9D" w:rsidRPr="003B10BC" w:rsidRDefault="00C57731">
            <w:pPr>
              <w:pStyle w:val="Body"/>
              <w:spacing w:after="0"/>
              <w:rPr>
                <w:rFonts w:eastAsia="Calibri" w:cs="Arial"/>
                <w:b/>
                <w:bCs/>
                <w:sz w:val="20"/>
                <w:szCs w:val="20"/>
              </w:rPr>
            </w:pPr>
            <w:r w:rsidRPr="003B10BC">
              <w:rPr>
                <w:rFonts w:eastAsia="Calibri" w:cs="Arial"/>
                <w:b/>
                <w:bCs/>
                <w:sz w:val="20"/>
                <w:szCs w:val="20"/>
              </w:rPr>
              <w:t>Below</w:t>
            </w:r>
          </w:p>
          <w:p w14:paraId="5BA09ACB" w14:textId="77777777" w:rsidR="00E73C9D" w:rsidRPr="003B10BC" w:rsidRDefault="00C57731">
            <w:pPr>
              <w:pStyle w:val="Body"/>
              <w:spacing w:after="0"/>
              <w:rPr>
                <w:rFonts w:cs="Arial"/>
                <w:sz w:val="20"/>
                <w:szCs w:val="20"/>
              </w:rPr>
            </w:pPr>
            <w:r w:rsidRPr="003B10BC">
              <w:rPr>
                <w:rFonts w:eastAsia="Calibri" w:cs="Arial"/>
                <w:b/>
                <w:bCs/>
                <w:sz w:val="20"/>
                <w:szCs w:val="20"/>
              </w:rPr>
              <w:t>(-0.5%)</w:t>
            </w:r>
          </w:p>
        </w:tc>
        <w:tc>
          <w:tcPr>
            <w:tcW w:w="1507"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14:paraId="3B5F34BD" w14:textId="77777777" w:rsidR="00E73C9D" w:rsidRPr="003B10BC" w:rsidRDefault="00C57731">
            <w:pPr>
              <w:pStyle w:val="Body"/>
              <w:spacing w:after="0"/>
              <w:rPr>
                <w:rFonts w:eastAsia="Calibri" w:cs="Arial"/>
                <w:b/>
                <w:bCs/>
                <w:sz w:val="20"/>
                <w:szCs w:val="20"/>
              </w:rPr>
            </w:pPr>
            <w:r w:rsidRPr="003B10BC">
              <w:rPr>
                <w:rFonts w:eastAsia="Calibri" w:cs="Arial"/>
                <w:b/>
                <w:bCs/>
                <w:sz w:val="20"/>
                <w:szCs w:val="20"/>
              </w:rPr>
              <w:t>Above</w:t>
            </w:r>
          </w:p>
          <w:p w14:paraId="4E770C14" w14:textId="77777777" w:rsidR="00E73C9D" w:rsidRPr="003B10BC" w:rsidRDefault="00C57731">
            <w:pPr>
              <w:pStyle w:val="Body"/>
              <w:spacing w:after="0"/>
              <w:rPr>
                <w:rFonts w:cs="Arial"/>
                <w:sz w:val="20"/>
                <w:szCs w:val="20"/>
              </w:rPr>
            </w:pPr>
            <w:r w:rsidRPr="003B10BC">
              <w:rPr>
                <w:rFonts w:eastAsia="Calibri" w:cs="Arial"/>
                <w:b/>
                <w:bCs/>
                <w:sz w:val="20"/>
                <w:szCs w:val="20"/>
              </w:rPr>
              <w:t>(+0.5%)</w:t>
            </w:r>
          </w:p>
        </w:tc>
        <w:tc>
          <w:tcPr>
            <w:tcW w:w="1343"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14:paraId="481737CD" w14:textId="77777777" w:rsidR="00E73C9D" w:rsidRPr="003B10BC" w:rsidRDefault="00E73C9D">
            <w:pPr>
              <w:rPr>
                <w:rFonts w:ascii="Arial" w:hAnsi="Arial" w:cs="Arial"/>
                <w:sz w:val="20"/>
                <w:szCs w:val="20"/>
              </w:rPr>
            </w:pPr>
          </w:p>
        </w:tc>
      </w:tr>
      <w:tr w:rsidR="00E73C9D" w14:paraId="5E72170E" w14:textId="77777777">
        <w:trPr>
          <w:trHeight w:val="890"/>
        </w:trPr>
        <w:tc>
          <w:tcPr>
            <w:tcW w:w="16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A4E1223" w14:textId="77777777" w:rsidR="00E73C9D" w:rsidRPr="003B10BC" w:rsidRDefault="00E73C9D">
            <w:pPr>
              <w:rPr>
                <w:rFonts w:ascii="Arial" w:hAnsi="Arial" w:cs="Arial"/>
                <w:sz w:val="20"/>
                <w:szCs w:val="20"/>
              </w:rPr>
            </w:pPr>
          </w:p>
        </w:tc>
        <w:tc>
          <w:tcPr>
            <w:tcW w:w="15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01AA46D" w14:textId="77777777" w:rsidR="00E73C9D" w:rsidRPr="003B10BC" w:rsidRDefault="00C57731">
            <w:pPr>
              <w:pStyle w:val="Body"/>
              <w:spacing w:after="0"/>
              <w:rPr>
                <w:rFonts w:cs="Arial"/>
                <w:sz w:val="20"/>
                <w:szCs w:val="20"/>
              </w:rPr>
            </w:pPr>
            <w:r w:rsidRPr="003B10BC">
              <w:rPr>
                <w:rFonts w:eastAsia="Calibri" w:cs="Arial"/>
                <w:b/>
                <w:bCs/>
                <w:sz w:val="20"/>
                <w:szCs w:val="20"/>
              </w:rPr>
              <w:t>N</w:t>
            </w:r>
          </w:p>
        </w:tc>
        <w:tc>
          <w:tcPr>
            <w:tcW w:w="15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922D005" w14:textId="77777777" w:rsidR="00E73C9D" w:rsidRPr="003B10BC" w:rsidRDefault="00C57731">
            <w:pPr>
              <w:pStyle w:val="Body"/>
              <w:spacing w:after="0"/>
              <w:rPr>
                <w:rFonts w:cs="Arial"/>
                <w:sz w:val="20"/>
                <w:szCs w:val="20"/>
              </w:rPr>
            </w:pPr>
            <w:r w:rsidRPr="003B10BC">
              <w:rPr>
                <w:rFonts w:eastAsia="Calibri" w:cs="Arial"/>
                <w:b/>
                <w:bCs/>
                <w:sz w:val="20"/>
                <w:szCs w:val="20"/>
              </w:rPr>
              <w:t>N</w:t>
            </w:r>
          </w:p>
        </w:tc>
        <w:tc>
          <w:tcPr>
            <w:tcW w:w="15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7935BA2" w14:textId="77777777" w:rsidR="00E73C9D" w:rsidRPr="003B10BC" w:rsidRDefault="00C57731">
            <w:pPr>
              <w:pStyle w:val="Body"/>
              <w:spacing w:after="0"/>
              <w:rPr>
                <w:rFonts w:cs="Arial"/>
                <w:sz w:val="20"/>
                <w:szCs w:val="20"/>
              </w:rPr>
            </w:pPr>
            <w:r w:rsidRPr="003B10BC">
              <w:rPr>
                <w:rFonts w:eastAsia="Calibri" w:cs="Arial"/>
                <w:b/>
                <w:bCs/>
                <w:sz w:val="20"/>
                <w:szCs w:val="20"/>
              </w:rPr>
              <w:t>Mean or %</w:t>
            </w:r>
          </w:p>
        </w:tc>
        <w:tc>
          <w:tcPr>
            <w:tcW w:w="150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B2F2D97" w14:textId="77777777" w:rsidR="00E73C9D" w:rsidRPr="003B10BC" w:rsidRDefault="00C57731">
            <w:pPr>
              <w:pStyle w:val="Body"/>
              <w:spacing w:after="0"/>
              <w:rPr>
                <w:rFonts w:cs="Arial"/>
                <w:sz w:val="20"/>
                <w:szCs w:val="20"/>
              </w:rPr>
            </w:pPr>
            <w:r w:rsidRPr="003B10BC">
              <w:rPr>
                <w:rFonts w:eastAsia="Calibri" w:cs="Arial"/>
                <w:b/>
                <w:bCs/>
                <w:sz w:val="20"/>
                <w:szCs w:val="20"/>
              </w:rPr>
              <w:t>Mean or %</w:t>
            </w:r>
          </w:p>
        </w:tc>
        <w:tc>
          <w:tcPr>
            <w:tcW w:w="134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BF4EE98" w14:textId="77777777" w:rsidR="00E73C9D" w:rsidRPr="003B10BC" w:rsidRDefault="00C57731">
            <w:pPr>
              <w:pStyle w:val="Body"/>
              <w:spacing w:after="0"/>
              <w:rPr>
                <w:rFonts w:cs="Arial"/>
                <w:sz w:val="20"/>
                <w:szCs w:val="20"/>
              </w:rPr>
            </w:pPr>
            <w:r w:rsidRPr="003B10BC">
              <w:rPr>
                <w:rFonts w:eastAsia="Calibri" w:cs="Arial"/>
                <w:b/>
                <w:bCs/>
                <w:sz w:val="20"/>
                <w:szCs w:val="20"/>
              </w:rPr>
              <w:t xml:space="preserve">Statistical test </w:t>
            </w:r>
          </w:p>
        </w:tc>
      </w:tr>
      <w:tr w:rsidR="00E73C9D" w14:paraId="3CEF7261" w14:textId="77777777">
        <w:trPr>
          <w:trHeight w:val="560"/>
        </w:trPr>
        <w:tc>
          <w:tcPr>
            <w:tcW w:w="16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9EB6C1F" w14:textId="77777777" w:rsidR="00E73C9D" w:rsidRPr="003B10BC" w:rsidRDefault="00C57731">
            <w:pPr>
              <w:pStyle w:val="Body"/>
              <w:spacing w:after="0"/>
              <w:rPr>
                <w:rFonts w:cs="Arial"/>
                <w:sz w:val="20"/>
                <w:szCs w:val="20"/>
              </w:rPr>
            </w:pPr>
            <w:r w:rsidRPr="003B10BC">
              <w:rPr>
                <w:rFonts w:eastAsia="Calibri" w:cs="Arial"/>
                <w:sz w:val="20"/>
                <w:szCs w:val="20"/>
              </w:rPr>
              <w:t xml:space="preserve">Prognostic – in PREDICT </w:t>
            </w:r>
          </w:p>
        </w:tc>
        <w:tc>
          <w:tcPr>
            <w:tcW w:w="15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79FBAA7" w14:textId="77777777" w:rsidR="00E73C9D" w:rsidRPr="003B10BC" w:rsidRDefault="00E73C9D">
            <w:pPr>
              <w:rPr>
                <w:rFonts w:ascii="Arial" w:hAnsi="Arial" w:cs="Arial"/>
                <w:sz w:val="20"/>
                <w:szCs w:val="20"/>
              </w:rPr>
            </w:pPr>
          </w:p>
        </w:tc>
        <w:tc>
          <w:tcPr>
            <w:tcW w:w="15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5C866E6" w14:textId="77777777" w:rsidR="00E73C9D" w:rsidRPr="003B10BC" w:rsidRDefault="00E73C9D">
            <w:pPr>
              <w:rPr>
                <w:rFonts w:ascii="Arial" w:hAnsi="Arial" w:cs="Arial"/>
                <w:sz w:val="20"/>
                <w:szCs w:val="20"/>
              </w:rPr>
            </w:pPr>
          </w:p>
        </w:tc>
        <w:tc>
          <w:tcPr>
            <w:tcW w:w="15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4202AF1" w14:textId="77777777" w:rsidR="00E73C9D" w:rsidRPr="003B10BC" w:rsidRDefault="00E73C9D">
            <w:pPr>
              <w:rPr>
                <w:rFonts w:ascii="Arial" w:hAnsi="Arial" w:cs="Arial"/>
                <w:sz w:val="20"/>
                <w:szCs w:val="20"/>
              </w:rPr>
            </w:pPr>
          </w:p>
        </w:tc>
        <w:tc>
          <w:tcPr>
            <w:tcW w:w="150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11C51E5" w14:textId="77777777" w:rsidR="00E73C9D" w:rsidRPr="003B10BC" w:rsidRDefault="00E73C9D">
            <w:pPr>
              <w:rPr>
                <w:rFonts w:ascii="Arial" w:hAnsi="Arial" w:cs="Arial"/>
                <w:sz w:val="20"/>
                <w:szCs w:val="20"/>
              </w:rPr>
            </w:pPr>
          </w:p>
        </w:tc>
        <w:tc>
          <w:tcPr>
            <w:tcW w:w="134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67E78DD" w14:textId="77777777" w:rsidR="00E73C9D" w:rsidRPr="003B10BC" w:rsidRDefault="00E73C9D">
            <w:pPr>
              <w:rPr>
                <w:rFonts w:ascii="Arial" w:hAnsi="Arial" w:cs="Arial"/>
                <w:sz w:val="20"/>
                <w:szCs w:val="20"/>
              </w:rPr>
            </w:pPr>
          </w:p>
        </w:tc>
      </w:tr>
      <w:tr w:rsidR="00E73C9D" w14:paraId="0FC1B590" w14:textId="77777777">
        <w:trPr>
          <w:trHeight w:val="235"/>
        </w:trPr>
        <w:tc>
          <w:tcPr>
            <w:tcW w:w="1656" w:type="dxa"/>
            <w:tcBorders>
              <w:top w:val="single" w:sz="4" w:space="0" w:color="000000"/>
              <w:left w:val="nil"/>
              <w:bottom w:val="nil"/>
              <w:right w:val="nil"/>
            </w:tcBorders>
            <w:shd w:val="clear" w:color="auto" w:fill="auto"/>
            <w:tcMar>
              <w:top w:w="80" w:type="dxa"/>
              <w:left w:w="80" w:type="dxa"/>
              <w:bottom w:w="80" w:type="dxa"/>
              <w:right w:w="80" w:type="dxa"/>
            </w:tcMar>
          </w:tcPr>
          <w:p w14:paraId="4903C0A4" w14:textId="77777777" w:rsidR="00E73C9D" w:rsidRPr="003B10BC" w:rsidRDefault="00C57731">
            <w:pPr>
              <w:pStyle w:val="Body"/>
              <w:spacing w:after="0"/>
              <w:rPr>
                <w:rFonts w:cs="Arial"/>
                <w:sz w:val="20"/>
                <w:szCs w:val="20"/>
              </w:rPr>
            </w:pPr>
            <w:r w:rsidRPr="003B10BC">
              <w:rPr>
                <w:rFonts w:eastAsia="Calibri" w:cs="Arial"/>
                <w:sz w:val="20"/>
                <w:szCs w:val="20"/>
              </w:rPr>
              <w:t>Age</w:t>
            </w:r>
          </w:p>
        </w:tc>
        <w:tc>
          <w:tcPr>
            <w:tcW w:w="1502" w:type="dxa"/>
            <w:tcBorders>
              <w:top w:val="single" w:sz="4" w:space="0" w:color="000000"/>
              <w:left w:val="nil"/>
              <w:bottom w:val="nil"/>
              <w:right w:val="nil"/>
            </w:tcBorders>
            <w:shd w:val="clear" w:color="auto" w:fill="auto"/>
            <w:tcMar>
              <w:top w:w="80" w:type="dxa"/>
              <w:left w:w="80" w:type="dxa"/>
              <w:bottom w:w="80" w:type="dxa"/>
              <w:right w:w="80" w:type="dxa"/>
            </w:tcMar>
          </w:tcPr>
          <w:p w14:paraId="30021F68" w14:textId="77777777" w:rsidR="00E73C9D" w:rsidRPr="003B10BC" w:rsidRDefault="00C57731">
            <w:pPr>
              <w:pStyle w:val="Body"/>
              <w:spacing w:after="0"/>
              <w:rPr>
                <w:rFonts w:cs="Arial"/>
                <w:sz w:val="20"/>
                <w:szCs w:val="20"/>
              </w:rPr>
            </w:pPr>
            <w:r w:rsidRPr="003B10BC">
              <w:rPr>
                <w:rFonts w:eastAsia="Calibri" w:cs="Arial"/>
                <w:sz w:val="20"/>
                <w:szCs w:val="20"/>
              </w:rPr>
              <w:t>1,856</w:t>
            </w:r>
          </w:p>
        </w:tc>
        <w:tc>
          <w:tcPr>
            <w:tcW w:w="1506" w:type="dxa"/>
            <w:tcBorders>
              <w:top w:val="single" w:sz="4" w:space="0" w:color="000000"/>
              <w:left w:val="nil"/>
              <w:bottom w:val="nil"/>
              <w:right w:val="nil"/>
            </w:tcBorders>
            <w:shd w:val="clear" w:color="auto" w:fill="auto"/>
            <w:tcMar>
              <w:top w:w="80" w:type="dxa"/>
              <w:left w:w="80" w:type="dxa"/>
              <w:bottom w:w="80" w:type="dxa"/>
              <w:right w:w="80" w:type="dxa"/>
            </w:tcMar>
          </w:tcPr>
          <w:p w14:paraId="5C7BABBA" w14:textId="77777777" w:rsidR="00E73C9D" w:rsidRPr="003B10BC" w:rsidRDefault="00C57731">
            <w:pPr>
              <w:pStyle w:val="Body"/>
              <w:spacing w:after="0"/>
              <w:rPr>
                <w:rFonts w:cs="Arial"/>
                <w:sz w:val="20"/>
                <w:szCs w:val="20"/>
              </w:rPr>
            </w:pPr>
            <w:r w:rsidRPr="003B10BC">
              <w:rPr>
                <w:rFonts w:eastAsia="Calibri" w:cs="Arial"/>
                <w:sz w:val="20"/>
                <w:szCs w:val="20"/>
              </w:rPr>
              <w:t>1,363</w:t>
            </w:r>
          </w:p>
        </w:tc>
        <w:tc>
          <w:tcPr>
            <w:tcW w:w="1502" w:type="dxa"/>
            <w:tcBorders>
              <w:top w:val="single" w:sz="4" w:space="0" w:color="000000"/>
              <w:left w:val="nil"/>
              <w:bottom w:val="nil"/>
              <w:right w:val="nil"/>
            </w:tcBorders>
            <w:shd w:val="clear" w:color="auto" w:fill="auto"/>
            <w:tcMar>
              <w:top w:w="80" w:type="dxa"/>
              <w:left w:w="80" w:type="dxa"/>
              <w:bottom w:w="80" w:type="dxa"/>
              <w:right w:w="80" w:type="dxa"/>
            </w:tcMar>
          </w:tcPr>
          <w:p w14:paraId="0F77DB56" w14:textId="77777777" w:rsidR="00E73C9D" w:rsidRPr="003B10BC" w:rsidRDefault="00C57731">
            <w:pPr>
              <w:pStyle w:val="Body"/>
              <w:spacing w:after="0"/>
              <w:rPr>
                <w:rFonts w:cs="Arial"/>
                <w:sz w:val="20"/>
                <w:szCs w:val="20"/>
              </w:rPr>
            </w:pPr>
            <w:r w:rsidRPr="003B10BC">
              <w:rPr>
                <w:rFonts w:eastAsia="Calibri" w:cs="Arial"/>
                <w:sz w:val="20"/>
                <w:szCs w:val="20"/>
              </w:rPr>
              <w:t>61.9</w:t>
            </w:r>
          </w:p>
        </w:tc>
        <w:tc>
          <w:tcPr>
            <w:tcW w:w="1507" w:type="dxa"/>
            <w:tcBorders>
              <w:top w:val="single" w:sz="4" w:space="0" w:color="000000"/>
              <w:left w:val="nil"/>
              <w:bottom w:val="nil"/>
              <w:right w:val="nil"/>
            </w:tcBorders>
            <w:shd w:val="clear" w:color="auto" w:fill="auto"/>
            <w:tcMar>
              <w:top w:w="80" w:type="dxa"/>
              <w:left w:w="80" w:type="dxa"/>
              <w:bottom w:w="80" w:type="dxa"/>
              <w:right w:w="80" w:type="dxa"/>
            </w:tcMar>
          </w:tcPr>
          <w:p w14:paraId="042620C7" w14:textId="77777777" w:rsidR="00E73C9D" w:rsidRPr="003B10BC" w:rsidRDefault="00C57731">
            <w:pPr>
              <w:pStyle w:val="Body"/>
              <w:spacing w:after="0"/>
              <w:rPr>
                <w:rFonts w:cs="Arial"/>
                <w:sz w:val="20"/>
                <w:szCs w:val="20"/>
              </w:rPr>
            </w:pPr>
            <w:r w:rsidRPr="003B10BC">
              <w:rPr>
                <w:rFonts w:eastAsia="Calibri" w:cs="Arial"/>
                <w:sz w:val="20"/>
                <w:szCs w:val="20"/>
              </w:rPr>
              <w:t>62.5</w:t>
            </w:r>
          </w:p>
        </w:tc>
        <w:tc>
          <w:tcPr>
            <w:tcW w:w="1343" w:type="dxa"/>
            <w:tcBorders>
              <w:top w:val="single" w:sz="4" w:space="0" w:color="000000"/>
              <w:left w:val="nil"/>
              <w:bottom w:val="nil"/>
              <w:right w:val="nil"/>
            </w:tcBorders>
            <w:shd w:val="clear" w:color="auto" w:fill="auto"/>
            <w:tcMar>
              <w:top w:w="80" w:type="dxa"/>
              <w:left w:w="80" w:type="dxa"/>
              <w:bottom w:w="80" w:type="dxa"/>
              <w:right w:w="80" w:type="dxa"/>
            </w:tcMar>
          </w:tcPr>
          <w:p w14:paraId="45C41E0D" w14:textId="77777777" w:rsidR="00E73C9D" w:rsidRPr="003B10BC" w:rsidRDefault="00E73C9D">
            <w:pPr>
              <w:rPr>
                <w:rFonts w:ascii="Arial" w:hAnsi="Arial" w:cs="Arial"/>
                <w:sz w:val="20"/>
                <w:szCs w:val="20"/>
              </w:rPr>
            </w:pPr>
          </w:p>
        </w:tc>
      </w:tr>
      <w:tr w:rsidR="00E73C9D" w14:paraId="7D614837" w14:textId="77777777">
        <w:trPr>
          <w:trHeight w:val="570"/>
        </w:trPr>
        <w:tc>
          <w:tcPr>
            <w:tcW w:w="1656" w:type="dxa"/>
            <w:tcBorders>
              <w:top w:val="nil"/>
              <w:left w:val="nil"/>
              <w:bottom w:val="nil"/>
              <w:right w:val="nil"/>
            </w:tcBorders>
            <w:shd w:val="clear" w:color="auto" w:fill="auto"/>
            <w:tcMar>
              <w:top w:w="80" w:type="dxa"/>
              <w:left w:w="80" w:type="dxa"/>
              <w:bottom w:w="80" w:type="dxa"/>
              <w:right w:w="80" w:type="dxa"/>
            </w:tcMar>
          </w:tcPr>
          <w:p w14:paraId="155F0AD0" w14:textId="77777777" w:rsidR="00E73C9D" w:rsidRPr="003B10BC" w:rsidRDefault="00C57731">
            <w:pPr>
              <w:pStyle w:val="Body"/>
              <w:spacing w:after="0"/>
              <w:rPr>
                <w:rFonts w:cs="Arial"/>
                <w:sz w:val="20"/>
                <w:szCs w:val="20"/>
              </w:rPr>
            </w:pPr>
            <w:r w:rsidRPr="003B10BC">
              <w:rPr>
                <w:rFonts w:eastAsia="Calibri" w:cs="Arial"/>
                <w:sz w:val="20"/>
                <w:szCs w:val="20"/>
              </w:rPr>
              <w:t>Screen detected (%)</w:t>
            </w:r>
          </w:p>
        </w:tc>
        <w:tc>
          <w:tcPr>
            <w:tcW w:w="1502" w:type="dxa"/>
            <w:tcBorders>
              <w:top w:val="nil"/>
              <w:left w:val="nil"/>
              <w:bottom w:val="nil"/>
              <w:right w:val="nil"/>
            </w:tcBorders>
            <w:shd w:val="clear" w:color="auto" w:fill="auto"/>
            <w:tcMar>
              <w:top w:w="80" w:type="dxa"/>
              <w:left w:w="80" w:type="dxa"/>
              <w:bottom w:w="80" w:type="dxa"/>
              <w:right w:w="80" w:type="dxa"/>
            </w:tcMar>
          </w:tcPr>
          <w:p w14:paraId="7A2E9B8F" w14:textId="77777777" w:rsidR="00E73C9D" w:rsidRPr="003B10BC" w:rsidRDefault="00C57731">
            <w:pPr>
              <w:pStyle w:val="Body"/>
              <w:spacing w:after="0"/>
              <w:rPr>
                <w:rFonts w:cs="Arial"/>
                <w:sz w:val="20"/>
                <w:szCs w:val="20"/>
              </w:rPr>
            </w:pPr>
            <w:r w:rsidRPr="003B10BC">
              <w:rPr>
                <w:rFonts w:eastAsia="Calibri" w:cs="Arial"/>
                <w:sz w:val="20"/>
                <w:szCs w:val="20"/>
              </w:rPr>
              <w:t>1,847</w:t>
            </w:r>
          </w:p>
        </w:tc>
        <w:tc>
          <w:tcPr>
            <w:tcW w:w="1506" w:type="dxa"/>
            <w:tcBorders>
              <w:top w:val="nil"/>
              <w:left w:val="nil"/>
              <w:bottom w:val="nil"/>
              <w:right w:val="nil"/>
            </w:tcBorders>
            <w:shd w:val="clear" w:color="auto" w:fill="auto"/>
            <w:tcMar>
              <w:top w:w="80" w:type="dxa"/>
              <w:left w:w="80" w:type="dxa"/>
              <w:bottom w:w="80" w:type="dxa"/>
              <w:right w:w="80" w:type="dxa"/>
            </w:tcMar>
          </w:tcPr>
          <w:p w14:paraId="6912C085" w14:textId="77777777" w:rsidR="00E73C9D" w:rsidRPr="003B10BC" w:rsidRDefault="00C57731">
            <w:pPr>
              <w:pStyle w:val="Body"/>
              <w:spacing w:after="0"/>
              <w:rPr>
                <w:rFonts w:cs="Arial"/>
                <w:sz w:val="20"/>
                <w:szCs w:val="20"/>
              </w:rPr>
            </w:pPr>
            <w:r w:rsidRPr="003B10BC">
              <w:rPr>
                <w:rFonts w:eastAsia="Calibri" w:cs="Arial"/>
                <w:sz w:val="20"/>
                <w:szCs w:val="20"/>
              </w:rPr>
              <w:t>1,346</w:t>
            </w:r>
          </w:p>
        </w:tc>
        <w:tc>
          <w:tcPr>
            <w:tcW w:w="1502" w:type="dxa"/>
            <w:tcBorders>
              <w:top w:val="nil"/>
              <w:left w:val="nil"/>
              <w:bottom w:val="nil"/>
              <w:right w:val="nil"/>
            </w:tcBorders>
            <w:shd w:val="clear" w:color="auto" w:fill="auto"/>
            <w:tcMar>
              <w:top w:w="80" w:type="dxa"/>
              <w:left w:w="80" w:type="dxa"/>
              <w:bottom w:w="80" w:type="dxa"/>
              <w:right w:w="80" w:type="dxa"/>
            </w:tcMar>
          </w:tcPr>
          <w:p w14:paraId="0F70AD06" w14:textId="77777777" w:rsidR="00E73C9D" w:rsidRPr="003B10BC" w:rsidRDefault="00C57731">
            <w:pPr>
              <w:pStyle w:val="Body"/>
              <w:spacing w:after="0"/>
              <w:rPr>
                <w:rFonts w:cs="Arial"/>
                <w:sz w:val="20"/>
                <w:szCs w:val="20"/>
              </w:rPr>
            </w:pPr>
            <w:r w:rsidRPr="003B10BC">
              <w:rPr>
                <w:rFonts w:eastAsia="Calibri" w:cs="Arial"/>
                <w:sz w:val="20"/>
                <w:szCs w:val="20"/>
              </w:rPr>
              <w:t>15</w:t>
            </w:r>
          </w:p>
        </w:tc>
        <w:tc>
          <w:tcPr>
            <w:tcW w:w="1507" w:type="dxa"/>
            <w:tcBorders>
              <w:top w:val="nil"/>
              <w:left w:val="nil"/>
              <w:bottom w:val="nil"/>
              <w:right w:val="nil"/>
            </w:tcBorders>
            <w:shd w:val="clear" w:color="auto" w:fill="auto"/>
            <w:tcMar>
              <w:top w:w="80" w:type="dxa"/>
              <w:left w:w="80" w:type="dxa"/>
              <w:bottom w:w="80" w:type="dxa"/>
              <w:right w:w="80" w:type="dxa"/>
            </w:tcMar>
          </w:tcPr>
          <w:p w14:paraId="70AA7892" w14:textId="77777777" w:rsidR="00E73C9D" w:rsidRPr="003B10BC" w:rsidRDefault="00C57731">
            <w:pPr>
              <w:pStyle w:val="Body"/>
              <w:spacing w:after="0"/>
              <w:rPr>
                <w:rFonts w:cs="Arial"/>
                <w:sz w:val="20"/>
                <w:szCs w:val="20"/>
              </w:rPr>
            </w:pPr>
            <w:r w:rsidRPr="003B10BC">
              <w:rPr>
                <w:rFonts w:eastAsia="Calibri" w:cs="Arial"/>
                <w:sz w:val="20"/>
                <w:szCs w:val="20"/>
              </w:rPr>
              <w:t>14.4</w:t>
            </w:r>
          </w:p>
        </w:tc>
        <w:tc>
          <w:tcPr>
            <w:tcW w:w="1343" w:type="dxa"/>
            <w:tcBorders>
              <w:top w:val="nil"/>
              <w:left w:val="nil"/>
              <w:bottom w:val="nil"/>
              <w:right w:val="nil"/>
            </w:tcBorders>
            <w:shd w:val="clear" w:color="auto" w:fill="auto"/>
            <w:tcMar>
              <w:top w:w="80" w:type="dxa"/>
              <w:left w:w="80" w:type="dxa"/>
              <w:bottom w:w="80" w:type="dxa"/>
              <w:right w:w="80" w:type="dxa"/>
            </w:tcMar>
          </w:tcPr>
          <w:p w14:paraId="56E07E7C" w14:textId="77777777" w:rsidR="00E73C9D" w:rsidRPr="003B10BC" w:rsidRDefault="00E73C9D">
            <w:pPr>
              <w:rPr>
                <w:rFonts w:ascii="Arial" w:hAnsi="Arial" w:cs="Arial"/>
                <w:sz w:val="20"/>
                <w:szCs w:val="20"/>
              </w:rPr>
            </w:pPr>
          </w:p>
        </w:tc>
      </w:tr>
      <w:tr w:rsidR="00E73C9D" w14:paraId="1487D731" w14:textId="77777777">
        <w:trPr>
          <w:trHeight w:val="240"/>
        </w:trPr>
        <w:tc>
          <w:tcPr>
            <w:tcW w:w="1656" w:type="dxa"/>
            <w:tcBorders>
              <w:top w:val="nil"/>
              <w:left w:val="nil"/>
              <w:bottom w:val="nil"/>
              <w:right w:val="nil"/>
            </w:tcBorders>
            <w:shd w:val="clear" w:color="auto" w:fill="auto"/>
            <w:tcMar>
              <w:top w:w="80" w:type="dxa"/>
              <w:left w:w="80" w:type="dxa"/>
              <w:bottom w:w="80" w:type="dxa"/>
              <w:right w:w="80" w:type="dxa"/>
            </w:tcMar>
          </w:tcPr>
          <w:p w14:paraId="181C58C6" w14:textId="77777777" w:rsidR="00E73C9D" w:rsidRPr="003B10BC" w:rsidRDefault="00C57731">
            <w:pPr>
              <w:pStyle w:val="Body"/>
              <w:spacing w:after="0"/>
              <w:rPr>
                <w:rFonts w:cs="Arial"/>
                <w:sz w:val="20"/>
                <w:szCs w:val="20"/>
              </w:rPr>
            </w:pPr>
            <w:r w:rsidRPr="003B10BC">
              <w:rPr>
                <w:rFonts w:eastAsia="Calibri" w:cs="Arial"/>
                <w:sz w:val="20"/>
                <w:szCs w:val="20"/>
              </w:rPr>
              <w:t>Tumour size</w:t>
            </w:r>
          </w:p>
        </w:tc>
        <w:tc>
          <w:tcPr>
            <w:tcW w:w="1502" w:type="dxa"/>
            <w:tcBorders>
              <w:top w:val="nil"/>
              <w:left w:val="nil"/>
              <w:bottom w:val="nil"/>
              <w:right w:val="nil"/>
            </w:tcBorders>
            <w:shd w:val="clear" w:color="auto" w:fill="auto"/>
            <w:tcMar>
              <w:top w:w="80" w:type="dxa"/>
              <w:left w:w="80" w:type="dxa"/>
              <w:bottom w:w="80" w:type="dxa"/>
              <w:right w:w="80" w:type="dxa"/>
            </w:tcMar>
          </w:tcPr>
          <w:p w14:paraId="128661E6" w14:textId="77777777" w:rsidR="00E73C9D" w:rsidRPr="003B10BC" w:rsidRDefault="00C57731">
            <w:pPr>
              <w:pStyle w:val="Body"/>
              <w:spacing w:after="0"/>
              <w:rPr>
                <w:rFonts w:cs="Arial"/>
                <w:sz w:val="20"/>
                <w:szCs w:val="20"/>
              </w:rPr>
            </w:pPr>
            <w:r w:rsidRPr="003B10BC">
              <w:rPr>
                <w:rFonts w:eastAsia="Calibri" w:cs="Arial"/>
                <w:sz w:val="20"/>
                <w:szCs w:val="20"/>
              </w:rPr>
              <w:t>1,856</w:t>
            </w:r>
          </w:p>
        </w:tc>
        <w:tc>
          <w:tcPr>
            <w:tcW w:w="1506" w:type="dxa"/>
            <w:tcBorders>
              <w:top w:val="nil"/>
              <w:left w:val="nil"/>
              <w:bottom w:val="nil"/>
              <w:right w:val="nil"/>
            </w:tcBorders>
            <w:shd w:val="clear" w:color="auto" w:fill="auto"/>
            <w:tcMar>
              <w:top w:w="80" w:type="dxa"/>
              <w:left w:w="80" w:type="dxa"/>
              <w:bottom w:w="80" w:type="dxa"/>
              <w:right w:w="80" w:type="dxa"/>
            </w:tcMar>
          </w:tcPr>
          <w:p w14:paraId="48667059" w14:textId="77777777" w:rsidR="00E73C9D" w:rsidRPr="003B10BC" w:rsidRDefault="00C57731">
            <w:pPr>
              <w:pStyle w:val="Body"/>
              <w:spacing w:after="0"/>
              <w:rPr>
                <w:rFonts w:cs="Arial"/>
                <w:sz w:val="20"/>
                <w:szCs w:val="20"/>
              </w:rPr>
            </w:pPr>
            <w:r w:rsidRPr="003B10BC">
              <w:rPr>
                <w:rFonts w:eastAsia="Calibri" w:cs="Arial"/>
                <w:sz w:val="20"/>
                <w:szCs w:val="20"/>
              </w:rPr>
              <w:t>1,363</w:t>
            </w:r>
          </w:p>
        </w:tc>
        <w:tc>
          <w:tcPr>
            <w:tcW w:w="1502" w:type="dxa"/>
            <w:tcBorders>
              <w:top w:val="nil"/>
              <w:left w:val="nil"/>
              <w:bottom w:val="nil"/>
              <w:right w:val="nil"/>
            </w:tcBorders>
            <w:shd w:val="clear" w:color="auto" w:fill="auto"/>
            <w:tcMar>
              <w:top w:w="80" w:type="dxa"/>
              <w:left w:w="80" w:type="dxa"/>
              <w:bottom w:w="80" w:type="dxa"/>
              <w:right w:w="80" w:type="dxa"/>
            </w:tcMar>
          </w:tcPr>
          <w:p w14:paraId="1CF0DE3A" w14:textId="77777777" w:rsidR="00E73C9D" w:rsidRPr="003B10BC" w:rsidRDefault="00C57731">
            <w:pPr>
              <w:pStyle w:val="Body"/>
              <w:spacing w:after="0"/>
              <w:rPr>
                <w:rFonts w:cs="Arial"/>
                <w:sz w:val="20"/>
                <w:szCs w:val="20"/>
              </w:rPr>
            </w:pPr>
            <w:r w:rsidRPr="003B10BC">
              <w:rPr>
                <w:rFonts w:eastAsia="Calibri" w:cs="Arial"/>
                <w:sz w:val="20"/>
                <w:szCs w:val="20"/>
              </w:rPr>
              <w:t>27.9</w:t>
            </w:r>
          </w:p>
        </w:tc>
        <w:tc>
          <w:tcPr>
            <w:tcW w:w="1507" w:type="dxa"/>
            <w:tcBorders>
              <w:top w:val="nil"/>
              <w:left w:val="nil"/>
              <w:bottom w:val="nil"/>
              <w:right w:val="nil"/>
            </w:tcBorders>
            <w:shd w:val="clear" w:color="auto" w:fill="auto"/>
            <w:tcMar>
              <w:top w:w="80" w:type="dxa"/>
              <w:left w:w="80" w:type="dxa"/>
              <w:bottom w:w="80" w:type="dxa"/>
              <w:right w:w="80" w:type="dxa"/>
            </w:tcMar>
          </w:tcPr>
          <w:p w14:paraId="5F8A0D04" w14:textId="77777777" w:rsidR="00E73C9D" w:rsidRPr="003B10BC" w:rsidRDefault="00C57731">
            <w:pPr>
              <w:pStyle w:val="Body"/>
              <w:spacing w:after="0"/>
              <w:rPr>
                <w:rFonts w:cs="Arial"/>
                <w:sz w:val="20"/>
                <w:szCs w:val="20"/>
              </w:rPr>
            </w:pPr>
            <w:r w:rsidRPr="003B10BC">
              <w:rPr>
                <w:rFonts w:eastAsia="Calibri" w:cs="Arial"/>
                <w:sz w:val="20"/>
                <w:szCs w:val="20"/>
              </w:rPr>
              <w:t>30.9</w:t>
            </w:r>
          </w:p>
        </w:tc>
        <w:tc>
          <w:tcPr>
            <w:tcW w:w="1343" w:type="dxa"/>
            <w:tcBorders>
              <w:top w:val="nil"/>
              <w:left w:val="nil"/>
              <w:bottom w:val="nil"/>
              <w:right w:val="nil"/>
            </w:tcBorders>
            <w:shd w:val="clear" w:color="auto" w:fill="auto"/>
            <w:tcMar>
              <w:top w:w="80" w:type="dxa"/>
              <w:left w:w="80" w:type="dxa"/>
              <w:bottom w:w="80" w:type="dxa"/>
              <w:right w:w="80" w:type="dxa"/>
            </w:tcMar>
          </w:tcPr>
          <w:p w14:paraId="4E224A43" w14:textId="77777777" w:rsidR="00E73C9D" w:rsidRPr="003B10BC" w:rsidRDefault="00E73C9D">
            <w:pPr>
              <w:rPr>
                <w:rFonts w:ascii="Arial" w:hAnsi="Arial" w:cs="Arial"/>
                <w:sz w:val="20"/>
                <w:szCs w:val="20"/>
              </w:rPr>
            </w:pPr>
          </w:p>
        </w:tc>
      </w:tr>
      <w:tr w:rsidR="00E73C9D" w14:paraId="7321F6B9" w14:textId="77777777">
        <w:trPr>
          <w:trHeight w:val="570"/>
        </w:trPr>
        <w:tc>
          <w:tcPr>
            <w:tcW w:w="1656" w:type="dxa"/>
            <w:tcBorders>
              <w:top w:val="nil"/>
              <w:left w:val="nil"/>
              <w:bottom w:val="nil"/>
              <w:right w:val="nil"/>
            </w:tcBorders>
            <w:shd w:val="clear" w:color="auto" w:fill="auto"/>
            <w:tcMar>
              <w:top w:w="80" w:type="dxa"/>
              <w:left w:w="80" w:type="dxa"/>
              <w:bottom w:w="80" w:type="dxa"/>
              <w:right w:w="80" w:type="dxa"/>
            </w:tcMar>
          </w:tcPr>
          <w:p w14:paraId="3A572707" w14:textId="77777777" w:rsidR="00E73C9D" w:rsidRPr="003B10BC" w:rsidRDefault="00C57731">
            <w:pPr>
              <w:pStyle w:val="Body"/>
              <w:spacing w:after="0"/>
              <w:rPr>
                <w:rFonts w:cs="Arial"/>
                <w:sz w:val="20"/>
                <w:szCs w:val="20"/>
              </w:rPr>
            </w:pPr>
            <w:r w:rsidRPr="003B10BC">
              <w:rPr>
                <w:rFonts w:eastAsia="Calibri" w:cs="Arial"/>
                <w:sz w:val="20"/>
                <w:szCs w:val="20"/>
              </w:rPr>
              <w:t>Number of nodes positive</w:t>
            </w:r>
          </w:p>
        </w:tc>
        <w:tc>
          <w:tcPr>
            <w:tcW w:w="1502" w:type="dxa"/>
            <w:tcBorders>
              <w:top w:val="nil"/>
              <w:left w:val="nil"/>
              <w:bottom w:val="nil"/>
              <w:right w:val="nil"/>
            </w:tcBorders>
            <w:shd w:val="clear" w:color="auto" w:fill="auto"/>
            <w:tcMar>
              <w:top w:w="80" w:type="dxa"/>
              <w:left w:w="80" w:type="dxa"/>
              <w:bottom w:w="80" w:type="dxa"/>
              <w:right w:w="80" w:type="dxa"/>
            </w:tcMar>
          </w:tcPr>
          <w:p w14:paraId="3C81022C" w14:textId="77777777" w:rsidR="00E73C9D" w:rsidRPr="003B10BC" w:rsidRDefault="00C57731">
            <w:pPr>
              <w:pStyle w:val="Body"/>
              <w:spacing w:after="0"/>
              <w:rPr>
                <w:rFonts w:cs="Arial"/>
                <w:sz w:val="20"/>
                <w:szCs w:val="20"/>
              </w:rPr>
            </w:pPr>
            <w:r w:rsidRPr="003B10BC">
              <w:rPr>
                <w:rFonts w:eastAsia="Calibri" w:cs="Arial"/>
                <w:sz w:val="20"/>
                <w:szCs w:val="20"/>
              </w:rPr>
              <w:t>1,856</w:t>
            </w:r>
          </w:p>
        </w:tc>
        <w:tc>
          <w:tcPr>
            <w:tcW w:w="1506" w:type="dxa"/>
            <w:tcBorders>
              <w:top w:val="nil"/>
              <w:left w:val="nil"/>
              <w:bottom w:val="nil"/>
              <w:right w:val="nil"/>
            </w:tcBorders>
            <w:shd w:val="clear" w:color="auto" w:fill="auto"/>
            <w:tcMar>
              <w:top w:w="80" w:type="dxa"/>
              <w:left w:w="80" w:type="dxa"/>
              <w:bottom w:w="80" w:type="dxa"/>
              <w:right w:w="80" w:type="dxa"/>
            </w:tcMar>
          </w:tcPr>
          <w:p w14:paraId="3C3D2887" w14:textId="77777777" w:rsidR="00E73C9D" w:rsidRPr="003B10BC" w:rsidRDefault="00C57731">
            <w:pPr>
              <w:pStyle w:val="Body"/>
              <w:spacing w:after="0"/>
              <w:rPr>
                <w:rFonts w:cs="Arial"/>
                <w:sz w:val="20"/>
                <w:szCs w:val="20"/>
              </w:rPr>
            </w:pPr>
            <w:r w:rsidRPr="003B10BC">
              <w:rPr>
                <w:rFonts w:eastAsia="Calibri" w:cs="Arial"/>
                <w:sz w:val="20"/>
                <w:szCs w:val="20"/>
              </w:rPr>
              <w:t>1,363</w:t>
            </w:r>
          </w:p>
        </w:tc>
        <w:tc>
          <w:tcPr>
            <w:tcW w:w="1502" w:type="dxa"/>
            <w:tcBorders>
              <w:top w:val="nil"/>
              <w:left w:val="nil"/>
              <w:bottom w:val="nil"/>
              <w:right w:val="nil"/>
            </w:tcBorders>
            <w:shd w:val="clear" w:color="auto" w:fill="auto"/>
            <w:tcMar>
              <w:top w:w="80" w:type="dxa"/>
              <w:left w:w="80" w:type="dxa"/>
              <w:bottom w:w="80" w:type="dxa"/>
              <w:right w:w="80" w:type="dxa"/>
            </w:tcMar>
          </w:tcPr>
          <w:p w14:paraId="11489505" w14:textId="77777777" w:rsidR="00E73C9D" w:rsidRPr="003B10BC" w:rsidRDefault="00C57731">
            <w:pPr>
              <w:pStyle w:val="Body"/>
              <w:spacing w:after="0"/>
              <w:rPr>
                <w:rFonts w:cs="Arial"/>
                <w:sz w:val="20"/>
                <w:szCs w:val="20"/>
              </w:rPr>
            </w:pPr>
            <w:r w:rsidRPr="003B10BC">
              <w:rPr>
                <w:rFonts w:eastAsia="Calibri" w:cs="Arial"/>
                <w:sz w:val="20"/>
                <w:szCs w:val="20"/>
              </w:rPr>
              <w:t>1.8</w:t>
            </w:r>
          </w:p>
        </w:tc>
        <w:tc>
          <w:tcPr>
            <w:tcW w:w="1507" w:type="dxa"/>
            <w:tcBorders>
              <w:top w:val="nil"/>
              <w:left w:val="nil"/>
              <w:bottom w:val="nil"/>
              <w:right w:val="nil"/>
            </w:tcBorders>
            <w:shd w:val="clear" w:color="auto" w:fill="auto"/>
            <w:tcMar>
              <w:top w:w="80" w:type="dxa"/>
              <w:left w:w="80" w:type="dxa"/>
              <w:bottom w:w="80" w:type="dxa"/>
              <w:right w:w="80" w:type="dxa"/>
            </w:tcMar>
          </w:tcPr>
          <w:p w14:paraId="2889895B" w14:textId="77777777" w:rsidR="00E73C9D" w:rsidRPr="003B10BC" w:rsidRDefault="00C57731">
            <w:pPr>
              <w:pStyle w:val="Body"/>
              <w:spacing w:after="0"/>
              <w:rPr>
                <w:rFonts w:cs="Arial"/>
                <w:sz w:val="20"/>
                <w:szCs w:val="20"/>
              </w:rPr>
            </w:pPr>
            <w:r w:rsidRPr="003B10BC">
              <w:rPr>
                <w:rFonts w:eastAsia="Calibri" w:cs="Arial"/>
                <w:sz w:val="20"/>
                <w:szCs w:val="20"/>
              </w:rPr>
              <w:t>2.7</w:t>
            </w:r>
          </w:p>
        </w:tc>
        <w:tc>
          <w:tcPr>
            <w:tcW w:w="1343" w:type="dxa"/>
            <w:tcBorders>
              <w:top w:val="nil"/>
              <w:left w:val="nil"/>
              <w:bottom w:val="nil"/>
              <w:right w:val="nil"/>
            </w:tcBorders>
            <w:shd w:val="clear" w:color="auto" w:fill="auto"/>
            <w:tcMar>
              <w:top w:w="80" w:type="dxa"/>
              <w:left w:w="80" w:type="dxa"/>
              <w:bottom w:w="80" w:type="dxa"/>
              <w:right w:w="80" w:type="dxa"/>
            </w:tcMar>
          </w:tcPr>
          <w:p w14:paraId="3F6725CD" w14:textId="77777777" w:rsidR="00E73C9D" w:rsidRPr="003B10BC" w:rsidRDefault="00E73C9D">
            <w:pPr>
              <w:rPr>
                <w:rFonts w:ascii="Arial" w:hAnsi="Arial" w:cs="Arial"/>
                <w:sz w:val="20"/>
                <w:szCs w:val="20"/>
              </w:rPr>
            </w:pPr>
          </w:p>
        </w:tc>
      </w:tr>
      <w:tr w:rsidR="00E73C9D" w14:paraId="449B6B65" w14:textId="77777777">
        <w:trPr>
          <w:trHeight w:val="240"/>
        </w:trPr>
        <w:tc>
          <w:tcPr>
            <w:tcW w:w="1656" w:type="dxa"/>
            <w:tcBorders>
              <w:top w:val="nil"/>
              <w:left w:val="nil"/>
              <w:bottom w:val="nil"/>
              <w:right w:val="nil"/>
            </w:tcBorders>
            <w:shd w:val="clear" w:color="auto" w:fill="auto"/>
            <w:tcMar>
              <w:top w:w="80" w:type="dxa"/>
              <w:left w:w="80" w:type="dxa"/>
              <w:bottom w:w="80" w:type="dxa"/>
              <w:right w:w="80" w:type="dxa"/>
            </w:tcMar>
          </w:tcPr>
          <w:p w14:paraId="7902FB75" w14:textId="77777777" w:rsidR="00E73C9D" w:rsidRPr="003B10BC" w:rsidRDefault="00C57731">
            <w:pPr>
              <w:pStyle w:val="Body"/>
              <w:spacing w:after="0"/>
              <w:rPr>
                <w:rFonts w:cs="Arial"/>
                <w:sz w:val="20"/>
                <w:szCs w:val="20"/>
              </w:rPr>
            </w:pPr>
            <w:r w:rsidRPr="003B10BC">
              <w:rPr>
                <w:rFonts w:eastAsia="Calibri" w:cs="Arial"/>
                <w:sz w:val="20"/>
                <w:szCs w:val="20"/>
              </w:rPr>
              <w:t>Grade   1 (%)</w:t>
            </w:r>
          </w:p>
        </w:tc>
        <w:tc>
          <w:tcPr>
            <w:tcW w:w="1502" w:type="dxa"/>
            <w:tcBorders>
              <w:top w:val="nil"/>
              <w:left w:val="nil"/>
              <w:bottom w:val="nil"/>
              <w:right w:val="nil"/>
            </w:tcBorders>
            <w:shd w:val="clear" w:color="auto" w:fill="auto"/>
            <w:tcMar>
              <w:top w:w="80" w:type="dxa"/>
              <w:left w:w="80" w:type="dxa"/>
              <w:bottom w:w="80" w:type="dxa"/>
              <w:right w:w="80" w:type="dxa"/>
            </w:tcMar>
          </w:tcPr>
          <w:p w14:paraId="0275B935" w14:textId="77777777" w:rsidR="00E73C9D" w:rsidRPr="003B10BC" w:rsidRDefault="00C57731">
            <w:pPr>
              <w:pStyle w:val="Body"/>
              <w:spacing w:after="0"/>
              <w:rPr>
                <w:rFonts w:cs="Arial"/>
                <w:sz w:val="20"/>
                <w:szCs w:val="20"/>
              </w:rPr>
            </w:pPr>
            <w:r w:rsidRPr="003B10BC">
              <w:rPr>
                <w:rFonts w:eastAsia="Calibri" w:cs="Arial"/>
                <w:sz w:val="20"/>
                <w:szCs w:val="20"/>
              </w:rPr>
              <w:t>1,849</w:t>
            </w:r>
          </w:p>
        </w:tc>
        <w:tc>
          <w:tcPr>
            <w:tcW w:w="1506" w:type="dxa"/>
            <w:tcBorders>
              <w:top w:val="nil"/>
              <w:left w:val="nil"/>
              <w:bottom w:val="nil"/>
              <w:right w:val="nil"/>
            </w:tcBorders>
            <w:shd w:val="clear" w:color="auto" w:fill="auto"/>
            <w:tcMar>
              <w:top w:w="80" w:type="dxa"/>
              <w:left w:w="80" w:type="dxa"/>
              <w:bottom w:w="80" w:type="dxa"/>
              <w:right w:w="80" w:type="dxa"/>
            </w:tcMar>
          </w:tcPr>
          <w:p w14:paraId="794EE9E9" w14:textId="77777777" w:rsidR="00E73C9D" w:rsidRPr="003B10BC" w:rsidRDefault="00C57731">
            <w:pPr>
              <w:pStyle w:val="Body"/>
              <w:spacing w:after="0"/>
              <w:rPr>
                <w:rFonts w:cs="Arial"/>
                <w:sz w:val="20"/>
                <w:szCs w:val="20"/>
              </w:rPr>
            </w:pPr>
            <w:r w:rsidRPr="003B10BC">
              <w:rPr>
                <w:rFonts w:eastAsia="Calibri" w:cs="Arial"/>
                <w:sz w:val="20"/>
                <w:szCs w:val="20"/>
              </w:rPr>
              <w:t>1,360</w:t>
            </w:r>
          </w:p>
        </w:tc>
        <w:tc>
          <w:tcPr>
            <w:tcW w:w="1502" w:type="dxa"/>
            <w:tcBorders>
              <w:top w:val="nil"/>
              <w:left w:val="nil"/>
              <w:bottom w:val="nil"/>
              <w:right w:val="nil"/>
            </w:tcBorders>
            <w:shd w:val="clear" w:color="auto" w:fill="auto"/>
            <w:tcMar>
              <w:top w:w="80" w:type="dxa"/>
              <w:left w:w="80" w:type="dxa"/>
              <w:bottom w:w="80" w:type="dxa"/>
              <w:right w:w="80" w:type="dxa"/>
            </w:tcMar>
          </w:tcPr>
          <w:p w14:paraId="637090AC" w14:textId="77777777" w:rsidR="00E73C9D" w:rsidRPr="003B10BC" w:rsidRDefault="00C57731">
            <w:pPr>
              <w:pStyle w:val="Body"/>
              <w:spacing w:after="0"/>
              <w:rPr>
                <w:rFonts w:cs="Arial"/>
                <w:sz w:val="20"/>
                <w:szCs w:val="20"/>
              </w:rPr>
            </w:pPr>
            <w:r w:rsidRPr="003B10BC">
              <w:rPr>
                <w:rFonts w:eastAsia="Calibri" w:cs="Arial"/>
                <w:sz w:val="20"/>
                <w:szCs w:val="20"/>
              </w:rPr>
              <w:t>0.5</w:t>
            </w:r>
          </w:p>
        </w:tc>
        <w:tc>
          <w:tcPr>
            <w:tcW w:w="1507" w:type="dxa"/>
            <w:tcBorders>
              <w:top w:val="nil"/>
              <w:left w:val="nil"/>
              <w:bottom w:val="nil"/>
              <w:right w:val="nil"/>
            </w:tcBorders>
            <w:shd w:val="clear" w:color="auto" w:fill="auto"/>
            <w:tcMar>
              <w:top w:w="80" w:type="dxa"/>
              <w:left w:w="80" w:type="dxa"/>
              <w:bottom w:w="80" w:type="dxa"/>
              <w:right w:w="80" w:type="dxa"/>
            </w:tcMar>
          </w:tcPr>
          <w:p w14:paraId="706AFF28" w14:textId="77777777" w:rsidR="00E73C9D" w:rsidRPr="003B10BC" w:rsidRDefault="00C57731">
            <w:pPr>
              <w:pStyle w:val="Body"/>
              <w:spacing w:after="0"/>
              <w:rPr>
                <w:rFonts w:cs="Arial"/>
                <w:sz w:val="20"/>
                <w:szCs w:val="20"/>
              </w:rPr>
            </w:pPr>
            <w:r w:rsidRPr="003B10BC">
              <w:rPr>
                <w:rFonts w:eastAsia="Calibri" w:cs="Arial"/>
                <w:sz w:val="20"/>
                <w:szCs w:val="20"/>
              </w:rPr>
              <w:t>0.2</w:t>
            </w:r>
          </w:p>
        </w:tc>
        <w:tc>
          <w:tcPr>
            <w:tcW w:w="1343" w:type="dxa"/>
            <w:tcBorders>
              <w:top w:val="nil"/>
              <w:left w:val="nil"/>
              <w:bottom w:val="nil"/>
              <w:right w:val="nil"/>
            </w:tcBorders>
            <w:shd w:val="clear" w:color="auto" w:fill="auto"/>
            <w:tcMar>
              <w:top w:w="80" w:type="dxa"/>
              <w:left w:w="80" w:type="dxa"/>
              <w:bottom w:w="80" w:type="dxa"/>
              <w:right w:w="80" w:type="dxa"/>
            </w:tcMar>
          </w:tcPr>
          <w:p w14:paraId="53CB9837" w14:textId="77777777" w:rsidR="00E73C9D" w:rsidRPr="003B10BC" w:rsidRDefault="00E73C9D">
            <w:pPr>
              <w:rPr>
                <w:rFonts w:ascii="Arial" w:hAnsi="Arial" w:cs="Arial"/>
                <w:sz w:val="20"/>
                <w:szCs w:val="20"/>
              </w:rPr>
            </w:pPr>
          </w:p>
        </w:tc>
      </w:tr>
      <w:tr w:rsidR="00E73C9D" w14:paraId="59D81B55" w14:textId="77777777">
        <w:trPr>
          <w:trHeight w:val="240"/>
        </w:trPr>
        <w:tc>
          <w:tcPr>
            <w:tcW w:w="1656" w:type="dxa"/>
            <w:tcBorders>
              <w:top w:val="nil"/>
              <w:left w:val="nil"/>
              <w:bottom w:val="nil"/>
              <w:right w:val="nil"/>
            </w:tcBorders>
            <w:shd w:val="clear" w:color="auto" w:fill="auto"/>
            <w:tcMar>
              <w:top w:w="80" w:type="dxa"/>
              <w:left w:w="80" w:type="dxa"/>
              <w:bottom w:w="80" w:type="dxa"/>
              <w:right w:w="80" w:type="dxa"/>
            </w:tcMar>
          </w:tcPr>
          <w:p w14:paraId="1973CD5F" w14:textId="77777777" w:rsidR="00E73C9D" w:rsidRPr="003B10BC" w:rsidRDefault="00C57731">
            <w:pPr>
              <w:pStyle w:val="Body"/>
              <w:spacing w:after="0"/>
              <w:rPr>
                <w:rFonts w:cs="Arial"/>
                <w:sz w:val="20"/>
                <w:szCs w:val="20"/>
              </w:rPr>
            </w:pPr>
            <w:r w:rsidRPr="003B10BC">
              <w:rPr>
                <w:rFonts w:eastAsia="Calibri" w:cs="Arial"/>
                <w:sz w:val="20"/>
                <w:szCs w:val="20"/>
              </w:rPr>
              <w:t>2</w:t>
            </w:r>
          </w:p>
        </w:tc>
        <w:tc>
          <w:tcPr>
            <w:tcW w:w="1502" w:type="dxa"/>
            <w:tcBorders>
              <w:top w:val="nil"/>
              <w:left w:val="nil"/>
              <w:bottom w:val="nil"/>
              <w:right w:val="nil"/>
            </w:tcBorders>
            <w:shd w:val="clear" w:color="auto" w:fill="auto"/>
            <w:tcMar>
              <w:top w:w="80" w:type="dxa"/>
              <w:left w:w="80" w:type="dxa"/>
              <w:bottom w:w="80" w:type="dxa"/>
              <w:right w:w="80" w:type="dxa"/>
            </w:tcMar>
          </w:tcPr>
          <w:p w14:paraId="0A9A7A86" w14:textId="77777777" w:rsidR="00E73C9D" w:rsidRPr="003B10BC" w:rsidRDefault="00E73C9D">
            <w:pPr>
              <w:rPr>
                <w:rFonts w:ascii="Arial" w:hAnsi="Arial" w:cs="Arial"/>
                <w:sz w:val="20"/>
                <w:szCs w:val="20"/>
              </w:rPr>
            </w:pPr>
          </w:p>
        </w:tc>
        <w:tc>
          <w:tcPr>
            <w:tcW w:w="1506" w:type="dxa"/>
            <w:tcBorders>
              <w:top w:val="nil"/>
              <w:left w:val="nil"/>
              <w:bottom w:val="nil"/>
              <w:right w:val="nil"/>
            </w:tcBorders>
            <w:shd w:val="clear" w:color="auto" w:fill="auto"/>
            <w:tcMar>
              <w:top w:w="80" w:type="dxa"/>
              <w:left w:w="80" w:type="dxa"/>
              <w:bottom w:w="80" w:type="dxa"/>
              <w:right w:w="80" w:type="dxa"/>
            </w:tcMar>
          </w:tcPr>
          <w:p w14:paraId="635B2551" w14:textId="77777777" w:rsidR="00E73C9D" w:rsidRPr="003B10BC" w:rsidRDefault="00E73C9D">
            <w:pPr>
              <w:rPr>
                <w:rFonts w:ascii="Arial" w:hAnsi="Arial" w:cs="Arial"/>
                <w:sz w:val="20"/>
                <w:szCs w:val="20"/>
              </w:rPr>
            </w:pPr>
          </w:p>
        </w:tc>
        <w:tc>
          <w:tcPr>
            <w:tcW w:w="1502" w:type="dxa"/>
            <w:tcBorders>
              <w:top w:val="nil"/>
              <w:left w:val="nil"/>
              <w:bottom w:val="nil"/>
              <w:right w:val="nil"/>
            </w:tcBorders>
            <w:shd w:val="clear" w:color="auto" w:fill="auto"/>
            <w:tcMar>
              <w:top w:w="80" w:type="dxa"/>
              <w:left w:w="80" w:type="dxa"/>
              <w:bottom w:w="80" w:type="dxa"/>
              <w:right w:w="80" w:type="dxa"/>
            </w:tcMar>
          </w:tcPr>
          <w:p w14:paraId="3AB38EEF" w14:textId="77777777" w:rsidR="00E73C9D" w:rsidRPr="003B10BC" w:rsidRDefault="00C57731">
            <w:pPr>
              <w:pStyle w:val="Body"/>
              <w:spacing w:after="0"/>
              <w:rPr>
                <w:rFonts w:cs="Arial"/>
                <w:sz w:val="20"/>
                <w:szCs w:val="20"/>
              </w:rPr>
            </w:pPr>
            <w:r w:rsidRPr="003B10BC">
              <w:rPr>
                <w:rFonts w:eastAsia="Calibri" w:cs="Arial"/>
                <w:sz w:val="20"/>
                <w:szCs w:val="20"/>
              </w:rPr>
              <w:t>22.6</w:t>
            </w:r>
          </w:p>
        </w:tc>
        <w:tc>
          <w:tcPr>
            <w:tcW w:w="1507" w:type="dxa"/>
            <w:tcBorders>
              <w:top w:val="nil"/>
              <w:left w:val="nil"/>
              <w:bottom w:val="nil"/>
              <w:right w:val="nil"/>
            </w:tcBorders>
            <w:shd w:val="clear" w:color="auto" w:fill="auto"/>
            <w:tcMar>
              <w:top w:w="80" w:type="dxa"/>
              <w:left w:w="80" w:type="dxa"/>
              <w:bottom w:w="80" w:type="dxa"/>
              <w:right w:w="80" w:type="dxa"/>
            </w:tcMar>
          </w:tcPr>
          <w:p w14:paraId="157F3FFE" w14:textId="77777777" w:rsidR="00E73C9D" w:rsidRPr="003B10BC" w:rsidRDefault="00C57731">
            <w:pPr>
              <w:pStyle w:val="Body"/>
              <w:spacing w:after="0"/>
              <w:rPr>
                <w:rFonts w:cs="Arial"/>
                <w:sz w:val="20"/>
                <w:szCs w:val="20"/>
              </w:rPr>
            </w:pPr>
            <w:r w:rsidRPr="003B10BC">
              <w:rPr>
                <w:rFonts w:eastAsia="Calibri" w:cs="Arial"/>
                <w:sz w:val="20"/>
                <w:szCs w:val="20"/>
              </w:rPr>
              <w:t>22.6</w:t>
            </w:r>
          </w:p>
        </w:tc>
        <w:tc>
          <w:tcPr>
            <w:tcW w:w="1343" w:type="dxa"/>
            <w:tcBorders>
              <w:top w:val="nil"/>
              <w:left w:val="nil"/>
              <w:bottom w:val="nil"/>
              <w:right w:val="nil"/>
            </w:tcBorders>
            <w:shd w:val="clear" w:color="auto" w:fill="auto"/>
            <w:tcMar>
              <w:top w:w="80" w:type="dxa"/>
              <w:left w:w="80" w:type="dxa"/>
              <w:bottom w:w="80" w:type="dxa"/>
              <w:right w:w="80" w:type="dxa"/>
            </w:tcMar>
          </w:tcPr>
          <w:p w14:paraId="4DC6AC98" w14:textId="77777777" w:rsidR="00E73C9D" w:rsidRPr="003B10BC" w:rsidRDefault="00E73C9D">
            <w:pPr>
              <w:rPr>
                <w:rFonts w:ascii="Arial" w:hAnsi="Arial" w:cs="Arial"/>
                <w:sz w:val="20"/>
                <w:szCs w:val="20"/>
              </w:rPr>
            </w:pPr>
          </w:p>
        </w:tc>
      </w:tr>
      <w:tr w:rsidR="00E73C9D" w14:paraId="1D05F79C" w14:textId="77777777">
        <w:trPr>
          <w:trHeight w:val="240"/>
        </w:trPr>
        <w:tc>
          <w:tcPr>
            <w:tcW w:w="1656" w:type="dxa"/>
            <w:tcBorders>
              <w:top w:val="nil"/>
              <w:left w:val="nil"/>
              <w:bottom w:val="nil"/>
              <w:right w:val="nil"/>
            </w:tcBorders>
            <w:shd w:val="clear" w:color="auto" w:fill="auto"/>
            <w:tcMar>
              <w:top w:w="80" w:type="dxa"/>
              <w:left w:w="80" w:type="dxa"/>
              <w:bottom w:w="80" w:type="dxa"/>
              <w:right w:w="80" w:type="dxa"/>
            </w:tcMar>
          </w:tcPr>
          <w:p w14:paraId="529D7D18" w14:textId="77777777" w:rsidR="00E73C9D" w:rsidRPr="003B10BC" w:rsidRDefault="00C57731">
            <w:pPr>
              <w:pStyle w:val="Body"/>
              <w:spacing w:after="0"/>
              <w:rPr>
                <w:rFonts w:cs="Arial"/>
                <w:sz w:val="20"/>
                <w:szCs w:val="20"/>
              </w:rPr>
            </w:pPr>
            <w:r w:rsidRPr="003B10BC">
              <w:rPr>
                <w:rFonts w:eastAsia="Calibri" w:cs="Arial"/>
                <w:sz w:val="20"/>
                <w:szCs w:val="20"/>
              </w:rPr>
              <w:t>3</w:t>
            </w:r>
          </w:p>
        </w:tc>
        <w:tc>
          <w:tcPr>
            <w:tcW w:w="1502" w:type="dxa"/>
            <w:tcBorders>
              <w:top w:val="nil"/>
              <w:left w:val="nil"/>
              <w:bottom w:val="nil"/>
              <w:right w:val="nil"/>
            </w:tcBorders>
            <w:shd w:val="clear" w:color="auto" w:fill="auto"/>
            <w:tcMar>
              <w:top w:w="80" w:type="dxa"/>
              <w:left w:w="80" w:type="dxa"/>
              <w:bottom w:w="80" w:type="dxa"/>
              <w:right w:w="80" w:type="dxa"/>
            </w:tcMar>
          </w:tcPr>
          <w:p w14:paraId="7ED4ED2A" w14:textId="77777777" w:rsidR="00E73C9D" w:rsidRPr="003B10BC" w:rsidRDefault="00E73C9D">
            <w:pPr>
              <w:rPr>
                <w:rFonts w:ascii="Arial" w:hAnsi="Arial" w:cs="Arial"/>
                <w:sz w:val="20"/>
                <w:szCs w:val="20"/>
              </w:rPr>
            </w:pPr>
          </w:p>
        </w:tc>
        <w:tc>
          <w:tcPr>
            <w:tcW w:w="1506" w:type="dxa"/>
            <w:tcBorders>
              <w:top w:val="nil"/>
              <w:left w:val="nil"/>
              <w:bottom w:val="nil"/>
              <w:right w:val="nil"/>
            </w:tcBorders>
            <w:shd w:val="clear" w:color="auto" w:fill="auto"/>
            <w:tcMar>
              <w:top w:w="80" w:type="dxa"/>
              <w:left w:w="80" w:type="dxa"/>
              <w:bottom w:w="80" w:type="dxa"/>
              <w:right w:w="80" w:type="dxa"/>
            </w:tcMar>
          </w:tcPr>
          <w:p w14:paraId="499B503B" w14:textId="77777777" w:rsidR="00E73C9D" w:rsidRPr="003B10BC" w:rsidRDefault="00E73C9D">
            <w:pPr>
              <w:rPr>
                <w:rFonts w:ascii="Arial" w:hAnsi="Arial" w:cs="Arial"/>
                <w:sz w:val="20"/>
                <w:szCs w:val="20"/>
              </w:rPr>
            </w:pPr>
          </w:p>
        </w:tc>
        <w:tc>
          <w:tcPr>
            <w:tcW w:w="1502" w:type="dxa"/>
            <w:tcBorders>
              <w:top w:val="nil"/>
              <w:left w:val="nil"/>
              <w:bottom w:val="nil"/>
              <w:right w:val="nil"/>
            </w:tcBorders>
            <w:shd w:val="clear" w:color="auto" w:fill="auto"/>
            <w:tcMar>
              <w:top w:w="80" w:type="dxa"/>
              <w:left w:w="80" w:type="dxa"/>
              <w:bottom w:w="80" w:type="dxa"/>
              <w:right w:w="80" w:type="dxa"/>
            </w:tcMar>
          </w:tcPr>
          <w:p w14:paraId="6661B788" w14:textId="77777777" w:rsidR="00E73C9D" w:rsidRPr="003B10BC" w:rsidRDefault="00C57731">
            <w:pPr>
              <w:pStyle w:val="Body"/>
              <w:spacing w:after="0"/>
              <w:rPr>
                <w:rFonts w:cs="Arial"/>
                <w:sz w:val="20"/>
                <w:szCs w:val="20"/>
              </w:rPr>
            </w:pPr>
            <w:r w:rsidRPr="003B10BC">
              <w:rPr>
                <w:rFonts w:eastAsia="Calibri" w:cs="Arial"/>
                <w:sz w:val="20"/>
                <w:szCs w:val="20"/>
              </w:rPr>
              <w:t>76.9</w:t>
            </w:r>
          </w:p>
        </w:tc>
        <w:tc>
          <w:tcPr>
            <w:tcW w:w="1507" w:type="dxa"/>
            <w:tcBorders>
              <w:top w:val="nil"/>
              <w:left w:val="nil"/>
              <w:bottom w:val="nil"/>
              <w:right w:val="nil"/>
            </w:tcBorders>
            <w:shd w:val="clear" w:color="auto" w:fill="auto"/>
            <w:tcMar>
              <w:top w:w="80" w:type="dxa"/>
              <w:left w:w="80" w:type="dxa"/>
              <w:bottom w:w="80" w:type="dxa"/>
              <w:right w:w="80" w:type="dxa"/>
            </w:tcMar>
          </w:tcPr>
          <w:p w14:paraId="4DCABCEA" w14:textId="77777777" w:rsidR="00E73C9D" w:rsidRPr="003B10BC" w:rsidRDefault="00C57731">
            <w:pPr>
              <w:pStyle w:val="Body"/>
              <w:spacing w:after="0"/>
              <w:rPr>
                <w:rFonts w:cs="Arial"/>
                <w:sz w:val="20"/>
                <w:szCs w:val="20"/>
              </w:rPr>
            </w:pPr>
            <w:r w:rsidRPr="003B10BC">
              <w:rPr>
                <w:rFonts w:eastAsia="Calibri" w:cs="Arial"/>
                <w:sz w:val="20"/>
                <w:szCs w:val="20"/>
              </w:rPr>
              <w:t>77.2</w:t>
            </w:r>
          </w:p>
        </w:tc>
        <w:tc>
          <w:tcPr>
            <w:tcW w:w="1343" w:type="dxa"/>
            <w:tcBorders>
              <w:top w:val="nil"/>
              <w:left w:val="nil"/>
              <w:bottom w:val="nil"/>
              <w:right w:val="nil"/>
            </w:tcBorders>
            <w:shd w:val="clear" w:color="auto" w:fill="auto"/>
            <w:tcMar>
              <w:top w:w="80" w:type="dxa"/>
              <w:left w:w="80" w:type="dxa"/>
              <w:bottom w:w="80" w:type="dxa"/>
              <w:right w:w="80" w:type="dxa"/>
            </w:tcMar>
          </w:tcPr>
          <w:p w14:paraId="75BE350C" w14:textId="77777777" w:rsidR="00E73C9D" w:rsidRPr="003B10BC" w:rsidRDefault="00E73C9D">
            <w:pPr>
              <w:rPr>
                <w:rFonts w:ascii="Arial" w:hAnsi="Arial" w:cs="Arial"/>
                <w:sz w:val="20"/>
                <w:szCs w:val="20"/>
              </w:rPr>
            </w:pPr>
          </w:p>
        </w:tc>
      </w:tr>
      <w:tr w:rsidR="00E73C9D" w14:paraId="7ED7500E" w14:textId="77777777">
        <w:trPr>
          <w:trHeight w:val="240"/>
        </w:trPr>
        <w:tc>
          <w:tcPr>
            <w:tcW w:w="1656" w:type="dxa"/>
            <w:tcBorders>
              <w:top w:val="nil"/>
              <w:left w:val="nil"/>
              <w:bottom w:val="nil"/>
              <w:right w:val="nil"/>
            </w:tcBorders>
            <w:shd w:val="clear" w:color="auto" w:fill="auto"/>
            <w:tcMar>
              <w:top w:w="80" w:type="dxa"/>
              <w:left w:w="80" w:type="dxa"/>
              <w:bottom w:w="80" w:type="dxa"/>
              <w:right w:w="80" w:type="dxa"/>
            </w:tcMar>
          </w:tcPr>
          <w:p w14:paraId="08F8E508" w14:textId="77777777" w:rsidR="00E73C9D" w:rsidRPr="003B10BC" w:rsidRDefault="00C57731">
            <w:pPr>
              <w:pStyle w:val="Body"/>
              <w:spacing w:after="0"/>
              <w:rPr>
                <w:rFonts w:cs="Arial"/>
                <w:sz w:val="20"/>
                <w:szCs w:val="20"/>
              </w:rPr>
            </w:pPr>
            <w:r w:rsidRPr="003B10BC">
              <w:rPr>
                <w:rFonts w:eastAsia="Calibri" w:cs="Arial"/>
                <w:sz w:val="20"/>
                <w:szCs w:val="20"/>
              </w:rPr>
              <w:t>ER status + (%)</w:t>
            </w:r>
          </w:p>
        </w:tc>
        <w:tc>
          <w:tcPr>
            <w:tcW w:w="1502" w:type="dxa"/>
            <w:tcBorders>
              <w:top w:val="nil"/>
              <w:left w:val="nil"/>
              <w:bottom w:val="nil"/>
              <w:right w:val="nil"/>
            </w:tcBorders>
            <w:shd w:val="clear" w:color="auto" w:fill="auto"/>
            <w:tcMar>
              <w:top w:w="80" w:type="dxa"/>
              <w:left w:w="80" w:type="dxa"/>
              <w:bottom w:w="80" w:type="dxa"/>
              <w:right w:w="80" w:type="dxa"/>
            </w:tcMar>
          </w:tcPr>
          <w:p w14:paraId="4F7710B6" w14:textId="77777777" w:rsidR="00E73C9D" w:rsidRPr="003B10BC" w:rsidRDefault="00C57731">
            <w:pPr>
              <w:pStyle w:val="Body"/>
              <w:spacing w:after="0"/>
              <w:rPr>
                <w:rFonts w:cs="Arial"/>
                <w:sz w:val="20"/>
                <w:szCs w:val="20"/>
              </w:rPr>
            </w:pPr>
            <w:r w:rsidRPr="003B10BC">
              <w:rPr>
                <w:rFonts w:eastAsia="Calibri" w:cs="Arial"/>
                <w:sz w:val="20"/>
                <w:szCs w:val="20"/>
              </w:rPr>
              <w:t>1,856</w:t>
            </w:r>
          </w:p>
        </w:tc>
        <w:tc>
          <w:tcPr>
            <w:tcW w:w="1506" w:type="dxa"/>
            <w:tcBorders>
              <w:top w:val="nil"/>
              <w:left w:val="nil"/>
              <w:bottom w:val="nil"/>
              <w:right w:val="nil"/>
            </w:tcBorders>
            <w:shd w:val="clear" w:color="auto" w:fill="auto"/>
            <w:tcMar>
              <w:top w:w="80" w:type="dxa"/>
              <w:left w:w="80" w:type="dxa"/>
              <w:bottom w:w="80" w:type="dxa"/>
              <w:right w:w="80" w:type="dxa"/>
            </w:tcMar>
          </w:tcPr>
          <w:p w14:paraId="25C907C9" w14:textId="77777777" w:rsidR="00E73C9D" w:rsidRPr="003B10BC" w:rsidRDefault="00C57731">
            <w:pPr>
              <w:pStyle w:val="Body"/>
              <w:spacing w:after="0"/>
              <w:rPr>
                <w:rFonts w:cs="Arial"/>
                <w:sz w:val="20"/>
                <w:szCs w:val="20"/>
              </w:rPr>
            </w:pPr>
            <w:r w:rsidRPr="003B10BC">
              <w:rPr>
                <w:rFonts w:eastAsia="Calibri" w:cs="Arial"/>
                <w:sz w:val="20"/>
                <w:szCs w:val="20"/>
              </w:rPr>
              <w:t>1,363</w:t>
            </w:r>
          </w:p>
        </w:tc>
        <w:tc>
          <w:tcPr>
            <w:tcW w:w="1502" w:type="dxa"/>
            <w:tcBorders>
              <w:top w:val="nil"/>
              <w:left w:val="nil"/>
              <w:bottom w:val="nil"/>
              <w:right w:val="nil"/>
            </w:tcBorders>
            <w:shd w:val="clear" w:color="auto" w:fill="auto"/>
            <w:tcMar>
              <w:top w:w="80" w:type="dxa"/>
              <w:left w:w="80" w:type="dxa"/>
              <w:bottom w:w="80" w:type="dxa"/>
              <w:right w:w="80" w:type="dxa"/>
            </w:tcMar>
          </w:tcPr>
          <w:p w14:paraId="2C3C728D" w14:textId="77777777" w:rsidR="00E73C9D" w:rsidRPr="003B10BC" w:rsidRDefault="00C57731">
            <w:pPr>
              <w:pStyle w:val="Body"/>
              <w:spacing w:after="0"/>
              <w:rPr>
                <w:rFonts w:cs="Arial"/>
                <w:sz w:val="20"/>
                <w:szCs w:val="20"/>
              </w:rPr>
            </w:pPr>
            <w:r w:rsidRPr="003B10BC">
              <w:rPr>
                <w:rFonts w:eastAsia="Calibri" w:cs="Arial"/>
                <w:sz w:val="20"/>
                <w:szCs w:val="20"/>
              </w:rPr>
              <w:t>48.7</w:t>
            </w:r>
          </w:p>
        </w:tc>
        <w:tc>
          <w:tcPr>
            <w:tcW w:w="1507" w:type="dxa"/>
            <w:tcBorders>
              <w:top w:val="nil"/>
              <w:left w:val="nil"/>
              <w:bottom w:val="nil"/>
              <w:right w:val="nil"/>
            </w:tcBorders>
            <w:shd w:val="clear" w:color="auto" w:fill="auto"/>
            <w:tcMar>
              <w:top w:w="80" w:type="dxa"/>
              <w:left w:w="80" w:type="dxa"/>
              <w:bottom w:w="80" w:type="dxa"/>
              <w:right w:w="80" w:type="dxa"/>
            </w:tcMar>
          </w:tcPr>
          <w:p w14:paraId="26035E78" w14:textId="77777777" w:rsidR="00E73C9D" w:rsidRPr="003B10BC" w:rsidRDefault="00C57731">
            <w:pPr>
              <w:pStyle w:val="Body"/>
              <w:spacing w:after="0"/>
              <w:rPr>
                <w:rFonts w:cs="Arial"/>
                <w:sz w:val="20"/>
                <w:szCs w:val="20"/>
              </w:rPr>
            </w:pPr>
            <w:r w:rsidRPr="003B10BC">
              <w:rPr>
                <w:rFonts w:eastAsia="Calibri" w:cs="Arial"/>
                <w:sz w:val="20"/>
                <w:szCs w:val="20"/>
              </w:rPr>
              <w:t>52.8</w:t>
            </w:r>
          </w:p>
        </w:tc>
        <w:tc>
          <w:tcPr>
            <w:tcW w:w="1343" w:type="dxa"/>
            <w:tcBorders>
              <w:top w:val="nil"/>
              <w:left w:val="nil"/>
              <w:bottom w:val="nil"/>
              <w:right w:val="nil"/>
            </w:tcBorders>
            <w:shd w:val="clear" w:color="auto" w:fill="auto"/>
            <w:tcMar>
              <w:top w:w="80" w:type="dxa"/>
              <w:left w:w="80" w:type="dxa"/>
              <w:bottom w:w="80" w:type="dxa"/>
              <w:right w:w="80" w:type="dxa"/>
            </w:tcMar>
          </w:tcPr>
          <w:p w14:paraId="6A4BF3DD" w14:textId="77777777" w:rsidR="00E73C9D" w:rsidRPr="003B10BC" w:rsidRDefault="00E73C9D">
            <w:pPr>
              <w:rPr>
                <w:rFonts w:ascii="Arial" w:hAnsi="Arial" w:cs="Arial"/>
                <w:sz w:val="20"/>
                <w:szCs w:val="20"/>
              </w:rPr>
            </w:pPr>
          </w:p>
        </w:tc>
      </w:tr>
      <w:tr w:rsidR="00E73C9D" w14:paraId="24CF55DC" w14:textId="77777777">
        <w:trPr>
          <w:trHeight w:val="565"/>
        </w:trPr>
        <w:tc>
          <w:tcPr>
            <w:tcW w:w="1656" w:type="dxa"/>
            <w:tcBorders>
              <w:top w:val="nil"/>
              <w:left w:val="nil"/>
              <w:bottom w:val="single" w:sz="4" w:space="0" w:color="000000"/>
              <w:right w:val="nil"/>
            </w:tcBorders>
            <w:shd w:val="clear" w:color="auto" w:fill="auto"/>
            <w:tcMar>
              <w:top w:w="80" w:type="dxa"/>
              <w:left w:w="80" w:type="dxa"/>
              <w:bottom w:w="80" w:type="dxa"/>
              <w:right w:w="80" w:type="dxa"/>
            </w:tcMar>
          </w:tcPr>
          <w:p w14:paraId="25272312" w14:textId="77777777" w:rsidR="00E73C9D" w:rsidRPr="003B10BC" w:rsidRDefault="00C57731">
            <w:pPr>
              <w:pStyle w:val="Body"/>
              <w:spacing w:after="0"/>
              <w:rPr>
                <w:rFonts w:cs="Arial"/>
                <w:sz w:val="20"/>
                <w:szCs w:val="20"/>
              </w:rPr>
            </w:pPr>
            <w:r w:rsidRPr="003B10BC">
              <w:rPr>
                <w:rFonts w:eastAsia="Calibri" w:cs="Arial"/>
                <w:sz w:val="20"/>
                <w:szCs w:val="20"/>
              </w:rPr>
              <w:t>PREDICT 10-year survival</w:t>
            </w:r>
          </w:p>
        </w:tc>
        <w:tc>
          <w:tcPr>
            <w:tcW w:w="1502" w:type="dxa"/>
            <w:tcBorders>
              <w:top w:val="nil"/>
              <w:left w:val="nil"/>
              <w:bottom w:val="single" w:sz="4" w:space="0" w:color="000000"/>
              <w:right w:val="nil"/>
            </w:tcBorders>
            <w:shd w:val="clear" w:color="auto" w:fill="auto"/>
            <w:tcMar>
              <w:top w:w="80" w:type="dxa"/>
              <w:left w:w="80" w:type="dxa"/>
              <w:bottom w:w="80" w:type="dxa"/>
              <w:right w:w="80" w:type="dxa"/>
            </w:tcMar>
          </w:tcPr>
          <w:p w14:paraId="69793849" w14:textId="77777777" w:rsidR="00E73C9D" w:rsidRPr="003B10BC" w:rsidRDefault="00C57731">
            <w:pPr>
              <w:pStyle w:val="Body"/>
              <w:spacing w:after="0"/>
              <w:rPr>
                <w:rFonts w:cs="Arial"/>
                <w:sz w:val="20"/>
                <w:szCs w:val="20"/>
              </w:rPr>
            </w:pPr>
            <w:r w:rsidRPr="003B10BC">
              <w:rPr>
                <w:rFonts w:eastAsia="Calibri" w:cs="Arial"/>
                <w:sz w:val="20"/>
                <w:szCs w:val="20"/>
              </w:rPr>
              <w:t>1,856</w:t>
            </w:r>
          </w:p>
        </w:tc>
        <w:tc>
          <w:tcPr>
            <w:tcW w:w="1506" w:type="dxa"/>
            <w:tcBorders>
              <w:top w:val="nil"/>
              <w:left w:val="nil"/>
              <w:bottom w:val="single" w:sz="4" w:space="0" w:color="000000"/>
              <w:right w:val="nil"/>
            </w:tcBorders>
            <w:shd w:val="clear" w:color="auto" w:fill="auto"/>
            <w:tcMar>
              <w:top w:w="80" w:type="dxa"/>
              <w:left w:w="80" w:type="dxa"/>
              <w:bottom w:w="80" w:type="dxa"/>
              <w:right w:w="80" w:type="dxa"/>
            </w:tcMar>
          </w:tcPr>
          <w:p w14:paraId="6A71450C" w14:textId="77777777" w:rsidR="00E73C9D" w:rsidRPr="003B10BC" w:rsidRDefault="00C57731">
            <w:pPr>
              <w:pStyle w:val="Body"/>
              <w:spacing w:after="0"/>
              <w:rPr>
                <w:rFonts w:cs="Arial"/>
                <w:sz w:val="20"/>
                <w:szCs w:val="20"/>
              </w:rPr>
            </w:pPr>
            <w:r w:rsidRPr="003B10BC">
              <w:rPr>
                <w:rFonts w:eastAsia="Calibri" w:cs="Arial"/>
                <w:sz w:val="20"/>
                <w:szCs w:val="20"/>
              </w:rPr>
              <w:t>1,363</w:t>
            </w:r>
          </w:p>
        </w:tc>
        <w:tc>
          <w:tcPr>
            <w:tcW w:w="1502" w:type="dxa"/>
            <w:tcBorders>
              <w:top w:val="nil"/>
              <w:left w:val="nil"/>
              <w:bottom w:val="single" w:sz="4" w:space="0" w:color="000000"/>
              <w:right w:val="nil"/>
            </w:tcBorders>
            <w:shd w:val="clear" w:color="auto" w:fill="auto"/>
            <w:tcMar>
              <w:top w:w="80" w:type="dxa"/>
              <w:left w:w="80" w:type="dxa"/>
              <w:bottom w:w="80" w:type="dxa"/>
              <w:right w:w="80" w:type="dxa"/>
            </w:tcMar>
          </w:tcPr>
          <w:p w14:paraId="1672D938" w14:textId="77777777" w:rsidR="00E73C9D" w:rsidRPr="003B10BC" w:rsidRDefault="00C57731">
            <w:pPr>
              <w:pStyle w:val="Body"/>
              <w:spacing w:after="0"/>
              <w:rPr>
                <w:rFonts w:cs="Arial"/>
                <w:sz w:val="20"/>
                <w:szCs w:val="20"/>
              </w:rPr>
            </w:pPr>
            <w:r w:rsidRPr="003B10BC">
              <w:rPr>
                <w:rFonts w:eastAsia="Calibri" w:cs="Arial"/>
                <w:sz w:val="20"/>
                <w:szCs w:val="20"/>
              </w:rPr>
              <w:t>53.5</w:t>
            </w:r>
          </w:p>
        </w:tc>
        <w:tc>
          <w:tcPr>
            <w:tcW w:w="1507" w:type="dxa"/>
            <w:tcBorders>
              <w:top w:val="nil"/>
              <w:left w:val="nil"/>
              <w:bottom w:val="single" w:sz="4" w:space="0" w:color="000000"/>
              <w:right w:val="nil"/>
            </w:tcBorders>
            <w:shd w:val="clear" w:color="auto" w:fill="auto"/>
            <w:tcMar>
              <w:top w:w="80" w:type="dxa"/>
              <w:left w:w="80" w:type="dxa"/>
              <w:bottom w:w="80" w:type="dxa"/>
              <w:right w:w="80" w:type="dxa"/>
            </w:tcMar>
          </w:tcPr>
          <w:p w14:paraId="4F03F67C" w14:textId="77777777" w:rsidR="00E73C9D" w:rsidRPr="003B10BC" w:rsidRDefault="00C57731">
            <w:pPr>
              <w:pStyle w:val="Body"/>
              <w:spacing w:after="0"/>
              <w:rPr>
                <w:rFonts w:cs="Arial"/>
                <w:sz w:val="20"/>
                <w:szCs w:val="20"/>
              </w:rPr>
            </w:pPr>
            <w:r w:rsidRPr="003B10BC">
              <w:rPr>
                <w:rFonts w:eastAsia="Calibri" w:cs="Arial"/>
                <w:sz w:val="20"/>
                <w:szCs w:val="20"/>
              </w:rPr>
              <w:t>48.3</w:t>
            </w:r>
          </w:p>
        </w:tc>
        <w:tc>
          <w:tcPr>
            <w:tcW w:w="1343" w:type="dxa"/>
            <w:tcBorders>
              <w:top w:val="nil"/>
              <w:left w:val="nil"/>
              <w:bottom w:val="single" w:sz="4" w:space="0" w:color="000000"/>
              <w:right w:val="nil"/>
            </w:tcBorders>
            <w:shd w:val="clear" w:color="auto" w:fill="auto"/>
            <w:tcMar>
              <w:top w:w="80" w:type="dxa"/>
              <w:left w:w="80" w:type="dxa"/>
              <w:bottom w:w="80" w:type="dxa"/>
              <w:right w:w="80" w:type="dxa"/>
            </w:tcMar>
          </w:tcPr>
          <w:p w14:paraId="6613D547" w14:textId="77777777" w:rsidR="00E73C9D" w:rsidRPr="003B10BC" w:rsidRDefault="00C57731">
            <w:pPr>
              <w:pStyle w:val="Body"/>
              <w:spacing w:after="0"/>
              <w:rPr>
                <w:rFonts w:eastAsia="Calibri" w:cs="Arial"/>
                <w:sz w:val="20"/>
                <w:szCs w:val="20"/>
              </w:rPr>
            </w:pPr>
            <w:r w:rsidRPr="003B10BC">
              <w:rPr>
                <w:rFonts w:eastAsia="Calibri" w:cs="Arial"/>
                <w:sz w:val="20"/>
                <w:szCs w:val="20"/>
              </w:rPr>
              <w:t>T test</w:t>
            </w:r>
          </w:p>
          <w:p w14:paraId="21E9E3A8" w14:textId="77777777" w:rsidR="00E73C9D" w:rsidRPr="003B10BC" w:rsidRDefault="00C57731">
            <w:pPr>
              <w:pStyle w:val="Body"/>
              <w:spacing w:after="0"/>
              <w:rPr>
                <w:rFonts w:cs="Arial"/>
                <w:sz w:val="20"/>
                <w:szCs w:val="20"/>
              </w:rPr>
            </w:pPr>
            <w:r w:rsidRPr="003B10BC">
              <w:rPr>
                <w:rFonts w:eastAsia="Calibri" w:cs="Arial"/>
                <w:sz w:val="20"/>
                <w:szCs w:val="20"/>
              </w:rPr>
              <w:t>P &lt; 0.0001</w:t>
            </w:r>
          </w:p>
        </w:tc>
      </w:tr>
      <w:tr w:rsidR="00E73C9D" w14:paraId="68E106A6" w14:textId="77777777">
        <w:trPr>
          <w:trHeight w:val="560"/>
        </w:trPr>
        <w:tc>
          <w:tcPr>
            <w:tcW w:w="165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11DAABE" w14:textId="77777777" w:rsidR="00E73C9D" w:rsidRPr="003B10BC" w:rsidRDefault="00C57731">
            <w:pPr>
              <w:pStyle w:val="Body"/>
              <w:spacing w:after="0"/>
              <w:rPr>
                <w:rFonts w:cs="Arial"/>
                <w:sz w:val="20"/>
                <w:szCs w:val="20"/>
              </w:rPr>
            </w:pPr>
            <w:r w:rsidRPr="003B10BC">
              <w:rPr>
                <w:rFonts w:eastAsia="Calibri" w:cs="Arial"/>
                <w:sz w:val="20"/>
                <w:szCs w:val="20"/>
              </w:rPr>
              <w:t>Prognostic – Not in PREDICT</w:t>
            </w:r>
          </w:p>
        </w:tc>
        <w:tc>
          <w:tcPr>
            <w:tcW w:w="15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A2C225A" w14:textId="77777777" w:rsidR="00E73C9D" w:rsidRPr="003B10BC" w:rsidRDefault="00E73C9D">
            <w:pPr>
              <w:rPr>
                <w:rFonts w:ascii="Arial" w:hAnsi="Arial" w:cs="Arial"/>
                <w:sz w:val="20"/>
                <w:szCs w:val="20"/>
              </w:rPr>
            </w:pPr>
          </w:p>
        </w:tc>
        <w:tc>
          <w:tcPr>
            <w:tcW w:w="15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A2E9CAD" w14:textId="77777777" w:rsidR="00E73C9D" w:rsidRPr="003B10BC" w:rsidRDefault="00E73C9D">
            <w:pPr>
              <w:rPr>
                <w:rFonts w:ascii="Arial" w:hAnsi="Arial" w:cs="Arial"/>
                <w:sz w:val="20"/>
                <w:szCs w:val="20"/>
              </w:rPr>
            </w:pPr>
          </w:p>
        </w:tc>
        <w:tc>
          <w:tcPr>
            <w:tcW w:w="15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93D8BB6" w14:textId="77777777" w:rsidR="00E73C9D" w:rsidRPr="003B10BC" w:rsidRDefault="00E73C9D">
            <w:pPr>
              <w:rPr>
                <w:rFonts w:ascii="Arial" w:hAnsi="Arial" w:cs="Arial"/>
                <w:sz w:val="20"/>
                <w:szCs w:val="20"/>
              </w:rPr>
            </w:pPr>
          </w:p>
        </w:tc>
        <w:tc>
          <w:tcPr>
            <w:tcW w:w="150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925B07C" w14:textId="77777777" w:rsidR="00E73C9D" w:rsidRPr="003B10BC" w:rsidRDefault="00E73C9D">
            <w:pPr>
              <w:rPr>
                <w:rFonts w:ascii="Arial" w:hAnsi="Arial" w:cs="Arial"/>
                <w:sz w:val="20"/>
                <w:szCs w:val="20"/>
              </w:rPr>
            </w:pPr>
          </w:p>
        </w:tc>
        <w:tc>
          <w:tcPr>
            <w:tcW w:w="134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5F0906A" w14:textId="77777777" w:rsidR="00E73C9D" w:rsidRPr="003B10BC" w:rsidRDefault="00E73C9D">
            <w:pPr>
              <w:rPr>
                <w:rFonts w:ascii="Arial" w:hAnsi="Arial" w:cs="Arial"/>
                <w:sz w:val="20"/>
                <w:szCs w:val="20"/>
              </w:rPr>
            </w:pPr>
          </w:p>
        </w:tc>
      </w:tr>
      <w:tr w:rsidR="00E73C9D" w14:paraId="1C5B67C4" w14:textId="77777777">
        <w:trPr>
          <w:trHeight w:val="895"/>
        </w:trPr>
        <w:tc>
          <w:tcPr>
            <w:tcW w:w="1656" w:type="dxa"/>
            <w:tcBorders>
              <w:top w:val="single" w:sz="4" w:space="0" w:color="000000"/>
              <w:left w:val="nil"/>
              <w:bottom w:val="nil"/>
              <w:right w:val="nil"/>
            </w:tcBorders>
            <w:shd w:val="clear" w:color="auto" w:fill="auto"/>
            <w:tcMar>
              <w:top w:w="80" w:type="dxa"/>
              <w:left w:w="80" w:type="dxa"/>
              <w:bottom w:w="80" w:type="dxa"/>
              <w:right w:w="80" w:type="dxa"/>
            </w:tcMar>
          </w:tcPr>
          <w:p w14:paraId="1BC90DD6" w14:textId="77777777" w:rsidR="00E73C9D" w:rsidRPr="003B10BC" w:rsidRDefault="00C57731">
            <w:pPr>
              <w:pStyle w:val="Body"/>
              <w:spacing w:after="0"/>
              <w:rPr>
                <w:rFonts w:cs="Arial"/>
                <w:sz w:val="20"/>
                <w:szCs w:val="20"/>
              </w:rPr>
            </w:pPr>
            <w:r w:rsidRPr="003B10BC">
              <w:rPr>
                <w:rFonts w:eastAsia="Calibri" w:cs="Arial"/>
                <w:sz w:val="20"/>
                <w:szCs w:val="20"/>
              </w:rPr>
              <w:t>Charlson comorbidity (%)</w:t>
            </w:r>
          </w:p>
        </w:tc>
        <w:tc>
          <w:tcPr>
            <w:tcW w:w="1502" w:type="dxa"/>
            <w:tcBorders>
              <w:top w:val="single" w:sz="4" w:space="0" w:color="000000"/>
              <w:left w:val="nil"/>
              <w:bottom w:val="nil"/>
              <w:right w:val="nil"/>
            </w:tcBorders>
            <w:shd w:val="clear" w:color="auto" w:fill="auto"/>
            <w:tcMar>
              <w:top w:w="80" w:type="dxa"/>
              <w:left w:w="80" w:type="dxa"/>
              <w:bottom w:w="80" w:type="dxa"/>
              <w:right w:w="80" w:type="dxa"/>
            </w:tcMar>
          </w:tcPr>
          <w:p w14:paraId="0B248411" w14:textId="77777777" w:rsidR="00E73C9D" w:rsidRPr="003B10BC" w:rsidRDefault="00C57731">
            <w:pPr>
              <w:pStyle w:val="Body"/>
              <w:spacing w:after="0"/>
              <w:rPr>
                <w:rFonts w:cs="Arial"/>
                <w:sz w:val="20"/>
                <w:szCs w:val="20"/>
              </w:rPr>
            </w:pPr>
            <w:r w:rsidRPr="003B10BC">
              <w:rPr>
                <w:rFonts w:eastAsia="Calibri" w:cs="Arial"/>
                <w:sz w:val="20"/>
                <w:szCs w:val="20"/>
              </w:rPr>
              <w:t>1,856</w:t>
            </w:r>
          </w:p>
        </w:tc>
        <w:tc>
          <w:tcPr>
            <w:tcW w:w="1506" w:type="dxa"/>
            <w:tcBorders>
              <w:top w:val="single" w:sz="4" w:space="0" w:color="000000"/>
              <w:left w:val="nil"/>
              <w:bottom w:val="nil"/>
              <w:right w:val="nil"/>
            </w:tcBorders>
            <w:shd w:val="clear" w:color="auto" w:fill="auto"/>
            <w:tcMar>
              <w:top w:w="80" w:type="dxa"/>
              <w:left w:w="80" w:type="dxa"/>
              <w:bottom w:w="80" w:type="dxa"/>
              <w:right w:w="80" w:type="dxa"/>
            </w:tcMar>
          </w:tcPr>
          <w:p w14:paraId="12EB31EE" w14:textId="77777777" w:rsidR="00E73C9D" w:rsidRPr="003B10BC" w:rsidRDefault="00C57731">
            <w:pPr>
              <w:pStyle w:val="Body"/>
              <w:spacing w:after="0"/>
              <w:rPr>
                <w:rFonts w:cs="Arial"/>
                <w:sz w:val="20"/>
                <w:szCs w:val="20"/>
              </w:rPr>
            </w:pPr>
            <w:r w:rsidRPr="003B10BC">
              <w:rPr>
                <w:rFonts w:eastAsia="Calibri" w:cs="Arial"/>
                <w:sz w:val="20"/>
                <w:szCs w:val="20"/>
              </w:rPr>
              <w:t>1,363</w:t>
            </w:r>
          </w:p>
        </w:tc>
        <w:tc>
          <w:tcPr>
            <w:tcW w:w="1502" w:type="dxa"/>
            <w:tcBorders>
              <w:top w:val="single" w:sz="4" w:space="0" w:color="000000"/>
              <w:left w:val="nil"/>
              <w:bottom w:val="nil"/>
              <w:right w:val="nil"/>
            </w:tcBorders>
            <w:shd w:val="clear" w:color="auto" w:fill="auto"/>
            <w:tcMar>
              <w:top w:w="80" w:type="dxa"/>
              <w:left w:w="80" w:type="dxa"/>
              <w:bottom w:w="80" w:type="dxa"/>
              <w:right w:w="80" w:type="dxa"/>
            </w:tcMar>
          </w:tcPr>
          <w:p w14:paraId="63E74250" w14:textId="77777777" w:rsidR="00E73C9D" w:rsidRPr="003B10BC" w:rsidRDefault="00C57731">
            <w:pPr>
              <w:pStyle w:val="Body"/>
              <w:spacing w:after="0"/>
              <w:rPr>
                <w:rFonts w:cs="Arial"/>
                <w:sz w:val="20"/>
                <w:szCs w:val="20"/>
              </w:rPr>
            </w:pPr>
            <w:r w:rsidRPr="003B10BC">
              <w:rPr>
                <w:rFonts w:eastAsia="Calibri" w:cs="Arial"/>
                <w:sz w:val="20"/>
                <w:szCs w:val="20"/>
              </w:rPr>
              <w:t>6.3</w:t>
            </w:r>
          </w:p>
        </w:tc>
        <w:tc>
          <w:tcPr>
            <w:tcW w:w="1507" w:type="dxa"/>
            <w:tcBorders>
              <w:top w:val="single" w:sz="4" w:space="0" w:color="000000"/>
              <w:left w:val="nil"/>
              <w:bottom w:val="nil"/>
              <w:right w:val="nil"/>
            </w:tcBorders>
            <w:shd w:val="clear" w:color="auto" w:fill="auto"/>
            <w:tcMar>
              <w:top w:w="80" w:type="dxa"/>
              <w:left w:w="80" w:type="dxa"/>
              <w:bottom w:w="80" w:type="dxa"/>
              <w:right w:w="80" w:type="dxa"/>
            </w:tcMar>
          </w:tcPr>
          <w:p w14:paraId="39E7E283" w14:textId="77777777" w:rsidR="00E73C9D" w:rsidRPr="003B10BC" w:rsidRDefault="00C57731">
            <w:pPr>
              <w:pStyle w:val="Body"/>
              <w:spacing w:after="0"/>
              <w:rPr>
                <w:rFonts w:cs="Arial"/>
                <w:sz w:val="20"/>
                <w:szCs w:val="20"/>
              </w:rPr>
            </w:pPr>
            <w:r w:rsidRPr="003B10BC">
              <w:rPr>
                <w:rFonts w:eastAsia="Calibri" w:cs="Arial"/>
                <w:sz w:val="20"/>
                <w:szCs w:val="20"/>
              </w:rPr>
              <w:t>7</w:t>
            </w:r>
          </w:p>
        </w:tc>
        <w:tc>
          <w:tcPr>
            <w:tcW w:w="1343" w:type="dxa"/>
            <w:tcBorders>
              <w:top w:val="single" w:sz="4" w:space="0" w:color="000000"/>
              <w:left w:val="nil"/>
              <w:bottom w:val="nil"/>
              <w:right w:val="nil"/>
            </w:tcBorders>
            <w:shd w:val="clear" w:color="auto" w:fill="auto"/>
            <w:tcMar>
              <w:top w:w="80" w:type="dxa"/>
              <w:left w:w="80" w:type="dxa"/>
              <w:bottom w:w="80" w:type="dxa"/>
              <w:right w:w="80" w:type="dxa"/>
            </w:tcMar>
          </w:tcPr>
          <w:p w14:paraId="0FE98134" w14:textId="77777777" w:rsidR="00E73C9D" w:rsidRPr="003B10BC" w:rsidRDefault="00C57731">
            <w:pPr>
              <w:pStyle w:val="Body"/>
              <w:spacing w:after="0"/>
              <w:rPr>
                <w:rFonts w:eastAsia="Calibri" w:cs="Arial"/>
                <w:sz w:val="20"/>
                <w:szCs w:val="20"/>
              </w:rPr>
            </w:pPr>
            <w:r w:rsidRPr="003B10BC">
              <w:rPr>
                <w:rFonts w:eastAsia="Calibri" w:cs="Arial"/>
                <w:sz w:val="20"/>
                <w:szCs w:val="20"/>
              </w:rPr>
              <w:t>Pearson chi-sq.</w:t>
            </w:r>
          </w:p>
          <w:p w14:paraId="0C0E518E" w14:textId="77777777" w:rsidR="00E73C9D" w:rsidRPr="003B10BC" w:rsidRDefault="00C57731">
            <w:pPr>
              <w:pStyle w:val="Body"/>
              <w:spacing w:after="0"/>
              <w:rPr>
                <w:rFonts w:cs="Arial"/>
                <w:sz w:val="20"/>
                <w:szCs w:val="20"/>
              </w:rPr>
            </w:pPr>
            <w:r w:rsidRPr="003B10BC">
              <w:rPr>
                <w:rFonts w:eastAsia="Calibri" w:cs="Arial"/>
                <w:sz w:val="20"/>
                <w:szCs w:val="20"/>
              </w:rPr>
              <w:t>P = 0.5667</w:t>
            </w:r>
          </w:p>
        </w:tc>
      </w:tr>
      <w:tr w:rsidR="00E73C9D" w14:paraId="561DCC17" w14:textId="77777777">
        <w:trPr>
          <w:trHeight w:val="905"/>
        </w:trPr>
        <w:tc>
          <w:tcPr>
            <w:tcW w:w="1656" w:type="dxa"/>
            <w:tcBorders>
              <w:top w:val="nil"/>
              <w:left w:val="nil"/>
              <w:bottom w:val="single" w:sz="12" w:space="0" w:color="000000"/>
              <w:right w:val="nil"/>
            </w:tcBorders>
            <w:shd w:val="clear" w:color="auto" w:fill="auto"/>
            <w:tcMar>
              <w:top w:w="80" w:type="dxa"/>
              <w:left w:w="80" w:type="dxa"/>
              <w:bottom w:w="80" w:type="dxa"/>
              <w:right w:w="80" w:type="dxa"/>
            </w:tcMar>
          </w:tcPr>
          <w:p w14:paraId="79A88000" w14:textId="77777777" w:rsidR="00E73C9D" w:rsidRPr="003B10BC" w:rsidRDefault="00C57731">
            <w:pPr>
              <w:pStyle w:val="Body"/>
              <w:spacing w:after="0"/>
              <w:rPr>
                <w:rFonts w:cs="Arial"/>
                <w:sz w:val="20"/>
                <w:szCs w:val="20"/>
              </w:rPr>
            </w:pPr>
            <w:r w:rsidRPr="003B10BC">
              <w:rPr>
                <w:rFonts w:eastAsia="Calibri" w:cs="Arial"/>
                <w:sz w:val="20"/>
                <w:szCs w:val="20"/>
              </w:rPr>
              <w:lastRenderedPageBreak/>
              <w:t>Inpatient bed days, all 5 years prior</w:t>
            </w:r>
          </w:p>
        </w:tc>
        <w:tc>
          <w:tcPr>
            <w:tcW w:w="1502" w:type="dxa"/>
            <w:tcBorders>
              <w:top w:val="nil"/>
              <w:left w:val="nil"/>
              <w:bottom w:val="single" w:sz="12" w:space="0" w:color="000000"/>
              <w:right w:val="nil"/>
            </w:tcBorders>
            <w:shd w:val="clear" w:color="auto" w:fill="auto"/>
            <w:tcMar>
              <w:top w:w="80" w:type="dxa"/>
              <w:left w:w="80" w:type="dxa"/>
              <w:bottom w:w="80" w:type="dxa"/>
              <w:right w:w="80" w:type="dxa"/>
            </w:tcMar>
          </w:tcPr>
          <w:p w14:paraId="504369DF" w14:textId="77777777" w:rsidR="00E73C9D" w:rsidRPr="003B10BC" w:rsidRDefault="00C57731">
            <w:pPr>
              <w:pStyle w:val="Body"/>
              <w:spacing w:after="0"/>
              <w:rPr>
                <w:rFonts w:cs="Arial"/>
                <w:sz w:val="20"/>
                <w:szCs w:val="20"/>
              </w:rPr>
            </w:pPr>
            <w:r w:rsidRPr="003B10BC">
              <w:rPr>
                <w:rFonts w:eastAsia="Calibri" w:cs="Arial"/>
                <w:sz w:val="20"/>
                <w:szCs w:val="20"/>
              </w:rPr>
              <w:t>1,856</w:t>
            </w:r>
          </w:p>
        </w:tc>
        <w:tc>
          <w:tcPr>
            <w:tcW w:w="1506" w:type="dxa"/>
            <w:tcBorders>
              <w:top w:val="nil"/>
              <w:left w:val="nil"/>
              <w:bottom w:val="single" w:sz="12" w:space="0" w:color="000000"/>
              <w:right w:val="nil"/>
            </w:tcBorders>
            <w:shd w:val="clear" w:color="auto" w:fill="auto"/>
            <w:tcMar>
              <w:top w:w="80" w:type="dxa"/>
              <w:left w:w="80" w:type="dxa"/>
              <w:bottom w:w="80" w:type="dxa"/>
              <w:right w:w="80" w:type="dxa"/>
            </w:tcMar>
          </w:tcPr>
          <w:p w14:paraId="4541832D" w14:textId="77777777" w:rsidR="00E73C9D" w:rsidRPr="003B10BC" w:rsidRDefault="00C57731">
            <w:pPr>
              <w:pStyle w:val="Body"/>
              <w:spacing w:after="0"/>
              <w:rPr>
                <w:rFonts w:cs="Arial"/>
                <w:sz w:val="20"/>
                <w:szCs w:val="20"/>
              </w:rPr>
            </w:pPr>
            <w:r w:rsidRPr="003B10BC">
              <w:rPr>
                <w:rFonts w:eastAsia="Calibri" w:cs="Arial"/>
                <w:sz w:val="20"/>
                <w:szCs w:val="20"/>
              </w:rPr>
              <w:t>1,363</w:t>
            </w:r>
          </w:p>
        </w:tc>
        <w:tc>
          <w:tcPr>
            <w:tcW w:w="1502" w:type="dxa"/>
            <w:tcBorders>
              <w:top w:val="nil"/>
              <w:left w:val="nil"/>
              <w:bottom w:val="single" w:sz="12" w:space="0" w:color="000000"/>
              <w:right w:val="nil"/>
            </w:tcBorders>
            <w:shd w:val="clear" w:color="auto" w:fill="auto"/>
            <w:tcMar>
              <w:top w:w="80" w:type="dxa"/>
              <w:left w:w="80" w:type="dxa"/>
              <w:bottom w:w="80" w:type="dxa"/>
              <w:right w:w="80" w:type="dxa"/>
            </w:tcMar>
          </w:tcPr>
          <w:p w14:paraId="7D523627" w14:textId="77777777" w:rsidR="00E73C9D" w:rsidRPr="003B10BC" w:rsidRDefault="00C57731">
            <w:pPr>
              <w:pStyle w:val="Body"/>
              <w:spacing w:after="0"/>
              <w:rPr>
                <w:rFonts w:cs="Arial"/>
                <w:sz w:val="20"/>
                <w:szCs w:val="20"/>
              </w:rPr>
            </w:pPr>
            <w:r w:rsidRPr="003B10BC">
              <w:rPr>
                <w:rFonts w:eastAsia="Calibri" w:cs="Arial"/>
                <w:sz w:val="20"/>
                <w:szCs w:val="20"/>
              </w:rPr>
              <w:t>3.5</w:t>
            </w:r>
          </w:p>
        </w:tc>
        <w:tc>
          <w:tcPr>
            <w:tcW w:w="1507" w:type="dxa"/>
            <w:tcBorders>
              <w:top w:val="nil"/>
              <w:left w:val="nil"/>
              <w:bottom w:val="single" w:sz="12" w:space="0" w:color="000000"/>
              <w:right w:val="nil"/>
            </w:tcBorders>
            <w:shd w:val="clear" w:color="auto" w:fill="auto"/>
            <w:tcMar>
              <w:top w:w="80" w:type="dxa"/>
              <w:left w:w="80" w:type="dxa"/>
              <w:bottom w:w="80" w:type="dxa"/>
              <w:right w:w="80" w:type="dxa"/>
            </w:tcMar>
          </w:tcPr>
          <w:p w14:paraId="55F46A15" w14:textId="77777777" w:rsidR="00E73C9D" w:rsidRPr="003B10BC" w:rsidRDefault="00C57731">
            <w:pPr>
              <w:pStyle w:val="Body"/>
              <w:spacing w:after="0"/>
              <w:rPr>
                <w:rFonts w:cs="Arial"/>
                <w:sz w:val="20"/>
                <w:szCs w:val="20"/>
              </w:rPr>
            </w:pPr>
            <w:r w:rsidRPr="003B10BC">
              <w:rPr>
                <w:rFonts w:eastAsia="Calibri" w:cs="Arial"/>
                <w:sz w:val="20"/>
                <w:szCs w:val="20"/>
              </w:rPr>
              <w:t>3</w:t>
            </w:r>
          </w:p>
        </w:tc>
        <w:tc>
          <w:tcPr>
            <w:tcW w:w="1343" w:type="dxa"/>
            <w:tcBorders>
              <w:top w:val="nil"/>
              <w:left w:val="nil"/>
              <w:bottom w:val="single" w:sz="12" w:space="0" w:color="000000"/>
              <w:right w:val="nil"/>
            </w:tcBorders>
            <w:shd w:val="clear" w:color="auto" w:fill="auto"/>
            <w:tcMar>
              <w:top w:w="80" w:type="dxa"/>
              <w:left w:w="80" w:type="dxa"/>
              <w:bottom w:w="80" w:type="dxa"/>
              <w:right w:w="80" w:type="dxa"/>
            </w:tcMar>
          </w:tcPr>
          <w:p w14:paraId="1C968178" w14:textId="77777777" w:rsidR="00E73C9D" w:rsidRPr="003B10BC" w:rsidRDefault="00C57731">
            <w:pPr>
              <w:pStyle w:val="Body"/>
              <w:spacing w:after="0"/>
              <w:rPr>
                <w:rFonts w:eastAsia="Calibri" w:cs="Arial"/>
                <w:sz w:val="20"/>
                <w:szCs w:val="20"/>
              </w:rPr>
            </w:pPr>
            <w:r w:rsidRPr="003B10BC">
              <w:rPr>
                <w:rFonts w:eastAsia="Calibri" w:cs="Arial"/>
                <w:sz w:val="20"/>
                <w:szCs w:val="20"/>
              </w:rPr>
              <w:t>T test</w:t>
            </w:r>
          </w:p>
          <w:p w14:paraId="54F1AA44" w14:textId="77777777" w:rsidR="00E73C9D" w:rsidRPr="003B10BC" w:rsidRDefault="00C57731">
            <w:pPr>
              <w:pStyle w:val="Body"/>
              <w:spacing w:after="0"/>
              <w:rPr>
                <w:rFonts w:cs="Arial"/>
                <w:sz w:val="20"/>
                <w:szCs w:val="20"/>
              </w:rPr>
            </w:pPr>
            <w:r w:rsidRPr="003B10BC">
              <w:rPr>
                <w:rFonts w:eastAsia="Calibri" w:cs="Arial"/>
                <w:sz w:val="20"/>
                <w:szCs w:val="20"/>
              </w:rPr>
              <w:t>P = 0.3130</w:t>
            </w:r>
          </w:p>
        </w:tc>
      </w:tr>
    </w:tbl>
    <w:p w14:paraId="502B82F1" w14:textId="77777777" w:rsidR="00E73C9D" w:rsidRDefault="00E73C9D">
      <w:pPr>
        <w:pStyle w:val="Body"/>
        <w:widowControl w:val="0"/>
        <w:spacing w:line="240" w:lineRule="auto"/>
        <w:rPr>
          <w:b/>
          <w:bCs/>
        </w:rPr>
      </w:pPr>
    </w:p>
    <w:p w14:paraId="304B49AB" w14:textId="1A4A2B9B" w:rsidR="00E73C9D" w:rsidRPr="00016CAF" w:rsidRDefault="00016CAF">
      <w:pPr>
        <w:pStyle w:val="Body"/>
        <w:rPr>
          <w:b/>
        </w:rPr>
      </w:pPr>
      <w:r w:rsidRPr="00016CAF">
        <w:rPr>
          <w:b/>
        </w:rPr>
        <w:t xml:space="preserve">Figure </w:t>
      </w:r>
      <w:r w:rsidR="00B26A21">
        <w:rPr>
          <w:b/>
        </w:rPr>
        <w:t>5</w:t>
      </w:r>
      <w:r>
        <w:rPr>
          <w:b/>
        </w:rPr>
        <w:t>.3</w:t>
      </w:r>
      <w:r w:rsidRPr="00016CAF">
        <w:rPr>
          <w:b/>
        </w:rPr>
        <w:t xml:space="preserve"> - Binned scatterplot (simple) PREDICT chemotherapy benefit score and chemotherapy use, trial represented</w:t>
      </w:r>
    </w:p>
    <w:p w14:paraId="4B4F7B25" w14:textId="77777777" w:rsidR="00016CAF" w:rsidRDefault="00016CAF" w:rsidP="00016CAF">
      <w:pPr>
        <w:pStyle w:val="Body"/>
      </w:pPr>
      <w:r>
        <w:rPr>
          <w:noProof/>
          <w:lang w:val="en-GB"/>
        </w:rPr>
        <w:drawing>
          <wp:inline distT="0" distB="0" distL="0" distR="0" wp14:anchorId="4B264F2A" wp14:editId="17B7CD03">
            <wp:extent cx="4053840" cy="2811780"/>
            <wp:effectExtent l="0" t="0" r="0" b="0"/>
            <wp:docPr id="1" name="officeArt object" descr="Picture 7"/>
            <wp:cNvGraphicFramePr/>
            <a:graphic xmlns:a="http://schemas.openxmlformats.org/drawingml/2006/main">
              <a:graphicData uri="http://schemas.openxmlformats.org/drawingml/2006/picture">
                <pic:pic xmlns:pic="http://schemas.openxmlformats.org/drawingml/2006/picture">
                  <pic:nvPicPr>
                    <pic:cNvPr id="1073741865" name="Picture 7" descr="Picture 7"/>
                    <pic:cNvPicPr>
                      <a:picLocks noChangeAspect="1"/>
                    </pic:cNvPicPr>
                  </pic:nvPicPr>
                  <pic:blipFill>
                    <a:blip r:embed="rId16">
                      <a:extLst/>
                    </a:blip>
                    <a:stretch>
                      <a:fillRect/>
                    </a:stretch>
                  </pic:blipFill>
                  <pic:spPr>
                    <a:xfrm>
                      <a:off x="0" y="0"/>
                      <a:ext cx="4053840" cy="2811780"/>
                    </a:xfrm>
                    <a:prstGeom prst="rect">
                      <a:avLst/>
                    </a:prstGeom>
                    <a:ln w="12700" cap="flat">
                      <a:noFill/>
                      <a:miter lim="400000"/>
                    </a:ln>
                    <a:effectLst/>
                  </pic:spPr>
                </pic:pic>
              </a:graphicData>
            </a:graphic>
          </wp:inline>
        </w:drawing>
      </w:r>
    </w:p>
    <w:p w14:paraId="7F499975" w14:textId="4E208411" w:rsidR="00016CAF" w:rsidRPr="005C5D2A" w:rsidRDefault="00016CAF" w:rsidP="00016CAF">
      <w:pPr>
        <w:pStyle w:val="BodyA"/>
        <w:rPr>
          <w:b/>
        </w:rPr>
      </w:pPr>
      <w:r w:rsidRPr="005C5D2A">
        <w:rPr>
          <w:b/>
        </w:rPr>
        <w:t xml:space="preserve">Figure </w:t>
      </w:r>
      <w:r w:rsidR="00B26A21">
        <w:rPr>
          <w:b/>
        </w:rPr>
        <w:t>5</w:t>
      </w:r>
      <w:r w:rsidRPr="005C5D2A">
        <w:rPr>
          <w:b/>
        </w:rPr>
        <w:t>.</w:t>
      </w:r>
      <w:r w:rsidR="005C5D2A" w:rsidRPr="005C5D2A">
        <w:rPr>
          <w:b/>
        </w:rPr>
        <w:t>4</w:t>
      </w:r>
      <w:r w:rsidRPr="005C5D2A">
        <w:rPr>
          <w:b/>
        </w:rPr>
        <w:t xml:space="preserve"> - Binned scatterplot (WIMSE) - PREDICT chemotherapy benefit and chemotherapy use, trial represented, 3% and 5% thresholds</w:t>
      </w:r>
    </w:p>
    <w:p w14:paraId="3EFDEB36" w14:textId="77777777" w:rsidR="00016CAF" w:rsidRDefault="00016CAF" w:rsidP="00016CAF">
      <w:pPr>
        <w:pStyle w:val="BodyA"/>
      </w:pPr>
      <w:r>
        <w:rPr>
          <w:noProof/>
          <w:lang w:val="en-GB"/>
        </w:rPr>
        <w:drawing>
          <wp:inline distT="0" distB="0" distL="0" distR="0" wp14:anchorId="01409BE6" wp14:editId="26A975B0">
            <wp:extent cx="5727701" cy="2119491"/>
            <wp:effectExtent l="0" t="0" r="0" b="0"/>
            <wp:docPr id="2" name="officeArt object" descr="RDplot scatters.png"/>
            <wp:cNvGraphicFramePr/>
            <a:graphic xmlns:a="http://schemas.openxmlformats.org/drawingml/2006/main">
              <a:graphicData uri="http://schemas.openxmlformats.org/drawingml/2006/picture">
                <pic:pic xmlns:pic="http://schemas.openxmlformats.org/drawingml/2006/picture">
                  <pic:nvPicPr>
                    <pic:cNvPr id="1073741866" name="RDplot scatters.png" descr="RDplot scatters.png"/>
                    <pic:cNvPicPr>
                      <a:picLocks noChangeAspect="1"/>
                    </pic:cNvPicPr>
                  </pic:nvPicPr>
                  <pic:blipFill>
                    <a:blip r:embed="rId17">
                      <a:extLst/>
                    </a:blip>
                    <a:stretch>
                      <a:fillRect/>
                    </a:stretch>
                  </pic:blipFill>
                  <pic:spPr>
                    <a:xfrm>
                      <a:off x="0" y="0"/>
                      <a:ext cx="5727701" cy="2119491"/>
                    </a:xfrm>
                    <a:prstGeom prst="rect">
                      <a:avLst/>
                    </a:prstGeom>
                    <a:ln w="12700" cap="flat">
                      <a:noFill/>
                      <a:miter lim="400000"/>
                    </a:ln>
                    <a:effectLst/>
                  </pic:spPr>
                </pic:pic>
              </a:graphicData>
            </a:graphic>
          </wp:inline>
        </w:drawing>
      </w:r>
    </w:p>
    <w:p w14:paraId="5355F119" w14:textId="77777777" w:rsidR="00E73C9D" w:rsidRDefault="00C57731">
      <w:pPr>
        <w:pStyle w:val="Heading2"/>
      </w:pPr>
      <w:r>
        <w:br w:type="page"/>
      </w:r>
    </w:p>
    <w:p w14:paraId="230F2CF7" w14:textId="1E08F3BE" w:rsidR="00E73C9D" w:rsidRDefault="00637109">
      <w:pPr>
        <w:pStyle w:val="Heading2"/>
      </w:pPr>
      <w:r>
        <w:rPr>
          <w:lang w:val="en-GB"/>
        </w:rPr>
        <w:lastRenderedPageBreak/>
        <w:t>6</w:t>
      </w:r>
      <w:r w:rsidR="00C57731">
        <w:rPr>
          <w:lang w:val="ru-RU"/>
        </w:rPr>
        <w:t xml:space="preserve"> </w:t>
      </w:r>
      <w:r w:rsidR="00C57731">
        <w:t xml:space="preserve">– </w:t>
      </w:r>
      <w:r w:rsidR="00C57731">
        <w:rPr>
          <w:lang w:val="en-US"/>
        </w:rPr>
        <w:t>Detailed of randomised trial meta-analysis</w:t>
      </w:r>
    </w:p>
    <w:p w14:paraId="183CD441" w14:textId="77777777" w:rsidR="00E73C9D" w:rsidRDefault="00C57731">
      <w:pPr>
        <w:pStyle w:val="Heading3"/>
      </w:pPr>
      <w:r>
        <w:t>Network meta-analysis of the EBCTCG- included trials</w:t>
      </w:r>
    </w:p>
    <w:p w14:paraId="70A770E4" w14:textId="77777777" w:rsidR="00E73C9D" w:rsidRDefault="00E73C9D">
      <w:pPr>
        <w:pStyle w:val="NoSpacing"/>
      </w:pPr>
    </w:p>
    <w:p w14:paraId="62A2CC45" w14:textId="77777777" w:rsidR="00E73C9D" w:rsidRDefault="00E73C9D">
      <w:pPr>
        <w:pStyle w:val="NoSpacing"/>
      </w:pPr>
    </w:p>
    <w:p w14:paraId="1A834D35" w14:textId="322598B8" w:rsidR="00E73C9D" w:rsidRDefault="00C57731">
      <w:pPr>
        <w:pStyle w:val="NoSpacing"/>
      </w:pPr>
      <w:r>
        <w:rPr>
          <w:b/>
          <w:bCs/>
        </w:rPr>
        <w:t xml:space="preserve">Figure </w:t>
      </w:r>
      <w:r w:rsidR="00637109">
        <w:rPr>
          <w:b/>
          <w:bCs/>
        </w:rPr>
        <w:t>6</w:t>
      </w:r>
      <w:r>
        <w:rPr>
          <w:b/>
          <w:bCs/>
        </w:rPr>
        <w:t>.1</w:t>
      </w:r>
      <w:r>
        <w:t xml:space="preserve"> Network of the EBCTCG trials</w:t>
      </w:r>
    </w:p>
    <w:p w14:paraId="3A35B170" w14:textId="77777777" w:rsidR="00E73C9D" w:rsidRDefault="00E73C9D">
      <w:pPr>
        <w:pStyle w:val="NoSpacing"/>
      </w:pPr>
    </w:p>
    <w:p w14:paraId="38E4DE98" w14:textId="34FD00FC" w:rsidR="00E73C9D" w:rsidRDefault="00B76990">
      <w:pPr>
        <w:pStyle w:val="NoSpacing"/>
      </w:pPr>
      <w:r w:rsidRPr="00C815C9">
        <w:rPr>
          <w:noProof/>
          <w:lang w:val="en-GB"/>
        </w:rPr>
        <w:drawing>
          <wp:inline distT="0" distB="0" distL="0" distR="0" wp14:anchorId="467E35CE" wp14:editId="72E30789">
            <wp:extent cx="5029200" cy="3657600"/>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9200" cy="3657600"/>
                    </a:xfrm>
                    <a:prstGeom prst="rect">
                      <a:avLst/>
                    </a:prstGeom>
                  </pic:spPr>
                </pic:pic>
              </a:graphicData>
            </a:graphic>
          </wp:inline>
        </w:drawing>
      </w:r>
    </w:p>
    <w:p w14:paraId="3F3C3CF1" w14:textId="1F78BB9D" w:rsidR="00E73C9D" w:rsidRDefault="002E5E7B">
      <w:pPr>
        <w:pStyle w:val="NoSpacing"/>
      </w:pPr>
      <w:r>
        <w:t>OldAnth = “</w:t>
      </w:r>
      <w:r w:rsidRPr="002E5E7B">
        <w:t>Anthracycline dose/cycle &lt; A60 or E90,</w:t>
      </w:r>
      <w:r>
        <w:t>”</w:t>
      </w:r>
    </w:p>
    <w:p w14:paraId="4FB00177" w14:textId="0DB37F42" w:rsidR="002E5E7B" w:rsidRDefault="002E5E7B">
      <w:pPr>
        <w:pStyle w:val="NoSpacing"/>
      </w:pPr>
      <w:r>
        <w:t>NewAnth = “</w:t>
      </w:r>
      <w:r w:rsidRPr="002E5E7B">
        <w:t>Anthracycline dose/cycle exactly A60 or E90</w:t>
      </w:r>
      <w:r>
        <w:t>”</w:t>
      </w:r>
    </w:p>
    <w:p w14:paraId="57243375" w14:textId="38A403DA" w:rsidR="002E5E7B" w:rsidRDefault="002E5E7B">
      <w:pPr>
        <w:pStyle w:val="NoSpacing"/>
      </w:pPr>
      <w:r>
        <w:t>CMFs = “</w:t>
      </w:r>
      <w:r w:rsidRPr="002E5E7B">
        <w:t>Standard CMF (or near-standard CMF) regimens</w:t>
      </w:r>
      <w:r>
        <w:t>”</w:t>
      </w:r>
    </w:p>
    <w:p w14:paraId="036D6010" w14:textId="4B2F5222" w:rsidR="002E5E7B" w:rsidRDefault="002E5E7B">
      <w:pPr>
        <w:pStyle w:val="NoSpacing"/>
      </w:pPr>
      <w:r>
        <w:t>CMFns = “</w:t>
      </w:r>
      <w:r w:rsidRPr="002E5E7B">
        <w:t>Other CMF regimens</w:t>
      </w:r>
      <w:r>
        <w:t>”</w:t>
      </w:r>
    </w:p>
    <w:p w14:paraId="716EB884" w14:textId="47D051C2" w:rsidR="00B76990" w:rsidRDefault="00B76990">
      <w:pPr>
        <w:pStyle w:val="NoSpacing"/>
      </w:pPr>
      <w:r>
        <w:t>Numbers indicate total number of comparisons</w:t>
      </w:r>
    </w:p>
    <w:p w14:paraId="3414F6CE" w14:textId="7B6DF844" w:rsidR="002E5E7B" w:rsidRDefault="002E5E7B">
      <w:pPr>
        <w:pStyle w:val="NoSpacing"/>
      </w:pPr>
      <w:r>
        <w:t xml:space="preserve">Source for individual trial details: </w:t>
      </w:r>
      <w:r>
        <w:fldChar w:fldCharType="begin"/>
      </w:r>
      <w:r w:rsidR="007D027A">
        <w:instrText xml:space="preserve"> ADDIN EN.CITE &lt;EndNote&gt;&lt;Cite&gt;&lt;Author&gt;Early Breast Cancer Trialists’ Collaborative Group&lt;/Author&gt;&lt;Year&gt;2012&lt;/Year&gt;&lt;RecNum&gt;87&lt;/RecNum&gt;&lt;DisplayText&gt;(12)&lt;/DisplayText&gt;&lt;record&gt;&lt;rec-number&gt;87&lt;/rec-number&gt;&lt;foreign-keys&gt;&lt;key app="EN" db-id="ftrpw5r2d0tevie2a5gp2tzn2xerrzew2w50" timestamp="1505920746"&gt;87&lt;/key&gt;&lt;key app="ENWeb" db-id=""&gt;0&lt;/key&gt;&lt;/foreign-keys&gt;&lt;ref-type name="Journal Article"&gt;17&lt;/ref-type&gt;&lt;contributors&gt;&lt;authors&gt;&lt;author&gt;Early Breast Cancer Trialists’ Collaborative Group,&lt;/author&gt;&lt;/authors&gt;&lt;/contributors&gt;&lt;titles&gt;&lt;title&gt;Comparisons between different polychemotherapy regimens for early breast cancer: meta-analyses of long-term outcome among 100 000 women in 123 randomised trials&lt;/title&gt;&lt;secondary-title&gt;The Lancet&lt;/secondary-title&gt;&lt;/titles&gt;&lt;periodical&gt;&lt;full-title&gt;The Lancet&lt;/full-title&gt;&lt;/periodical&gt;&lt;pages&gt;432-444&lt;/pages&gt;&lt;volume&gt;379&lt;/volume&gt;&lt;number&gt;9814&lt;/number&gt;&lt;dates&gt;&lt;year&gt;2012&lt;/year&gt;&lt;/dates&gt;&lt;isbn&gt;01406736&lt;/isbn&gt;&lt;urls&gt;&lt;/urls&gt;&lt;electronic-resource-num&gt;10.1016/s0140-6736(11)61625-5&lt;/electronic-resource-num&gt;&lt;/record&gt;&lt;/Cite&gt;&lt;/EndNote&gt;</w:instrText>
      </w:r>
      <w:r>
        <w:fldChar w:fldCharType="separate"/>
      </w:r>
      <w:r w:rsidR="007D027A">
        <w:rPr>
          <w:noProof/>
        </w:rPr>
        <w:t>(12)</w:t>
      </w:r>
      <w:r>
        <w:fldChar w:fldCharType="end"/>
      </w:r>
      <w:r>
        <w:t xml:space="preserve"> </w:t>
      </w:r>
    </w:p>
    <w:p w14:paraId="04FACD95" w14:textId="77777777" w:rsidR="00E73C9D" w:rsidRDefault="00E73C9D">
      <w:pPr>
        <w:pStyle w:val="NoSpacing"/>
      </w:pPr>
    </w:p>
    <w:p w14:paraId="24AD936A" w14:textId="77777777" w:rsidR="00E73C9D" w:rsidRDefault="00E73C9D">
      <w:pPr>
        <w:pStyle w:val="NoSpacing"/>
      </w:pPr>
    </w:p>
    <w:p w14:paraId="31FD0B85" w14:textId="77777777" w:rsidR="00E73C9D" w:rsidRDefault="00C57731">
      <w:pPr>
        <w:pStyle w:val="Body"/>
      </w:pPr>
      <w:r>
        <w:rPr>
          <w:rFonts w:ascii="Arial Unicode MS" w:hAnsi="Arial Unicode MS"/>
        </w:rPr>
        <w:br w:type="page"/>
      </w:r>
    </w:p>
    <w:p w14:paraId="53AFC821" w14:textId="77777777" w:rsidR="00E73C9D" w:rsidRDefault="00E73C9D">
      <w:pPr>
        <w:pStyle w:val="NoSpacing"/>
      </w:pPr>
    </w:p>
    <w:p w14:paraId="199D7986" w14:textId="77777777" w:rsidR="00E73C9D" w:rsidRDefault="00C57731">
      <w:pPr>
        <w:pStyle w:val="NoSpacing"/>
        <w:rPr>
          <w:u w:val="single"/>
        </w:rPr>
      </w:pPr>
      <w:r>
        <w:rPr>
          <w:u w:val="single"/>
        </w:rPr>
        <w:t>Breast cancer mortality</w:t>
      </w:r>
    </w:p>
    <w:p w14:paraId="494BD3DC" w14:textId="77777777" w:rsidR="00E73C9D" w:rsidRDefault="00E73C9D">
      <w:pPr>
        <w:pStyle w:val="NoSpacing"/>
      </w:pPr>
    </w:p>
    <w:p w14:paraId="7D0B7204" w14:textId="28C79AE2" w:rsidR="00E73C9D" w:rsidRDefault="00C57731">
      <w:pPr>
        <w:pStyle w:val="NoSpacing"/>
      </w:pPr>
      <w:r>
        <w:rPr>
          <w:b/>
          <w:bCs/>
        </w:rPr>
        <w:t xml:space="preserve">Figure </w:t>
      </w:r>
      <w:r w:rsidR="00637109">
        <w:rPr>
          <w:b/>
          <w:bCs/>
        </w:rPr>
        <w:t>6</w:t>
      </w:r>
      <w:r>
        <w:rPr>
          <w:b/>
          <w:bCs/>
        </w:rPr>
        <w:t>.2</w:t>
      </w:r>
      <w:r>
        <w:t xml:space="preserve"> Forest plot for EBCTCG trials with breast cancer mortality as outcome</w:t>
      </w:r>
    </w:p>
    <w:p w14:paraId="3B21EE27" w14:textId="77777777" w:rsidR="00E73C9D" w:rsidRDefault="00C57731">
      <w:pPr>
        <w:pStyle w:val="NoSpacing"/>
        <w:rPr>
          <w:rFonts w:ascii="Courier New" w:eastAsia="Courier New" w:hAnsi="Courier New" w:cs="Courier New"/>
          <w:sz w:val="18"/>
          <w:szCs w:val="18"/>
        </w:rPr>
      </w:pPr>
      <w:r>
        <w:rPr>
          <w:rFonts w:ascii="Courier New" w:eastAsia="Courier New" w:hAnsi="Courier New" w:cs="Courier New"/>
          <w:noProof/>
          <w:sz w:val="18"/>
          <w:szCs w:val="18"/>
          <w:lang w:val="en-GB"/>
        </w:rPr>
        <w:drawing>
          <wp:inline distT="0" distB="0" distL="0" distR="0" wp14:anchorId="26D61B0B" wp14:editId="7ED84697">
            <wp:extent cx="5610225" cy="4105806"/>
            <wp:effectExtent l="0" t="0" r="0" b="0"/>
            <wp:docPr id="1073741871" name="officeArt object" descr="Picture 8"/>
            <wp:cNvGraphicFramePr/>
            <a:graphic xmlns:a="http://schemas.openxmlformats.org/drawingml/2006/main">
              <a:graphicData uri="http://schemas.openxmlformats.org/drawingml/2006/picture">
                <pic:pic xmlns:pic="http://schemas.openxmlformats.org/drawingml/2006/picture">
                  <pic:nvPicPr>
                    <pic:cNvPr id="1073741871" name="Picture 8" descr="Picture 8"/>
                    <pic:cNvPicPr>
                      <a:picLocks noChangeAspect="1"/>
                    </pic:cNvPicPr>
                  </pic:nvPicPr>
                  <pic:blipFill>
                    <a:blip r:embed="rId19">
                      <a:extLst/>
                    </a:blip>
                    <a:stretch>
                      <a:fillRect/>
                    </a:stretch>
                  </pic:blipFill>
                  <pic:spPr>
                    <a:xfrm>
                      <a:off x="0" y="0"/>
                      <a:ext cx="5610225" cy="4105806"/>
                    </a:xfrm>
                    <a:prstGeom prst="rect">
                      <a:avLst/>
                    </a:prstGeom>
                    <a:ln w="12700" cap="flat">
                      <a:noFill/>
                      <a:miter lim="400000"/>
                    </a:ln>
                    <a:effectLst/>
                  </pic:spPr>
                </pic:pic>
              </a:graphicData>
            </a:graphic>
          </wp:inline>
        </w:drawing>
      </w:r>
    </w:p>
    <w:p w14:paraId="1FBA1AD2" w14:textId="77777777" w:rsidR="00E73C9D" w:rsidRDefault="00E73C9D">
      <w:pPr>
        <w:pStyle w:val="NoSpacing"/>
      </w:pPr>
    </w:p>
    <w:p w14:paraId="41A3BD29" w14:textId="107849F4" w:rsidR="00E73C9D" w:rsidRDefault="00C57731">
      <w:pPr>
        <w:pStyle w:val="NoSpacing"/>
      </w:pPr>
      <w:r>
        <w:t>Note: Outcomes are treated as binary (Deaths/Women), i.e. making the assumption that the follow-up time is the same in both treatment arms for each trial. Based on the information reported in the original meta-analysis</w:t>
      </w:r>
      <w:r w:rsidR="004E4393">
        <w:t>,</w:t>
      </w:r>
      <w:r>
        <w:t xml:space="preserve"> </w:t>
      </w:r>
      <w:r w:rsidR="004E4393">
        <w:t xml:space="preserve">this </w:t>
      </w:r>
      <w:r>
        <w:t>was not</w:t>
      </w:r>
      <w:r w:rsidR="004E4393">
        <w:t xml:space="preserve"> the case.</w:t>
      </w:r>
    </w:p>
    <w:p w14:paraId="419CA3B0" w14:textId="77777777" w:rsidR="00E73C9D" w:rsidRDefault="00E73C9D">
      <w:pPr>
        <w:pStyle w:val="NoSpacing"/>
      </w:pPr>
    </w:p>
    <w:p w14:paraId="31406FF4" w14:textId="77777777" w:rsidR="00E73C9D" w:rsidRDefault="00C57731">
      <w:pPr>
        <w:pStyle w:val="NoSpacing"/>
      </w:pPr>
      <w:r>
        <w:t>Using placebo the reference and including both direct and indirect evidence, we obtained the following effect estimates for each treatment:</w:t>
      </w:r>
    </w:p>
    <w:p w14:paraId="1013B564" w14:textId="77777777" w:rsidR="00E73C9D" w:rsidRDefault="00E73C9D">
      <w:pPr>
        <w:pStyle w:val="NoSpacing"/>
      </w:pPr>
    </w:p>
    <w:p w14:paraId="5F227752" w14:textId="0D2A6E00" w:rsidR="00E73C9D" w:rsidRDefault="00C57731">
      <w:pPr>
        <w:pStyle w:val="NoSpacing"/>
      </w:pPr>
      <w:r>
        <w:rPr>
          <w:b/>
          <w:bCs/>
        </w:rPr>
        <w:t xml:space="preserve">Table </w:t>
      </w:r>
      <w:r w:rsidR="00637109">
        <w:rPr>
          <w:b/>
          <w:bCs/>
        </w:rPr>
        <w:t>6</w:t>
      </w:r>
      <w:r>
        <w:rPr>
          <w:b/>
          <w:bCs/>
        </w:rPr>
        <w:t>.1</w:t>
      </w:r>
      <w:r>
        <w:t xml:space="preserve"> Hazard ratio in breast cancer mortality for different breast cancer treatments vs placebo</w:t>
      </w:r>
    </w:p>
    <w:tbl>
      <w:tblPr>
        <w:tblW w:w="90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409"/>
        <w:gridCol w:w="2693"/>
        <w:gridCol w:w="3924"/>
      </w:tblGrid>
      <w:tr w:rsidR="00E73C9D" w14:paraId="383E79FB" w14:textId="77777777">
        <w:trPr>
          <w:trHeight w:val="250"/>
        </w:trPr>
        <w:tc>
          <w:tcPr>
            <w:tcW w:w="240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48487542" w14:textId="77777777" w:rsidR="00E73C9D" w:rsidRDefault="00E73C9D"/>
        </w:tc>
        <w:tc>
          <w:tcPr>
            <w:tcW w:w="269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1EC7311B" w14:textId="77777777" w:rsidR="00E73C9D" w:rsidRDefault="00C57731">
            <w:pPr>
              <w:pStyle w:val="NoSpacing"/>
              <w:jc w:val="center"/>
            </w:pPr>
            <w:r>
              <w:t>HR</w:t>
            </w:r>
          </w:p>
        </w:tc>
        <w:tc>
          <w:tcPr>
            <w:tcW w:w="392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AB3A143" w14:textId="77777777" w:rsidR="00E73C9D" w:rsidRDefault="00C57731">
            <w:pPr>
              <w:pStyle w:val="NoSpacing"/>
              <w:jc w:val="center"/>
            </w:pPr>
            <w:r>
              <w:t>CI</w:t>
            </w:r>
          </w:p>
        </w:tc>
      </w:tr>
      <w:tr w:rsidR="00E73C9D" w14:paraId="43119E64" w14:textId="77777777">
        <w:trPr>
          <w:trHeight w:val="255"/>
        </w:trPr>
        <w:tc>
          <w:tcPr>
            <w:tcW w:w="2409"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4FDA6893" w14:textId="77777777" w:rsidR="00E73C9D" w:rsidRDefault="00C57731">
            <w:pPr>
              <w:pStyle w:val="NoSpacing"/>
            </w:pPr>
            <w:r>
              <w:t>NewAnth</w:t>
            </w:r>
          </w:p>
        </w:tc>
        <w:tc>
          <w:tcPr>
            <w:tcW w:w="2693"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08EAB9CE" w14:textId="77777777" w:rsidR="00E73C9D" w:rsidRDefault="00C57731">
            <w:pPr>
              <w:pStyle w:val="NoSpacing"/>
              <w:jc w:val="center"/>
            </w:pPr>
            <w:r>
              <w:t>0.75</w:t>
            </w:r>
          </w:p>
        </w:tc>
        <w:tc>
          <w:tcPr>
            <w:tcW w:w="3924" w:type="dxa"/>
            <w:tcBorders>
              <w:top w:val="single" w:sz="4" w:space="0" w:color="000000"/>
              <w:left w:val="nil"/>
              <w:bottom w:val="nil"/>
              <w:right w:val="nil"/>
            </w:tcBorders>
            <w:shd w:val="clear" w:color="auto" w:fill="auto"/>
            <w:tcMar>
              <w:top w:w="80" w:type="dxa"/>
              <w:left w:w="80" w:type="dxa"/>
              <w:bottom w:w="80" w:type="dxa"/>
              <w:right w:w="80" w:type="dxa"/>
            </w:tcMar>
          </w:tcPr>
          <w:p w14:paraId="2FE6C49E" w14:textId="77777777" w:rsidR="00E73C9D" w:rsidRDefault="00C57731">
            <w:pPr>
              <w:pStyle w:val="NoSpacing"/>
              <w:jc w:val="center"/>
            </w:pPr>
            <w:r>
              <w:t>0.68; 0.82</w:t>
            </w:r>
          </w:p>
        </w:tc>
      </w:tr>
      <w:tr w:rsidR="00E73C9D" w14:paraId="4A5FD16F" w14:textId="77777777">
        <w:trPr>
          <w:trHeight w:val="260"/>
        </w:trPr>
        <w:tc>
          <w:tcPr>
            <w:tcW w:w="2409" w:type="dxa"/>
            <w:tcBorders>
              <w:top w:val="nil"/>
              <w:left w:val="nil"/>
              <w:bottom w:val="nil"/>
              <w:right w:val="single" w:sz="4" w:space="0" w:color="000000"/>
            </w:tcBorders>
            <w:shd w:val="clear" w:color="auto" w:fill="auto"/>
            <w:tcMar>
              <w:top w:w="80" w:type="dxa"/>
              <w:left w:w="80" w:type="dxa"/>
              <w:bottom w:w="80" w:type="dxa"/>
              <w:right w:w="80" w:type="dxa"/>
            </w:tcMar>
          </w:tcPr>
          <w:p w14:paraId="15F636A0" w14:textId="77777777" w:rsidR="00E73C9D" w:rsidRDefault="00C57731">
            <w:pPr>
              <w:pStyle w:val="NoSpacing"/>
            </w:pPr>
            <w:r>
              <w:t>OldAnth</w:t>
            </w:r>
          </w:p>
        </w:tc>
        <w:tc>
          <w:tcPr>
            <w:tcW w:w="2693" w:type="dxa"/>
            <w:tcBorders>
              <w:top w:val="nil"/>
              <w:left w:val="single" w:sz="4" w:space="0" w:color="000000"/>
              <w:bottom w:val="nil"/>
              <w:right w:val="nil"/>
            </w:tcBorders>
            <w:shd w:val="clear" w:color="auto" w:fill="auto"/>
            <w:tcMar>
              <w:top w:w="80" w:type="dxa"/>
              <w:left w:w="80" w:type="dxa"/>
              <w:bottom w:w="80" w:type="dxa"/>
              <w:right w:w="80" w:type="dxa"/>
            </w:tcMar>
          </w:tcPr>
          <w:p w14:paraId="219A58DD" w14:textId="77777777" w:rsidR="00E73C9D" w:rsidRDefault="00C57731">
            <w:pPr>
              <w:pStyle w:val="NoSpacing"/>
              <w:jc w:val="center"/>
            </w:pPr>
            <w:r>
              <w:t>0.81</w:t>
            </w:r>
          </w:p>
        </w:tc>
        <w:tc>
          <w:tcPr>
            <w:tcW w:w="3924" w:type="dxa"/>
            <w:tcBorders>
              <w:top w:val="nil"/>
              <w:left w:val="nil"/>
              <w:bottom w:val="nil"/>
              <w:right w:val="nil"/>
            </w:tcBorders>
            <w:shd w:val="clear" w:color="auto" w:fill="auto"/>
            <w:tcMar>
              <w:top w:w="80" w:type="dxa"/>
              <w:left w:w="80" w:type="dxa"/>
              <w:bottom w:w="80" w:type="dxa"/>
              <w:right w:w="80" w:type="dxa"/>
            </w:tcMar>
          </w:tcPr>
          <w:p w14:paraId="394FEDBA" w14:textId="77777777" w:rsidR="00E73C9D" w:rsidRDefault="00C57731">
            <w:pPr>
              <w:pStyle w:val="NoSpacing"/>
              <w:jc w:val="center"/>
            </w:pPr>
            <w:r>
              <w:t>0.74; 0.88</w:t>
            </w:r>
          </w:p>
        </w:tc>
      </w:tr>
      <w:tr w:rsidR="00E73C9D" w14:paraId="69AC659F" w14:textId="77777777">
        <w:trPr>
          <w:trHeight w:val="260"/>
        </w:trPr>
        <w:tc>
          <w:tcPr>
            <w:tcW w:w="2409" w:type="dxa"/>
            <w:tcBorders>
              <w:top w:val="nil"/>
              <w:left w:val="nil"/>
              <w:bottom w:val="nil"/>
              <w:right w:val="single" w:sz="4" w:space="0" w:color="000000"/>
            </w:tcBorders>
            <w:shd w:val="clear" w:color="auto" w:fill="auto"/>
            <w:tcMar>
              <w:top w:w="80" w:type="dxa"/>
              <w:left w:w="80" w:type="dxa"/>
              <w:bottom w:w="80" w:type="dxa"/>
              <w:right w:w="80" w:type="dxa"/>
            </w:tcMar>
          </w:tcPr>
          <w:p w14:paraId="58F2797F" w14:textId="77777777" w:rsidR="00E73C9D" w:rsidRDefault="00C57731">
            <w:pPr>
              <w:pStyle w:val="NoSpacing"/>
            </w:pPr>
            <w:r>
              <w:t>CMF standard</w:t>
            </w:r>
          </w:p>
        </w:tc>
        <w:tc>
          <w:tcPr>
            <w:tcW w:w="2693" w:type="dxa"/>
            <w:tcBorders>
              <w:top w:val="nil"/>
              <w:left w:val="single" w:sz="4" w:space="0" w:color="000000"/>
              <w:bottom w:val="nil"/>
              <w:right w:val="nil"/>
            </w:tcBorders>
            <w:shd w:val="clear" w:color="auto" w:fill="auto"/>
            <w:tcMar>
              <w:top w:w="80" w:type="dxa"/>
              <w:left w:w="80" w:type="dxa"/>
              <w:bottom w:w="80" w:type="dxa"/>
              <w:right w:w="80" w:type="dxa"/>
            </w:tcMar>
          </w:tcPr>
          <w:p w14:paraId="692BE5BC" w14:textId="77777777" w:rsidR="00E73C9D" w:rsidRDefault="00C57731">
            <w:pPr>
              <w:pStyle w:val="NoSpacing"/>
              <w:jc w:val="center"/>
            </w:pPr>
            <w:r>
              <w:t>0.82</w:t>
            </w:r>
          </w:p>
        </w:tc>
        <w:tc>
          <w:tcPr>
            <w:tcW w:w="3924" w:type="dxa"/>
            <w:tcBorders>
              <w:top w:val="nil"/>
              <w:left w:val="nil"/>
              <w:bottom w:val="nil"/>
              <w:right w:val="nil"/>
            </w:tcBorders>
            <w:shd w:val="clear" w:color="auto" w:fill="auto"/>
            <w:tcMar>
              <w:top w:w="80" w:type="dxa"/>
              <w:left w:w="80" w:type="dxa"/>
              <w:bottom w:w="80" w:type="dxa"/>
              <w:right w:w="80" w:type="dxa"/>
            </w:tcMar>
          </w:tcPr>
          <w:p w14:paraId="54194D04" w14:textId="77777777" w:rsidR="00E73C9D" w:rsidRDefault="00C57731">
            <w:pPr>
              <w:pStyle w:val="NoSpacing"/>
              <w:jc w:val="center"/>
            </w:pPr>
            <w:r>
              <w:t>0.75; 0.89</w:t>
            </w:r>
          </w:p>
        </w:tc>
      </w:tr>
      <w:tr w:rsidR="00E73C9D" w14:paraId="2EA00517" w14:textId="77777777">
        <w:trPr>
          <w:trHeight w:val="260"/>
        </w:trPr>
        <w:tc>
          <w:tcPr>
            <w:tcW w:w="2409" w:type="dxa"/>
            <w:tcBorders>
              <w:top w:val="nil"/>
              <w:left w:val="nil"/>
              <w:bottom w:val="nil"/>
              <w:right w:val="single" w:sz="4" w:space="0" w:color="000000"/>
            </w:tcBorders>
            <w:shd w:val="clear" w:color="auto" w:fill="auto"/>
            <w:tcMar>
              <w:top w:w="80" w:type="dxa"/>
              <w:left w:w="80" w:type="dxa"/>
              <w:bottom w:w="80" w:type="dxa"/>
              <w:right w:w="80" w:type="dxa"/>
            </w:tcMar>
          </w:tcPr>
          <w:p w14:paraId="15C3766E" w14:textId="6454EC5C" w:rsidR="00E73C9D" w:rsidRDefault="00C57731">
            <w:pPr>
              <w:pStyle w:val="NoSpacing"/>
            </w:pPr>
            <w:r>
              <w:t>CMF non-s</w:t>
            </w:r>
            <w:r w:rsidR="004E4393">
              <w:t>t</w:t>
            </w:r>
            <w:r>
              <w:t>andard</w:t>
            </w:r>
          </w:p>
        </w:tc>
        <w:tc>
          <w:tcPr>
            <w:tcW w:w="2693" w:type="dxa"/>
            <w:tcBorders>
              <w:top w:val="nil"/>
              <w:left w:val="single" w:sz="4" w:space="0" w:color="000000"/>
              <w:bottom w:val="nil"/>
              <w:right w:val="nil"/>
            </w:tcBorders>
            <w:shd w:val="clear" w:color="auto" w:fill="auto"/>
            <w:tcMar>
              <w:top w:w="80" w:type="dxa"/>
              <w:left w:w="80" w:type="dxa"/>
              <w:bottom w:w="80" w:type="dxa"/>
              <w:right w:w="80" w:type="dxa"/>
            </w:tcMar>
          </w:tcPr>
          <w:p w14:paraId="06A3227F" w14:textId="77777777" w:rsidR="00E73C9D" w:rsidRDefault="00C57731">
            <w:pPr>
              <w:pStyle w:val="NoSpacing"/>
              <w:jc w:val="center"/>
            </w:pPr>
            <w:r>
              <w:t>0.91</w:t>
            </w:r>
          </w:p>
        </w:tc>
        <w:tc>
          <w:tcPr>
            <w:tcW w:w="3924" w:type="dxa"/>
            <w:tcBorders>
              <w:top w:val="nil"/>
              <w:left w:val="nil"/>
              <w:bottom w:val="nil"/>
              <w:right w:val="nil"/>
            </w:tcBorders>
            <w:shd w:val="clear" w:color="auto" w:fill="auto"/>
            <w:tcMar>
              <w:top w:w="80" w:type="dxa"/>
              <w:left w:w="80" w:type="dxa"/>
              <w:bottom w:w="80" w:type="dxa"/>
              <w:right w:w="80" w:type="dxa"/>
            </w:tcMar>
          </w:tcPr>
          <w:p w14:paraId="3B6F0F05" w14:textId="77777777" w:rsidR="00E73C9D" w:rsidRDefault="00C57731">
            <w:pPr>
              <w:pStyle w:val="NoSpacing"/>
              <w:jc w:val="center"/>
            </w:pPr>
            <w:r>
              <w:t>0.83; 0.99</w:t>
            </w:r>
          </w:p>
        </w:tc>
      </w:tr>
      <w:tr w:rsidR="00E73C9D" w14:paraId="21A14396" w14:textId="77777777">
        <w:trPr>
          <w:trHeight w:val="255"/>
        </w:trPr>
        <w:tc>
          <w:tcPr>
            <w:tcW w:w="2409"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14:paraId="4BF007C4" w14:textId="77777777" w:rsidR="00E73C9D" w:rsidRDefault="00C57731">
            <w:pPr>
              <w:pStyle w:val="NoSpacing"/>
            </w:pPr>
            <w:r>
              <w:t>Taxane</w:t>
            </w:r>
          </w:p>
        </w:tc>
        <w:tc>
          <w:tcPr>
            <w:tcW w:w="2693"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5266BDD3" w14:textId="77777777" w:rsidR="00E73C9D" w:rsidRDefault="00C57731">
            <w:pPr>
              <w:pStyle w:val="NoSpacing"/>
              <w:jc w:val="center"/>
            </w:pPr>
            <w:r>
              <w:t>0.66</w:t>
            </w:r>
          </w:p>
        </w:tc>
        <w:tc>
          <w:tcPr>
            <w:tcW w:w="3924" w:type="dxa"/>
            <w:tcBorders>
              <w:top w:val="nil"/>
              <w:left w:val="nil"/>
              <w:bottom w:val="single" w:sz="4" w:space="0" w:color="000000"/>
              <w:right w:val="nil"/>
            </w:tcBorders>
            <w:shd w:val="clear" w:color="auto" w:fill="auto"/>
            <w:tcMar>
              <w:top w:w="80" w:type="dxa"/>
              <w:left w:w="80" w:type="dxa"/>
              <w:bottom w:w="80" w:type="dxa"/>
              <w:right w:w="80" w:type="dxa"/>
            </w:tcMar>
          </w:tcPr>
          <w:p w14:paraId="4A8D1667" w14:textId="77777777" w:rsidR="00E73C9D" w:rsidRDefault="00C57731">
            <w:pPr>
              <w:pStyle w:val="NoSpacing"/>
              <w:jc w:val="center"/>
            </w:pPr>
            <w:r>
              <w:t>0.58; 0.76</w:t>
            </w:r>
          </w:p>
        </w:tc>
      </w:tr>
    </w:tbl>
    <w:p w14:paraId="42AAA6FC" w14:textId="77777777" w:rsidR="00E73C9D" w:rsidRDefault="00E73C9D">
      <w:pPr>
        <w:pStyle w:val="NoSpacing"/>
        <w:widowControl w:val="0"/>
      </w:pPr>
    </w:p>
    <w:p w14:paraId="27D4F50E" w14:textId="77777777" w:rsidR="00E73C9D" w:rsidRDefault="00E73C9D">
      <w:pPr>
        <w:pStyle w:val="NoSpacing"/>
      </w:pPr>
    </w:p>
    <w:p w14:paraId="2FC9D5F4" w14:textId="77777777" w:rsidR="00E73C9D" w:rsidRDefault="00E73C9D">
      <w:pPr>
        <w:pStyle w:val="NoSpacing"/>
      </w:pPr>
    </w:p>
    <w:p w14:paraId="6D21D07F" w14:textId="77777777" w:rsidR="00E73C9D" w:rsidRDefault="00C57731">
      <w:pPr>
        <w:pStyle w:val="Body"/>
      </w:pPr>
      <w:r>
        <w:rPr>
          <w:rFonts w:ascii="Arial Unicode MS" w:hAnsi="Arial Unicode MS"/>
        </w:rPr>
        <w:br w:type="page"/>
      </w:r>
    </w:p>
    <w:p w14:paraId="454896B1" w14:textId="77777777" w:rsidR="00E73C9D" w:rsidRDefault="00C57731">
      <w:pPr>
        <w:pStyle w:val="NoSpacing"/>
        <w:rPr>
          <w:u w:val="single"/>
        </w:rPr>
      </w:pPr>
      <w:r>
        <w:rPr>
          <w:u w:val="single"/>
        </w:rPr>
        <w:lastRenderedPageBreak/>
        <w:t>All-cause mortality</w:t>
      </w:r>
    </w:p>
    <w:p w14:paraId="0CC9D633" w14:textId="77777777" w:rsidR="00E73C9D" w:rsidRDefault="00E73C9D">
      <w:pPr>
        <w:pStyle w:val="NoSpacing"/>
      </w:pPr>
    </w:p>
    <w:p w14:paraId="362B2A76" w14:textId="2A64E1FC" w:rsidR="00E73C9D" w:rsidRDefault="00C57731">
      <w:pPr>
        <w:pStyle w:val="NoSpacing"/>
      </w:pPr>
      <w:r>
        <w:rPr>
          <w:b/>
          <w:bCs/>
        </w:rPr>
        <w:t xml:space="preserve">Figure </w:t>
      </w:r>
      <w:r w:rsidR="00637109">
        <w:rPr>
          <w:b/>
          <w:bCs/>
        </w:rPr>
        <w:t>6</w:t>
      </w:r>
      <w:r>
        <w:rPr>
          <w:b/>
          <w:bCs/>
        </w:rPr>
        <w:t>.3</w:t>
      </w:r>
      <w:r>
        <w:t xml:space="preserve"> Forest plot for EBCTCG trials with all-cause mortality as outcome</w:t>
      </w:r>
    </w:p>
    <w:p w14:paraId="3108B2BB" w14:textId="77777777" w:rsidR="00E73C9D" w:rsidRDefault="00C57731">
      <w:pPr>
        <w:pStyle w:val="NoSpacing"/>
        <w:rPr>
          <w:rFonts w:ascii="Courier New" w:eastAsia="Courier New" w:hAnsi="Courier New" w:cs="Courier New"/>
          <w:sz w:val="18"/>
          <w:szCs w:val="18"/>
        </w:rPr>
      </w:pPr>
      <w:r>
        <w:rPr>
          <w:rFonts w:ascii="Courier New" w:eastAsia="Courier New" w:hAnsi="Courier New" w:cs="Courier New"/>
          <w:noProof/>
          <w:sz w:val="18"/>
          <w:szCs w:val="18"/>
          <w:lang w:val="en-GB"/>
        </w:rPr>
        <w:drawing>
          <wp:inline distT="0" distB="0" distL="0" distR="0" wp14:anchorId="4A1907A4" wp14:editId="3D46F0ED">
            <wp:extent cx="5524500" cy="4043072"/>
            <wp:effectExtent l="0" t="0" r="0" b="0"/>
            <wp:docPr id="1073741872" name="officeArt object" descr="Picture 9"/>
            <wp:cNvGraphicFramePr/>
            <a:graphic xmlns:a="http://schemas.openxmlformats.org/drawingml/2006/main">
              <a:graphicData uri="http://schemas.openxmlformats.org/drawingml/2006/picture">
                <pic:pic xmlns:pic="http://schemas.openxmlformats.org/drawingml/2006/picture">
                  <pic:nvPicPr>
                    <pic:cNvPr id="1073741872" name="Picture 9" descr="Picture 9"/>
                    <pic:cNvPicPr>
                      <a:picLocks noChangeAspect="1"/>
                    </pic:cNvPicPr>
                  </pic:nvPicPr>
                  <pic:blipFill>
                    <a:blip r:embed="rId20">
                      <a:extLst/>
                    </a:blip>
                    <a:stretch>
                      <a:fillRect/>
                    </a:stretch>
                  </pic:blipFill>
                  <pic:spPr>
                    <a:xfrm>
                      <a:off x="0" y="0"/>
                      <a:ext cx="5524500" cy="4043072"/>
                    </a:xfrm>
                    <a:prstGeom prst="rect">
                      <a:avLst/>
                    </a:prstGeom>
                    <a:ln w="12700" cap="flat">
                      <a:noFill/>
                      <a:miter lim="400000"/>
                    </a:ln>
                    <a:effectLst/>
                  </pic:spPr>
                </pic:pic>
              </a:graphicData>
            </a:graphic>
          </wp:inline>
        </w:drawing>
      </w:r>
    </w:p>
    <w:p w14:paraId="35BD7CD0" w14:textId="77777777" w:rsidR="00E73C9D" w:rsidRDefault="00E73C9D">
      <w:pPr>
        <w:pStyle w:val="NoSpacing"/>
      </w:pPr>
    </w:p>
    <w:p w14:paraId="4169F8FA" w14:textId="77777777" w:rsidR="00E73C9D" w:rsidRDefault="00C57731">
      <w:pPr>
        <w:pStyle w:val="NoSpacing"/>
      </w:pPr>
      <w:r>
        <w:t>Using placebo the reference and including both direct and indirect evidence, we obtained the following effect estimates for each treatment:</w:t>
      </w:r>
    </w:p>
    <w:p w14:paraId="19815841" w14:textId="77777777" w:rsidR="00E73C9D" w:rsidRDefault="00E73C9D">
      <w:pPr>
        <w:pStyle w:val="NoSpacing"/>
      </w:pPr>
    </w:p>
    <w:p w14:paraId="12236964" w14:textId="550A8481" w:rsidR="00E73C9D" w:rsidRDefault="00C57731">
      <w:pPr>
        <w:pStyle w:val="NoSpacing"/>
      </w:pPr>
      <w:r>
        <w:rPr>
          <w:b/>
          <w:bCs/>
        </w:rPr>
        <w:t xml:space="preserve">Table </w:t>
      </w:r>
      <w:r w:rsidR="00637109">
        <w:rPr>
          <w:b/>
          <w:bCs/>
        </w:rPr>
        <w:t>6</w:t>
      </w:r>
      <w:r>
        <w:rPr>
          <w:b/>
          <w:bCs/>
        </w:rPr>
        <w:t>.2</w:t>
      </w:r>
      <w:r>
        <w:t xml:space="preserve"> Hazard ratio in all-cause mortality for different breast cancer treatments vs placebo</w:t>
      </w:r>
    </w:p>
    <w:tbl>
      <w:tblPr>
        <w:tblW w:w="90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409"/>
        <w:gridCol w:w="2693"/>
        <w:gridCol w:w="3924"/>
      </w:tblGrid>
      <w:tr w:rsidR="00E73C9D" w14:paraId="1F6B98D3" w14:textId="77777777">
        <w:trPr>
          <w:trHeight w:val="250"/>
        </w:trPr>
        <w:tc>
          <w:tcPr>
            <w:tcW w:w="240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738EE882" w14:textId="77777777" w:rsidR="00E73C9D" w:rsidRDefault="00E73C9D"/>
        </w:tc>
        <w:tc>
          <w:tcPr>
            <w:tcW w:w="269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4C7AB27F" w14:textId="77777777" w:rsidR="00E73C9D" w:rsidRDefault="00C57731">
            <w:pPr>
              <w:pStyle w:val="NoSpacing"/>
              <w:jc w:val="center"/>
            </w:pPr>
            <w:r>
              <w:t>HR</w:t>
            </w:r>
          </w:p>
        </w:tc>
        <w:tc>
          <w:tcPr>
            <w:tcW w:w="392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A1E81F0" w14:textId="77777777" w:rsidR="00E73C9D" w:rsidRDefault="00C57731">
            <w:pPr>
              <w:pStyle w:val="NoSpacing"/>
              <w:jc w:val="center"/>
            </w:pPr>
            <w:r>
              <w:t>CI</w:t>
            </w:r>
          </w:p>
        </w:tc>
      </w:tr>
      <w:tr w:rsidR="00E73C9D" w14:paraId="32D9DDBB" w14:textId="77777777">
        <w:trPr>
          <w:trHeight w:val="255"/>
        </w:trPr>
        <w:tc>
          <w:tcPr>
            <w:tcW w:w="2409"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7DD298D0" w14:textId="77777777" w:rsidR="00E73C9D" w:rsidRDefault="00C57731">
            <w:pPr>
              <w:pStyle w:val="NoSpacing"/>
            </w:pPr>
            <w:r>
              <w:t>NewAnth</w:t>
            </w:r>
          </w:p>
        </w:tc>
        <w:tc>
          <w:tcPr>
            <w:tcW w:w="2693"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133D4C51" w14:textId="77777777" w:rsidR="00E73C9D" w:rsidRDefault="00C57731">
            <w:pPr>
              <w:pStyle w:val="NoSpacing"/>
              <w:jc w:val="center"/>
            </w:pPr>
            <w:r>
              <w:t>0.84</w:t>
            </w:r>
          </w:p>
        </w:tc>
        <w:tc>
          <w:tcPr>
            <w:tcW w:w="3924" w:type="dxa"/>
            <w:tcBorders>
              <w:top w:val="single" w:sz="4" w:space="0" w:color="000000"/>
              <w:left w:val="nil"/>
              <w:bottom w:val="nil"/>
              <w:right w:val="nil"/>
            </w:tcBorders>
            <w:shd w:val="clear" w:color="auto" w:fill="auto"/>
            <w:tcMar>
              <w:top w:w="80" w:type="dxa"/>
              <w:left w:w="80" w:type="dxa"/>
              <w:bottom w:w="80" w:type="dxa"/>
              <w:right w:w="80" w:type="dxa"/>
            </w:tcMar>
          </w:tcPr>
          <w:p w14:paraId="31A57081" w14:textId="77777777" w:rsidR="00E73C9D" w:rsidRDefault="00C57731">
            <w:pPr>
              <w:pStyle w:val="NoSpacing"/>
              <w:jc w:val="center"/>
            </w:pPr>
            <w:r>
              <w:t>0.78; 0.91</w:t>
            </w:r>
          </w:p>
        </w:tc>
      </w:tr>
      <w:tr w:rsidR="00E73C9D" w14:paraId="07229BDC" w14:textId="77777777">
        <w:trPr>
          <w:trHeight w:val="260"/>
        </w:trPr>
        <w:tc>
          <w:tcPr>
            <w:tcW w:w="2409" w:type="dxa"/>
            <w:tcBorders>
              <w:top w:val="nil"/>
              <w:left w:val="nil"/>
              <w:bottom w:val="nil"/>
              <w:right w:val="single" w:sz="4" w:space="0" w:color="000000"/>
            </w:tcBorders>
            <w:shd w:val="clear" w:color="auto" w:fill="auto"/>
            <w:tcMar>
              <w:top w:w="80" w:type="dxa"/>
              <w:left w:w="80" w:type="dxa"/>
              <w:bottom w:w="80" w:type="dxa"/>
              <w:right w:w="80" w:type="dxa"/>
            </w:tcMar>
          </w:tcPr>
          <w:p w14:paraId="6B1C12BE" w14:textId="77777777" w:rsidR="00E73C9D" w:rsidRDefault="00C57731">
            <w:pPr>
              <w:pStyle w:val="NoSpacing"/>
            </w:pPr>
            <w:r>
              <w:t>OldAnth</w:t>
            </w:r>
          </w:p>
        </w:tc>
        <w:tc>
          <w:tcPr>
            <w:tcW w:w="2693" w:type="dxa"/>
            <w:tcBorders>
              <w:top w:val="nil"/>
              <w:left w:val="single" w:sz="4" w:space="0" w:color="000000"/>
              <w:bottom w:val="nil"/>
              <w:right w:val="nil"/>
            </w:tcBorders>
            <w:shd w:val="clear" w:color="auto" w:fill="auto"/>
            <w:tcMar>
              <w:top w:w="80" w:type="dxa"/>
              <w:left w:w="80" w:type="dxa"/>
              <w:bottom w:w="80" w:type="dxa"/>
              <w:right w:w="80" w:type="dxa"/>
            </w:tcMar>
          </w:tcPr>
          <w:p w14:paraId="2F07EBA0" w14:textId="77777777" w:rsidR="00E73C9D" w:rsidRDefault="00C57731">
            <w:pPr>
              <w:pStyle w:val="NoSpacing"/>
              <w:jc w:val="center"/>
            </w:pPr>
            <w:r>
              <w:t>0.90</w:t>
            </w:r>
          </w:p>
        </w:tc>
        <w:tc>
          <w:tcPr>
            <w:tcW w:w="3924" w:type="dxa"/>
            <w:tcBorders>
              <w:top w:val="nil"/>
              <w:left w:val="nil"/>
              <w:bottom w:val="nil"/>
              <w:right w:val="nil"/>
            </w:tcBorders>
            <w:shd w:val="clear" w:color="auto" w:fill="auto"/>
            <w:tcMar>
              <w:top w:w="80" w:type="dxa"/>
              <w:left w:w="80" w:type="dxa"/>
              <w:bottom w:w="80" w:type="dxa"/>
              <w:right w:w="80" w:type="dxa"/>
            </w:tcMar>
          </w:tcPr>
          <w:p w14:paraId="5DE7227A" w14:textId="77777777" w:rsidR="00E73C9D" w:rsidRDefault="00C57731">
            <w:pPr>
              <w:pStyle w:val="NoSpacing"/>
              <w:jc w:val="center"/>
            </w:pPr>
            <w:r>
              <w:t>0.84; 0.97</w:t>
            </w:r>
          </w:p>
        </w:tc>
      </w:tr>
      <w:tr w:rsidR="00E73C9D" w14:paraId="38D40842" w14:textId="77777777">
        <w:trPr>
          <w:trHeight w:val="260"/>
        </w:trPr>
        <w:tc>
          <w:tcPr>
            <w:tcW w:w="2409" w:type="dxa"/>
            <w:tcBorders>
              <w:top w:val="nil"/>
              <w:left w:val="nil"/>
              <w:bottom w:val="nil"/>
              <w:right w:val="single" w:sz="4" w:space="0" w:color="000000"/>
            </w:tcBorders>
            <w:shd w:val="clear" w:color="auto" w:fill="auto"/>
            <w:tcMar>
              <w:top w:w="80" w:type="dxa"/>
              <w:left w:w="80" w:type="dxa"/>
              <w:bottom w:w="80" w:type="dxa"/>
              <w:right w:w="80" w:type="dxa"/>
            </w:tcMar>
          </w:tcPr>
          <w:p w14:paraId="55C1EBDC" w14:textId="77777777" w:rsidR="00E73C9D" w:rsidRDefault="00C57731">
            <w:pPr>
              <w:pStyle w:val="NoSpacing"/>
            </w:pPr>
            <w:r>
              <w:t>CMF standard</w:t>
            </w:r>
          </w:p>
        </w:tc>
        <w:tc>
          <w:tcPr>
            <w:tcW w:w="2693" w:type="dxa"/>
            <w:tcBorders>
              <w:top w:val="nil"/>
              <w:left w:val="single" w:sz="4" w:space="0" w:color="000000"/>
              <w:bottom w:val="nil"/>
              <w:right w:val="nil"/>
            </w:tcBorders>
            <w:shd w:val="clear" w:color="auto" w:fill="auto"/>
            <w:tcMar>
              <w:top w:w="80" w:type="dxa"/>
              <w:left w:w="80" w:type="dxa"/>
              <w:bottom w:w="80" w:type="dxa"/>
              <w:right w:w="80" w:type="dxa"/>
            </w:tcMar>
          </w:tcPr>
          <w:p w14:paraId="0B8245D2" w14:textId="77777777" w:rsidR="00E73C9D" w:rsidRDefault="00C57731">
            <w:pPr>
              <w:pStyle w:val="NoSpacing"/>
              <w:jc w:val="center"/>
            </w:pPr>
            <w:r>
              <w:t>0.91</w:t>
            </w:r>
          </w:p>
        </w:tc>
        <w:tc>
          <w:tcPr>
            <w:tcW w:w="3924" w:type="dxa"/>
            <w:tcBorders>
              <w:top w:val="nil"/>
              <w:left w:val="nil"/>
              <w:bottom w:val="nil"/>
              <w:right w:val="nil"/>
            </w:tcBorders>
            <w:shd w:val="clear" w:color="auto" w:fill="auto"/>
            <w:tcMar>
              <w:top w:w="80" w:type="dxa"/>
              <w:left w:w="80" w:type="dxa"/>
              <w:bottom w:w="80" w:type="dxa"/>
              <w:right w:w="80" w:type="dxa"/>
            </w:tcMar>
          </w:tcPr>
          <w:p w14:paraId="1FBD362C" w14:textId="77777777" w:rsidR="00E73C9D" w:rsidRDefault="00C57731">
            <w:pPr>
              <w:pStyle w:val="NoSpacing"/>
              <w:jc w:val="center"/>
            </w:pPr>
            <w:r>
              <w:t>0.85; 0.97</w:t>
            </w:r>
          </w:p>
        </w:tc>
      </w:tr>
      <w:tr w:rsidR="00E73C9D" w14:paraId="663E26C4" w14:textId="77777777">
        <w:trPr>
          <w:trHeight w:val="260"/>
        </w:trPr>
        <w:tc>
          <w:tcPr>
            <w:tcW w:w="2409" w:type="dxa"/>
            <w:tcBorders>
              <w:top w:val="nil"/>
              <w:left w:val="nil"/>
              <w:bottom w:val="nil"/>
              <w:right w:val="single" w:sz="4" w:space="0" w:color="000000"/>
            </w:tcBorders>
            <w:shd w:val="clear" w:color="auto" w:fill="auto"/>
            <w:tcMar>
              <w:top w:w="80" w:type="dxa"/>
              <w:left w:w="80" w:type="dxa"/>
              <w:bottom w:w="80" w:type="dxa"/>
              <w:right w:w="80" w:type="dxa"/>
            </w:tcMar>
          </w:tcPr>
          <w:p w14:paraId="394D9063" w14:textId="1AEF1C85" w:rsidR="00E73C9D" w:rsidRDefault="00C57731">
            <w:pPr>
              <w:pStyle w:val="NoSpacing"/>
            </w:pPr>
            <w:r>
              <w:t>CMF non-s</w:t>
            </w:r>
            <w:r w:rsidR="004E4393">
              <w:t>t</w:t>
            </w:r>
            <w:r>
              <w:t>andard</w:t>
            </w:r>
          </w:p>
        </w:tc>
        <w:tc>
          <w:tcPr>
            <w:tcW w:w="2693" w:type="dxa"/>
            <w:tcBorders>
              <w:top w:val="nil"/>
              <w:left w:val="single" w:sz="4" w:space="0" w:color="000000"/>
              <w:bottom w:val="nil"/>
              <w:right w:val="nil"/>
            </w:tcBorders>
            <w:shd w:val="clear" w:color="auto" w:fill="auto"/>
            <w:tcMar>
              <w:top w:w="80" w:type="dxa"/>
              <w:left w:w="80" w:type="dxa"/>
              <w:bottom w:w="80" w:type="dxa"/>
              <w:right w:w="80" w:type="dxa"/>
            </w:tcMar>
          </w:tcPr>
          <w:p w14:paraId="6FA8F995" w14:textId="77777777" w:rsidR="00E73C9D" w:rsidRDefault="00C57731">
            <w:pPr>
              <w:pStyle w:val="NoSpacing"/>
              <w:jc w:val="center"/>
            </w:pPr>
            <w:r>
              <w:t>0.94</w:t>
            </w:r>
          </w:p>
        </w:tc>
        <w:tc>
          <w:tcPr>
            <w:tcW w:w="3924" w:type="dxa"/>
            <w:tcBorders>
              <w:top w:val="nil"/>
              <w:left w:val="nil"/>
              <w:bottom w:val="nil"/>
              <w:right w:val="nil"/>
            </w:tcBorders>
            <w:shd w:val="clear" w:color="auto" w:fill="auto"/>
            <w:tcMar>
              <w:top w:w="80" w:type="dxa"/>
              <w:left w:w="80" w:type="dxa"/>
              <w:bottom w:w="80" w:type="dxa"/>
              <w:right w:w="80" w:type="dxa"/>
            </w:tcMar>
          </w:tcPr>
          <w:p w14:paraId="407BBE3E" w14:textId="77777777" w:rsidR="00E73C9D" w:rsidRDefault="00C57731">
            <w:pPr>
              <w:pStyle w:val="NoSpacing"/>
              <w:jc w:val="center"/>
            </w:pPr>
            <w:r>
              <w:t>0.88; 1.00</w:t>
            </w:r>
          </w:p>
        </w:tc>
      </w:tr>
      <w:tr w:rsidR="00E73C9D" w14:paraId="101ACDC9" w14:textId="77777777">
        <w:trPr>
          <w:trHeight w:val="255"/>
        </w:trPr>
        <w:tc>
          <w:tcPr>
            <w:tcW w:w="2409"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14:paraId="796209A9" w14:textId="77777777" w:rsidR="00E73C9D" w:rsidRDefault="00C57731">
            <w:pPr>
              <w:pStyle w:val="NoSpacing"/>
            </w:pPr>
            <w:r>
              <w:t>Taxane</w:t>
            </w:r>
          </w:p>
        </w:tc>
        <w:tc>
          <w:tcPr>
            <w:tcW w:w="2693"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41199E24" w14:textId="77777777" w:rsidR="00E73C9D" w:rsidRDefault="00C57731">
            <w:pPr>
              <w:pStyle w:val="NoSpacing"/>
              <w:jc w:val="center"/>
            </w:pPr>
            <w:r>
              <w:t>0.76</w:t>
            </w:r>
          </w:p>
        </w:tc>
        <w:tc>
          <w:tcPr>
            <w:tcW w:w="3924" w:type="dxa"/>
            <w:tcBorders>
              <w:top w:val="nil"/>
              <w:left w:val="nil"/>
              <w:bottom w:val="single" w:sz="4" w:space="0" w:color="000000"/>
              <w:right w:val="nil"/>
            </w:tcBorders>
            <w:shd w:val="clear" w:color="auto" w:fill="auto"/>
            <w:tcMar>
              <w:top w:w="80" w:type="dxa"/>
              <w:left w:w="80" w:type="dxa"/>
              <w:bottom w:w="80" w:type="dxa"/>
              <w:right w:w="80" w:type="dxa"/>
            </w:tcMar>
          </w:tcPr>
          <w:p w14:paraId="0ED4ADC3" w14:textId="77777777" w:rsidR="00E73C9D" w:rsidRDefault="00C57731">
            <w:pPr>
              <w:pStyle w:val="NoSpacing"/>
              <w:jc w:val="center"/>
            </w:pPr>
            <w:r>
              <w:t>0.69; 0.84</w:t>
            </w:r>
          </w:p>
        </w:tc>
      </w:tr>
    </w:tbl>
    <w:p w14:paraId="6F55577B" w14:textId="77777777" w:rsidR="00E73C9D" w:rsidRDefault="00E73C9D">
      <w:pPr>
        <w:pStyle w:val="NoSpacing"/>
        <w:widowControl w:val="0"/>
      </w:pPr>
    </w:p>
    <w:p w14:paraId="380A041E" w14:textId="77777777" w:rsidR="00E73C9D" w:rsidRDefault="00E73C9D">
      <w:pPr>
        <w:pStyle w:val="NoSpacing"/>
      </w:pPr>
    </w:p>
    <w:p w14:paraId="734CC53E" w14:textId="77777777" w:rsidR="00E73C9D" w:rsidRDefault="00C57731">
      <w:pPr>
        <w:pStyle w:val="Body"/>
      </w:pPr>
      <w:r>
        <w:rPr>
          <w:rFonts w:ascii="Arial Unicode MS" w:hAnsi="Arial Unicode MS"/>
          <w:sz w:val="28"/>
          <w:szCs w:val="28"/>
        </w:rPr>
        <w:br w:type="page"/>
      </w:r>
    </w:p>
    <w:p w14:paraId="6337CD43" w14:textId="77777777" w:rsidR="00E73C9D" w:rsidRPr="00FB09BF" w:rsidRDefault="00C57731">
      <w:pPr>
        <w:pStyle w:val="Heading3"/>
        <w:rPr>
          <w:rFonts w:ascii="Calibri" w:hAnsi="Calibri"/>
          <w:b/>
          <w:color w:val="000000" w:themeColor="text1"/>
          <w:sz w:val="28"/>
        </w:rPr>
      </w:pPr>
      <w:r w:rsidRPr="00FB09BF">
        <w:rPr>
          <w:rFonts w:ascii="Calibri" w:hAnsi="Calibri"/>
          <w:b/>
          <w:color w:val="000000" w:themeColor="text1"/>
          <w:sz w:val="28"/>
        </w:rPr>
        <w:lastRenderedPageBreak/>
        <w:t>Forest plots for individual RWE methods combined with randomised data</w:t>
      </w:r>
    </w:p>
    <w:p w14:paraId="4CD0245A" w14:textId="503D7D0B" w:rsidR="00300E85" w:rsidRPr="00FB09BF" w:rsidRDefault="00FB09BF" w:rsidP="00300E85">
      <w:pPr>
        <w:rPr>
          <w:rFonts w:ascii="Calibri" w:hAnsi="Calibri"/>
          <w:sz w:val="28"/>
        </w:rPr>
      </w:pPr>
      <w:r w:rsidRPr="00FB09BF">
        <w:rPr>
          <w:rFonts w:ascii="Calibri" w:hAnsi="Calibri"/>
          <w:sz w:val="28"/>
        </w:rPr>
        <w:t>Figures 6.4-6.8 TR</w:t>
      </w:r>
      <w:r w:rsidR="00300E85" w:rsidRPr="00FB09BF">
        <w:rPr>
          <w:rFonts w:ascii="Calibri" w:hAnsi="Calibri"/>
          <w:sz w:val="28"/>
        </w:rPr>
        <w:t>, breast cancer mortality</w:t>
      </w:r>
    </w:p>
    <w:p w14:paraId="61F300F6" w14:textId="77777777" w:rsidR="00FB09BF" w:rsidRPr="00D8118F" w:rsidRDefault="00FB09BF" w:rsidP="00300E85">
      <w:pPr>
        <w:rPr>
          <w:sz w:val="28"/>
          <w:u w:val="single"/>
        </w:rPr>
      </w:pPr>
    </w:p>
    <w:p w14:paraId="680F7938" w14:textId="75F112F4" w:rsidR="00300E85" w:rsidRPr="00FB09BF" w:rsidRDefault="00FB09BF" w:rsidP="00300E85">
      <w:pPr>
        <w:rPr>
          <w:rFonts w:ascii="Calibri" w:hAnsi="Calibri"/>
          <w:b/>
          <w:sz w:val="22"/>
          <w:szCs w:val="22"/>
        </w:rPr>
      </w:pPr>
      <w:r>
        <w:rPr>
          <w:rFonts w:ascii="Calibri" w:hAnsi="Calibri"/>
          <w:b/>
          <w:sz w:val="22"/>
          <w:szCs w:val="22"/>
        </w:rPr>
        <w:t>Figure 6.4 RA</w:t>
      </w:r>
    </w:p>
    <w:p w14:paraId="34AA4218" w14:textId="114CB88F" w:rsidR="00300E85" w:rsidRDefault="00300E85" w:rsidP="00300E85">
      <w:pPr>
        <w:rPr>
          <w:sz w:val="28"/>
          <w:u w:val="single"/>
        </w:rPr>
      </w:pPr>
      <w:r w:rsidRPr="00D370AF">
        <w:rPr>
          <w:noProof/>
          <w:sz w:val="28"/>
          <w:lang w:val="en-GB" w:eastAsia="en-GB"/>
        </w:rPr>
        <w:drawing>
          <wp:inline distT="0" distB="0" distL="0" distR="0" wp14:anchorId="6F3FB287" wp14:editId="71F3AE74">
            <wp:extent cx="5819775" cy="4390830"/>
            <wp:effectExtent l="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26097" cy="4395599"/>
                    </a:xfrm>
                    <a:prstGeom prst="rect">
                      <a:avLst/>
                    </a:prstGeom>
                  </pic:spPr>
                </pic:pic>
              </a:graphicData>
            </a:graphic>
          </wp:inline>
        </w:drawing>
      </w:r>
    </w:p>
    <w:p w14:paraId="47510843" w14:textId="1B91FE05" w:rsidR="00FB09BF" w:rsidRDefault="00FB09BF" w:rsidP="00300E85">
      <w:pPr>
        <w:rPr>
          <w:sz w:val="28"/>
          <w:u w:val="single"/>
        </w:rPr>
      </w:pPr>
    </w:p>
    <w:p w14:paraId="0E6821F0" w14:textId="77777777" w:rsidR="00FB09BF" w:rsidRDefault="00FB09BF" w:rsidP="00300E85">
      <w:pPr>
        <w:rPr>
          <w:rFonts w:ascii="Calibri" w:hAnsi="Calibri"/>
          <w:b/>
          <w:sz w:val="22"/>
          <w:szCs w:val="22"/>
        </w:rPr>
      </w:pPr>
      <w:r>
        <w:rPr>
          <w:rFonts w:ascii="Calibri" w:hAnsi="Calibri"/>
          <w:b/>
          <w:sz w:val="22"/>
          <w:szCs w:val="22"/>
        </w:rPr>
        <w:br w:type="page"/>
      </w:r>
    </w:p>
    <w:p w14:paraId="4ACAC4FB" w14:textId="0C64B45E" w:rsidR="00FB09BF" w:rsidRPr="00FB09BF" w:rsidRDefault="00FB09BF" w:rsidP="00300E85">
      <w:pPr>
        <w:rPr>
          <w:rFonts w:ascii="Calibri" w:hAnsi="Calibri"/>
          <w:b/>
          <w:sz w:val="22"/>
          <w:szCs w:val="22"/>
        </w:rPr>
      </w:pPr>
      <w:r>
        <w:rPr>
          <w:rFonts w:ascii="Calibri" w:hAnsi="Calibri"/>
          <w:b/>
          <w:sz w:val="22"/>
          <w:szCs w:val="22"/>
        </w:rPr>
        <w:lastRenderedPageBreak/>
        <w:t>Figure 6.5 PSM Cox</w:t>
      </w:r>
    </w:p>
    <w:p w14:paraId="02B66A04" w14:textId="217E2BDF" w:rsidR="00300E85" w:rsidRDefault="00300E85" w:rsidP="00300E85">
      <w:pPr>
        <w:rPr>
          <w:sz w:val="28"/>
        </w:rPr>
      </w:pPr>
      <w:r w:rsidRPr="000E311A">
        <w:rPr>
          <w:noProof/>
          <w:sz w:val="28"/>
          <w:lang w:val="en-GB" w:eastAsia="en-GB"/>
        </w:rPr>
        <w:drawing>
          <wp:inline distT="0" distB="0" distL="0" distR="0" wp14:anchorId="0D9A6A36" wp14:editId="77E9606C">
            <wp:extent cx="5756910" cy="4321175"/>
            <wp:effectExtent l="0" t="0" r="0" b="0"/>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6910" cy="4321175"/>
                    </a:xfrm>
                    <a:prstGeom prst="rect">
                      <a:avLst/>
                    </a:prstGeom>
                  </pic:spPr>
                </pic:pic>
              </a:graphicData>
            </a:graphic>
          </wp:inline>
        </w:drawing>
      </w:r>
    </w:p>
    <w:p w14:paraId="0065C4C2" w14:textId="606DDC05" w:rsidR="00FB09BF" w:rsidRDefault="00FB09BF" w:rsidP="00300E85">
      <w:pPr>
        <w:rPr>
          <w:sz w:val="28"/>
        </w:rPr>
      </w:pPr>
    </w:p>
    <w:p w14:paraId="3410421E" w14:textId="77777777" w:rsidR="00FB09BF" w:rsidRDefault="00FB09BF" w:rsidP="00FB09BF">
      <w:pPr>
        <w:rPr>
          <w:rFonts w:ascii="Calibri" w:hAnsi="Calibri"/>
          <w:b/>
          <w:sz w:val="22"/>
          <w:szCs w:val="22"/>
        </w:rPr>
      </w:pPr>
      <w:r>
        <w:rPr>
          <w:rFonts w:ascii="Calibri" w:hAnsi="Calibri"/>
          <w:b/>
          <w:sz w:val="22"/>
          <w:szCs w:val="22"/>
        </w:rPr>
        <w:br w:type="page"/>
      </w:r>
    </w:p>
    <w:p w14:paraId="45F1BBA8" w14:textId="3043409D" w:rsidR="00FB09BF" w:rsidRPr="00FB09BF" w:rsidRDefault="00FB09BF" w:rsidP="00FB09BF">
      <w:pPr>
        <w:rPr>
          <w:rFonts w:ascii="Calibri" w:hAnsi="Calibri"/>
          <w:b/>
          <w:sz w:val="22"/>
          <w:szCs w:val="22"/>
        </w:rPr>
      </w:pPr>
      <w:r>
        <w:rPr>
          <w:rFonts w:ascii="Calibri" w:hAnsi="Calibri"/>
          <w:b/>
          <w:sz w:val="22"/>
          <w:szCs w:val="22"/>
        </w:rPr>
        <w:lastRenderedPageBreak/>
        <w:t>Figure 6.6 PSM LR</w:t>
      </w:r>
    </w:p>
    <w:p w14:paraId="719EA187" w14:textId="77777777" w:rsidR="00FB09BF" w:rsidRPr="00D370AF" w:rsidRDefault="00FB09BF" w:rsidP="00300E85">
      <w:pPr>
        <w:rPr>
          <w:sz w:val="28"/>
        </w:rPr>
      </w:pPr>
    </w:p>
    <w:p w14:paraId="2B0DC005" w14:textId="77777777" w:rsidR="00300E85" w:rsidRDefault="00300E85" w:rsidP="00300E85">
      <w:pPr>
        <w:rPr>
          <w:sz w:val="28"/>
        </w:rPr>
      </w:pPr>
    </w:p>
    <w:p w14:paraId="498C4BDF" w14:textId="6AE6A0E3" w:rsidR="00300E85" w:rsidRDefault="00300E85" w:rsidP="00300E85">
      <w:pPr>
        <w:rPr>
          <w:sz w:val="28"/>
        </w:rPr>
      </w:pPr>
      <w:r w:rsidRPr="000E311A">
        <w:rPr>
          <w:noProof/>
          <w:sz w:val="28"/>
          <w:lang w:val="en-GB" w:eastAsia="en-GB"/>
        </w:rPr>
        <w:drawing>
          <wp:inline distT="0" distB="0" distL="0" distR="0" wp14:anchorId="4F250206" wp14:editId="59CB8482">
            <wp:extent cx="5756910" cy="4343400"/>
            <wp:effectExtent l="0" t="0" r="0" b="0"/>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6910" cy="4343400"/>
                    </a:xfrm>
                    <a:prstGeom prst="rect">
                      <a:avLst/>
                    </a:prstGeom>
                  </pic:spPr>
                </pic:pic>
              </a:graphicData>
            </a:graphic>
          </wp:inline>
        </w:drawing>
      </w:r>
    </w:p>
    <w:p w14:paraId="3C1F40C3" w14:textId="77777777" w:rsidR="00FB09BF" w:rsidRDefault="00FB09BF" w:rsidP="00FB09BF">
      <w:pPr>
        <w:rPr>
          <w:rFonts w:ascii="Calibri" w:hAnsi="Calibri"/>
          <w:b/>
          <w:sz w:val="22"/>
          <w:szCs w:val="22"/>
        </w:rPr>
      </w:pPr>
    </w:p>
    <w:p w14:paraId="2C65D530" w14:textId="77777777" w:rsidR="00FB09BF" w:rsidRDefault="00FB09BF" w:rsidP="00FB09BF">
      <w:pPr>
        <w:rPr>
          <w:rFonts w:ascii="Calibri" w:hAnsi="Calibri"/>
          <w:b/>
          <w:sz w:val="22"/>
          <w:szCs w:val="22"/>
        </w:rPr>
      </w:pPr>
      <w:r>
        <w:rPr>
          <w:rFonts w:ascii="Calibri" w:hAnsi="Calibri"/>
          <w:b/>
          <w:sz w:val="22"/>
          <w:szCs w:val="22"/>
        </w:rPr>
        <w:br w:type="page"/>
      </w:r>
    </w:p>
    <w:p w14:paraId="715CF9BE" w14:textId="13292464" w:rsidR="00FB09BF" w:rsidRPr="00FB09BF" w:rsidRDefault="00FB09BF" w:rsidP="00FB09BF">
      <w:pPr>
        <w:rPr>
          <w:rFonts w:ascii="Calibri" w:hAnsi="Calibri"/>
          <w:b/>
          <w:sz w:val="22"/>
          <w:szCs w:val="22"/>
        </w:rPr>
      </w:pPr>
      <w:r>
        <w:rPr>
          <w:rFonts w:ascii="Calibri" w:hAnsi="Calibri"/>
          <w:b/>
          <w:sz w:val="22"/>
          <w:szCs w:val="22"/>
        </w:rPr>
        <w:lastRenderedPageBreak/>
        <w:t>Figure 6.7 IV1</w:t>
      </w:r>
    </w:p>
    <w:p w14:paraId="2CB7221F" w14:textId="77777777" w:rsidR="00FB09BF" w:rsidRDefault="00FB09BF" w:rsidP="00300E85">
      <w:pPr>
        <w:rPr>
          <w:sz w:val="28"/>
        </w:rPr>
      </w:pPr>
    </w:p>
    <w:p w14:paraId="26478281" w14:textId="65CBB336" w:rsidR="00300E85" w:rsidRDefault="00300E85" w:rsidP="00300E85">
      <w:pPr>
        <w:rPr>
          <w:sz w:val="28"/>
        </w:rPr>
      </w:pPr>
      <w:r w:rsidRPr="000E311A">
        <w:rPr>
          <w:noProof/>
          <w:sz w:val="28"/>
          <w:lang w:val="en-GB" w:eastAsia="en-GB"/>
        </w:rPr>
        <w:drawing>
          <wp:inline distT="0" distB="0" distL="0" distR="0" wp14:anchorId="6FA75161" wp14:editId="00E9F47F">
            <wp:extent cx="5756910" cy="4343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6910" cy="4343400"/>
                    </a:xfrm>
                    <a:prstGeom prst="rect">
                      <a:avLst/>
                    </a:prstGeom>
                  </pic:spPr>
                </pic:pic>
              </a:graphicData>
            </a:graphic>
          </wp:inline>
        </w:drawing>
      </w:r>
    </w:p>
    <w:p w14:paraId="411F5A10" w14:textId="77777777" w:rsidR="00FB09BF" w:rsidRDefault="00FB09BF" w:rsidP="00FB09BF">
      <w:pPr>
        <w:rPr>
          <w:rFonts w:ascii="Calibri" w:hAnsi="Calibri"/>
          <w:b/>
          <w:sz w:val="22"/>
          <w:szCs w:val="22"/>
        </w:rPr>
      </w:pPr>
      <w:r>
        <w:rPr>
          <w:rFonts w:ascii="Calibri" w:hAnsi="Calibri"/>
          <w:b/>
          <w:sz w:val="22"/>
          <w:szCs w:val="22"/>
        </w:rPr>
        <w:br w:type="page"/>
      </w:r>
    </w:p>
    <w:p w14:paraId="167F3019" w14:textId="0609CD8D" w:rsidR="00FB09BF" w:rsidRPr="00FB09BF" w:rsidRDefault="00FB09BF" w:rsidP="00FB09BF">
      <w:pPr>
        <w:rPr>
          <w:rFonts w:ascii="Calibri" w:hAnsi="Calibri"/>
          <w:b/>
          <w:sz w:val="22"/>
          <w:szCs w:val="22"/>
        </w:rPr>
      </w:pPr>
      <w:r>
        <w:rPr>
          <w:rFonts w:ascii="Calibri" w:hAnsi="Calibri"/>
          <w:b/>
          <w:sz w:val="22"/>
          <w:szCs w:val="22"/>
        </w:rPr>
        <w:lastRenderedPageBreak/>
        <w:t>Figure 6.8 IV2</w:t>
      </w:r>
    </w:p>
    <w:p w14:paraId="52A70292" w14:textId="77777777" w:rsidR="00FB09BF" w:rsidRDefault="00FB09BF" w:rsidP="00300E85">
      <w:pPr>
        <w:rPr>
          <w:sz w:val="28"/>
        </w:rPr>
      </w:pPr>
    </w:p>
    <w:p w14:paraId="20665633" w14:textId="77777777" w:rsidR="00300E85" w:rsidRPr="00D370AF" w:rsidRDefault="00300E85" w:rsidP="00300E85">
      <w:pPr>
        <w:rPr>
          <w:sz w:val="28"/>
        </w:rPr>
      </w:pPr>
      <w:r w:rsidRPr="000E311A">
        <w:rPr>
          <w:noProof/>
          <w:sz w:val="28"/>
          <w:lang w:val="en-GB" w:eastAsia="en-GB"/>
        </w:rPr>
        <w:drawing>
          <wp:inline distT="0" distB="0" distL="0" distR="0" wp14:anchorId="2A556229" wp14:editId="28A39750">
            <wp:extent cx="5756910" cy="43434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6910" cy="4343400"/>
                    </a:xfrm>
                    <a:prstGeom prst="rect">
                      <a:avLst/>
                    </a:prstGeom>
                  </pic:spPr>
                </pic:pic>
              </a:graphicData>
            </a:graphic>
          </wp:inline>
        </w:drawing>
      </w:r>
    </w:p>
    <w:p w14:paraId="0EC40B4D" w14:textId="77777777" w:rsidR="00FB09BF" w:rsidRDefault="00FB09BF" w:rsidP="00FB09BF">
      <w:pPr>
        <w:rPr>
          <w:rFonts w:ascii="Calibri" w:hAnsi="Calibri"/>
          <w:sz w:val="28"/>
        </w:rPr>
      </w:pPr>
      <w:r>
        <w:rPr>
          <w:rFonts w:ascii="Calibri" w:hAnsi="Calibri"/>
          <w:sz w:val="28"/>
        </w:rPr>
        <w:br w:type="page"/>
      </w:r>
    </w:p>
    <w:p w14:paraId="06047A89" w14:textId="39EE5F76" w:rsidR="00FB09BF" w:rsidRDefault="00FB09BF" w:rsidP="00FB09BF">
      <w:pPr>
        <w:rPr>
          <w:rFonts w:ascii="Calibri" w:hAnsi="Calibri"/>
          <w:sz w:val="28"/>
        </w:rPr>
      </w:pPr>
      <w:r>
        <w:rPr>
          <w:rFonts w:ascii="Calibri" w:hAnsi="Calibri"/>
          <w:sz w:val="28"/>
        </w:rPr>
        <w:lastRenderedPageBreak/>
        <w:t>Figures 6.9-6.13</w:t>
      </w:r>
      <w:r w:rsidRPr="00FB09BF">
        <w:rPr>
          <w:rFonts w:ascii="Calibri" w:hAnsi="Calibri"/>
          <w:sz w:val="28"/>
        </w:rPr>
        <w:t xml:space="preserve"> </w:t>
      </w:r>
      <w:r>
        <w:rPr>
          <w:rFonts w:ascii="Calibri" w:hAnsi="Calibri"/>
          <w:sz w:val="28"/>
        </w:rPr>
        <w:t>Full cohort</w:t>
      </w:r>
      <w:r w:rsidRPr="00FB09BF">
        <w:rPr>
          <w:rFonts w:ascii="Calibri" w:hAnsi="Calibri"/>
          <w:sz w:val="28"/>
        </w:rPr>
        <w:t>, breast cancer mortality</w:t>
      </w:r>
    </w:p>
    <w:p w14:paraId="2A6296FD" w14:textId="77777777" w:rsidR="00FB09BF" w:rsidRDefault="00FB09BF" w:rsidP="00FB09BF">
      <w:pPr>
        <w:rPr>
          <w:rFonts w:ascii="Calibri" w:hAnsi="Calibri"/>
          <w:b/>
          <w:sz w:val="22"/>
          <w:szCs w:val="22"/>
        </w:rPr>
      </w:pPr>
    </w:p>
    <w:p w14:paraId="08D11680" w14:textId="2BE59379" w:rsidR="00FB09BF" w:rsidRPr="00FB09BF" w:rsidRDefault="00FB09BF" w:rsidP="00FB09BF">
      <w:pPr>
        <w:rPr>
          <w:rFonts w:ascii="Calibri" w:hAnsi="Calibri"/>
          <w:b/>
          <w:sz w:val="22"/>
          <w:szCs w:val="22"/>
        </w:rPr>
      </w:pPr>
      <w:r>
        <w:rPr>
          <w:rFonts w:ascii="Calibri" w:hAnsi="Calibri"/>
          <w:b/>
          <w:sz w:val="22"/>
          <w:szCs w:val="22"/>
        </w:rPr>
        <w:t>Figure 6.9 RA</w:t>
      </w:r>
    </w:p>
    <w:p w14:paraId="1DE57B36" w14:textId="77777777" w:rsidR="00300E85" w:rsidRDefault="00300E85" w:rsidP="00300E85">
      <w:pPr>
        <w:rPr>
          <w:sz w:val="28"/>
          <w:u w:val="single"/>
        </w:rPr>
      </w:pPr>
    </w:p>
    <w:p w14:paraId="07B48509" w14:textId="429505C8" w:rsidR="00300E85" w:rsidRDefault="00300E85" w:rsidP="00300E85">
      <w:pPr>
        <w:rPr>
          <w:sz w:val="28"/>
        </w:rPr>
      </w:pPr>
      <w:r w:rsidRPr="000E311A">
        <w:rPr>
          <w:noProof/>
          <w:sz w:val="28"/>
          <w:lang w:val="en-GB" w:eastAsia="en-GB"/>
        </w:rPr>
        <w:drawing>
          <wp:inline distT="0" distB="0" distL="0" distR="0" wp14:anchorId="26F0A3EE" wp14:editId="78CDA4B5">
            <wp:extent cx="5756910" cy="4343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6910" cy="4343400"/>
                    </a:xfrm>
                    <a:prstGeom prst="rect">
                      <a:avLst/>
                    </a:prstGeom>
                  </pic:spPr>
                </pic:pic>
              </a:graphicData>
            </a:graphic>
          </wp:inline>
        </w:drawing>
      </w:r>
    </w:p>
    <w:p w14:paraId="6A0BB3FA" w14:textId="7E79AA95" w:rsidR="00FB09BF" w:rsidRDefault="00FB09BF" w:rsidP="00300E85">
      <w:pPr>
        <w:rPr>
          <w:sz w:val="28"/>
        </w:rPr>
      </w:pPr>
    </w:p>
    <w:p w14:paraId="77E337CD" w14:textId="77777777" w:rsidR="00FB09BF" w:rsidRDefault="00FB09BF" w:rsidP="00FB09BF">
      <w:pPr>
        <w:rPr>
          <w:rFonts w:ascii="Calibri" w:hAnsi="Calibri"/>
          <w:b/>
          <w:sz w:val="22"/>
          <w:szCs w:val="22"/>
        </w:rPr>
      </w:pPr>
      <w:r>
        <w:rPr>
          <w:rFonts w:ascii="Calibri" w:hAnsi="Calibri"/>
          <w:b/>
          <w:sz w:val="22"/>
          <w:szCs w:val="22"/>
        </w:rPr>
        <w:br w:type="page"/>
      </w:r>
    </w:p>
    <w:p w14:paraId="227B03CC" w14:textId="1BADDC25" w:rsidR="00FB09BF" w:rsidRPr="00FB09BF" w:rsidRDefault="00FB09BF" w:rsidP="00FB09BF">
      <w:pPr>
        <w:rPr>
          <w:rFonts w:ascii="Calibri" w:hAnsi="Calibri"/>
          <w:b/>
          <w:sz w:val="22"/>
          <w:szCs w:val="22"/>
        </w:rPr>
      </w:pPr>
      <w:r>
        <w:rPr>
          <w:rFonts w:ascii="Calibri" w:hAnsi="Calibri"/>
          <w:b/>
          <w:sz w:val="22"/>
          <w:szCs w:val="22"/>
        </w:rPr>
        <w:lastRenderedPageBreak/>
        <w:t>Figure 6.10 PSM Cox</w:t>
      </w:r>
    </w:p>
    <w:p w14:paraId="1C920FBD" w14:textId="77777777" w:rsidR="00FB09BF" w:rsidRPr="000E311A" w:rsidRDefault="00FB09BF" w:rsidP="00300E85">
      <w:pPr>
        <w:rPr>
          <w:sz w:val="28"/>
        </w:rPr>
      </w:pPr>
    </w:p>
    <w:p w14:paraId="33606983" w14:textId="66DEB6AE" w:rsidR="00300E85" w:rsidRDefault="00300E85" w:rsidP="00300E85">
      <w:pPr>
        <w:rPr>
          <w:sz w:val="28"/>
        </w:rPr>
      </w:pPr>
      <w:r w:rsidRPr="004579BE">
        <w:rPr>
          <w:noProof/>
          <w:sz w:val="28"/>
          <w:lang w:val="en-GB" w:eastAsia="en-GB"/>
        </w:rPr>
        <w:drawing>
          <wp:inline distT="0" distB="0" distL="0" distR="0" wp14:anchorId="0434A1A4" wp14:editId="7229BF68">
            <wp:extent cx="5756910" cy="433578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6910" cy="4335780"/>
                    </a:xfrm>
                    <a:prstGeom prst="rect">
                      <a:avLst/>
                    </a:prstGeom>
                  </pic:spPr>
                </pic:pic>
              </a:graphicData>
            </a:graphic>
          </wp:inline>
        </w:drawing>
      </w:r>
    </w:p>
    <w:p w14:paraId="09130EA6" w14:textId="4C7FC8D8" w:rsidR="00FB09BF" w:rsidRDefault="00FB09BF" w:rsidP="00300E85">
      <w:pPr>
        <w:rPr>
          <w:sz w:val="28"/>
        </w:rPr>
      </w:pPr>
    </w:p>
    <w:p w14:paraId="6C07D17C" w14:textId="77777777" w:rsidR="00FB09BF" w:rsidRDefault="00FB09BF" w:rsidP="00FB09BF">
      <w:pPr>
        <w:rPr>
          <w:rFonts w:ascii="Calibri" w:hAnsi="Calibri"/>
          <w:b/>
          <w:sz w:val="22"/>
          <w:szCs w:val="22"/>
        </w:rPr>
      </w:pPr>
      <w:r>
        <w:rPr>
          <w:rFonts w:ascii="Calibri" w:hAnsi="Calibri"/>
          <w:b/>
          <w:sz w:val="22"/>
          <w:szCs w:val="22"/>
        </w:rPr>
        <w:br w:type="page"/>
      </w:r>
    </w:p>
    <w:p w14:paraId="7370478D" w14:textId="2E2C13FE" w:rsidR="00FB09BF" w:rsidRPr="00FB09BF" w:rsidRDefault="00FB09BF" w:rsidP="00FB09BF">
      <w:pPr>
        <w:rPr>
          <w:rFonts w:ascii="Calibri" w:hAnsi="Calibri"/>
          <w:b/>
          <w:sz w:val="22"/>
          <w:szCs w:val="22"/>
        </w:rPr>
      </w:pPr>
      <w:r>
        <w:rPr>
          <w:rFonts w:ascii="Calibri" w:hAnsi="Calibri"/>
          <w:b/>
          <w:sz w:val="22"/>
          <w:szCs w:val="22"/>
        </w:rPr>
        <w:lastRenderedPageBreak/>
        <w:t>Figure 6.11 PSM LR</w:t>
      </w:r>
    </w:p>
    <w:p w14:paraId="5D48DA76" w14:textId="77777777" w:rsidR="00FB09BF" w:rsidRDefault="00FB09BF" w:rsidP="00300E85">
      <w:pPr>
        <w:rPr>
          <w:sz w:val="28"/>
        </w:rPr>
      </w:pPr>
    </w:p>
    <w:p w14:paraId="14BC85C2" w14:textId="5D5F7F7F" w:rsidR="00300E85" w:rsidRDefault="00300E85" w:rsidP="00300E85">
      <w:pPr>
        <w:rPr>
          <w:sz w:val="28"/>
        </w:rPr>
      </w:pPr>
      <w:r w:rsidRPr="004579BE">
        <w:rPr>
          <w:noProof/>
          <w:sz w:val="28"/>
          <w:lang w:val="en-GB" w:eastAsia="en-GB"/>
        </w:rPr>
        <w:drawing>
          <wp:inline distT="0" distB="0" distL="0" distR="0" wp14:anchorId="46A0E6C7" wp14:editId="25C22CA6">
            <wp:extent cx="5756910" cy="43434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6910" cy="4343400"/>
                    </a:xfrm>
                    <a:prstGeom prst="rect">
                      <a:avLst/>
                    </a:prstGeom>
                  </pic:spPr>
                </pic:pic>
              </a:graphicData>
            </a:graphic>
          </wp:inline>
        </w:drawing>
      </w:r>
    </w:p>
    <w:p w14:paraId="33AB0C9F" w14:textId="47AC1521" w:rsidR="00FB09BF" w:rsidRDefault="00FB09BF" w:rsidP="00300E85">
      <w:pPr>
        <w:rPr>
          <w:sz w:val="28"/>
        </w:rPr>
      </w:pPr>
    </w:p>
    <w:p w14:paraId="30DF61FB" w14:textId="77777777" w:rsidR="00FB09BF" w:rsidRDefault="00FB09BF" w:rsidP="00FB09BF">
      <w:pPr>
        <w:rPr>
          <w:rFonts w:ascii="Calibri" w:hAnsi="Calibri"/>
          <w:b/>
          <w:sz w:val="22"/>
          <w:szCs w:val="22"/>
        </w:rPr>
      </w:pPr>
      <w:r>
        <w:rPr>
          <w:rFonts w:ascii="Calibri" w:hAnsi="Calibri"/>
          <w:b/>
          <w:sz w:val="22"/>
          <w:szCs w:val="22"/>
        </w:rPr>
        <w:br w:type="page"/>
      </w:r>
    </w:p>
    <w:p w14:paraId="3D561FBB" w14:textId="05052169" w:rsidR="00FB09BF" w:rsidRPr="00FB09BF" w:rsidRDefault="00FB09BF" w:rsidP="00FB09BF">
      <w:pPr>
        <w:rPr>
          <w:rFonts w:ascii="Calibri" w:hAnsi="Calibri"/>
          <w:b/>
          <w:sz w:val="22"/>
          <w:szCs w:val="22"/>
        </w:rPr>
      </w:pPr>
      <w:r>
        <w:rPr>
          <w:rFonts w:ascii="Calibri" w:hAnsi="Calibri"/>
          <w:b/>
          <w:sz w:val="22"/>
          <w:szCs w:val="22"/>
        </w:rPr>
        <w:lastRenderedPageBreak/>
        <w:t>Figure 6.12 IV1</w:t>
      </w:r>
    </w:p>
    <w:p w14:paraId="2FB36A48" w14:textId="77777777" w:rsidR="00FB09BF" w:rsidRDefault="00FB09BF" w:rsidP="00300E85">
      <w:pPr>
        <w:rPr>
          <w:sz w:val="28"/>
        </w:rPr>
      </w:pPr>
    </w:p>
    <w:p w14:paraId="1F641BAD" w14:textId="5C061A6A" w:rsidR="00300E85" w:rsidRDefault="00300E85" w:rsidP="00300E85">
      <w:pPr>
        <w:rPr>
          <w:sz w:val="28"/>
        </w:rPr>
      </w:pPr>
      <w:r w:rsidRPr="004579BE">
        <w:rPr>
          <w:noProof/>
          <w:sz w:val="28"/>
          <w:lang w:val="en-GB" w:eastAsia="en-GB"/>
        </w:rPr>
        <w:drawing>
          <wp:inline distT="0" distB="0" distL="0" distR="0" wp14:anchorId="2537934E" wp14:editId="601AD740">
            <wp:extent cx="5756910" cy="4343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6910" cy="4343400"/>
                    </a:xfrm>
                    <a:prstGeom prst="rect">
                      <a:avLst/>
                    </a:prstGeom>
                  </pic:spPr>
                </pic:pic>
              </a:graphicData>
            </a:graphic>
          </wp:inline>
        </w:drawing>
      </w:r>
    </w:p>
    <w:p w14:paraId="71304E57" w14:textId="3A6A8A0F" w:rsidR="00FB09BF" w:rsidRDefault="00FB09BF" w:rsidP="00300E85">
      <w:pPr>
        <w:rPr>
          <w:sz w:val="28"/>
        </w:rPr>
      </w:pPr>
    </w:p>
    <w:p w14:paraId="074F0FF4" w14:textId="77777777" w:rsidR="00FB09BF" w:rsidRDefault="00FB09BF" w:rsidP="00FB09BF">
      <w:pPr>
        <w:rPr>
          <w:rFonts w:ascii="Calibri" w:hAnsi="Calibri"/>
          <w:b/>
          <w:sz w:val="22"/>
          <w:szCs w:val="22"/>
        </w:rPr>
      </w:pPr>
      <w:r>
        <w:rPr>
          <w:rFonts w:ascii="Calibri" w:hAnsi="Calibri"/>
          <w:b/>
          <w:sz w:val="22"/>
          <w:szCs w:val="22"/>
        </w:rPr>
        <w:br w:type="page"/>
      </w:r>
    </w:p>
    <w:p w14:paraId="75FB143F" w14:textId="449AF252" w:rsidR="00FB09BF" w:rsidRPr="00FB09BF" w:rsidRDefault="00FB09BF" w:rsidP="00FB09BF">
      <w:pPr>
        <w:rPr>
          <w:rFonts w:ascii="Calibri" w:hAnsi="Calibri"/>
          <w:b/>
          <w:sz w:val="22"/>
          <w:szCs w:val="22"/>
        </w:rPr>
      </w:pPr>
      <w:r>
        <w:rPr>
          <w:rFonts w:ascii="Calibri" w:hAnsi="Calibri"/>
          <w:b/>
          <w:sz w:val="22"/>
          <w:szCs w:val="22"/>
        </w:rPr>
        <w:lastRenderedPageBreak/>
        <w:t>Figure 6.13 IV2</w:t>
      </w:r>
    </w:p>
    <w:p w14:paraId="243F23C3" w14:textId="77777777" w:rsidR="00FB09BF" w:rsidRDefault="00FB09BF" w:rsidP="00300E85">
      <w:pPr>
        <w:rPr>
          <w:sz w:val="28"/>
        </w:rPr>
      </w:pPr>
    </w:p>
    <w:p w14:paraId="5E86782A" w14:textId="77777777" w:rsidR="00300E85" w:rsidRPr="000E311A" w:rsidRDefault="00300E85" w:rsidP="00300E85">
      <w:pPr>
        <w:rPr>
          <w:sz w:val="28"/>
        </w:rPr>
      </w:pPr>
      <w:r w:rsidRPr="004579BE">
        <w:rPr>
          <w:noProof/>
          <w:sz w:val="28"/>
          <w:lang w:val="en-GB" w:eastAsia="en-GB"/>
        </w:rPr>
        <w:drawing>
          <wp:inline distT="0" distB="0" distL="0" distR="0" wp14:anchorId="00C089C5" wp14:editId="75720409">
            <wp:extent cx="5756910" cy="43434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6910" cy="4343400"/>
                    </a:xfrm>
                    <a:prstGeom prst="rect">
                      <a:avLst/>
                    </a:prstGeom>
                  </pic:spPr>
                </pic:pic>
              </a:graphicData>
            </a:graphic>
          </wp:inline>
        </w:drawing>
      </w:r>
    </w:p>
    <w:p w14:paraId="4FF40B24" w14:textId="0A67B882" w:rsidR="00300E85" w:rsidRDefault="00300E85" w:rsidP="00300E85">
      <w:pPr>
        <w:rPr>
          <w:sz w:val="28"/>
          <w:u w:val="single"/>
        </w:rPr>
      </w:pPr>
    </w:p>
    <w:p w14:paraId="130A8E0B" w14:textId="77777777" w:rsidR="00FB09BF" w:rsidRDefault="00FB09BF" w:rsidP="00FB09BF">
      <w:pPr>
        <w:rPr>
          <w:rFonts w:ascii="Calibri" w:hAnsi="Calibri"/>
          <w:sz w:val="28"/>
        </w:rPr>
      </w:pPr>
      <w:r>
        <w:rPr>
          <w:rFonts w:ascii="Calibri" w:hAnsi="Calibri"/>
          <w:sz w:val="28"/>
        </w:rPr>
        <w:br w:type="page"/>
      </w:r>
    </w:p>
    <w:p w14:paraId="3707BBF4" w14:textId="7AD54D66" w:rsidR="00FB09BF" w:rsidRDefault="00FB09BF" w:rsidP="00FB09BF">
      <w:pPr>
        <w:rPr>
          <w:rFonts w:ascii="Calibri" w:hAnsi="Calibri"/>
          <w:sz w:val="28"/>
        </w:rPr>
      </w:pPr>
      <w:r>
        <w:rPr>
          <w:rFonts w:ascii="Calibri" w:hAnsi="Calibri"/>
          <w:sz w:val="28"/>
        </w:rPr>
        <w:lastRenderedPageBreak/>
        <w:t>Figures 6.14-6.18</w:t>
      </w:r>
      <w:r w:rsidRPr="00FB09BF">
        <w:rPr>
          <w:rFonts w:ascii="Calibri" w:hAnsi="Calibri"/>
          <w:sz w:val="28"/>
        </w:rPr>
        <w:t xml:space="preserve"> </w:t>
      </w:r>
      <w:r>
        <w:rPr>
          <w:rFonts w:ascii="Calibri" w:hAnsi="Calibri"/>
          <w:sz w:val="28"/>
        </w:rPr>
        <w:t>TR</w:t>
      </w:r>
      <w:r w:rsidRPr="00FB09BF">
        <w:rPr>
          <w:rFonts w:ascii="Calibri" w:hAnsi="Calibri"/>
          <w:sz w:val="28"/>
        </w:rPr>
        <w:t xml:space="preserve">, </w:t>
      </w:r>
      <w:r>
        <w:rPr>
          <w:rFonts w:ascii="Calibri" w:hAnsi="Calibri"/>
          <w:sz w:val="28"/>
        </w:rPr>
        <w:t>all-cause</w:t>
      </w:r>
      <w:r w:rsidRPr="00FB09BF">
        <w:rPr>
          <w:rFonts w:ascii="Calibri" w:hAnsi="Calibri"/>
          <w:sz w:val="28"/>
        </w:rPr>
        <w:t xml:space="preserve"> mortality</w:t>
      </w:r>
    </w:p>
    <w:p w14:paraId="51997890" w14:textId="77777777" w:rsidR="00FB09BF" w:rsidRDefault="00FB09BF" w:rsidP="00FB09BF">
      <w:pPr>
        <w:rPr>
          <w:rFonts w:ascii="Calibri" w:hAnsi="Calibri"/>
          <w:b/>
          <w:sz w:val="22"/>
          <w:szCs w:val="22"/>
        </w:rPr>
      </w:pPr>
    </w:p>
    <w:p w14:paraId="481E1B15" w14:textId="13708191" w:rsidR="00FB09BF" w:rsidRPr="00FB09BF" w:rsidRDefault="00FB09BF" w:rsidP="00300E85">
      <w:pPr>
        <w:rPr>
          <w:rFonts w:ascii="Calibri" w:hAnsi="Calibri"/>
          <w:b/>
          <w:sz w:val="22"/>
          <w:szCs w:val="22"/>
        </w:rPr>
      </w:pPr>
      <w:r>
        <w:rPr>
          <w:rFonts w:ascii="Calibri" w:hAnsi="Calibri"/>
          <w:b/>
          <w:sz w:val="22"/>
          <w:szCs w:val="22"/>
        </w:rPr>
        <w:t>Figure 6.14 RA</w:t>
      </w:r>
    </w:p>
    <w:p w14:paraId="605C3825" w14:textId="1B6D5510" w:rsidR="00300E85" w:rsidRDefault="00300E85" w:rsidP="00300E85">
      <w:pPr>
        <w:rPr>
          <w:sz w:val="28"/>
        </w:rPr>
      </w:pPr>
      <w:r w:rsidRPr="00FA591A">
        <w:rPr>
          <w:noProof/>
          <w:sz w:val="28"/>
          <w:lang w:val="en-GB" w:eastAsia="en-GB"/>
        </w:rPr>
        <w:drawing>
          <wp:inline distT="0" distB="0" distL="0" distR="0" wp14:anchorId="3211B353" wp14:editId="6C19454D">
            <wp:extent cx="5756910" cy="4314190"/>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6910" cy="4314190"/>
                    </a:xfrm>
                    <a:prstGeom prst="rect">
                      <a:avLst/>
                    </a:prstGeom>
                  </pic:spPr>
                </pic:pic>
              </a:graphicData>
            </a:graphic>
          </wp:inline>
        </w:drawing>
      </w:r>
    </w:p>
    <w:p w14:paraId="4C651470" w14:textId="455F1C99" w:rsidR="00584219" w:rsidRDefault="00584219" w:rsidP="00300E85">
      <w:pPr>
        <w:rPr>
          <w:sz w:val="28"/>
        </w:rPr>
      </w:pPr>
    </w:p>
    <w:p w14:paraId="1D701B72" w14:textId="77777777" w:rsidR="00584219" w:rsidRDefault="00584219" w:rsidP="00584219">
      <w:pPr>
        <w:rPr>
          <w:rFonts w:ascii="Calibri" w:hAnsi="Calibri"/>
          <w:b/>
          <w:sz w:val="22"/>
          <w:szCs w:val="22"/>
        </w:rPr>
      </w:pPr>
      <w:r>
        <w:rPr>
          <w:rFonts w:ascii="Calibri" w:hAnsi="Calibri"/>
          <w:b/>
          <w:sz w:val="22"/>
          <w:szCs w:val="22"/>
        </w:rPr>
        <w:br w:type="page"/>
      </w:r>
    </w:p>
    <w:p w14:paraId="0311788A" w14:textId="31F4F537" w:rsidR="00584219" w:rsidRPr="00FB09BF" w:rsidRDefault="00584219" w:rsidP="00584219">
      <w:pPr>
        <w:rPr>
          <w:rFonts w:ascii="Calibri" w:hAnsi="Calibri"/>
          <w:b/>
          <w:sz w:val="22"/>
          <w:szCs w:val="22"/>
        </w:rPr>
      </w:pPr>
      <w:r>
        <w:rPr>
          <w:rFonts w:ascii="Calibri" w:hAnsi="Calibri"/>
          <w:b/>
          <w:sz w:val="22"/>
          <w:szCs w:val="22"/>
        </w:rPr>
        <w:lastRenderedPageBreak/>
        <w:t>Figure 6.15 PSM Cox</w:t>
      </w:r>
    </w:p>
    <w:p w14:paraId="6CD8F238" w14:textId="77777777" w:rsidR="00584219" w:rsidRPr="00FA591A" w:rsidRDefault="00584219" w:rsidP="00300E85">
      <w:pPr>
        <w:rPr>
          <w:sz w:val="28"/>
        </w:rPr>
      </w:pPr>
    </w:p>
    <w:p w14:paraId="4CE2DC00" w14:textId="5142FC94" w:rsidR="00300E85" w:rsidRDefault="00300E85" w:rsidP="00300E85">
      <w:pPr>
        <w:rPr>
          <w:sz w:val="28"/>
        </w:rPr>
      </w:pPr>
      <w:r w:rsidRPr="00FA591A">
        <w:rPr>
          <w:noProof/>
          <w:sz w:val="28"/>
          <w:lang w:val="en-GB" w:eastAsia="en-GB"/>
        </w:rPr>
        <w:drawing>
          <wp:inline distT="0" distB="0" distL="0" distR="0" wp14:anchorId="2084861F" wp14:editId="171A2383">
            <wp:extent cx="5756910" cy="4312285"/>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6910" cy="4312285"/>
                    </a:xfrm>
                    <a:prstGeom prst="rect">
                      <a:avLst/>
                    </a:prstGeom>
                  </pic:spPr>
                </pic:pic>
              </a:graphicData>
            </a:graphic>
          </wp:inline>
        </w:drawing>
      </w:r>
    </w:p>
    <w:p w14:paraId="11E092C9" w14:textId="3F2EAE92" w:rsidR="00584219" w:rsidRDefault="00584219" w:rsidP="00300E85">
      <w:pPr>
        <w:rPr>
          <w:sz w:val="28"/>
        </w:rPr>
      </w:pPr>
    </w:p>
    <w:p w14:paraId="22115B12" w14:textId="77777777" w:rsidR="00584219" w:rsidRDefault="00584219" w:rsidP="00584219">
      <w:pPr>
        <w:rPr>
          <w:rFonts w:ascii="Calibri" w:hAnsi="Calibri"/>
          <w:b/>
          <w:sz w:val="22"/>
          <w:szCs w:val="22"/>
        </w:rPr>
      </w:pPr>
      <w:r>
        <w:rPr>
          <w:rFonts w:ascii="Calibri" w:hAnsi="Calibri"/>
          <w:b/>
          <w:sz w:val="22"/>
          <w:szCs w:val="22"/>
        </w:rPr>
        <w:br w:type="page"/>
      </w:r>
    </w:p>
    <w:p w14:paraId="41CA2ADD" w14:textId="090BBAFE" w:rsidR="00584219" w:rsidRPr="00FB09BF" w:rsidRDefault="00584219" w:rsidP="00584219">
      <w:pPr>
        <w:rPr>
          <w:rFonts w:ascii="Calibri" w:hAnsi="Calibri"/>
          <w:b/>
          <w:sz w:val="22"/>
          <w:szCs w:val="22"/>
        </w:rPr>
      </w:pPr>
      <w:r>
        <w:rPr>
          <w:rFonts w:ascii="Calibri" w:hAnsi="Calibri"/>
          <w:b/>
          <w:sz w:val="22"/>
          <w:szCs w:val="22"/>
        </w:rPr>
        <w:lastRenderedPageBreak/>
        <w:t>Figure 6.16 PSM LR</w:t>
      </w:r>
    </w:p>
    <w:p w14:paraId="7CEBE8C8" w14:textId="77777777" w:rsidR="00584219" w:rsidRDefault="00584219" w:rsidP="00300E85">
      <w:pPr>
        <w:rPr>
          <w:sz w:val="28"/>
        </w:rPr>
      </w:pPr>
    </w:p>
    <w:p w14:paraId="361ECFCE" w14:textId="39A99A8D" w:rsidR="00300E85" w:rsidRDefault="00300E85" w:rsidP="00300E85">
      <w:pPr>
        <w:rPr>
          <w:sz w:val="28"/>
        </w:rPr>
      </w:pPr>
      <w:r w:rsidRPr="00FA591A">
        <w:rPr>
          <w:noProof/>
          <w:sz w:val="28"/>
          <w:lang w:val="en-GB" w:eastAsia="en-GB"/>
        </w:rPr>
        <w:drawing>
          <wp:inline distT="0" distB="0" distL="0" distR="0" wp14:anchorId="60D120AB" wp14:editId="51DF3648">
            <wp:extent cx="5756910" cy="4314190"/>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6910" cy="4314190"/>
                    </a:xfrm>
                    <a:prstGeom prst="rect">
                      <a:avLst/>
                    </a:prstGeom>
                  </pic:spPr>
                </pic:pic>
              </a:graphicData>
            </a:graphic>
          </wp:inline>
        </w:drawing>
      </w:r>
    </w:p>
    <w:p w14:paraId="08A9AC40" w14:textId="77777777" w:rsidR="00584219" w:rsidRDefault="00584219" w:rsidP="00584219">
      <w:pPr>
        <w:rPr>
          <w:rFonts w:ascii="Calibri" w:hAnsi="Calibri"/>
          <w:b/>
          <w:sz w:val="22"/>
          <w:szCs w:val="22"/>
        </w:rPr>
      </w:pPr>
      <w:r>
        <w:rPr>
          <w:rFonts w:ascii="Calibri" w:hAnsi="Calibri"/>
          <w:b/>
          <w:sz w:val="22"/>
          <w:szCs w:val="22"/>
        </w:rPr>
        <w:br w:type="page"/>
      </w:r>
    </w:p>
    <w:p w14:paraId="1A7476FF" w14:textId="1C807F8B" w:rsidR="00584219" w:rsidRPr="00FB09BF" w:rsidRDefault="00584219" w:rsidP="00584219">
      <w:pPr>
        <w:rPr>
          <w:rFonts w:ascii="Calibri" w:hAnsi="Calibri"/>
          <w:b/>
          <w:sz w:val="22"/>
          <w:szCs w:val="22"/>
        </w:rPr>
      </w:pPr>
      <w:r>
        <w:rPr>
          <w:rFonts w:ascii="Calibri" w:hAnsi="Calibri"/>
          <w:b/>
          <w:sz w:val="22"/>
          <w:szCs w:val="22"/>
        </w:rPr>
        <w:lastRenderedPageBreak/>
        <w:t>Figure 6.17 IV1</w:t>
      </w:r>
    </w:p>
    <w:p w14:paraId="3A9AE066" w14:textId="77777777" w:rsidR="00584219" w:rsidRDefault="00584219" w:rsidP="00300E85">
      <w:pPr>
        <w:rPr>
          <w:sz w:val="28"/>
        </w:rPr>
      </w:pPr>
    </w:p>
    <w:p w14:paraId="5716E993" w14:textId="7297126A" w:rsidR="00300E85" w:rsidRDefault="00300E85" w:rsidP="00300E85">
      <w:pPr>
        <w:rPr>
          <w:sz w:val="28"/>
        </w:rPr>
      </w:pPr>
      <w:r w:rsidRPr="00FA591A">
        <w:rPr>
          <w:noProof/>
          <w:sz w:val="28"/>
          <w:lang w:val="en-GB" w:eastAsia="en-GB"/>
        </w:rPr>
        <w:drawing>
          <wp:inline distT="0" distB="0" distL="0" distR="0" wp14:anchorId="7B325327" wp14:editId="54ACE7B1">
            <wp:extent cx="5756910" cy="4312285"/>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6910" cy="4312285"/>
                    </a:xfrm>
                    <a:prstGeom prst="rect">
                      <a:avLst/>
                    </a:prstGeom>
                  </pic:spPr>
                </pic:pic>
              </a:graphicData>
            </a:graphic>
          </wp:inline>
        </w:drawing>
      </w:r>
    </w:p>
    <w:p w14:paraId="579646D3" w14:textId="77777777" w:rsidR="00584219" w:rsidRDefault="00584219" w:rsidP="00584219">
      <w:pPr>
        <w:rPr>
          <w:rFonts w:ascii="Calibri" w:hAnsi="Calibri"/>
          <w:b/>
          <w:sz w:val="22"/>
          <w:szCs w:val="22"/>
        </w:rPr>
      </w:pPr>
    </w:p>
    <w:p w14:paraId="2C5741E5" w14:textId="77777777" w:rsidR="00584219" w:rsidRDefault="00584219" w:rsidP="00584219">
      <w:pPr>
        <w:rPr>
          <w:rFonts w:ascii="Calibri" w:hAnsi="Calibri"/>
          <w:b/>
          <w:sz w:val="22"/>
          <w:szCs w:val="22"/>
        </w:rPr>
      </w:pPr>
      <w:r>
        <w:rPr>
          <w:rFonts w:ascii="Calibri" w:hAnsi="Calibri"/>
          <w:b/>
          <w:sz w:val="22"/>
          <w:szCs w:val="22"/>
        </w:rPr>
        <w:br w:type="page"/>
      </w:r>
    </w:p>
    <w:p w14:paraId="4A468E6C" w14:textId="125D9CDB" w:rsidR="00584219" w:rsidRPr="00FB09BF" w:rsidRDefault="00584219" w:rsidP="00584219">
      <w:pPr>
        <w:rPr>
          <w:rFonts w:ascii="Calibri" w:hAnsi="Calibri"/>
          <w:b/>
          <w:sz w:val="22"/>
          <w:szCs w:val="22"/>
        </w:rPr>
      </w:pPr>
      <w:r>
        <w:rPr>
          <w:rFonts w:ascii="Calibri" w:hAnsi="Calibri"/>
          <w:b/>
          <w:sz w:val="22"/>
          <w:szCs w:val="22"/>
        </w:rPr>
        <w:lastRenderedPageBreak/>
        <w:t>Figure 6.18 IV2</w:t>
      </w:r>
    </w:p>
    <w:p w14:paraId="28AA678B" w14:textId="77777777" w:rsidR="00584219" w:rsidRDefault="00584219" w:rsidP="00300E85">
      <w:pPr>
        <w:rPr>
          <w:sz w:val="28"/>
        </w:rPr>
      </w:pPr>
    </w:p>
    <w:p w14:paraId="250BA125" w14:textId="77777777" w:rsidR="00300E85" w:rsidRPr="00FA591A" w:rsidRDefault="00300E85" w:rsidP="00300E85">
      <w:pPr>
        <w:rPr>
          <w:sz w:val="28"/>
        </w:rPr>
      </w:pPr>
      <w:r w:rsidRPr="007C71D7">
        <w:rPr>
          <w:noProof/>
          <w:sz w:val="28"/>
          <w:lang w:val="en-GB" w:eastAsia="en-GB"/>
        </w:rPr>
        <w:drawing>
          <wp:inline distT="0" distB="0" distL="0" distR="0" wp14:anchorId="08415A21" wp14:editId="4E2B5BE2">
            <wp:extent cx="5756910" cy="4290060"/>
            <wp:effectExtent l="0" t="0" r="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6910" cy="4290060"/>
                    </a:xfrm>
                    <a:prstGeom prst="rect">
                      <a:avLst/>
                    </a:prstGeom>
                  </pic:spPr>
                </pic:pic>
              </a:graphicData>
            </a:graphic>
          </wp:inline>
        </w:drawing>
      </w:r>
    </w:p>
    <w:p w14:paraId="4A31BBC4" w14:textId="77777777" w:rsidR="00300E85" w:rsidRPr="00FA591A" w:rsidRDefault="00300E85" w:rsidP="00300E85">
      <w:pPr>
        <w:rPr>
          <w:sz w:val="28"/>
        </w:rPr>
      </w:pPr>
    </w:p>
    <w:p w14:paraId="70FD384D" w14:textId="77777777" w:rsidR="00300E85" w:rsidRPr="0056119F" w:rsidRDefault="00300E85" w:rsidP="00300E85">
      <w:pPr>
        <w:rPr>
          <w:sz w:val="28"/>
          <w:u w:val="single"/>
        </w:rPr>
      </w:pPr>
    </w:p>
    <w:p w14:paraId="6F64D27D" w14:textId="77777777" w:rsidR="00584219" w:rsidRDefault="00584219" w:rsidP="00584219">
      <w:pPr>
        <w:rPr>
          <w:rFonts w:ascii="Calibri" w:hAnsi="Calibri"/>
          <w:sz w:val="28"/>
        </w:rPr>
      </w:pPr>
      <w:r>
        <w:rPr>
          <w:rFonts w:ascii="Calibri" w:hAnsi="Calibri"/>
          <w:sz w:val="28"/>
        </w:rPr>
        <w:br w:type="page"/>
      </w:r>
    </w:p>
    <w:p w14:paraId="6D806904" w14:textId="7399C8A4" w:rsidR="00584219" w:rsidRDefault="00584219" w:rsidP="00584219">
      <w:pPr>
        <w:rPr>
          <w:rFonts w:ascii="Calibri" w:hAnsi="Calibri"/>
          <w:sz w:val="28"/>
        </w:rPr>
      </w:pPr>
      <w:r>
        <w:rPr>
          <w:rFonts w:ascii="Calibri" w:hAnsi="Calibri"/>
          <w:sz w:val="28"/>
        </w:rPr>
        <w:lastRenderedPageBreak/>
        <w:t>Figures 6.19-6.13</w:t>
      </w:r>
      <w:r w:rsidRPr="00FB09BF">
        <w:rPr>
          <w:rFonts w:ascii="Calibri" w:hAnsi="Calibri"/>
          <w:sz w:val="28"/>
        </w:rPr>
        <w:t xml:space="preserve"> </w:t>
      </w:r>
      <w:r>
        <w:rPr>
          <w:rFonts w:ascii="Calibri" w:hAnsi="Calibri"/>
          <w:sz w:val="28"/>
        </w:rPr>
        <w:t>full cohort</w:t>
      </w:r>
      <w:r w:rsidRPr="00FB09BF">
        <w:rPr>
          <w:rFonts w:ascii="Calibri" w:hAnsi="Calibri"/>
          <w:sz w:val="28"/>
        </w:rPr>
        <w:t xml:space="preserve">, </w:t>
      </w:r>
      <w:r>
        <w:rPr>
          <w:rFonts w:ascii="Calibri" w:hAnsi="Calibri"/>
          <w:sz w:val="28"/>
        </w:rPr>
        <w:t>all-cause</w:t>
      </w:r>
      <w:r w:rsidRPr="00FB09BF">
        <w:rPr>
          <w:rFonts w:ascii="Calibri" w:hAnsi="Calibri"/>
          <w:sz w:val="28"/>
        </w:rPr>
        <w:t xml:space="preserve"> mortality</w:t>
      </w:r>
    </w:p>
    <w:p w14:paraId="6DB331BD" w14:textId="591FC195" w:rsidR="00584219" w:rsidRDefault="00584219" w:rsidP="00584219">
      <w:pPr>
        <w:rPr>
          <w:rFonts w:ascii="Calibri" w:hAnsi="Calibri"/>
          <w:sz w:val="28"/>
        </w:rPr>
      </w:pPr>
    </w:p>
    <w:p w14:paraId="2DDD52FC" w14:textId="67014F72" w:rsidR="00584219" w:rsidRPr="00584219" w:rsidRDefault="00584219" w:rsidP="00300E85">
      <w:pPr>
        <w:rPr>
          <w:rFonts w:ascii="Calibri" w:hAnsi="Calibri"/>
          <w:b/>
          <w:sz w:val="22"/>
          <w:szCs w:val="22"/>
        </w:rPr>
      </w:pPr>
      <w:r>
        <w:rPr>
          <w:rFonts w:ascii="Calibri" w:hAnsi="Calibri"/>
          <w:b/>
          <w:sz w:val="22"/>
          <w:szCs w:val="22"/>
        </w:rPr>
        <w:t>Figure 6.19 RA</w:t>
      </w:r>
    </w:p>
    <w:p w14:paraId="040DDEDD" w14:textId="6F9BB02E" w:rsidR="00300E85" w:rsidRDefault="00300E85" w:rsidP="00300E85">
      <w:pPr>
        <w:rPr>
          <w:sz w:val="28"/>
        </w:rPr>
      </w:pPr>
      <w:r w:rsidRPr="003D7C6D">
        <w:rPr>
          <w:noProof/>
          <w:sz w:val="28"/>
          <w:lang w:val="en-GB" w:eastAsia="en-GB"/>
        </w:rPr>
        <w:drawing>
          <wp:inline distT="0" distB="0" distL="0" distR="0" wp14:anchorId="7070DA45" wp14:editId="34727BDC">
            <wp:extent cx="5756910" cy="4352290"/>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6910" cy="4352290"/>
                    </a:xfrm>
                    <a:prstGeom prst="rect">
                      <a:avLst/>
                    </a:prstGeom>
                  </pic:spPr>
                </pic:pic>
              </a:graphicData>
            </a:graphic>
          </wp:inline>
        </w:drawing>
      </w:r>
    </w:p>
    <w:p w14:paraId="42C2C22E" w14:textId="78F071E0" w:rsidR="00584219" w:rsidRDefault="00584219" w:rsidP="00300E85">
      <w:pPr>
        <w:rPr>
          <w:sz w:val="28"/>
        </w:rPr>
      </w:pPr>
    </w:p>
    <w:p w14:paraId="46BA2F70" w14:textId="77777777" w:rsidR="00584219" w:rsidRDefault="00584219" w:rsidP="00584219">
      <w:pPr>
        <w:rPr>
          <w:rFonts w:ascii="Calibri" w:hAnsi="Calibri"/>
          <w:b/>
          <w:sz w:val="22"/>
          <w:szCs w:val="22"/>
        </w:rPr>
      </w:pPr>
      <w:r>
        <w:rPr>
          <w:rFonts w:ascii="Calibri" w:hAnsi="Calibri"/>
          <w:b/>
          <w:sz w:val="22"/>
          <w:szCs w:val="22"/>
        </w:rPr>
        <w:br w:type="page"/>
      </w:r>
    </w:p>
    <w:p w14:paraId="656329FD" w14:textId="0F623C91" w:rsidR="00584219" w:rsidRPr="00FB09BF" w:rsidRDefault="00584219" w:rsidP="00584219">
      <w:pPr>
        <w:rPr>
          <w:rFonts w:ascii="Calibri" w:hAnsi="Calibri"/>
          <w:b/>
          <w:sz w:val="22"/>
          <w:szCs w:val="22"/>
        </w:rPr>
      </w:pPr>
      <w:r>
        <w:rPr>
          <w:rFonts w:ascii="Calibri" w:hAnsi="Calibri"/>
          <w:b/>
          <w:sz w:val="22"/>
          <w:szCs w:val="22"/>
        </w:rPr>
        <w:lastRenderedPageBreak/>
        <w:t>Figure 6.20 PSM Cox</w:t>
      </w:r>
    </w:p>
    <w:p w14:paraId="3B4D9DC1" w14:textId="77777777" w:rsidR="00584219" w:rsidRDefault="00584219" w:rsidP="00300E85">
      <w:pPr>
        <w:rPr>
          <w:sz w:val="28"/>
        </w:rPr>
      </w:pPr>
    </w:p>
    <w:p w14:paraId="232B77B0" w14:textId="5FD4C524" w:rsidR="00300E85" w:rsidRDefault="00300E85" w:rsidP="00300E85">
      <w:pPr>
        <w:rPr>
          <w:sz w:val="28"/>
        </w:rPr>
      </w:pPr>
      <w:r w:rsidRPr="003D7C6D">
        <w:rPr>
          <w:noProof/>
          <w:sz w:val="28"/>
          <w:lang w:val="en-GB" w:eastAsia="en-GB"/>
        </w:rPr>
        <w:drawing>
          <wp:inline distT="0" distB="0" distL="0" distR="0" wp14:anchorId="270664E4" wp14:editId="3B593A9F">
            <wp:extent cx="5756910" cy="430657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6910" cy="4306570"/>
                    </a:xfrm>
                    <a:prstGeom prst="rect">
                      <a:avLst/>
                    </a:prstGeom>
                  </pic:spPr>
                </pic:pic>
              </a:graphicData>
            </a:graphic>
          </wp:inline>
        </w:drawing>
      </w:r>
    </w:p>
    <w:p w14:paraId="009BE87F" w14:textId="5EB16666" w:rsidR="00584219" w:rsidRDefault="00584219" w:rsidP="00300E85">
      <w:pPr>
        <w:rPr>
          <w:sz w:val="28"/>
        </w:rPr>
      </w:pPr>
    </w:p>
    <w:p w14:paraId="5A3D2944" w14:textId="77777777" w:rsidR="00584219" w:rsidRDefault="00584219" w:rsidP="00584219">
      <w:pPr>
        <w:rPr>
          <w:rFonts w:ascii="Calibri" w:hAnsi="Calibri"/>
          <w:b/>
          <w:sz w:val="22"/>
          <w:szCs w:val="22"/>
        </w:rPr>
      </w:pPr>
      <w:r>
        <w:rPr>
          <w:rFonts w:ascii="Calibri" w:hAnsi="Calibri"/>
          <w:b/>
          <w:sz w:val="22"/>
          <w:szCs w:val="22"/>
        </w:rPr>
        <w:br w:type="page"/>
      </w:r>
    </w:p>
    <w:p w14:paraId="581C7FEC" w14:textId="0FE4DE9F" w:rsidR="00584219" w:rsidRPr="00FB09BF" w:rsidRDefault="00584219" w:rsidP="00584219">
      <w:pPr>
        <w:rPr>
          <w:rFonts w:ascii="Calibri" w:hAnsi="Calibri"/>
          <w:b/>
          <w:sz w:val="22"/>
          <w:szCs w:val="22"/>
        </w:rPr>
      </w:pPr>
      <w:r>
        <w:rPr>
          <w:rFonts w:ascii="Calibri" w:hAnsi="Calibri"/>
          <w:b/>
          <w:sz w:val="22"/>
          <w:szCs w:val="22"/>
        </w:rPr>
        <w:lastRenderedPageBreak/>
        <w:t>Figure 6.21 PSM LR</w:t>
      </w:r>
    </w:p>
    <w:p w14:paraId="56B22F2C" w14:textId="77777777" w:rsidR="00584219" w:rsidRDefault="00584219" w:rsidP="00300E85">
      <w:pPr>
        <w:rPr>
          <w:sz w:val="28"/>
        </w:rPr>
      </w:pPr>
    </w:p>
    <w:p w14:paraId="559B65A4" w14:textId="213C5CEF" w:rsidR="00300E85" w:rsidRDefault="00300E85" w:rsidP="00300E85">
      <w:pPr>
        <w:rPr>
          <w:sz w:val="28"/>
        </w:rPr>
      </w:pPr>
      <w:r w:rsidRPr="003D7C6D">
        <w:rPr>
          <w:noProof/>
          <w:sz w:val="28"/>
          <w:lang w:val="en-GB" w:eastAsia="en-GB"/>
        </w:rPr>
        <w:drawing>
          <wp:inline distT="0" distB="0" distL="0" distR="0" wp14:anchorId="692ABDA7" wp14:editId="27BA8BFB">
            <wp:extent cx="5756910" cy="4312285"/>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6910" cy="4312285"/>
                    </a:xfrm>
                    <a:prstGeom prst="rect">
                      <a:avLst/>
                    </a:prstGeom>
                  </pic:spPr>
                </pic:pic>
              </a:graphicData>
            </a:graphic>
          </wp:inline>
        </w:drawing>
      </w:r>
    </w:p>
    <w:p w14:paraId="23C5F792" w14:textId="6AF35CB2" w:rsidR="00584219" w:rsidRDefault="00584219" w:rsidP="00300E85">
      <w:pPr>
        <w:rPr>
          <w:sz w:val="28"/>
        </w:rPr>
      </w:pPr>
    </w:p>
    <w:p w14:paraId="42B8A833" w14:textId="77777777" w:rsidR="00584219" w:rsidRDefault="00584219" w:rsidP="00584219">
      <w:pPr>
        <w:rPr>
          <w:rFonts w:ascii="Calibri" w:hAnsi="Calibri"/>
          <w:b/>
          <w:sz w:val="22"/>
          <w:szCs w:val="22"/>
        </w:rPr>
      </w:pPr>
      <w:r>
        <w:rPr>
          <w:rFonts w:ascii="Calibri" w:hAnsi="Calibri"/>
          <w:b/>
          <w:sz w:val="22"/>
          <w:szCs w:val="22"/>
        </w:rPr>
        <w:br w:type="page"/>
      </w:r>
    </w:p>
    <w:p w14:paraId="0AA4C03D" w14:textId="7B3F33F1" w:rsidR="00584219" w:rsidRPr="00FB09BF" w:rsidRDefault="00584219" w:rsidP="00584219">
      <w:pPr>
        <w:rPr>
          <w:rFonts w:ascii="Calibri" w:hAnsi="Calibri"/>
          <w:b/>
          <w:sz w:val="22"/>
          <w:szCs w:val="22"/>
        </w:rPr>
      </w:pPr>
      <w:r>
        <w:rPr>
          <w:rFonts w:ascii="Calibri" w:hAnsi="Calibri"/>
          <w:b/>
          <w:sz w:val="22"/>
          <w:szCs w:val="22"/>
        </w:rPr>
        <w:lastRenderedPageBreak/>
        <w:t>Figure 6.22 IV1</w:t>
      </w:r>
    </w:p>
    <w:p w14:paraId="153804DD" w14:textId="77777777" w:rsidR="00584219" w:rsidRDefault="00584219" w:rsidP="00300E85">
      <w:pPr>
        <w:rPr>
          <w:sz w:val="28"/>
        </w:rPr>
      </w:pPr>
    </w:p>
    <w:p w14:paraId="45972217" w14:textId="09A60EA9" w:rsidR="00300E85" w:rsidRDefault="00300E85" w:rsidP="00300E85">
      <w:pPr>
        <w:rPr>
          <w:sz w:val="28"/>
        </w:rPr>
      </w:pPr>
      <w:r w:rsidRPr="00FB0E54">
        <w:rPr>
          <w:noProof/>
          <w:sz w:val="28"/>
          <w:lang w:val="en-GB" w:eastAsia="en-GB"/>
        </w:rPr>
        <w:drawing>
          <wp:inline distT="0" distB="0" distL="0" distR="0" wp14:anchorId="3A98EDA2" wp14:editId="17E12457">
            <wp:extent cx="5756910" cy="435229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6910" cy="4352290"/>
                    </a:xfrm>
                    <a:prstGeom prst="rect">
                      <a:avLst/>
                    </a:prstGeom>
                  </pic:spPr>
                </pic:pic>
              </a:graphicData>
            </a:graphic>
          </wp:inline>
        </w:drawing>
      </w:r>
    </w:p>
    <w:p w14:paraId="428D1FDE" w14:textId="34E35146" w:rsidR="00584219" w:rsidRDefault="00584219" w:rsidP="00300E85">
      <w:pPr>
        <w:rPr>
          <w:sz w:val="28"/>
        </w:rPr>
      </w:pPr>
    </w:p>
    <w:p w14:paraId="503394F2" w14:textId="77777777" w:rsidR="00584219" w:rsidRDefault="00584219" w:rsidP="00584219">
      <w:pPr>
        <w:rPr>
          <w:rFonts w:ascii="Calibri" w:hAnsi="Calibri"/>
          <w:b/>
          <w:sz w:val="22"/>
          <w:szCs w:val="22"/>
        </w:rPr>
      </w:pPr>
      <w:r>
        <w:rPr>
          <w:rFonts w:ascii="Calibri" w:hAnsi="Calibri"/>
          <w:b/>
          <w:sz w:val="22"/>
          <w:szCs w:val="22"/>
        </w:rPr>
        <w:br w:type="page"/>
      </w:r>
    </w:p>
    <w:p w14:paraId="0D570FE9" w14:textId="0DCB6D7A" w:rsidR="00584219" w:rsidRPr="00FB09BF" w:rsidRDefault="00584219" w:rsidP="00584219">
      <w:pPr>
        <w:rPr>
          <w:rFonts w:ascii="Calibri" w:hAnsi="Calibri"/>
          <w:b/>
          <w:sz w:val="22"/>
          <w:szCs w:val="22"/>
        </w:rPr>
      </w:pPr>
      <w:r>
        <w:rPr>
          <w:rFonts w:ascii="Calibri" w:hAnsi="Calibri"/>
          <w:b/>
          <w:sz w:val="22"/>
          <w:szCs w:val="22"/>
        </w:rPr>
        <w:lastRenderedPageBreak/>
        <w:t>Figure 6.23 IV2</w:t>
      </w:r>
    </w:p>
    <w:p w14:paraId="0FB1B4FD" w14:textId="77777777" w:rsidR="00584219" w:rsidRDefault="00584219" w:rsidP="00300E85">
      <w:pPr>
        <w:rPr>
          <w:sz w:val="28"/>
        </w:rPr>
      </w:pPr>
    </w:p>
    <w:p w14:paraId="52039A35" w14:textId="77777777" w:rsidR="00300E85" w:rsidRPr="007C71D7" w:rsidRDefault="00300E85" w:rsidP="00300E85">
      <w:pPr>
        <w:rPr>
          <w:sz w:val="28"/>
        </w:rPr>
      </w:pPr>
      <w:r w:rsidRPr="00F70FD4">
        <w:rPr>
          <w:noProof/>
          <w:sz w:val="28"/>
          <w:lang w:val="en-GB" w:eastAsia="en-GB"/>
        </w:rPr>
        <w:drawing>
          <wp:inline distT="0" distB="0" distL="0" distR="0" wp14:anchorId="333BD1D5" wp14:editId="18EDA303">
            <wp:extent cx="5756910" cy="435229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6910" cy="4352290"/>
                    </a:xfrm>
                    <a:prstGeom prst="rect">
                      <a:avLst/>
                    </a:prstGeom>
                  </pic:spPr>
                </pic:pic>
              </a:graphicData>
            </a:graphic>
          </wp:inline>
        </w:drawing>
      </w:r>
    </w:p>
    <w:p w14:paraId="7F963FEC" w14:textId="77777777" w:rsidR="007D027A" w:rsidRDefault="007D027A">
      <w:pPr>
        <w:pStyle w:val="NoSpacing"/>
        <w:rPr>
          <w:b/>
          <w:bCs/>
        </w:rPr>
      </w:pPr>
    </w:p>
    <w:p w14:paraId="4181662A" w14:textId="77777777" w:rsidR="007D027A" w:rsidRDefault="007D027A">
      <w:pPr>
        <w:pStyle w:val="NoSpacing"/>
        <w:rPr>
          <w:b/>
          <w:bCs/>
        </w:rPr>
      </w:pPr>
    </w:p>
    <w:p w14:paraId="068E4DCD" w14:textId="1B029798" w:rsidR="007D027A" w:rsidRPr="007D027A" w:rsidRDefault="007D027A" w:rsidP="007D027A">
      <w:pPr>
        <w:pStyle w:val="EndNoteBibliography"/>
        <w:spacing w:after="0"/>
        <w:rPr>
          <w:b/>
          <w:bCs/>
          <w:sz w:val="28"/>
        </w:rPr>
      </w:pPr>
      <w:r>
        <w:rPr>
          <w:b/>
          <w:bCs/>
          <w:sz w:val="28"/>
        </w:rPr>
        <w:t>Appendix References</w:t>
      </w:r>
    </w:p>
    <w:p w14:paraId="4D194B20" w14:textId="77777777" w:rsidR="007D027A" w:rsidRDefault="007D027A" w:rsidP="007D027A">
      <w:pPr>
        <w:pStyle w:val="EndNoteBibliography"/>
        <w:spacing w:after="0"/>
        <w:rPr>
          <w:b/>
          <w:bCs/>
        </w:rPr>
      </w:pPr>
    </w:p>
    <w:p w14:paraId="0DF226C7" w14:textId="3C6D6DC7" w:rsidR="007D027A" w:rsidRPr="007D027A" w:rsidRDefault="007D027A" w:rsidP="007D027A">
      <w:pPr>
        <w:pStyle w:val="EndNoteBibliography"/>
        <w:spacing w:after="0"/>
        <w:rPr>
          <w:noProof/>
        </w:rPr>
      </w:pPr>
      <w:r>
        <w:rPr>
          <w:b/>
          <w:bCs/>
        </w:rPr>
        <w:fldChar w:fldCharType="begin"/>
      </w:r>
      <w:r>
        <w:rPr>
          <w:b/>
          <w:bCs/>
        </w:rPr>
        <w:instrText xml:space="preserve"> ADDIN EN.SECTION.REFLIST </w:instrText>
      </w:r>
      <w:r>
        <w:rPr>
          <w:b/>
          <w:bCs/>
        </w:rPr>
        <w:fldChar w:fldCharType="separate"/>
      </w:r>
      <w:r w:rsidRPr="007D027A">
        <w:rPr>
          <w:noProof/>
        </w:rPr>
        <w:t>1.</w:t>
      </w:r>
      <w:r w:rsidRPr="007D027A">
        <w:rPr>
          <w:noProof/>
        </w:rPr>
        <w:tab/>
        <w:t>Charlson M, Szatrowski TP, Peterson J, Gold J. Validation of a Combined Comorbidity Index. Journal of Clinical Epidemiology. 1994;47(11):1245-51.</w:t>
      </w:r>
    </w:p>
    <w:p w14:paraId="3E3A19A5" w14:textId="77777777" w:rsidR="007D027A" w:rsidRPr="007D027A" w:rsidRDefault="007D027A" w:rsidP="007D027A">
      <w:pPr>
        <w:pStyle w:val="EndNoteBibliography"/>
        <w:spacing w:after="0"/>
        <w:rPr>
          <w:noProof/>
        </w:rPr>
      </w:pPr>
      <w:r w:rsidRPr="007D027A">
        <w:rPr>
          <w:noProof/>
        </w:rPr>
        <w:t>2.</w:t>
      </w:r>
      <w:r w:rsidRPr="007D027A">
        <w:rPr>
          <w:noProof/>
        </w:rPr>
        <w:tab/>
        <w:t>Wishart GC, Bajdik CD, Dicks E, Provenzano E, Schmidt MK, Sherman M, et al. PREDICT Plus: development and validation of a prognostic model for early breast cancer that includes HER2. Br J Cancer. 2012;107(5):800-7.</w:t>
      </w:r>
    </w:p>
    <w:p w14:paraId="4DF44B55" w14:textId="77777777" w:rsidR="007D027A" w:rsidRPr="007D027A" w:rsidRDefault="007D027A" w:rsidP="007D027A">
      <w:pPr>
        <w:pStyle w:val="EndNoteBibliography"/>
        <w:spacing w:after="0"/>
        <w:rPr>
          <w:noProof/>
        </w:rPr>
      </w:pPr>
      <w:r w:rsidRPr="007D027A">
        <w:rPr>
          <w:noProof/>
        </w:rPr>
        <w:t>3.</w:t>
      </w:r>
      <w:r w:rsidRPr="007D027A">
        <w:rPr>
          <w:noProof/>
        </w:rPr>
        <w:tab/>
        <w:t>Candido Dos Reis FJ, Wishart GC, Dicks EM, Greenberg D, Rashbass J, Schmidt MK, et al. An updated PREDICT breast cancer prognostication and treatment benefit prediction model with independent validation. Breast Cancer Res. 2017;19(1):58.</w:t>
      </w:r>
    </w:p>
    <w:p w14:paraId="1C892467" w14:textId="77777777" w:rsidR="007D027A" w:rsidRPr="007D027A" w:rsidRDefault="007D027A" w:rsidP="007D027A">
      <w:pPr>
        <w:pStyle w:val="EndNoteBibliography"/>
        <w:spacing w:after="0"/>
        <w:rPr>
          <w:noProof/>
        </w:rPr>
      </w:pPr>
      <w:r w:rsidRPr="007D027A">
        <w:rPr>
          <w:noProof/>
        </w:rPr>
        <w:t>4.</w:t>
      </w:r>
      <w:r w:rsidRPr="007D027A">
        <w:rPr>
          <w:noProof/>
        </w:rPr>
        <w:tab/>
        <w:t>Wishart GC, Azzato EM, Greenberg DC, Rashbass J, Kearins O, Lawrence G, et al. PREDICT: a new UK prognostic model that predicts survival following surgery for invasive breast cancer. Breast Cancer Res. 2010;12(1):R1.</w:t>
      </w:r>
    </w:p>
    <w:p w14:paraId="73D6E4F4" w14:textId="77777777" w:rsidR="007D027A" w:rsidRPr="007D027A" w:rsidRDefault="007D027A" w:rsidP="007D027A">
      <w:pPr>
        <w:pStyle w:val="EndNoteBibliography"/>
        <w:spacing w:after="0"/>
        <w:rPr>
          <w:noProof/>
        </w:rPr>
      </w:pPr>
      <w:r w:rsidRPr="007D027A">
        <w:rPr>
          <w:noProof/>
        </w:rPr>
        <w:t>5.</w:t>
      </w:r>
      <w:r w:rsidRPr="007D027A">
        <w:rPr>
          <w:noProof/>
        </w:rPr>
        <w:tab/>
        <w:t>Wishart GC, Rakha E, Green A, Ellis I, Ali HR, Provenzano E, et al. Inclusion of KI67 significantly improves performance of the PREDICT prognostication and prediction model for early breast cancer. Bmc Cancer. 2014;14.</w:t>
      </w:r>
    </w:p>
    <w:p w14:paraId="0BD558A7" w14:textId="77777777" w:rsidR="007D027A" w:rsidRPr="007D027A" w:rsidRDefault="007D027A" w:rsidP="007D027A">
      <w:pPr>
        <w:pStyle w:val="EndNoteBibliography"/>
        <w:spacing w:after="0"/>
        <w:rPr>
          <w:noProof/>
        </w:rPr>
      </w:pPr>
      <w:r w:rsidRPr="007D027A">
        <w:rPr>
          <w:noProof/>
        </w:rPr>
        <w:t>6.</w:t>
      </w:r>
      <w:r w:rsidRPr="007D027A">
        <w:rPr>
          <w:noProof/>
        </w:rPr>
        <w:tab/>
        <w:t>Down SK, Lucas O, Benson JR, Wishart GC. Effect of PREDICT on chemotherapy/trastuzumab recommendations in HER2-positive patients with early-stage breast cancer. Oncol Lett. 2014;8(6):2757-61.</w:t>
      </w:r>
    </w:p>
    <w:p w14:paraId="7D7AEEF1" w14:textId="77777777" w:rsidR="007D027A" w:rsidRPr="007D027A" w:rsidRDefault="007D027A" w:rsidP="007D027A">
      <w:pPr>
        <w:pStyle w:val="EndNoteBibliography"/>
        <w:spacing w:after="0"/>
        <w:rPr>
          <w:noProof/>
        </w:rPr>
      </w:pPr>
      <w:r w:rsidRPr="007D027A">
        <w:rPr>
          <w:noProof/>
        </w:rPr>
        <w:t>7.</w:t>
      </w:r>
      <w:r w:rsidRPr="007D027A">
        <w:rPr>
          <w:noProof/>
        </w:rPr>
        <w:tab/>
        <w:t>Scottish Intercollegiate Guidelines Network (SIGN). SIGN 134: Treatment of primary breast cancer. Edinburgh: 2013.</w:t>
      </w:r>
    </w:p>
    <w:p w14:paraId="7AA4015F" w14:textId="77777777" w:rsidR="007D027A" w:rsidRPr="007D027A" w:rsidRDefault="007D027A" w:rsidP="007D027A">
      <w:pPr>
        <w:pStyle w:val="EndNoteBibliography"/>
        <w:spacing w:after="0"/>
        <w:rPr>
          <w:noProof/>
        </w:rPr>
      </w:pPr>
      <w:r w:rsidRPr="007D027A">
        <w:rPr>
          <w:noProof/>
        </w:rPr>
        <w:lastRenderedPageBreak/>
        <w:t>8.</w:t>
      </w:r>
      <w:r w:rsidRPr="007D027A">
        <w:rPr>
          <w:noProof/>
        </w:rPr>
        <w:tab/>
        <w:t>Williams C, Brunskill S, Altman D, Briggs A, Campbell H, Clarke M, et al. Cost-effectiveness of using prognostic information to select women with breast cancer for adjuvant systemic therapy. Health Technol Asses. 2006;10(34):1-+.</w:t>
      </w:r>
    </w:p>
    <w:p w14:paraId="3F87B482" w14:textId="77777777" w:rsidR="007D027A" w:rsidRPr="007D027A" w:rsidRDefault="007D027A" w:rsidP="007D027A">
      <w:pPr>
        <w:pStyle w:val="EndNoteBibliography"/>
        <w:spacing w:after="0"/>
        <w:rPr>
          <w:noProof/>
        </w:rPr>
      </w:pPr>
      <w:r w:rsidRPr="007D027A">
        <w:rPr>
          <w:noProof/>
        </w:rPr>
        <w:t>9.</w:t>
      </w:r>
      <w:r w:rsidRPr="007D027A">
        <w:rPr>
          <w:noProof/>
        </w:rPr>
        <w:tab/>
        <w:t>Austin PC. Optimal caliper widths for propensity-score matching when estimating differences in means and differences in proportions in observational studies. Pharm Stat. 2011;10(2):150-61.</w:t>
      </w:r>
    </w:p>
    <w:p w14:paraId="207C1BB6" w14:textId="77777777" w:rsidR="007D027A" w:rsidRPr="007D027A" w:rsidRDefault="007D027A" w:rsidP="007D027A">
      <w:pPr>
        <w:pStyle w:val="EndNoteBibliography"/>
        <w:spacing w:after="0"/>
        <w:rPr>
          <w:noProof/>
        </w:rPr>
      </w:pPr>
      <w:r w:rsidRPr="007D027A">
        <w:rPr>
          <w:noProof/>
        </w:rPr>
        <w:t>10.</w:t>
      </w:r>
      <w:r w:rsidRPr="007D027A">
        <w:rPr>
          <w:noProof/>
        </w:rPr>
        <w:tab/>
        <w:t>Berry G, Kitchin RM, Mock PA. A comparison of two simple hazard ratio estimators based on the logrank test. Stat Med. 1991;10(5):749-55.</w:t>
      </w:r>
    </w:p>
    <w:p w14:paraId="0CEA15A9" w14:textId="77777777" w:rsidR="007D027A" w:rsidRPr="007D027A" w:rsidRDefault="007D027A" w:rsidP="007D027A">
      <w:pPr>
        <w:pStyle w:val="EndNoteBibliography"/>
        <w:spacing w:after="0"/>
        <w:rPr>
          <w:noProof/>
        </w:rPr>
      </w:pPr>
      <w:r w:rsidRPr="007D027A">
        <w:rPr>
          <w:noProof/>
        </w:rPr>
        <w:t>11.</w:t>
      </w:r>
      <w:r w:rsidRPr="007D027A">
        <w:rPr>
          <w:noProof/>
        </w:rPr>
        <w:tab/>
        <w:t>Group EBCTC. Effects of adjuvant tamoxifen and of cytotoxic therapy on mortality in early breast cancer. New Engl J Med. 1988;319(26):1681-92.</w:t>
      </w:r>
    </w:p>
    <w:p w14:paraId="1AFFF81D" w14:textId="77777777" w:rsidR="007D027A" w:rsidRPr="007D027A" w:rsidRDefault="007D027A" w:rsidP="007D027A">
      <w:pPr>
        <w:pStyle w:val="EndNoteBibliography"/>
        <w:spacing w:after="0"/>
        <w:rPr>
          <w:noProof/>
        </w:rPr>
      </w:pPr>
      <w:r w:rsidRPr="007D027A">
        <w:rPr>
          <w:noProof/>
        </w:rPr>
        <w:t>12.</w:t>
      </w:r>
      <w:r w:rsidRPr="007D027A">
        <w:rPr>
          <w:noProof/>
        </w:rPr>
        <w:tab/>
        <w:t>Early Breast Cancer Trialists’ Collaborative Group. Comparisons between different polychemotherapy regimens for early breast cancer: meta-analyses of long-term outcome among 100 000 women in 123 randomised trials. The Lancet. 2012;379(9814):432-44.</w:t>
      </w:r>
    </w:p>
    <w:p w14:paraId="2DBF1143" w14:textId="77777777" w:rsidR="007D027A" w:rsidRPr="007D027A" w:rsidRDefault="007D027A" w:rsidP="007D027A">
      <w:pPr>
        <w:pStyle w:val="EndNoteBibliography"/>
        <w:spacing w:after="0"/>
        <w:rPr>
          <w:noProof/>
        </w:rPr>
      </w:pPr>
      <w:r w:rsidRPr="007D027A">
        <w:rPr>
          <w:noProof/>
        </w:rPr>
        <w:t>13.</w:t>
      </w:r>
      <w:r w:rsidRPr="007D027A">
        <w:rPr>
          <w:noProof/>
        </w:rPr>
        <w:tab/>
        <w:t>Terza JV, Basu A, Rathouz PJ. Two-stage residual inclusion estimation: addressing endogeneity in health econometric modeling. J Health Econ. 2008;27(3):531-43.</w:t>
      </w:r>
    </w:p>
    <w:p w14:paraId="687DB58C" w14:textId="77777777" w:rsidR="007D027A" w:rsidRPr="007D027A" w:rsidRDefault="007D027A" w:rsidP="007D027A">
      <w:pPr>
        <w:pStyle w:val="EndNoteBibliography"/>
        <w:spacing w:after="0"/>
        <w:rPr>
          <w:noProof/>
        </w:rPr>
      </w:pPr>
      <w:r w:rsidRPr="007D027A">
        <w:rPr>
          <w:noProof/>
        </w:rPr>
        <w:t>14.</w:t>
      </w:r>
      <w:r w:rsidRPr="007D027A">
        <w:rPr>
          <w:noProof/>
        </w:rPr>
        <w:tab/>
        <w:t>Calonico S, Cattaneo MD, Titiunik R. Optimal Data-Driven Regression Discontinuity Plots. J Am Stat Assoc. 2016;110(512):1753-69.</w:t>
      </w:r>
    </w:p>
    <w:p w14:paraId="630993E2" w14:textId="77777777" w:rsidR="007D027A" w:rsidRPr="007D027A" w:rsidRDefault="007D027A" w:rsidP="007D027A">
      <w:pPr>
        <w:pStyle w:val="EndNoteBibliography"/>
        <w:spacing w:after="0"/>
        <w:rPr>
          <w:noProof/>
        </w:rPr>
      </w:pPr>
      <w:r w:rsidRPr="007D027A">
        <w:rPr>
          <w:noProof/>
        </w:rPr>
        <w:t>15.</w:t>
      </w:r>
      <w:r w:rsidRPr="007D027A">
        <w:rPr>
          <w:noProof/>
        </w:rPr>
        <w:tab/>
        <w:t>Wooldridge J. Econometric analysis of cross section and panel data: MIT Press; 2010.</w:t>
      </w:r>
    </w:p>
    <w:p w14:paraId="1A612CA6" w14:textId="77777777" w:rsidR="007D027A" w:rsidRPr="007D027A" w:rsidRDefault="007D027A" w:rsidP="007D027A">
      <w:pPr>
        <w:pStyle w:val="EndNoteBibliography"/>
        <w:spacing w:after="0"/>
        <w:rPr>
          <w:noProof/>
        </w:rPr>
      </w:pPr>
      <w:r w:rsidRPr="007D027A">
        <w:rPr>
          <w:noProof/>
        </w:rPr>
        <w:t>16.</w:t>
      </w:r>
      <w:r w:rsidRPr="007D027A">
        <w:rPr>
          <w:noProof/>
        </w:rPr>
        <w:tab/>
        <w:t>Imbens GW, Angrist JD. Identification and Estimation of Local Average Treatment Effects. Econometrica. 1994;62(2):467-75.</w:t>
      </w:r>
    </w:p>
    <w:p w14:paraId="56B7D74E" w14:textId="77777777" w:rsidR="007D027A" w:rsidRPr="007D027A" w:rsidRDefault="007D027A" w:rsidP="007D027A">
      <w:pPr>
        <w:pStyle w:val="EndNoteBibliography"/>
        <w:spacing w:after="0"/>
        <w:rPr>
          <w:noProof/>
        </w:rPr>
      </w:pPr>
      <w:r w:rsidRPr="007D027A">
        <w:rPr>
          <w:noProof/>
        </w:rPr>
        <w:t>17.</w:t>
      </w:r>
      <w:r w:rsidRPr="007D027A">
        <w:rPr>
          <w:noProof/>
        </w:rPr>
        <w:tab/>
        <w:t>Moscoe E, Bor J, Barnighausen T. Regression discontinuity designs are underutilized in medicine, epidemiology, and public health: a review of current and best practice. J Clin Epidemiol. 2015;68(2):122-33.</w:t>
      </w:r>
    </w:p>
    <w:p w14:paraId="52747F77" w14:textId="77777777" w:rsidR="007D027A" w:rsidRPr="007D027A" w:rsidRDefault="007D027A" w:rsidP="007D027A">
      <w:pPr>
        <w:pStyle w:val="EndNoteBibliography"/>
        <w:spacing w:after="0"/>
        <w:rPr>
          <w:noProof/>
        </w:rPr>
      </w:pPr>
      <w:r w:rsidRPr="007D027A">
        <w:rPr>
          <w:noProof/>
        </w:rPr>
        <w:t>18.</w:t>
      </w:r>
      <w:r w:rsidRPr="007D027A">
        <w:rPr>
          <w:noProof/>
        </w:rPr>
        <w:tab/>
        <w:t>Geneletti S, O'Keeffe AG, Sharples LD, Richardson S, Baio G. Bayesian regression discontinuity designs: incorporating clinical knowledge in the causal analysis of primary care data. Stat Med. 2015;34(15):2334-52.</w:t>
      </w:r>
    </w:p>
    <w:p w14:paraId="2CDD4835" w14:textId="77777777" w:rsidR="007D027A" w:rsidRPr="007D027A" w:rsidRDefault="007D027A" w:rsidP="007D027A">
      <w:pPr>
        <w:pStyle w:val="EndNoteBibliography"/>
        <w:rPr>
          <w:noProof/>
        </w:rPr>
      </w:pPr>
      <w:r w:rsidRPr="007D027A">
        <w:rPr>
          <w:noProof/>
        </w:rPr>
        <w:t>19.</w:t>
      </w:r>
      <w:r w:rsidRPr="007D027A">
        <w:rPr>
          <w:noProof/>
        </w:rPr>
        <w:tab/>
        <w:t>McCrary J. Manipulation of the running variable in the regression discontinuity design: A density test. Journal of Econometrics. 2008;142(2):698-714.</w:t>
      </w:r>
    </w:p>
    <w:p w14:paraId="77BF94EB" w14:textId="5F46D0FD" w:rsidR="00300E85" w:rsidRDefault="007D027A">
      <w:pPr>
        <w:pStyle w:val="NoSpacing"/>
        <w:rPr>
          <w:b/>
          <w:bCs/>
        </w:rPr>
      </w:pPr>
      <w:r>
        <w:rPr>
          <w:b/>
          <w:bCs/>
        </w:rPr>
        <w:fldChar w:fldCharType="end"/>
      </w:r>
    </w:p>
    <w:sectPr w:rsidR="00300E85">
      <w:type w:val="continuous"/>
      <w:pgSz w:w="11900" w:h="16840"/>
      <w:pgMar w:top="1440" w:right="1440" w:bottom="1440" w:left="1440" w:header="708" w:footer="70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Ewan Gray" w:date="2018-12-18T14:36:00Z" w:initials="EG">
    <w:p w14:paraId="4C77DFF9" w14:textId="2CA6B55A" w:rsidR="00E01C28" w:rsidRDefault="00E01C28">
      <w:pPr>
        <w:pStyle w:val="CommentText"/>
      </w:pPr>
      <w:r>
        <w:rPr>
          <w:rStyle w:val="CommentReference"/>
        </w:rPr>
        <w:annotationRef/>
      </w:r>
      <w:r>
        <w:rPr>
          <w:rFonts w:ascii="Arial" w:hAnsi="Arial" w:cs="Arial"/>
          <w:color w:val="222222"/>
          <w:shd w:val="clear" w:color="auto" w:fill="FFFFFF"/>
        </w:rPr>
        <w:t>Signorovitch JE, Sikirica V, Erder MH, Xie J, Lu M, Hodgkins PS, Betts KA, Wu EQ. Matching-adjusted indirect comparisons: a new tool for timely comparative effectiveness research. Value in Health. 2012 Sep 1;15(6):940-7.</w:t>
      </w:r>
    </w:p>
  </w:comment>
  <w:comment w:id="2" w:author="Ewan Gray" w:date="2018-12-18T14:36:00Z" w:initials="EG">
    <w:p w14:paraId="58DB9374" w14:textId="6BED5913" w:rsidR="00E01C28" w:rsidRDefault="00E01C28">
      <w:pPr>
        <w:pStyle w:val="CommentText"/>
      </w:pPr>
      <w:r>
        <w:rPr>
          <w:rStyle w:val="CommentReference"/>
        </w:rPr>
        <w:annotationRef/>
      </w:r>
      <w:r>
        <w:rPr>
          <w:rFonts w:ascii="Arial" w:hAnsi="Arial" w:cs="Arial"/>
          <w:color w:val="222222"/>
          <w:shd w:val="clear" w:color="auto" w:fill="FFFFFF"/>
        </w:rPr>
        <w:t>Prasad V, Jena AB. Prespecified falsification end points: can they validate true observational associations?. Jama. 2013 Jan 16;309(3):241-2.</w:t>
      </w:r>
    </w:p>
  </w:comment>
  <w:comment w:id="3" w:author="Ewan Gray" w:date="2018-12-17T11:06:00Z" w:initials="EG">
    <w:p w14:paraId="59770FFE" w14:textId="61F68667" w:rsidR="00E01C28" w:rsidRDefault="00E01C28">
      <w:pPr>
        <w:pStyle w:val="CommentText"/>
      </w:pPr>
      <w:r>
        <w:rPr>
          <w:rStyle w:val="CommentReference"/>
        </w:rPr>
        <w:annotationRef/>
      </w:r>
      <w:r w:rsidRPr="006B38E1">
        <w:rPr>
          <w:rFonts w:ascii="Segoe UI" w:eastAsia="Times New Roman" w:hAnsi="Segoe UI" w:cs="Segoe UI"/>
          <w:color w:val="212121"/>
          <w:sz w:val="23"/>
          <w:szCs w:val="23"/>
        </w:rPr>
        <w:t>Westreich D, Cole SR, Funk MJ, Brookhart MA, Stürmer T. The role of the c‐statistic in variable selection for propensity score models. </w:t>
      </w:r>
      <w:r w:rsidRPr="006B38E1">
        <w:rPr>
          <w:rFonts w:ascii="Segoe UI" w:eastAsia="Times New Roman" w:hAnsi="Segoe UI" w:cs="Segoe UI"/>
          <w:i/>
          <w:iCs/>
          <w:color w:val="212121"/>
          <w:sz w:val="23"/>
          <w:szCs w:val="23"/>
        </w:rPr>
        <w:t>Pharmacoepidemiology and drug safety. </w:t>
      </w:r>
      <w:r w:rsidRPr="006B38E1">
        <w:rPr>
          <w:rFonts w:ascii="Segoe UI" w:eastAsia="Times New Roman" w:hAnsi="Segoe UI" w:cs="Segoe UI"/>
          <w:color w:val="212121"/>
          <w:sz w:val="23"/>
          <w:szCs w:val="23"/>
        </w:rPr>
        <w:t>2011;20(3):317-320.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C77DFF9" w15:done="0"/>
  <w15:commentEx w15:paraId="58DB9374" w15:done="0"/>
  <w15:commentEx w15:paraId="59770FF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77DFF9" w16cid:durableId="1FC38458"/>
  <w16cid:commentId w16cid:paraId="58DB9374" w16cid:durableId="1FC38463"/>
  <w16cid:commentId w16cid:paraId="59770FFE" w16cid:durableId="1FC201C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DB9234" w14:textId="77777777" w:rsidR="00430817" w:rsidRDefault="00430817">
      <w:r>
        <w:separator/>
      </w:r>
    </w:p>
  </w:endnote>
  <w:endnote w:type="continuationSeparator" w:id="0">
    <w:p w14:paraId="536FF8CD" w14:textId="77777777" w:rsidR="00430817" w:rsidRDefault="00430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00"/>
    <w:family w:val="auto"/>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MV Boli"/>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1"/>
    <w:family w:val="roman"/>
    <w:pitch w:val="variable"/>
    <w:sig w:usb0="E00002FF" w:usb1="420024FF"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F74591" w14:textId="77777777" w:rsidR="00430817" w:rsidRDefault="00430817">
      <w:r>
        <w:separator/>
      </w:r>
    </w:p>
  </w:footnote>
  <w:footnote w:type="continuationSeparator" w:id="0">
    <w:p w14:paraId="38270B08" w14:textId="77777777" w:rsidR="00430817" w:rsidRDefault="00430817">
      <w:r>
        <w:continuationSeparator/>
      </w:r>
    </w:p>
  </w:footnote>
  <w:footnote w:id="1">
    <w:p w14:paraId="5961E2C3" w14:textId="6D272269" w:rsidR="00E01C28" w:rsidRPr="00C87A85" w:rsidRDefault="00E01C28">
      <w:pPr>
        <w:pStyle w:val="FootnoteText"/>
        <w:rPr>
          <w:lang w:val="en-GB"/>
        </w:rPr>
      </w:pPr>
      <w:r>
        <w:rPr>
          <w:rStyle w:val="FootnoteReference"/>
        </w:rPr>
        <w:footnoteRef/>
      </w:r>
      <w:r>
        <w:t xml:space="preserve"> </w:t>
      </w:r>
      <w:r w:rsidRPr="00C87A85">
        <w:t xml:space="preserve">PSM has also previously been applied to estimate adjuvant chemotherapy effectiveness in a large case series from a single institution in France (18). </w:t>
      </w:r>
      <w:r>
        <w:t>PSM</w:t>
      </w:r>
      <w:r w:rsidRPr="00C87A85">
        <w:t xml:space="preserve"> has also been used for estimating the effects of adjuvant chemotherapy for older women (19, 20) (a specific trial ineligible group) in data from the USA   .</w:t>
      </w:r>
    </w:p>
  </w:footnote>
  <w:footnote w:id="2">
    <w:p w14:paraId="391785B4" w14:textId="79C638BB" w:rsidR="00E01C28" w:rsidRPr="00124EF4" w:rsidRDefault="00E01C28">
      <w:pPr>
        <w:pStyle w:val="FootnoteText"/>
        <w:rPr>
          <w:lang w:val="en-GB"/>
        </w:rPr>
      </w:pPr>
      <w:r>
        <w:rPr>
          <w:rStyle w:val="FootnoteReference"/>
        </w:rPr>
        <w:footnoteRef/>
      </w:r>
      <w:r>
        <w:t xml:space="preserve"> </w:t>
      </w:r>
      <w:r>
        <w:rPr>
          <w:lang w:val="en-GB"/>
        </w:rPr>
        <w:t>For those emigrating from Scotland a date of embarkation is available allowing censoring these observations at the appropriate time.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DA5BE" w14:textId="2B1AB263" w:rsidR="00E01C28" w:rsidRDefault="00E01C28">
    <w:pPr>
      <w:pStyle w:val="Header"/>
      <w:tabs>
        <w:tab w:val="clear" w:pos="9026"/>
        <w:tab w:val="right" w:pos="9000"/>
      </w:tabs>
      <w:jc w:val="right"/>
    </w:pPr>
    <w:r>
      <w:fldChar w:fldCharType="begin"/>
    </w:r>
    <w:r>
      <w:instrText xml:space="preserve"> PAGE </w:instrText>
    </w:r>
    <w:r>
      <w:fldChar w:fldCharType="separate"/>
    </w:r>
    <w:r w:rsidR="00033855">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E6D13"/>
    <w:multiLevelType w:val="hybridMultilevel"/>
    <w:tmpl w:val="714CCFDE"/>
    <w:styleLink w:val="ImportedStyle3"/>
    <w:lvl w:ilvl="0" w:tplc="1D442E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74A7D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64859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20213A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625F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8E79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45E726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901B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31C31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6FB5AF0"/>
    <w:multiLevelType w:val="hybridMultilevel"/>
    <w:tmpl w:val="0296B0B4"/>
    <w:lvl w:ilvl="0" w:tplc="60FE8AAA">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75E7692">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3070BE3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CF22F4A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B063740">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DD583B40">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F96D9CE">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7B038DA">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5EA8B06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CD00BB9"/>
    <w:multiLevelType w:val="hybridMultilevel"/>
    <w:tmpl w:val="F9840690"/>
    <w:styleLink w:val="ImportedStyle2"/>
    <w:lvl w:ilvl="0" w:tplc="10FE234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A8A02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30212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16A5ED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1CC8A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96641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D64DBA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182119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326996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DA215AD"/>
    <w:multiLevelType w:val="hybridMultilevel"/>
    <w:tmpl w:val="88EA2034"/>
    <w:lvl w:ilvl="0" w:tplc="CAEEC1F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7F65846">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D9A4FF5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2BACE6A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0084676">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2D0E9D4">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11FAEAA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47DE8D1E">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517EA422">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4126EAB"/>
    <w:multiLevelType w:val="hybridMultilevel"/>
    <w:tmpl w:val="343A0FB2"/>
    <w:numStyleLink w:val="ImportedStyle1"/>
  </w:abstractNum>
  <w:abstractNum w:abstractNumId="5" w15:restartNumberingAfterBreak="0">
    <w:nsid w:val="2BBE5F1D"/>
    <w:multiLevelType w:val="hybridMultilevel"/>
    <w:tmpl w:val="343A0FB2"/>
    <w:styleLink w:val="ImportedStyle1"/>
    <w:lvl w:ilvl="0" w:tplc="7D94F4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00254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D88D576">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B1A0D5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B3CE5C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DFA528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191EECD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2640E0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F8B1A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ED42BAF"/>
    <w:multiLevelType w:val="hybridMultilevel"/>
    <w:tmpl w:val="F9840690"/>
    <w:numStyleLink w:val="ImportedStyle2"/>
  </w:abstractNum>
  <w:abstractNum w:abstractNumId="7" w15:restartNumberingAfterBreak="0">
    <w:nsid w:val="383A569A"/>
    <w:multiLevelType w:val="hybridMultilevel"/>
    <w:tmpl w:val="714CCFDE"/>
    <w:numStyleLink w:val="ImportedStyle3"/>
  </w:abstractNum>
  <w:num w:numId="1">
    <w:abstractNumId w:val="5"/>
  </w:num>
  <w:num w:numId="2">
    <w:abstractNumId w:val="4"/>
  </w:num>
  <w:num w:numId="3">
    <w:abstractNumId w:val="2"/>
  </w:num>
  <w:num w:numId="4">
    <w:abstractNumId w:val="6"/>
  </w:num>
  <w:num w:numId="5">
    <w:abstractNumId w:val="0"/>
  </w:num>
  <w:num w:numId="6">
    <w:abstractNumId w:val="7"/>
  </w:num>
  <w:num w:numId="7">
    <w:abstractNumId w:val="3"/>
  </w:num>
  <w:num w:numId="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wan Gray">
    <w15:presenceInfo w15:providerId="Windows Live" w15:userId="7508559110425c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s-ES_tradnl"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es-ES_tradnl" w:vendorID="64" w:dllVersion="4096" w:nlCheck="1" w:checkStyle="0"/>
  <w:activeWritingStyle w:appName="MSWord" w:lang="es-ES_tradnl" w:vendorID="64" w:dllVersion="0" w:nlCheck="1" w:checkStyle="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rpw5r2d0tevie2a5gp2tzn2xerrzew2w50&quot;&gt;HESG London&lt;record-ids&gt;&lt;item&gt;6&lt;/item&gt;&lt;item&gt;9&lt;/item&gt;&lt;item&gt;13&lt;/item&gt;&lt;item&gt;25&lt;/item&gt;&lt;item&gt;32&lt;/item&gt;&lt;item&gt;33&lt;/item&gt;&lt;item&gt;36&lt;/item&gt;&lt;item&gt;54&lt;/item&gt;&lt;item&gt;56&lt;/item&gt;&lt;item&gt;59&lt;/item&gt;&lt;item&gt;60&lt;/item&gt;&lt;item&gt;72&lt;/item&gt;&lt;item&gt;79&lt;/item&gt;&lt;item&gt;82&lt;/item&gt;&lt;item&gt;86&lt;/item&gt;&lt;item&gt;87&lt;/item&gt;&lt;item&gt;94&lt;/item&gt;&lt;item&gt;95&lt;/item&gt;&lt;item&gt;96&lt;/item&gt;&lt;item&gt;97&lt;/item&gt;&lt;item&gt;98&lt;/item&gt;&lt;item&gt;99&lt;/item&gt;&lt;item&gt;100&lt;/item&gt;&lt;item&gt;104&lt;/item&gt;&lt;item&gt;105&lt;/item&gt;&lt;item&gt;106&lt;/item&gt;&lt;item&gt;107&lt;/item&gt;&lt;item&gt;108&lt;/item&gt;&lt;item&gt;109&lt;/item&gt;&lt;item&gt;111&lt;/item&gt;&lt;item&gt;112&lt;/item&gt;&lt;item&gt;113&lt;/item&gt;&lt;item&gt;114&lt;/item&gt;&lt;item&gt;115&lt;/item&gt;&lt;item&gt;116&lt;/item&gt;&lt;item&gt;117&lt;/item&gt;&lt;item&gt;118&lt;/item&gt;&lt;/record-ids&gt;&lt;/item&gt;&lt;/Libraries&gt;"/>
  </w:docVars>
  <w:rsids>
    <w:rsidRoot w:val="00E73C9D"/>
    <w:rsid w:val="00012DBA"/>
    <w:rsid w:val="00016CAF"/>
    <w:rsid w:val="00033855"/>
    <w:rsid w:val="000346AE"/>
    <w:rsid w:val="000355EF"/>
    <w:rsid w:val="00057AAE"/>
    <w:rsid w:val="0006078A"/>
    <w:rsid w:val="00065713"/>
    <w:rsid w:val="0008770C"/>
    <w:rsid w:val="0009737C"/>
    <w:rsid w:val="000A1AEE"/>
    <w:rsid w:val="000A2521"/>
    <w:rsid w:val="000A53DD"/>
    <w:rsid w:val="000B1BDA"/>
    <w:rsid w:val="000C10A6"/>
    <w:rsid w:val="000D5565"/>
    <w:rsid w:val="000F2EBB"/>
    <w:rsid w:val="000F5177"/>
    <w:rsid w:val="001025F1"/>
    <w:rsid w:val="0010303B"/>
    <w:rsid w:val="0010324F"/>
    <w:rsid w:val="001209F5"/>
    <w:rsid w:val="00121853"/>
    <w:rsid w:val="00124EF4"/>
    <w:rsid w:val="00140688"/>
    <w:rsid w:val="00145A0F"/>
    <w:rsid w:val="00174468"/>
    <w:rsid w:val="001B25B4"/>
    <w:rsid w:val="001E6548"/>
    <w:rsid w:val="00200F9C"/>
    <w:rsid w:val="00202E92"/>
    <w:rsid w:val="0020667C"/>
    <w:rsid w:val="0021211B"/>
    <w:rsid w:val="002125AB"/>
    <w:rsid w:val="00221AF0"/>
    <w:rsid w:val="00250021"/>
    <w:rsid w:val="0027439C"/>
    <w:rsid w:val="002C0F22"/>
    <w:rsid w:val="002C6190"/>
    <w:rsid w:val="002D438B"/>
    <w:rsid w:val="002E5E7B"/>
    <w:rsid w:val="002E7B43"/>
    <w:rsid w:val="00300E85"/>
    <w:rsid w:val="0030215A"/>
    <w:rsid w:val="00306D69"/>
    <w:rsid w:val="0030710E"/>
    <w:rsid w:val="00307C9C"/>
    <w:rsid w:val="003137C6"/>
    <w:rsid w:val="0032367A"/>
    <w:rsid w:val="00332873"/>
    <w:rsid w:val="00336BA0"/>
    <w:rsid w:val="00386535"/>
    <w:rsid w:val="00395E2F"/>
    <w:rsid w:val="003B10BC"/>
    <w:rsid w:val="003B5801"/>
    <w:rsid w:val="003D50C1"/>
    <w:rsid w:val="003D5C7A"/>
    <w:rsid w:val="003E7925"/>
    <w:rsid w:val="003F4890"/>
    <w:rsid w:val="00430817"/>
    <w:rsid w:val="00432A9C"/>
    <w:rsid w:val="00433675"/>
    <w:rsid w:val="00436715"/>
    <w:rsid w:val="00445C7E"/>
    <w:rsid w:val="004C5A88"/>
    <w:rsid w:val="004E3CDA"/>
    <w:rsid w:val="004E4393"/>
    <w:rsid w:val="005077E2"/>
    <w:rsid w:val="00513751"/>
    <w:rsid w:val="005224AC"/>
    <w:rsid w:val="0052297B"/>
    <w:rsid w:val="00542270"/>
    <w:rsid w:val="005839F2"/>
    <w:rsid w:val="00584219"/>
    <w:rsid w:val="005B5D67"/>
    <w:rsid w:val="005B6D6D"/>
    <w:rsid w:val="005C3874"/>
    <w:rsid w:val="005C5D2A"/>
    <w:rsid w:val="005D5EC3"/>
    <w:rsid w:val="005E772C"/>
    <w:rsid w:val="00613568"/>
    <w:rsid w:val="00626E3A"/>
    <w:rsid w:val="00636DA1"/>
    <w:rsid w:val="00637109"/>
    <w:rsid w:val="006415B2"/>
    <w:rsid w:val="006417A6"/>
    <w:rsid w:val="00644748"/>
    <w:rsid w:val="00656537"/>
    <w:rsid w:val="0065669A"/>
    <w:rsid w:val="00663BB3"/>
    <w:rsid w:val="00667ABE"/>
    <w:rsid w:val="00670563"/>
    <w:rsid w:val="00674901"/>
    <w:rsid w:val="00685BB7"/>
    <w:rsid w:val="006A36C7"/>
    <w:rsid w:val="006A5FD7"/>
    <w:rsid w:val="006B58CB"/>
    <w:rsid w:val="006D4F7B"/>
    <w:rsid w:val="006E244E"/>
    <w:rsid w:val="00711949"/>
    <w:rsid w:val="0073053E"/>
    <w:rsid w:val="00730742"/>
    <w:rsid w:val="007436F1"/>
    <w:rsid w:val="00761D78"/>
    <w:rsid w:val="00775F6A"/>
    <w:rsid w:val="00780FC1"/>
    <w:rsid w:val="007B1734"/>
    <w:rsid w:val="007B39E2"/>
    <w:rsid w:val="007B5F04"/>
    <w:rsid w:val="007C00A5"/>
    <w:rsid w:val="007C3875"/>
    <w:rsid w:val="007D027A"/>
    <w:rsid w:val="007D2FFF"/>
    <w:rsid w:val="007D73F4"/>
    <w:rsid w:val="007F05F8"/>
    <w:rsid w:val="007F084D"/>
    <w:rsid w:val="007F6A32"/>
    <w:rsid w:val="007F7E76"/>
    <w:rsid w:val="00805222"/>
    <w:rsid w:val="008200F7"/>
    <w:rsid w:val="008243ED"/>
    <w:rsid w:val="00850ADC"/>
    <w:rsid w:val="00883AE1"/>
    <w:rsid w:val="008A1AB8"/>
    <w:rsid w:val="008A59F1"/>
    <w:rsid w:val="008C25CF"/>
    <w:rsid w:val="008D4989"/>
    <w:rsid w:val="008D5E5F"/>
    <w:rsid w:val="008E71A1"/>
    <w:rsid w:val="00911AA6"/>
    <w:rsid w:val="009123E8"/>
    <w:rsid w:val="00940528"/>
    <w:rsid w:val="00944340"/>
    <w:rsid w:val="00962ED3"/>
    <w:rsid w:val="009715F8"/>
    <w:rsid w:val="00976DFA"/>
    <w:rsid w:val="00980B80"/>
    <w:rsid w:val="009839DF"/>
    <w:rsid w:val="00992860"/>
    <w:rsid w:val="0099729D"/>
    <w:rsid w:val="009B36ED"/>
    <w:rsid w:val="009D685F"/>
    <w:rsid w:val="00A17159"/>
    <w:rsid w:val="00A2486B"/>
    <w:rsid w:val="00A3023C"/>
    <w:rsid w:val="00A30BDA"/>
    <w:rsid w:val="00A33A5E"/>
    <w:rsid w:val="00A33F46"/>
    <w:rsid w:val="00A35D36"/>
    <w:rsid w:val="00A61634"/>
    <w:rsid w:val="00A62513"/>
    <w:rsid w:val="00AA0339"/>
    <w:rsid w:val="00AA6C8A"/>
    <w:rsid w:val="00AC18A5"/>
    <w:rsid w:val="00AC34F8"/>
    <w:rsid w:val="00AC4EDA"/>
    <w:rsid w:val="00AF14AE"/>
    <w:rsid w:val="00B10E89"/>
    <w:rsid w:val="00B26A21"/>
    <w:rsid w:val="00B370A0"/>
    <w:rsid w:val="00B561A2"/>
    <w:rsid w:val="00B60179"/>
    <w:rsid w:val="00B60C0B"/>
    <w:rsid w:val="00B61EC3"/>
    <w:rsid w:val="00B76990"/>
    <w:rsid w:val="00B94256"/>
    <w:rsid w:val="00BA60E8"/>
    <w:rsid w:val="00BB62F7"/>
    <w:rsid w:val="00BC1BDD"/>
    <w:rsid w:val="00BC34BC"/>
    <w:rsid w:val="00BD0271"/>
    <w:rsid w:val="00BE2457"/>
    <w:rsid w:val="00C170F4"/>
    <w:rsid w:val="00C20681"/>
    <w:rsid w:val="00C26162"/>
    <w:rsid w:val="00C4640A"/>
    <w:rsid w:val="00C52EE7"/>
    <w:rsid w:val="00C53281"/>
    <w:rsid w:val="00C57731"/>
    <w:rsid w:val="00C64456"/>
    <w:rsid w:val="00C657EB"/>
    <w:rsid w:val="00C73C44"/>
    <w:rsid w:val="00C87A85"/>
    <w:rsid w:val="00C87BA2"/>
    <w:rsid w:val="00C965C0"/>
    <w:rsid w:val="00CD4696"/>
    <w:rsid w:val="00CD596C"/>
    <w:rsid w:val="00CE2BDD"/>
    <w:rsid w:val="00CE596C"/>
    <w:rsid w:val="00CF7DFF"/>
    <w:rsid w:val="00D019E7"/>
    <w:rsid w:val="00D108AD"/>
    <w:rsid w:val="00D110F1"/>
    <w:rsid w:val="00D30322"/>
    <w:rsid w:val="00D528B2"/>
    <w:rsid w:val="00D540B7"/>
    <w:rsid w:val="00D74474"/>
    <w:rsid w:val="00D9444B"/>
    <w:rsid w:val="00DA1FAA"/>
    <w:rsid w:val="00DA3CE1"/>
    <w:rsid w:val="00DA5E45"/>
    <w:rsid w:val="00DD17F3"/>
    <w:rsid w:val="00DD3721"/>
    <w:rsid w:val="00DF79D9"/>
    <w:rsid w:val="00E01C28"/>
    <w:rsid w:val="00E06CC7"/>
    <w:rsid w:val="00E14E13"/>
    <w:rsid w:val="00E2093A"/>
    <w:rsid w:val="00E211AD"/>
    <w:rsid w:val="00E26B0D"/>
    <w:rsid w:val="00E31345"/>
    <w:rsid w:val="00E33F22"/>
    <w:rsid w:val="00E40ABD"/>
    <w:rsid w:val="00E63049"/>
    <w:rsid w:val="00E73C9D"/>
    <w:rsid w:val="00E820EA"/>
    <w:rsid w:val="00E968B4"/>
    <w:rsid w:val="00EA1569"/>
    <w:rsid w:val="00EA6B2A"/>
    <w:rsid w:val="00EB4748"/>
    <w:rsid w:val="00EE4403"/>
    <w:rsid w:val="00F010EC"/>
    <w:rsid w:val="00F0711A"/>
    <w:rsid w:val="00F1457A"/>
    <w:rsid w:val="00F502B0"/>
    <w:rsid w:val="00F51072"/>
    <w:rsid w:val="00F70F88"/>
    <w:rsid w:val="00FB09BF"/>
    <w:rsid w:val="00FC19DD"/>
    <w:rsid w:val="00FD4649"/>
    <w:rsid w:val="00FE5790"/>
    <w:rsid w:val="00FF01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B5B389"/>
  <w15:docId w15:val="{BD0226A2-EAAF-4A18-8718-A3B95DFE1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2">
    <w:name w:val="heading 2"/>
    <w:next w:val="Body"/>
    <w:pPr>
      <w:keepNext/>
      <w:keepLines/>
      <w:spacing w:before="40" w:line="360" w:lineRule="auto"/>
      <w:outlineLvl w:val="1"/>
    </w:pPr>
    <w:rPr>
      <w:rFonts w:ascii="Calibri Light" w:eastAsia="Calibri Light" w:hAnsi="Calibri Light" w:cs="Calibri Light"/>
      <w:color w:val="2F5496"/>
      <w:sz w:val="26"/>
      <w:szCs w:val="26"/>
      <w:u w:color="2F5496"/>
      <w:lang w:val="de-DE"/>
    </w:rPr>
  </w:style>
  <w:style w:type="paragraph" w:styleId="Heading3">
    <w:name w:val="heading 3"/>
    <w:next w:val="Body"/>
    <w:pPr>
      <w:keepNext/>
      <w:keepLines/>
      <w:spacing w:before="40" w:line="360" w:lineRule="auto"/>
      <w:outlineLvl w:val="2"/>
    </w:pPr>
    <w:rPr>
      <w:rFonts w:ascii="Calibri Light" w:eastAsia="Calibri Light" w:hAnsi="Calibri Light" w:cs="Calibri Light"/>
      <w:color w:val="1F3763"/>
      <w:sz w:val="24"/>
      <w:szCs w:val="24"/>
      <w:u w:color="1F3763"/>
      <w:lang w:val="en-US"/>
    </w:rPr>
  </w:style>
  <w:style w:type="paragraph" w:styleId="Heading4">
    <w:name w:val="heading 4"/>
    <w:basedOn w:val="Normal"/>
    <w:next w:val="Normal"/>
    <w:link w:val="Heading4Char"/>
    <w:uiPriority w:val="9"/>
    <w:unhideWhenUsed/>
    <w:qFormat/>
    <w:rsid w:val="0099729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Arial" w:hAnsi="Arial" w:cs="Arial Unicode MS"/>
      <w:color w:val="000000"/>
      <w:sz w:val="22"/>
      <w:szCs w:val="22"/>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Title">
    <w:name w:val="Title"/>
    <w:next w:val="Body"/>
    <w:rPr>
      <w:rFonts w:ascii="Calibri Light" w:eastAsia="Calibri Light" w:hAnsi="Calibri Light" w:cs="Calibri Light"/>
      <w:color w:val="000000"/>
      <w:spacing w:val="-10"/>
      <w:kern w:val="28"/>
      <w:sz w:val="56"/>
      <w:szCs w:val="56"/>
      <w:u w:color="000000"/>
      <w:lang w:val="en-US"/>
    </w:rPr>
  </w:style>
  <w:style w:type="paragraph" w:customStyle="1" w:styleId="Body">
    <w:name w:val="Body"/>
    <w:link w:val="BodyChar"/>
    <w:pPr>
      <w:spacing w:after="160" w:line="360" w:lineRule="auto"/>
    </w:pPr>
    <w:rPr>
      <w:rFonts w:ascii="Arial" w:hAnsi="Arial" w:cs="Arial Unicode MS"/>
      <w:color w:val="000000"/>
      <w:sz w:val="22"/>
      <w:szCs w:val="22"/>
      <w:u w:color="000000"/>
      <w:lang w:val="en-US"/>
    </w:rPr>
  </w:style>
  <w:style w:type="paragraph" w:customStyle="1" w:styleId="Heading">
    <w:name w:val="Heading"/>
    <w:next w:val="Body"/>
    <w:pPr>
      <w:keepNext/>
      <w:keepLines/>
      <w:spacing w:before="240" w:line="360" w:lineRule="auto"/>
      <w:outlineLvl w:val="0"/>
    </w:pPr>
    <w:rPr>
      <w:rFonts w:ascii="Calibri Light" w:eastAsia="Calibri Light" w:hAnsi="Calibri Light" w:cs="Calibri Light"/>
      <w:color w:val="2F5496"/>
      <w:sz w:val="32"/>
      <w:szCs w:val="32"/>
      <w:u w:color="2F5496"/>
      <w:lang w:val="de-DE"/>
    </w:rPr>
  </w:style>
  <w:style w:type="paragraph" w:customStyle="1" w:styleId="Default">
    <w:name w:val="Default"/>
    <w:rPr>
      <w:rFonts w:ascii="Helvetica Neue" w:eastAsia="Helvetica Neue" w:hAnsi="Helvetica Neue" w:cs="Helvetica Neue"/>
      <w:color w:val="000000"/>
      <w:sz w:val="22"/>
      <w:szCs w:val="22"/>
    </w:rPr>
  </w:style>
  <w:style w:type="paragraph" w:styleId="ListParagraph">
    <w:name w:val="List Paragraph"/>
    <w:pPr>
      <w:spacing w:after="160" w:line="360" w:lineRule="auto"/>
      <w:ind w:left="720"/>
    </w:pPr>
    <w:rPr>
      <w:rFonts w:ascii="Arial" w:hAnsi="Arial" w:cs="Arial Unicode MS"/>
      <w:color w:val="000000"/>
      <w:sz w:val="22"/>
      <w:szCs w:val="22"/>
      <w:u w:color="000000"/>
      <w:lang w:val="en-US"/>
    </w:rPr>
  </w:style>
  <w:style w:type="numbering" w:customStyle="1" w:styleId="ImportedStyle1">
    <w:name w:val="Imported Style 1"/>
    <w:pPr>
      <w:numPr>
        <w:numId w:val="1"/>
      </w:numPr>
    </w:pPr>
  </w:style>
  <w:style w:type="paragraph" w:styleId="Caption">
    <w:name w:val="caption"/>
    <w:next w:val="BodyA"/>
    <w:pPr>
      <w:spacing w:after="200"/>
    </w:pPr>
    <w:rPr>
      <w:rFonts w:ascii="Arial" w:hAnsi="Arial" w:cs="Arial Unicode MS"/>
      <w:i/>
      <w:iCs/>
      <w:color w:val="44546A"/>
      <w:sz w:val="18"/>
      <w:szCs w:val="18"/>
      <w:u w:color="44546A"/>
      <w:lang w:val="en-US"/>
    </w:rPr>
  </w:style>
  <w:style w:type="paragraph" w:customStyle="1" w:styleId="BodyA">
    <w:name w:val="Body A"/>
    <w:pPr>
      <w:spacing w:after="160" w:line="360" w:lineRule="auto"/>
    </w:pPr>
    <w:rPr>
      <w:rFonts w:ascii="Arial" w:hAnsi="Arial" w:cs="Arial Unicode MS"/>
      <w:color w:val="000000"/>
      <w:sz w:val="22"/>
      <w:szCs w:val="22"/>
      <w:u w:color="000000"/>
      <w:lang w:val="en-US"/>
    </w:rPr>
  </w:style>
  <w:style w:type="paragraph" w:styleId="NormalWeb">
    <w:name w:val="Normal (Web)"/>
    <w:uiPriority w:val="99"/>
    <w:pPr>
      <w:spacing w:before="100" w:after="100"/>
    </w:pPr>
    <w:rPr>
      <w:rFonts w:cs="Arial Unicode MS"/>
      <w:color w:val="000000"/>
      <w:sz w:val="24"/>
      <w:szCs w:val="24"/>
      <w:u w:color="000000"/>
      <w:lang w:val="en-US"/>
    </w:rPr>
  </w:style>
  <w:style w:type="paragraph" w:customStyle="1" w:styleId="Titre21">
    <w:name w:val="Titre 21"/>
    <w:next w:val="BodyA"/>
    <w:pPr>
      <w:keepNext/>
      <w:keepLines/>
      <w:spacing w:before="40" w:line="360" w:lineRule="auto"/>
      <w:outlineLvl w:val="1"/>
    </w:pPr>
    <w:rPr>
      <w:rFonts w:ascii="Calibri Light" w:eastAsia="Calibri Light" w:hAnsi="Calibri Light" w:cs="Calibri Light"/>
      <w:color w:val="2E74B5"/>
      <w:sz w:val="26"/>
      <w:szCs w:val="26"/>
      <w:u w:color="2E74B5"/>
      <w:lang w:val="de-DE"/>
    </w:rPr>
  </w:style>
  <w:style w:type="paragraph" w:styleId="NoSpacing">
    <w:name w:val="No Spacing"/>
    <w:rPr>
      <w:rFonts w:ascii="Calibri" w:eastAsia="Calibri" w:hAnsi="Calibri" w:cs="Calibri"/>
      <w:color w:val="000000"/>
      <w:sz w:val="22"/>
      <w:szCs w:val="22"/>
      <w:u w:color="000000"/>
      <w:lang w:val="en-US"/>
    </w:rPr>
  </w:style>
  <w:style w:type="paragraph" w:customStyle="1" w:styleId="EndNoteBibliography">
    <w:name w:val="EndNote Bibliography"/>
    <w:pPr>
      <w:spacing w:after="160"/>
    </w:pPr>
    <w:rPr>
      <w:rFonts w:ascii="Calibri" w:eastAsia="Calibri" w:hAnsi="Calibri" w:cs="Calibri"/>
      <w:color w:val="000000"/>
      <w:sz w:val="22"/>
      <w:szCs w:val="22"/>
      <w:u w:color="000000"/>
    </w:rPr>
  </w:style>
  <w:style w:type="numbering" w:customStyle="1" w:styleId="ImportedStyle2">
    <w:name w:val="Imported Style 2"/>
    <w:pPr>
      <w:numPr>
        <w:numId w:val="3"/>
      </w:numPr>
    </w:pPr>
  </w:style>
  <w:style w:type="character" w:customStyle="1" w:styleId="Hyperlink0">
    <w:name w:val="Hyperlink.0"/>
    <w:basedOn w:val="Hyperlink"/>
    <w:rPr>
      <w:color w:val="0563C1"/>
      <w:u w:val="single" w:color="0563C1"/>
    </w:rPr>
  </w:style>
  <w:style w:type="numbering" w:customStyle="1" w:styleId="ImportedStyle3">
    <w:name w:val="Imported Style 3"/>
    <w:pPr>
      <w:numPr>
        <w:numId w:val="5"/>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577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731"/>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C57731"/>
    <w:rPr>
      <w:b/>
      <w:bCs/>
    </w:rPr>
  </w:style>
  <w:style w:type="character" w:customStyle="1" w:styleId="CommentSubjectChar">
    <w:name w:val="Comment Subject Char"/>
    <w:basedOn w:val="CommentTextChar"/>
    <w:link w:val="CommentSubject"/>
    <w:uiPriority w:val="99"/>
    <w:semiHidden/>
    <w:rsid w:val="00C57731"/>
    <w:rPr>
      <w:b/>
      <w:bCs/>
      <w:lang w:val="en-US" w:eastAsia="en-US"/>
    </w:rPr>
  </w:style>
  <w:style w:type="paragraph" w:customStyle="1" w:styleId="EndNoteBibliographyTitle">
    <w:name w:val="EndNote Bibliography Title"/>
    <w:basedOn w:val="Normal"/>
    <w:link w:val="EndNoteBibliographyTitleChar"/>
    <w:rsid w:val="00A62513"/>
    <w:pPr>
      <w:jc w:val="center"/>
    </w:pPr>
    <w:rPr>
      <w:rFonts w:ascii="Calibri" w:hAnsi="Calibri"/>
      <w:noProof/>
      <w:sz w:val="22"/>
    </w:rPr>
  </w:style>
  <w:style w:type="character" w:customStyle="1" w:styleId="BodyChar">
    <w:name w:val="Body Char"/>
    <w:basedOn w:val="DefaultParagraphFont"/>
    <w:link w:val="Body"/>
    <w:rsid w:val="00A62513"/>
    <w:rPr>
      <w:rFonts w:ascii="Arial" w:hAnsi="Arial" w:cs="Arial Unicode MS"/>
      <w:color w:val="000000"/>
      <w:sz w:val="22"/>
      <w:szCs w:val="22"/>
      <w:u w:color="000000"/>
      <w:lang w:val="en-US"/>
    </w:rPr>
  </w:style>
  <w:style w:type="character" w:customStyle="1" w:styleId="EndNoteBibliographyTitleChar">
    <w:name w:val="EndNote Bibliography Title Char"/>
    <w:basedOn w:val="BodyChar"/>
    <w:link w:val="EndNoteBibliographyTitle"/>
    <w:rsid w:val="00A62513"/>
    <w:rPr>
      <w:rFonts w:ascii="Calibri" w:hAnsi="Calibri" w:cs="Arial Unicode MS"/>
      <w:noProof/>
      <w:color w:val="000000"/>
      <w:sz w:val="22"/>
      <w:szCs w:val="24"/>
      <w:u w:color="000000"/>
      <w:lang w:val="en-US" w:eastAsia="en-US"/>
    </w:rPr>
  </w:style>
  <w:style w:type="paragraph" w:styleId="FootnoteText">
    <w:name w:val="footnote text"/>
    <w:basedOn w:val="Normal"/>
    <w:link w:val="FootnoteTextChar"/>
    <w:uiPriority w:val="99"/>
    <w:semiHidden/>
    <w:unhideWhenUsed/>
    <w:rsid w:val="00124EF4"/>
    <w:rPr>
      <w:sz w:val="20"/>
      <w:szCs w:val="20"/>
    </w:rPr>
  </w:style>
  <w:style w:type="character" w:customStyle="1" w:styleId="FootnoteTextChar">
    <w:name w:val="Footnote Text Char"/>
    <w:basedOn w:val="DefaultParagraphFont"/>
    <w:link w:val="FootnoteText"/>
    <w:uiPriority w:val="99"/>
    <w:semiHidden/>
    <w:rsid w:val="00124EF4"/>
    <w:rPr>
      <w:lang w:val="en-US" w:eastAsia="en-US"/>
    </w:rPr>
  </w:style>
  <w:style w:type="character" w:styleId="FootnoteReference">
    <w:name w:val="footnote reference"/>
    <w:basedOn w:val="DefaultParagraphFont"/>
    <w:uiPriority w:val="99"/>
    <w:semiHidden/>
    <w:unhideWhenUsed/>
    <w:rsid w:val="00124EF4"/>
    <w:rPr>
      <w:vertAlign w:val="superscript"/>
    </w:rPr>
  </w:style>
  <w:style w:type="character" w:customStyle="1" w:styleId="Heading4Char">
    <w:name w:val="Heading 4 Char"/>
    <w:basedOn w:val="DefaultParagraphFont"/>
    <w:link w:val="Heading4"/>
    <w:uiPriority w:val="9"/>
    <w:rsid w:val="0099729D"/>
    <w:rPr>
      <w:rFonts w:asciiTheme="majorHAnsi" w:eastAsiaTheme="majorEastAsia" w:hAnsiTheme="majorHAnsi" w:cstheme="majorBidi"/>
      <w:i/>
      <w:iCs/>
      <w:color w:val="2F5496" w:themeColor="accent1" w:themeShade="BF"/>
      <w:sz w:val="24"/>
      <w:szCs w:val="24"/>
      <w:lang w:val="en-US" w:eastAsia="en-US"/>
    </w:rPr>
  </w:style>
  <w:style w:type="paragraph" w:styleId="Footer">
    <w:name w:val="footer"/>
    <w:basedOn w:val="Normal"/>
    <w:link w:val="FooterChar"/>
    <w:uiPriority w:val="99"/>
    <w:unhideWhenUsed/>
    <w:rsid w:val="00C170F4"/>
    <w:pPr>
      <w:tabs>
        <w:tab w:val="center" w:pos="4536"/>
        <w:tab w:val="right" w:pos="9072"/>
      </w:tabs>
    </w:pPr>
  </w:style>
  <w:style w:type="character" w:customStyle="1" w:styleId="FooterChar">
    <w:name w:val="Footer Char"/>
    <w:basedOn w:val="DefaultParagraphFont"/>
    <w:link w:val="Footer"/>
    <w:uiPriority w:val="99"/>
    <w:rsid w:val="00C170F4"/>
    <w:rPr>
      <w:sz w:val="24"/>
      <w:szCs w:val="24"/>
      <w:lang w:val="en-US" w:eastAsia="en-US"/>
    </w:rPr>
  </w:style>
  <w:style w:type="paragraph" w:styleId="Revision">
    <w:name w:val="Revision"/>
    <w:hidden/>
    <w:uiPriority w:val="99"/>
    <w:semiHidden/>
    <w:rsid w:val="00670563"/>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table" w:styleId="TableGrid">
    <w:name w:val="Table Grid"/>
    <w:basedOn w:val="TableNormal"/>
    <w:uiPriority w:val="39"/>
    <w:rsid w:val="008C25C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778049">
      <w:bodyDiv w:val="1"/>
      <w:marLeft w:val="0"/>
      <w:marRight w:val="0"/>
      <w:marTop w:val="0"/>
      <w:marBottom w:val="0"/>
      <w:divBdr>
        <w:top w:val="none" w:sz="0" w:space="0" w:color="auto"/>
        <w:left w:val="none" w:sz="0" w:space="0" w:color="auto"/>
        <w:bottom w:val="none" w:sz="0" w:space="0" w:color="auto"/>
        <w:right w:val="none" w:sz="0" w:space="0" w:color="auto"/>
      </w:divBdr>
    </w:div>
    <w:div w:id="1007444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emf"/><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predict.nhs.uk/"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microsoft.com/office/2011/relationships/commentsExtended" Target="commentsExtended.xml"/><Relationship Id="rId19" Type="http://schemas.openxmlformats.org/officeDocument/2006/relationships/image" Target="media/image8.png"/><Relationship Id="rId31" Type="http://schemas.openxmlformats.org/officeDocument/2006/relationships/image" Target="media/image20.emf"/><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Calibri Light"/>
        <a:ea typeface="Calibri Light"/>
        <a:cs typeface="Calibri Light"/>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900" b="0" i="1" u="none" strike="noStrike" cap="none" spc="0" normalizeH="0" baseline="0">
            <a:ln>
              <a:noFill/>
            </a:ln>
            <a:solidFill>
              <a:srgbClr val="44546A"/>
            </a:solidFill>
            <a:effectLst/>
            <a:uFill>
              <a:solidFill>
                <a:srgbClr val="44546A"/>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52EBA-2B88-41F8-93F7-04B4F560C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18299</Words>
  <Characters>104305</Characters>
  <Application>Microsoft Office Word</Application>
  <DocSecurity>4</DocSecurity>
  <Lines>869</Lines>
  <Paragraphs>244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University Of Southampton</Company>
  <LinksUpToDate>false</LinksUpToDate>
  <CharactersWithSpaces>122360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Wyatt J.C.</dc:creator>
  <cp:lastModifiedBy>Wyatt J.C.</cp:lastModifiedBy>
  <cp:revision>2</cp:revision>
  <dcterms:created xsi:type="dcterms:W3CDTF">2019-01-23T11:12:00Z</dcterms:created>
  <dcterms:modified xsi:type="dcterms:W3CDTF">2019-01-23T11:12:00Z</dcterms:modified>
</cp:coreProperties>
</file>