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92" w:rsidRPr="00850B92" w:rsidRDefault="00850B92" w:rsidP="00850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850B92">
        <w:rPr>
          <w:rFonts w:ascii="Times New Roman" w:eastAsia="Times New Roman" w:hAnsi="Times New Roman" w:cs="Times New Roman"/>
          <w:color w:val="000000"/>
          <w:sz w:val="20"/>
          <w:szCs w:val="20"/>
        </w:rPr>
        <w:t>Supplementary Table 1: Comparison of absolute nutrient intakes estimated from first and second 24 hour recalls</w:t>
      </w: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1831"/>
        <w:tblW w:w="5000" w:type="pct"/>
        <w:tblLook w:val="04A0" w:firstRow="1" w:lastRow="0" w:firstColumn="1" w:lastColumn="0" w:noHBand="0" w:noVBand="1"/>
      </w:tblPr>
      <w:tblGrid>
        <w:gridCol w:w="3353"/>
        <w:gridCol w:w="3567"/>
        <w:gridCol w:w="1934"/>
        <w:gridCol w:w="776"/>
      </w:tblGrid>
      <w:tr w:rsidR="00850B92" w:rsidRPr="00850B92" w:rsidTr="00420AC3">
        <w:trPr>
          <w:trHeight w:val="615"/>
        </w:trPr>
        <w:tc>
          <w:tcPr>
            <w:tcW w:w="1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Absolute Nutrient Intakes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188</w:t>
            </w:r>
          </w:p>
        </w:tc>
      </w:tr>
      <w:tr w:rsidR="00850B92" w:rsidRPr="00850B92" w:rsidTr="00420AC3">
        <w:trPr>
          <w:trHeight w:val="315"/>
        </w:trPr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MACRONUTRIENTS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Median 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difference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 (kcal)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Carbohydrate (g)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Fat (g)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Saturated fat (g)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Protein (g)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MICRONUTRIENTS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0B92" w:rsidRPr="00850B92" w:rsidTr="00420AC3">
        <w:trPr>
          <w:trHeight w:val="33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Beta-carotene (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Calcium (mg)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3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Cholesterol (mg)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-9.45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Fibre (g)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(mg)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(mg)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-47.5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50B92" w:rsidRPr="00850B92" w:rsidTr="00420AC3">
        <w:trPr>
          <w:trHeight w:val="300"/>
        </w:trPr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Vitamin A (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0B92" w:rsidRPr="00850B92" w:rsidTr="00420AC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 of missing values for 24 Hour Recall: n = 186 for 'Beta-carotene' and n = 185 for 'Cholesterol'</w:t>
            </w:r>
          </w:p>
        </w:tc>
      </w:tr>
      <w:tr w:rsidR="00850B92" w:rsidRPr="00850B92" w:rsidTr="00420AC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Median of differences in absolute nutrient intakes between first 24HR and second 24HR (first 24H-second24HR)</w:t>
            </w:r>
          </w:p>
        </w:tc>
      </w:tr>
      <w:tr w:rsidR="00850B92" w:rsidRPr="00850B92" w:rsidTr="00420AC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*, P &lt; 0.05; **, P &lt; 0.01; P values were determined with the use of Wilcoxon signed-rank test</w:t>
            </w:r>
          </w:p>
        </w:tc>
      </w:tr>
    </w:tbl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  <w:r w:rsidRPr="00850B92">
        <w:rPr>
          <w:rFonts w:ascii="Times New Roman" w:hAnsi="Times New Roman" w:cs="Times New Roman"/>
          <w:sz w:val="20"/>
          <w:szCs w:val="20"/>
        </w:rPr>
        <w:br w:type="page"/>
      </w:r>
    </w:p>
    <w:p w:rsidR="00850B92" w:rsidRPr="00850B92" w:rsidRDefault="00850B92" w:rsidP="00850B92">
      <w:pPr>
        <w:rPr>
          <w:rFonts w:ascii="Times New Roman" w:hAnsi="Times New Roman" w:cs="Times New Roman"/>
          <w:sz w:val="20"/>
          <w:szCs w:val="20"/>
        </w:rPr>
      </w:pPr>
      <w:r w:rsidRPr="00850B92">
        <w:rPr>
          <w:rFonts w:ascii="Times New Roman" w:hAnsi="Times New Roman" w:cs="Times New Roman"/>
          <w:sz w:val="20"/>
          <w:szCs w:val="20"/>
        </w:rPr>
        <w:lastRenderedPageBreak/>
        <w:t>Supplementary Table 2: Bland-Altman statistics for absolute nutrient intakes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0"/>
        <w:gridCol w:w="2246"/>
        <w:gridCol w:w="628"/>
        <w:gridCol w:w="3966"/>
      </w:tblGrid>
      <w:tr w:rsidR="00850B92" w:rsidRPr="00850B92" w:rsidTr="00420AC3">
        <w:trPr>
          <w:trHeight w:val="255"/>
        </w:trPr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Absolute Nutrient Intakes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 = 188</w:t>
            </w:r>
          </w:p>
        </w:tc>
      </w:tr>
      <w:tr w:rsidR="00850B92" w:rsidRPr="00850B92" w:rsidTr="00420AC3">
        <w:trPr>
          <w:trHeight w:val="286"/>
        </w:trPr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MACRONUTRIENTS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Mean Difference (đ)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b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Percentage of participants outside of 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LoA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(%)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Energy (kcal)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6.4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Carbohydrate (g)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5.3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Total Fat (g)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3.7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Saturated fat (g)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5.3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Protein (g)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6.9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MICRONUTRIENTS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Beta-Carotene (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ug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1286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6.5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Calcium (mg)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5.9</w:t>
            </w:r>
          </w:p>
        </w:tc>
      </w:tr>
      <w:tr w:rsidR="00850B92" w:rsidRPr="00850B92" w:rsidTr="00420AC3">
        <w:trPr>
          <w:trHeight w:val="31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Cholesterol (mg)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35.2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3.2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Fibre (g)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4.8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Iron (mg)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5.9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Sodium (mg)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3.7</w:t>
            </w:r>
          </w:p>
        </w:tc>
      </w:tr>
      <w:tr w:rsidR="00850B92" w:rsidRPr="00850B92" w:rsidTr="00420AC3">
        <w:trPr>
          <w:trHeight w:val="255"/>
        </w:trPr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Vitamin A (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ug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6.4</w:t>
            </w:r>
          </w:p>
        </w:tc>
      </w:tr>
      <w:tr w:rsidR="00850B92" w:rsidRPr="00850B92" w:rsidTr="00420AC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a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Number of missing values for 24 Hour Recall: n = 186 for 'Beta-carotene' and n = 185 for 'Cholesterol'</w:t>
            </w:r>
          </w:p>
        </w:tc>
      </w:tr>
      <w:tr w:rsidR="00850B92" w:rsidRPr="00850B92" w:rsidTr="00420AC3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B92" w:rsidRPr="00850B92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 xml:space="preserve">b 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đ is mean difference of nutrients intakes estimated between FFQ and averaged 24HRs</w:t>
            </w:r>
          </w:p>
        </w:tc>
      </w:tr>
      <w:tr w:rsidR="00850B92" w:rsidRPr="0057367F" w:rsidTr="00420AC3">
        <w:trPr>
          <w:trHeight w:val="10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B92" w:rsidRPr="00644576" w:rsidRDefault="00850B92" w:rsidP="0042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 xml:space="preserve">c </w:t>
            </w:r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The Limits of Agreement (</w:t>
            </w:r>
            <w:proofErr w:type="spellStart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LoA</w:t>
            </w:r>
            <w:proofErr w:type="spellEnd"/>
            <w:r w:rsidRPr="0085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 is estimated by đ ± 1.96 SD of the differences in nutrient intake between FFQ and 24HR</w:t>
            </w:r>
          </w:p>
        </w:tc>
      </w:tr>
    </w:tbl>
    <w:p w:rsidR="00850B92" w:rsidRDefault="00850B92">
      <w:pPr>
        <w:rPr>
          <w:rFonts w:ascii="Times New Roman" w:hAnsi="Times New Roman" w:cs="Times New Roman"/>
          <w:sz w:val="20"/>
          <w:szCs w:val="20"/>
        </w:rPr>
      </w:pPr>
    </w:p>
    <w:p w:rsidR="00850B92" w:rsidRDefault="00850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50B92" w:rsidRDefault="00850B92">
      <w:pPr>
        <w:rPr>
          <w:rFonts w:ascii="Times New Roman" w:hAnsi="Times New Roman" w:cs="Times New Roman"/>
          <w:sz w:val="20"/>
          <w:szCs w:val="20"/>
        </w:rPr>
      </w:pPr>
      <w:r w:rsidRPr="00850B92">
        <w:rPr>
          <w:rFonts w:ascii="Times New Roman" w:hAnsi="Times New Roman" w:cs="Times New Roman"/>
          <w:sz w:val="20"/>
          <w:szCs w:val="20"/>
        </w:rPr>
        <w:lastRenderedPageBreak/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</w:t>
      </w:r>
    </w:p>
    <w:p w:rsidR="00850B92" w:rsidRDefault="00850B92">
      <w:pPr>
        <w:rPr>
          <w:rFonts w:ascii="Times New Roman" w:hAnsi="Times New Roman" w:cs="Times New Roman"/>
          <w:sz w:val="20"/>
          <w:szCs w:val="20"/>
        </w:rPr>
      </w:pPr>
    </w:p>
    <w:p w:rsidR="00975534" w:rsidRDefault="00850B92">
      <w:r w:rsidRPr="00850B92">
        <w:rPr>
          <w:noProof/>
          <w:lang w:val="en-GB" w:eastAsia="en-GB"/>
        </w:rPr>
        <w:drawing>
          <wp:inline distT="0" distB="0" distL="0" distR="0" wp14:anchorId="08A3D832" wp14:editId="10A9A812">
            <wp:extent cx="6115050" cy="2506345"/>
            <wp:effectExtent l="0" t="0" r="0" b="0"/>
            <wp:docPr id="1" name="Picture 1" descr="D:\Month 18 Validation\Manuscript\For Submission\Submission to PHN (FINAL)\Revision\Submission\Figures\Lim Supplementary Fig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nth 18 Validation\Manuscript\For Submission\Submission to PHN (FINAL)\Revision\Submission\Figures\Lim Supplementary Fig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534" w:rsidSect="00C62B16">
      <w:pgSz w:w="11906" w:h="16838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92"/>
    <w:rsid w:val="00850B92"/>
    <w:rsid w:val="00975534"/>
    <w:rsid w:val="00E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09188-24CA-4566-99BE-3B031E00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92"/>
    <w:rPr>
      <w:rFonts w:eastAsiaTheme="minorHAnsi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Hui Xian</dc:creator>
  <cp:keywords/>
  <dc:description/>
  <cp:lastModifiedBy>Karen Drake</cp:lastModifiedBy>
  <cp:revision>2</cp:revision>
  <dcterms:created xsi:type="dcterms:W3CDTF">2019-04-25T14:14:00Z</dcterms:created>
  <dcterms:modified xsi:type="dcterms:W3CDTF">2019-04-25T14:14:00Z</dcterms:modified>
</cp:coreProperties>
</file>