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53A62" w14:textId="176F326B" w:rsidR="00961644" w:rsidRDefault="002F1D7C" w:rsidP="004E6CC3">
      <w:pPr>
        <w:spacing w:line="360" w:lineRule="auto"/>
        <w:jc w:val="center"/>
        <w:rPr>
          <w:b/>
        </w:rPr>
      </w:pPr>
      <w:r w:rsidRPr="002F1D7C">
        <w:rPr>
          <w:b/>
        </w:rPr>
        <w:t>Development and Validation of a Model to P</w:t>
      </w:r>
      <w:r w:rsidR="00AC6E55">
        <w:rPr>
          <w:b/>
        </w:rPr>
        <w:t>redi</w:t>
      </w:r>
      <w:r w:rsidRPr="002F1D7C">
        <w:rPr>
          <w:b/>
        </w:rPr>
        <w:t>ct Outcomes of Colon Cancer Surveillance</w:t>
      </w:r>
    </w:p>
    <w:p w14:paraId="2D21E65E" w14:textId="77777777" w:rsidR="00A168D6" w:rsidRPr="00C93121" w:rsidRDefault="00A168D6" w:rsidP="004E6CC3">
      <w:pPr>
        <w:spacing w:line="360" w:lineRule="auto"/>
        <w:jc w:val="center"/>
      </w:pPr>
    </w:p>
    <w:p w14:paraId="1010AFAF" w14:textId="1B98811B" w:rsidR="00961644" w:rsidRPr="00C93121" w:rsidRDefault="00E75DA0" w:rsidP="004E6CC3">
      <w:pPr>
        <w:spacing w:line="360" w:lineRule="auto"/>
      </w:pPr>
      <w:r>
        <w:t>Johnie Rose</w:t>
      </w:r>
      <w:r w:rsidR="007534EF" w:rsidRPr="007534EF">
        <w:rPr>
          <w:vertAlign w:val="superscript"/>
        </w:rPr>
        <w:t>1,2</w:t>
      </w:r>
      <w:r w:rsidR="007534EF">
        <w:t xml:space="preserve">, </w:t>
      </w:r>
      <w:r w:rsidR="00961644" w:rsidRPr="00C93121">
        <w:t>Laura Homa</w:t>
      </w:r>
      <w:r w:rsidR="007534EF" w:rsidRPr="007534EF">
        <w:rPr>
          <w:vertAlign w:val="superscript"/>
        </w:rPr>
        <w:t>1</w:t>
      </w:r>
      <w:r w:rsidR="007534EF">
        <w:t xml:space="preserve">, </w:t>
      </w:r>
      <w:r w:rsidR="00961644" w:rsidRPr="00C93121">
        <w:t>Chung Yin Kong</w:t>
      </w:r>
      <w:r w:rsidR="007534EF" w:rsidRPr="007534EF">
        <w:rPr>
          <w:vertAlign w:val="superscript"/>
        </w:rPr>
        <w:t>3</w:t>
      </w:r>
      <w:r w:rsidR="007534EF">
        <w:t xml:space="preserve">, </w:t>
      </w:r>
      <w:r w:rsidR="00961644" w:rsidRPr="00C93121">
        <w:t>Gregory S. Cooper</w:t>
      </w:r>
      <w:r w:rsidR="007534EF" w:rsidRPr="007534EF">
        <w:rPr>
          <w:vertAlign w:val="superscript"/>
        </w:rPr>
        <w:t>1,2</w:t>
      </w:r>
      <w:r w:rsidR="007534EF">
        <w:rPr>
          <w:vertAlign w:val="superscript"/>
        </w:rPr>
        <w:t>,4</w:t>
      </w:r>
      <w:r w:rsidR="007534EF">
        <w:t xml:space="preserve">, </w:t>
      </w:r>
      <w:r w:rsidR="00961644" w:rsidRPr="00C93121">
        <w:t>Michael W. Kattan</w:t>
      </w:r>
      <w:r w:rsidR="001C3ACD">
        <w:rPr>
          <w:vertAlign w:val="superscript"/>
        </w:rPr>
        <w:t>2,</w:t>
      </w:r>
      <w:r w:rsidR="007534EF">
        <w:rPr>
          <w:vertAlign w:val="superscript"/>
        </w:rPr>
        <w:t>5</w:t>
      </w:r>
      <w:r w:rsidR="007534EF">
        <w:t xml:space="preserve">, </w:t>
      </w:r>
      <w:r w:rsidR="00961644" w:rsidRPr="00C93121">
        <w:t>Bridget Ermlich</w:t>
      </w:r>
      <w:r w:rsidR="001C3ACD" w:rsidRPr="001C3ACD">
        <w:rPr>
          <w:vertAlign w:val="superscript"/>
        </w:rPr>
        <w:t>6</w:t>
      </w:r>
      <w:r w:rsidR="00E13656">
        <w:t>,</w:t>
      </w:r>
      <w:r w:rsidR="007534EF">
        <w:t xml:space="preserve"> </w:t>
      </w:r>
      <w:r w:rsidR="00B5646C">
        <w:t>Jeffrey P. Meyers</w:t>
      </w:r>
      <w:r w:rsidR="001C3ACD" w:rsidRPr="001C3ACD">
        <w:rPr>
          <w:vertAlign w:val="superscript"/>
        </w:rPr>
        <w:t>7</w:t>
      </w:r>
      <w:r w:rsidR="007534EF">
        <w:t xml:space="preserve">, </w:t>
      </w:r>
      <w:r w:rsidR="000D60F2">
        <w:t>John N. Primrose</w:t>
      </w:r>
      <w:r w:rsidR="001C3ACD" w:rsidRPr="001C3ACD">
        <w:rPr>
          <w:vertAlign w:val="superscript"/>
        </w:rPr>
        <w:t>8</w:t>
      </w:r>
      <w:r w:rsidR="007534EF">
        <w:t xml:space="preserve">, </w:t>
      </w:r>
      <w:r w:rsidR="000D60F2">
        <w:t>Sian A. Pugh</w:t>
      </w:r>
      <w:r w:rsidR="001C3ACD" w:rsidRPr="001C3ACD">
        <w:rPr>
          <w:vertAlign w:val="superscript"/>
        </w:rPr>
        <w:t>8</w:t>
      </w:r>
      <w:r w:rsidR="007534EF">
        <w:t xml:space="preserve">, </w:t>
      </w:r>
      <w:r w:rsidR="000D60F2">
        <w:t>Bethany Shinkins</w:t>
      </w:r>
      <w:r w:rsidR="001C3ACD" w:rsidRPr="001C3ACD">
        <w:rPr>
          <w:vertAlign w:val="superscript"/>
        </w:rPr>
        <w:t>9</w:t>
      </w:r>
      <w:r w:rsidR="007534EF">
        <w:t xml:space="preserve">, </w:t>
      </w:r>
      <w:r w:rsidR="00BA2143">
        <w:t>Uriel Kim</w:t>
      </w:r>
      <w:r w:rsidR="00BA2143" w:rsidRPr="007534EF">
        <w:rPr>
          <w:vertAlign w:val="superscript"/>
        </w:rPr>
        <w:t>1</w:t>
      </w:r>
      <w:r w:rsidR="00BA2143">
        <w:t xml:space="preserve">, </w:t>
      </w:r>
      <w:r w:rsidR="00961644" w:rsidRPr="00C93121">
        <w:t>Neal J. Meropol</w:t>
      </w:r>
      <w:r w:rsidR="001C3ACD" w:rsidRPr="007534EF">
        <w:rPr>
          <w:vertAlign w:val="superscript"/>
        </w:rPr>
        <w:t>1,2</w:t>
      </w:r>
      <w:r w:rsidR="001C3ACD">
        <w:rPr>
          <w:vertAlign w:val="superscript"/>
        </w:rPr>
        <w:t>,</w:t>
      </w:r>
      <w:r w:rsidR="00352B29">
        <w:rPr>
          <w:vertAlign w:val="superscript"/>
        </w:rPr>
        <w:t>10</w:t>
      </w:r>
    </w:p>
    <w:p w14:paraId="1484F731" w14:textId="77777777" w:rsidR="00D86799" w:rsidRDefault="00D86799" w:rsidP="004E6CC3">
      <w:pPr>
        <w:spacing w:line="360" w:lineRule="auto"/>
      </w:pPr>
    </w:p>
    <w:p w14:paraId="5D934B65" w14:textId="490818E2" w:rsidR="007534EF" w:rsidRDefault="007534EF" w:rsidP="004E6CC3">
      <w:pPr>
        <w:spacing w:line="360" w:lineRule="auto"/>
      </w:pPr>
      <w:r>
        <w:t xml:space="preserve">1. Case Western </w:t>
      </w:r>
      <w:r w:rsidR="00B430D1">
        <w:t>Reserve</w:t>
      </w:r>
      <w:r>
        <w:t xml:space="preserve"> University School of Medicine, Cleveland, OH, USA;  2. Case </w:t>
      </w:r>
      <w:r w:rsidR="00675EE7">
        <w:t>C</w:t>
      </w:r>
      <w:r>
        <w:t xml:space="preserve">omprehensive Cancer Center, Cleveland, OH, USA;  3. Massachusetts General Hospital Institute for Technology Assessment, Cambridge, MA, USA;  4. University Hospitals Seidman Cancer Center, Cleveland, OH, USA;  5. Cleveland Clinic Foundation, Cleveland, OH, USA;  6. </w:t>
      </w:r>
      <w:r w:rsidR="001C3ACD">
        <w:t xml:space="preserve">University Hospitals Cleveland Medical Center, </w:t>
      </w:r>
      <w:r w:rsidR="00B430D1">
        <w:t>Cleveland</w:t>
      </w:r>
      <w:r w:rsidR="001C3ACD">
        <w:t xml:space="preserve">, OH, USA;  7. </w:t>
      </w:r>
      <w:r>
        <w:t xml:space="preserve">Mayo Clinic Minnesota, Rochester, MN, USA;  </w:t>
      </w:r>
      <w:r w:rsidR="001C3ACD">
        <w:t>8</w:t>
      </w:r>
      <w:r>
        <w:t xml:space="preserve">. </w:t>
      </w:r>
      <w:r w:rsidR="00573D72" w:rsidRPr="00573D72">
        <w:t>Univ</w:t>
      </w:r>
      <w:r w:rsidR="00573D72">
        <w:t>ersity Surgery, Cancer Sciences</w:t>
      </w:r>
      <w:r w:rsidR="00573D72" w:rsidRPr="00573D72">
        <w:t>, University of Southampton</w:t>
      </w:r>
      <w:r w:rsidR="001C3ACD">
        <w:t>, Southampton, UK;  9</w:t>
      </w:r>
      <w:r>
        <w:t xml:space="preserve">. </w:t>
      </w:r>
      <w:r w:rsidR="00B11B31">
        <w:t xml:space="preserve">Test Evaluation Group, </w:t>
      </w:r>
      <w:r>
        <w:t xml:space="preserve">University of Oxford, </w:t>
      </w:r>
      <w:proofErr w:type="spellStart"/>
      <w:r>
        <w:t>Oxfordshire</w:t>
      </w:r>
      <w:proofErr w:type="spellEnd"/>
      <w:r>
        <w:t>, UK</w:t>
      </w:r>
      <w:r w:rsidR="00352B29">
        <w:t>;  10.</w:t>
      </w:r>
      <w:r w:rsidR="00352B29" w:rsidRPr="00352B29">
        <w:t xml:space="preserve"> current affiliation Flatiron Health, N</w:t>
      </w:r>
      <w:r w:rsidR="004E3D0B">
        <w:t xml:space="preserve">ew </w:t>
      </w:r>
      <w:r w:rsidR="00352B29" w:rsidRPr="00352B29">
        <w:t>Y</w:t>
      </w:r>
      <w:r w:rsidR="004E3D0B">
        <w:t>ork</w:t>
      </w:r>
      <w:r w:rsidR="00352B29" w:rsidRPr="00352B29">
        <w:t>, NY</w:t>
      </w:r>
    </w:p>
    <w:p w14:paraId="3755AE85" w14:textId="77777777" w:rsidR="00216822" w:rsidRDefault="00216822" w:rsidP="004E6CC3">
      <w:pPr>
        <w:spacing w:line="360" w:lineRule="auto"/>
      </w:pPr>
    </w:p>
    <w:p w14:paraId="7D349082" w14:textId="4AE94CB5" w:rsidR="00471088" w:rsidRPr="007534EF" w:rsidRDefault="00471088" w:rsidP="004E6CC3">
      <w:pPr>
        <w:spacing w:line="360" w:lineRule="auto"/>
      </w:pPr>
      <w:r>
        <w:t>Word count</w:t>
      </w:r>
      <w:r w:rsidRPr="00C93121">
        <w:t xml:space="preserve">: </w:t>
      </w:r>
      <w:r w:rsidR="00FC6694">
        <w:t>3,944</w:t>
      </w:r>
      <w:r>
        <w:t xml:space="preserve">;  Tables: 2;  Figures: </w:t>
      </w:r>
      <w:r w:rsidR="00887B26">
        <w:t>5;  Appendices: 3</w:t>
      </w:r>
    </w:p>
    <w:p w14:paraId="4159659D" w14:textId="77777777" w:rsidR="00AD0993" w:rsidRPr="00C93121" w:rsidRDefault="00AD0993" w:rsidP="004E6CC3">
      <w:pPr>
        <w:spacing w:line="360" w:lineRule="auto"/>
      </w:pPr>
      <w:r w:rsidRPr="00C93121">
        <w:t>A</w:t>
      </w:r>
      <w:r w:rsidR="00F53B36" w:rsidRPr="00C93121">
        <w:t xml:space="preserve"> poster describing a preliminary</w:t>
      </w:r>
      <w:r w:rsidRPr="00C93121">
        <w:t xml:space="preserve"> version of this work was presented at the Society for Medical </w:t>
      </w:r>
      <w:proofErr w:type="gramStart"/>
      <w:r w:rsidRPr="00C93121">
        <w:t>Decision Making</w:t>
      </w:r>
      <w:proofErr w:type="gramEnd"/>
      <w:r w:rsidRPr="00C93121">
        <w:t xml:space="preserve"> Meeting Annual Meeting in St. Louis, MO</w:t>
      </w:r>
      <w:r w:rsidR="00651C6F">
        <w:t>, USA</w:t>
      </w:r>
      <w:r w:rsidRPr="00C93121">
        <w:t xml:space="preserve"> on </w:t>
      </w:r>
      <w:r w:rsidR="00F53B36" w:rsidRPr="00C93121">
        <w:t>October 21, 2015.</w:t>
      </w:r>
    </w:p>
    <w:p w14:paraId="09D3741E" w14:textId="4B897EBF" w:rsidR="002C0DF4" w:rsidRDefault="002C0DF4" w:rsidP="004E6CC3">
      <w:pPr>
        <w:pStyle w:val="NormalWeb"/>
        <w:spacing w:after="160" w:afterAutospacing="0" w:line="360" w:lineRule="auto"/>
        <w:jc w:val="both"/>
        <w:rPr>
          <w:rFonts w:asciiTheme="minorHAnsi" w:hAnsiTheme="minorHAnsi"/>
          <w:i/>
          <w:iCs/>
          <w:sz w:val="22"/>
          <w:szCs w:val="22"/>
        </w:rPr>
      </w:pPr>
      <w:r w:rsidRPr="00C93121">
        <w:rPr>
          <w:rFonts w:asciiTheme="minorHAnsi" w:hAnsiTheme="minorHAnsi"/>
          <w:i/>
          <w:iCs/>
          <w:sz w:val="22"/>
          <w:szCs w:val="22"/>
        </w:rPr>
        <w:t xml:space="preserve">Financial support for this study was provided </w:t>
      </w:r>
      <w:r w:rsidR="005C3752" w:rsidRPr="00C93121">
        <w:rPr>
          <w:rFonts w:asciiTheme="minorHAnsi" w:hAnsiTheme="minorHAnsi"/>
          <w:i/>
          <w:iCs/>
          <w:sz w:val="22"/>
          <w:szCs w:val="22"/>
        </w:rPr>
        <w:t>by a Mentored Research Scholar Grant in Applied and Clinical Research, MRSG-13-315-01-CPHPS, from the American Cancer Society (JR)</w:t>
      </w:r>
      <w:r w:rsidR="00AC6E55">
        <w:rPr>
          <w:rFonts w:asciiTheme="minorHAnsi" w:hAnsiTheme="minorHAnsi"/>
          <w:i/>
          <w:iCs/>
          <w:sz w:val="22"/>
          <w:szCs w:val="22"/>
        </w:rPr>
        <w:t>;</w:t>
      </w:r>
      <w:r w:rsidR="005C3752" w:rsidRPr="00C93121">
        <w:rPr>
          <w:rFonts w:asciiTheme="minorHAnsi" w:hAnsiTheme="minorHAnsi"/>
          <w:i/>
          <w:iCs/>
          <w:sz w:val="22"/>
          <w:szCs w:val="22"/>
        </w:rPr>
        <w:t xml:space="preserve"> </w:t>
      </w:r>
      <w:r w:rsidR="00AC6E55">
        <w:rPr>
          <w:rFonts w:asciiTheme="minorHAnsi" w:hAnsiTheme="minorHAnsi"/>
          <w:i/>
          <w:iCs/>
          <w:sz w:val="22"/>
          <w:szCs w:val="22"/>
        </w:rPr>
        <w:t xml:space="preserve">by </w:t>
      </w:r>
      <w:r w:rsidR="005C3752" w:rsidRPr="00C93121">
        <w:rPr>
          <w:rFonts w:asciiTheme="minorHAnsi" w:hAnsiTheme="minorHAnsi"/>
          <w:i/>
          <w:iCs/>
          <w:sz w:val="22"/>
          <w:szCs w:val="22"/>
        </w:rPr>
        <w:t>a Nat</w:t>
      </w:r>
      <w:r w:rsidR="00726DAE" w:rsidRPr="00C93121">
        <w:rPr>
          <w:rFonts w:asciiTheme="minorHAnsi" w:hAnsiTheme="minorHAnsi"/>
          <w:i/>
          <w:iCs/>
          <w:sz w:val="22"/>
          <w:szCs w:val="22"/>
        </w:rPr>
        <w:t xml:space="preserve">ional Cancer Institute Program </w:t>
      </w:r>
      <w:r w:rsidR="005C3752" w:rsidRPr="00C93121">
        <w:rPr>
          <w:rFonts w:asciiTheme="minorHAnsi" w:hAnsiTheme="minorHAnsi"/>
          <w:i/>
          <w:iCs/>
          <w:sz w:val="22"/>
          <w:szCs w:val="22"/>
        </w:rPr>
        <w:t>Grant, 5P30 CA043703-21 (JR</w:t>
      </w:r>
      <w:r w:rsidR="00152F54" w:rsidRPr="00C93121">
        <w:rPr>
          <w:rFonts w:asciiTheme="minorHAnsi" w:hAnsiTheme="minorHAnsi"/>
          <w:i/>
          <w:iCs/>
          <w:sz w:val="22"/>
          <w:szCs w:val="22"/>
        </w:rPr>
        <w:t xml:space="preserve">, MWK, </w:t>
      </w:r>
      <w:r w:rsidR="005C3752" w:rsidRPr="00C93121">
        <w:rPr>
          <w:rFonts w:asciiTheme="minorHAnsi" w:hAnsiTheme="minorHAnsi"/>
          <w:i/>
          <w:iCs/>
          <w:sz w:val="22"/>
          <w:szCs w:val="22"/>
        </w:rPr>
        <w:t>GSC</w:t>
      </w:r>
      <w:r w:rsidR="00152F54" w:rsidRPr="00C93121">
        <w:rPr>
          <w:rFonts w:asciiTheme="minorHAnsi" w:hAnsiTheme="minorHAnsi"/>
          <w:i/>
          <w:iCs/>
          <w:sz w:val="22"/>
          <w:szCs w:val="22"/>
        </w:rPr>
        <w:t>, and NJM</w:t>
      </w:r>
      <w:r w:rsidR="005C3752" w:rsidRPr="00C93121">
        <w:rPr>
          <w:rFonts w:asciiTheme="minorHAnsi" w:hAnsiTheme="minorHAnsi"/>
          <w:i/>
          <w:iCs/>
          <w:sz w:val="22"/>
          <w:szCs w:val="22"/>
        </w:rPr>
        <w:t>)</w:t>
      </w:r>
      <w:r w:rsidR="00AC6E55">
        <w:rPr>
          <w:rFonts w:asciiTheme="minorHAnsi" w:hAnsiTheme="minorHAnsi"/>
          <w:i/>
          <w:iCs/>
          <w:sz w:val="22"/>
          <w:szCs w:val="22"/>
        </w:rPr>
        <w:t>; and by the</w:t>
      </w:r>
      <w:r w:rsidR="00AC6E55" w:rsidRPr="00AC6E55">
        <w:rPr>
          <w:rFonts w:asciiTheme="minorHAnsi" w:hAnsiTheme="minorHAnsi"/>
          <w:i/>
          <w:iCs/>
          <w:sz w:val="22"/>
          <w:szCs w:val="22"/>
        </w:rPr>
        <w:t xml:space="preserve"> Clinical and Translational Science Collaborative of Cleveland, UL1TR000439 from the National Center for Advancing Translational Sciences (NCATS) component of the National Institutes of Health and NIH roadmap for Medical Research</w:t>
      </w:r>
      <w:r w:rsidR="00D5772A">
        <w:rPr>
          <w:rFonts w:asciiTheme="minorHAnsi" w:hAnsiTheme="minorHAnsi"/>
          <w:i/>
          <w:iCs/>
          <w:sz w:val="22"/>
          <w:szCs w:val="22"/>
        </w:rPr>
        <w:t xml:space="preserve"> (JR)</w:t>
      </w:r>
      <w:r w:rsidR="00AC6E55" w:rsidRPr="00AC6E55">
        <w:rPr>
          <w:rFonts w:asciiTheme="minorHAnsi" w:hAnsiTheme="minorHAnsi"/>
          <w:i/>
          <w:iCs/>
          <w:sz w:val="22"/>
          <w:szCs w:val="22"/>
        </w:rPr>
        <w:t xml:space="preserve">. </w:t>
      </w:r>
      <w:r w:rsidR="00C27059" w:rsidRPr="00C27059">
        <w:rPr>
          <w:rFonts w:asciiTheme="minorHAnsi" w:hAnsiTheme="minorHAnsi"/>
          <w:i/>
          <w:iCs/>
          <w:sz w:val="22"/>
          <w:szCs w:val="22"/>
        </w:rPr>
        <w:t xml:space="preserve">The </w:t>
      </w:r>
      <w:r w:rsidR="00C27059">
        <w:rPr>
          <w:rFonts w:asciiTheme="minorHAnsi" w:hAnsiTheme="minorHAnsi"/>
          <w:i/>
          <w:iCs/>
          <w:sz w:val="22"/>
          <w:szCs w:val="22"/>
        </w:rPr>
        <w:t>Follow-up After Colorectal Surgery (</w:t>
      </w:r>
      <w:r w:rsidR="00C27059" w:rsidRPr="00C27059">
        <w:rPr>
          <w:rFonts w:asciiTheme="minorHAnsi" w:hAnsiTheme="minorHAnsi"/>
          <w:i/>
          <w:iCs/>
          <w:sz w:val="22"/>
          <w:szCs w:val="22"/>
        </w:rPr>
        <w:t>FACS</w:t>
      </w:r>
      <w:r w:rsidR="00C27059">
        <w:rPr>
          <w:rFonts w:asciiTheme="minorHAnsi" w:hAnsiTheme="minorHAnsi"/>
          <w:i/>
          <w:iCs/>
          <w:sz w:val="22"/>
          <w:szCs w:val="22"/>
        </w:rPr>
        <w:t>)</w:t>
      </w:r>
      <w:r w:rsidR="00C27059" w:rsidRPr="00C27059">
        <w:rPr>
          <w:rFonts w:asciiTheme="minorHAnsi" w:hAnsiTheme="minorHAnsi"/>
          <w:i/>
          <w:iCs/>
          <w:sz w:val="22"/>
          <w:szCs w:val="22"/>
        </w:rPr>
        <w:t xml:space="preserve"> trial was funded by the UK National Institute for Health Researc</w:t>
      </w:r>
      <w:r w:rsidR="00E154CA">
        <w:rPr>
          <w:rFonts w:asciiTheme="minorHAnsi" w:hAnsiTheme="minorHAnsi"/>
          <w:i/>
          <w:iCs/>
          <w:sz w:val="22"/>
          <w:szCs w:val="22"/>
        </w:rPr>
        <w:t xml:space="preserve">h Health Technology Assessment </w:t>
      </w:r>
      <w:proofErr w:type="spellStart"/>
      <w:r w:rsidR="00E154CA">
        <w:rPr>
          <w:rFonts w:asciiTheme="minorHAnsi" w:hAnsiTheme="minorHAnsi"/>
          <w:i/>
          <w:iCs/>
          <w:sz w:val="22"/>
          <w:szCs w:val="22"/>
        </w:rPr>
        <w:t>P</w:t>
      </w:r>
      <w:r w:rsidR="00C27059" w:rsidRPr="00C27059">
        <w:rPr>
          <w:rFonts w:asciiTheme="minorHAnsi" w:hAnsiTheme="minorHAnsi"/>
          <w:i/>
          <w:iCs/>
          <w:sz w:val="22"/>
          <w:szCs w:val="22"/>
        </w:rPr>
        <w:t>rogramme</w:t>
      </w:r>
      <w:proofErr w:type="spellEnd"/>
      <w:r w:rsidR="0076084D">
        <w:rPr>
          <w:rFonts w:asciiTheme="minorHAnsi" w:hAnsiTheme="minorHAnsi"/>
          <w:i/>
          <w:iCs/>
          <w:sz w:val="22"/>
          <w:szCs w:val="22"/>
        </w:rPr>
        <w:t xml:space="preserve"> (JNP, SAP, BS).  </w:t>
      </w:r>
      <w:r w:rsidRPr="00C93121">
        <w:rPr>
          <w:rFonts w:asciiTheme="minorHAnsi" w:hAnsiTheme="minorHAnsi"/>
          <w:i/>
          <w:iCs/>
          <w:sz w:val="22"/>
          <w:szCs w:val="22"/>
        </w:rPr>
        <w:t>The funding agreement</w:t>
      </w:r>
      <w:r w:rsidR="00AC6E55">
        <w:rPr>
          <w:rFonts w:asciiTheme="minorHAnsi" w:hAnsiTheme="minorHAnsi"/>
          <w:i/>
          <w:iCs/>
          <w:sz w:val="22"/>
          <w:szCs w:val="22"/>
        </w:rPr>
        <w:t>s</w:t>
      </w:r>
      <w:r w:rsidRPr="00C93121">
        <w:rPr>
          <w:rFonts w:asciiTheme="minorHAnsi" w:hAnsiTheme="minorHAnsi"/>
          <w:i/>
          <w:iCs/>
          <w:sz w:val="22"/>
          <w:szCs w:val="22"/>
        </w:rPr>
        <w:t xml:space="preserve"> ensured the authors’ independence in designing the study, interpreting the data, writing, and publishing the report. </w:t>
      </w:r>
      <w:r w:rsidR="00AC6E55">
        <w:rPr>
          <w:rFonts w:asciiTheme="minorHAnsi" w:hAnsiTheme="minorHAnsi"/>
          <w:i/>
          <w:iCs/>
          <w:sz w:val="22"/>
          <w:szCs w:val="22"/>
        </w:rPr>
        <w:t xml:space="preserve"> The </w:t>
      </w:r>
      <w:r w:rsidR="00AC6E55" w:rsidRPr="00AC6E55">
        <w:rPr>
          <w:rFonts w:asciiTheme="minorHAnsi" w:hAnsiTheme="minorHAnsi"/>
          <w:i/>
          <w:iCs/>
          <w:sz w:val="22"/>
          <w:szCs w:val="22"/>
        </w:rPr>
        <w:t xml:space="preserve">contents are solely the responsibility of the authors and do not necessarily represent the official views of the </w:t>
      </w:r>
      <w:r w:rsidR="00AC6E55">
        <w:rPr>
          <w:rFonts w:asciiTheme="minorHAnsi" w:hAnsiTheme="minorHAnsi"/>
          <w:i/>
          <w:iCs/>
          <w:sz w:val="22"/>
          <w:szCs w:val="22"/>
        </w:rPr>
        <w:t>funders</w:t>
      </w:r>
      <w:r w:rsidR="00AC6E55" w:rsidRPr="00AC6E55">
        <w:rPr>
          <w:rFonts w:asciiTheme="minorHAnsi" w:hAnsiTheme="minorHAnsi"/>
          <w:i/>
          <w:iCs/>
          <w:sz w:val="22"/>
          <w:szCs w:val="22"/>
        </w:rPr>
        <w:t>.</w:t>
      </w:r>
    </w:p>
    <w:p w14:paraId="7B8A280A" w14:textId="77777777" w:rsidR="00233F63" w:rsidRDefault="00233F63" w:rsidP="004167FB">
      <w:pPr>
        <w:spacing w:line="360" w:lineRule="auto"/>
        <w:rPr>
          <w:iCs/>
        </w:rPr>
      </w:pPr>
    </w:p>
    <w:p w14:paraId="053CAB1A" w14:textId="68A311BB" w:rsidR="00C27059" w:rsidRPr="00C93121" w:rsidRDefault="00C27059" w:rsidP="004167FB">
      <w:pPr>
        <w:spacing w:line="360" w:lineRule="auto"/>
      </w:pPr>
      <w:r w:rsidRPr="00C93121">
        <w:lastRenderedPageBreak/>
        <w:t>Acknowledgments</w:t>
      </w:r>
    </w:p>
    <w:p w14:paraId="037CB886" w14:textId="6D98C34A" w:rsidR="00C27059" w:rsidRDefault="00C27059" w:rsidP="004167FB">
      <w:pPr>
        <w:pStyle w:val="ListParagraph"/>
        <w:numPr>
          <w:ilvl w:val="0"/>
          <w:numId w:val="15"/>
        </w:numPr>
        <w:spacing w:line="360" w:lineRule="auto"/>
      </w:pPr>
      <w:r>
        <w:t>Daniel J. Sargent, PhD – Mayo Clinic, Minnesota</w:t>
      </w:r>
      <w:r w:rsidR="004E6CC3">
        <w:t xml:space="preserve"> – For assistance with Clinical Outcomes of Surgical Therapy (COST) Trial data</w:t>
      </w:r>
    </w:p>
    <w:p w14:paraId="62BFA95F" w14:textId="32925228" w:rsidR="00C27059" w:rsidRPr="00C93121" w:rsidRDefault="00C27059" w:rsidP="004167FB">
      <w:pPr>
        <w:pStyle w:val="ListParagraph"/>
        <w:numPr>
          <w:ilvl w:val="0"/>
          <w:numId w:val="15"/>
        </w:numPr>
        <w:spacing w:line="360" w:lineRule="auto"/>
      </w:pPr>
      <w:r w:rsidRPr="00C93121">
        <w:t>A</w:t>
      </w:r>
      <w:r>
        <w:t>lan</w:t>
      </w:r>
      <w:r w:rsidRPr="00C93121">
        <w:t xml:space="preserve"> P. </w:t>
      </w:r>
      <w:proofErr w:type="spellStart"/>
      <w:r w:rsidRPr="00C93121">
        <w:t>Venook</w:t>
      </w:r>
      <w:proofErr w:type="spellEnd"/>
      <w:r w:rsidRPr="00C93121">
        <w:t>, MD – University of California San Francisco</w:t>
      </w:r>
      <w:r w:rsidR="001C16FC">
        <w:t xml:space="preserve"> –</w:t>
      </w:r>
      <w:r w:rsidR="00060A7F">
        <w:t xml:space="preserve"> For </w:t>
      </w:r>
      <w:r w:rsidR="00E659C1">
        <w:t>input regarding</w:t>
      </w:r>
      <w:r w:rsidR="00060A7F">
        <w:t xml:space="preserve"> clinical practice norms</w:t>
      </w:r>
    </w:p>
    <w:p w14:paraId="6DD1804B" w14:textId="24BAFBD8" w:rsidR="00C27059" w:rsidRPr="00C93121" w:rsidRDefault="00C27059" w:rsidP="004167FB">
      <w:pPr>
        <w:pStyle w:val="ListParagraph"/>
        <w:numPr>
          <w:ilvl w:val="0"/>
          <w:numId w:val="15"/>
        </w:numPr>
        <w:spacing w:line="360" w:lineRule="auto"/>
      </w:pPr>
      <w:r w:rsidRPr="00C93121">
        <w:t xml:space="preserve">Steven Cohen, MD – </w:t>
      </w:r>
      <w:r w:rsidRPr="00060EE9">
        <w:t>Abington Memorial Hospital/Jefferson Medical College</w:t>
      </w:r>
      <w:r w:rsidR="001C16FC" w:rsidRPr="001C16FC">
        <w:t xml:space="preserve"> </w:t>
      </w:r>
      <w:r w:rsidR="001C16FC" w:rsidRPr="00C93121">
        <w:t>Francisco</w:t>
      </w:r>
      <w:r w:rsidR="001C16FC">
        <w:t xml:space="preserve"> – For </w:t>
      </w:r>
      <w:r w:rsidR="00E659C1">
        <w:t>input regarding</w:t>
      </w:r>
      <w:r w:rsidR="00060A7F">
        <w:t xml:space="preserve"> clinical practice norms</w:t>
      </w:r>
    </w:p>
    <w:p w14:paraId="607DA1BD" w14:textId="77777777" w:rsidR="00C27059" w:rsidRDefault="00C27059" w:rsidP="004167FB">
      <w:pPr>
        <w:spacing w:line="360" w:lineRule="auto"/>
      </w:pPr>
    </w:p>
    <w:p w14:paraId="29FD542F" w14:textId="77777777" w:rsidR="00442D33" w:rsidRDefault="002D099C" w:rsidP="004167FB">
      <w:pPr>
        <w:pStyle w:val="NormalWeb"/>
        <w:spacing w:after="160" w:afterAutospacing="0" w:line="360" w:lineRule="auto"/>
        <w:jc w:val="both"/>
        <w:rPr>
          <w:rFonts w:asciiTheme="minorHAnsi" w:hAnsiTheme="minorHAnsi"/>
          <w:iCs/>
          <w:sz w:val="22"/>
          <w:szCs w:val="22"/>
        </w:rPr>
      </w:pPr>
      <w:r w:rsidRPr="004167FB">
        <w:rPr>
          <w:rFonts w:asciiTheme="minorHAnsi" w:hAnsiTheme="minorHAnsi"/>
          <w:iCs/>
          <w:sz w:val="22"/>
          <w:szCs w:val="22"/>
        </w:rPr>
        <w:t xml:space="preserve">Corresponding author:  Johnie Rose </w:t>
      </w:r>
    </w:p>
    <w:p w14:paraId="67F5D4D5" w14:textId="5CF2F07B" w:rsidR="00BE322B" w:rsidRPr="00E3241D" w:rsidRDefault="005E148A" w:rsidP="004167FB">
      <w:pPr>
        <w:pStyle w:val="NormalWeb"/>
        <w:spacing w:after="160" w:afterAutospacing="0" w:line="360" w:lineRule="auto"/>
        <w:jc w:val="both"/>
        <w:rPr>
          <w:rFonts w:asciiTheme="minorHAnsi" w:hAnsiTheme="minorHAnsi"/>
          <w:iCs/>
          <w:sz w:val="22"/>
          <w:szCs w:val="22"/>
        </w:rPr>
      </w:pPr>
      <w:hyperlink r:id="rId8" w:history="1">
        <w:r w:rsidR="002D099C" w:rsidRPr="004167FB">
          <w:rPr>
            <w:rStyle w:val="Hyperlink"/>
            <w:rFonts w:asciiTheme="minorHAnsi" w:hAnsiTheme="minorHAnsi"/>
            <w:iCs/>
            <w:sz w:val="22"/>
            <w:szCs w:val="22"/>
          </w:rPr>
          <w:t>johnie.rose@case.edu</w:t>
        </w:r>
      </w:hyperlink>
    </w:p>
    <w:p w14:paraId="27F61247" w14:textId="52EC2653" w:rsidR="00BE322B" w:rsidRDefault="00442D33" w:rsidP="004167FB">
      <w:pPr>
        <w:pStyle w:val="NormalWeb"/>
        <w:spacing w:after="160" w:afterAutospacing="0" w:line="360" w:lineRule="auto"/>
        <w:jc w:val="both"/>
        <w:rPr>
          <w:rFonts w:asciiTheme="minorHAnsi" w:eastAsiaTheme="minorHAnsi" w:hAnsiTheme="minorHAnsi" w:cstheme="minorBidi"/>
          <w:iCs/>
          <w:sz w:val="22"/>
          <w:szCs w:val="22"/>
        </w:rPr>
      </w:pPr>
      <w:r w:rsidRPr="00E3241D">
        <w:rPr>
          <w:rFonts w:asciiTheme="minorHAnsi" w:hAnsiTheme="minorHAnsi"/>
          <w:iCs/>
          <w:sz w:val="22"/>
          <w:szCs w:val="22"/>
        </w:rPr>
        <w:t>216-368-6860</w:t>
      </w:r>
    </w:p>
    <w:p w14:paraId="0B898018" w14:textId="0D5A04CE" w:rsidR="00442D33" w:rsidRPr="00E3241D" w:rsidRDefault="00442D33" w:rsidP="004167FB">
      <w:pPr>
        <w:pStyle w:val="NormalWeb"/>
        <w:spacing w:after="160" w:afterAutospacing="0" w:line="360" w:lineRule="auto"/>
        <w:jc w:val="both"/>
        <w:rPr>
          <w:rFonts w:asciiTheme="minorHAnsi" w:hAnsiTheme="minorHAnsi"/>
          <w:iCs/>
          <w:sz w:val="22"/>
          <w:szCs w:val="22"/>
        </w:rPr>
      </w:pPr>
      <w:r>
        <w:rPr>
          <w:rFonts w:asciiTheme="minorHAnsi" w:eastAsiaTheme="minorHAnsi" w:hAnsiTheme="minorHAnsi" w:cstheme="minorBidi"/>
          <w:iCs/>
          <w:sz w:val="22"/>
          <w:szCs w:val="22"/>
        </w:rPr>
        <w:t xml:space="preserve">ORCID ID: </w:t>
      </w:r>
      <w:r w:rsidRPr="00442D33">
        <w:rPr>
          <w:rFonts w:asciiTheme="minorHAnsi" w:eastAsiaTheme="minorHAnsi" w:hAnsiTheme="minorHAnsi" w:cstheme="minorBidi"/>
          <w:iCs/>
          <w:sz w:val="22"/>
          <w:szCs w:val="22"/>
        </w:rPr>
        <w:t>0000-0001-7458-9303</w:t>
      </w:r>
    </w:p>
    <w:p w14:paraId="0BFFDC56" w14:textId="77777777" w:rsidR="00442D33" w:rsidRPr="00E3241D" w:rsidRDefault="00442D33">
      <w:pPr>
        <w:rPr>
          <w:iCs/>
        </w:rPr>
      </w:pPr>
    </w:p>
    <w:p w14:paraId="3561A15F" w14:textId="13492BE1" w:rsidR="007534EF" w:rsidRDefault="00E75DA0" w:rsidP="004167FB">
      <w:r>
        <w:rPr>
          <w:iCs/>
        </w:rPr>
        <w:t xml:space="preserve">Running title: </w:t>
      </w:r>
      <w:r w:rsidRPr="00E75DA0">
        <w:t>Model to Pr</w:t>
      </w:r>
      <w:r w:rsidR="005004AD">
        <w:t>edi</w:t>
      </w:r>
      <w:r w:rsidRPr="00E75DA0">
        <w:t>ct Outcomes of Colon Cancer Surveillance</w:t>
      </w:r>
    </w:p>
    <w:p w14:paraId="44ABD8FE" w14:textId="6C3361CF" w:rsidR="00651C6F" w:rsidRPr="00471088" w:rsidRDefault="00764B94" w:rsidP="004167FB">
      <w:pPr>
        <w:pStyle w:val="NormalWeb"/>
        <w:spacing w:after="160" w:afterAutospacing="0" w:line="360" w:lineRule="auto"/>
        <w:jc w:val="both"/>
        <w:rPr>
          <w:rFonts w:asciiTheme="minorHAnsi" w:hAnsiTheme="minorHAnsi"/>
          <w:iCs/>
          <w:sz w:val="22"/>
          <w:szCs w:val="22"/>
        </w:rPr>
      </w:pPr>
      <w:r>
        <w:rPr>
          <w:rFonts w:asciiTheme="minorHAnsi" w:hAnsiTheme="minorHAnsi"/>
        </w:rPr>
        <w:t xml:space="preserve">Key words: colon cancer, </w:t>
      </w:r>
      <w:r w:rsidR="001F309E">
        <w:rPr>
          <w:rFonts w:asciiTheme="minorHAnsi" w:hAnsiTheme="minorHAnsi"/>
        </w:rPr>
        <w:t xml:space="preserve">colorectal cancer, </w:t>
      </w:r>
      <w:r>
        <w:rPr>
          <w:rFonts w:asciiTheme="minorHAnsi" w:hAnsiTheme="minorHAnsi"/>
        </w:rPr>
        <w:t xml:space="preserve">recurrence, surveillance, </w:t>
      </w:r>
      <w:r w:rsidR="001F309E">
        <w:rPr>
          <w:rFonts w:asciiTheme="minorHAnsi" w:hAnsiTheme="minorHAnsi"/>
        </w:rPr>
        <w:t>model</w:t>
      </w:r>
    </w:p>
    <w:p w14:paraId="528F2896" w14:textId="77777777" w:rsidR="00615580" w:rsidRDefault="00615580" w:rsidP="00B03879">
      <w:pPr>
        <w:spacing w:after="0" w:line="360" w:lineRule="auto"/>
      </w:pPr>
    </w:p>
    <w:p w14:paraId="5914EDDD" w14:textId="77777777" w:rsidR="00615580" w:rsidRDefault="00615580" w:rsidP="00B03879">
      <w:pPr>
        <w:spacing w:after="0" w:line="360" w:lineRule="auto"/>
      </w:pPr>
    </w:p>
    <w:p w14:paraId="262808FC" w14:textId="77777777" w:rsidR="00BE322B" w:rsidRDefault="00BE322B" w:rsidP="00B03879">
      <w:pPr>
        <w:spacing w:after="0" w:line="360" w:lineRule="auto"/>
      </w:pPr>
    </w:p>
    <w:p w14:paraId="68ED6132" w14:textId="77777777" w:rsidR="00BE322B" w:rsidRDefault="00BE322B" w:rsidP="00B03879">
      <w:pPr>
        <w:spacing w:after="0" w:line="360" w:lineRule="auto"/>
      </w:pPr>
    </w:p>
    <w:p w14:paraId="75B69719" w14:textId="77777777" w:rsidR="00BE322B" w:rsidRDefault="00BE322B" w:rsidP="00B03879">
      <w:pPr>
        <w:spacing w:after="0" w:line="360" w:lineRule="auto"/>
      </w:pPr>
    </w:p>
    <w:p w14:paraId="70A85AD3" w14:textId="77777777" w:rsidR="0069434F" w:rsidRDefault="0069434F" w:rsidP="00B03879">
      <w:pPr>
        <w:spacing w:after="0" w:line="360" w:lineRule="auto"/>
      </w:pPr>
    </w:p>
    <w:p w14:paraId="3DB255DE" w14:textId="77777777" w:rsidR="00307301" w:rsidRDefault="00307301" w:rsidP="00B03879">
      <w:pPr>
        <w:spacing w:after="0" w:line="360" w:lineRule="auto"/>
      </w:pPr>
    </w:p>
    <w:p w14:paraId="05B14180" w14:textId="77777777" w:rsidR="0069434F" w:rsidRDefault="0069434F" w:rsidP="00B03879">
      <w:pPr>
        <w:spacing w:after="0" w:line="360" w:lineRule="auto"/>
      </w:pPr>
    </w:p>
    <w:p w14:paraId="7C2A6DE4" w14:textId="77777777" w:rsidR="0069434F" w:rsidRDefault="0069434F" w:rsidP="00B03879">
      <w:pPr>
        <w:spacing w:after="0" w:line="360" w:lineRule="auto"/>
      </w:pPr>
    </w:p>
    <w:p w14:paraId="1AC0823F" w14:textId="77777777" w:rsidR="0069434F" w:rsidRDefault="0069434F" w:rsidP="00B03879">
      <w:pPr>
        <w:spacing w:after="0" w:line="360" w:lineRule="auto"/>
      </w:pPr>
    </w:p>
    <w:p w14:paraId="665157FE" w14:textId="77777777" w:rsidR="0069434F" w:rsidRDefault="0069434F" w:rsidP="00B03879">
      <w:pPr>
        <w:spacing w:after="0" w:line="360" w:lineRule="auto"/>
      </w:pPr>
    </w:p>
    <w:p w14:paraId="59A9A974" w14:textId="77777777" w:rsidR="0069434F" w:rsidRDefault="0069434F" w:rsidP="00B03879">
      <w:pPr>
        <w:spacing w:after="0" w:line="360" w:lineRule="auto"/>
      </w:pPr>
    </w:p>
    <w:p w14:paraId="1DBDBAE3" w14:textId="499BC092" w:rsidR="00D81F17" w:rsidRDefault="00D81F17" w:rsidP="00B03879">
      <w:pPr>
        <w:spacing w:after="0" w:line="360" w:lineRule="auto"/>
      </w:pPr>
      <w:r w:rsidRPr="00C93121">
        <w:lastRenderedPageBreak/>
        <w:t>ABSTRACT</w:t>
      </w:r>
      <w:r w:rsidR="003E4D9C" w:rsidRPr="00C93121">
        <w:t xml:space="preserve"> </w:t>
      </w:r>
    </w:p>
    <w:p w14:paraId="01D21D89" w14:textId="77777777" w:rsidR="00551941" w:rsidRPr="00C93121" w:rsidRDefault="00551941" w:rsidP="00B03879">
      <w:pPr>
        <w:spacing w:after="0" w:line="360" w:lineRule="auto"/>
      </w:pPr>
    </w:p>
    <w:p w14:paraId="12B75EF6" w14:textId="001DCF0E" w:rsidR="003E4D9C" w:rsidRDefault="00EB68C5" w:rsidP="00B03879">
      <w:pPr>
        <w:spacing w:after="0" w:line="360" w:lineRule="auto"/>
      </w:pPr>
      <w:r>
        <w:t>PURPOSE</w:t>
      </w:r>
      <w:r w:rsidR="003E4D9C" w:rsidRPr="00C93121">
        <w:t>:</w:t>
      </w:r>
      <w:r w:rsidR="005C41C7" w:rsidRPr="00C93121">
        <w:t xml:space="preserve">  </w:t>
      </w:r>
      <w:r w:rsidR="00721219" w:rsidRPr="00C93121">
        <w:t xml:space="preserve">Clinical trials </w:t>
      </w:r>
      <w:r w:rsidR="002E406A" w:rsidRPr="00C93121">
        <w:t>suggest</w:t>
      </w:r>
      <w:r w:rsidR="00721219" w:rsidRPr="00C93121">
        <w:t xml:space="preserve"> that </w:t>
      </w:r>
      <w:r w:rsidR="00750BB1" w:rsidRPr="00C93121">
        <w:t>intensive surveillance</w:t>
      </w:r>
      <w:r w:rsidR="001318D4" w:rsidRPr="00C93121">
        <w:t xml:space="preserve"> </w:t>
      </w:r>
      <w:r w:rsidR="00977C5C">
        <w:t>of colon cancer (CC) survivors</w:t>
      </w:r>
      <w:r w:rsidR="00573D72">
        <w:t xml:space="preserve"> </w:t>
      </w:r>
      <w:r w:rsidR="00675EE7">
        <w:t xml:space="preserve">to detect recurrence </w:t>
      </w:r>
      <w:r w:rsidR="001A4C05">
        <w:t>increase</w:t>
      </w:r>
      <w:r w:rsidR="00C27686">
        <w:t>s</w:t>
      </w:r>
      <w:r w:rsidR="001318D4" w:rsidRPr="00C93121">
        <w:t xml:space="preserve"> </w:t>
      </w:r>
      <w:r w:rsidR="0009003E">
        <w:t>curative</w:t>
      </w:r>
      <w:r w:rsidR="00675EE7">
        <w:t>-intent</w:t>
      </w:r>
      <w:r w:rsidR="0009003E">
        <w:t xml:space="preserve"> treatment</w:t>
      </w:r>
      <w:r w:rsidR="00772AFF">
        <w:t xml:space="preserve">, though </w:t>
      </w:r>
      <w:r w:rsidR="00C27686">
        <w:t>any survival benefit</w:t>
      </w:r>
      <w:r w:rsidR="00F96830">
        <w:t xml:space="preserve"> of surveillance as currently practiced</w:t>
      </w:r>
      <w:r w:rsidR="00C27686">
        <w:t xml:space="preserve"> </w:t>
      </w:r>
      <w:r w:rsidR="0096293A">
        <w:t>appears</w:t>
      </w:r>
      <w:r w:rsidR="00C27686">
        <w:t xml:space="preserve"> modest</w:t>
      </w:r>
      <w:r w:rsidR="00772AFF">
        <w:t>.</w:t>
      </w:r>
      <w:r w:rsidR="003C72D9" w:rsidRPr="00C93121">
        <w:t xml:space="preserve">  </w:t>
      </w:r>
      <w:r w:rsidR="00C368AA">
        <w:t>Realizin</w:t>
      </w:r>
      <w:r w:rsidR="00B71679">
        <w:t xml:space="preserve">g the potential of </w:t>
      </w:r>
      <w:r w:rsidR="00C368AA">
        <w:t>surveillance will requir</w:t>
      </w:r>
      <w:r>
        <w:t>e tools for</w:t>
      </w:r>
      <w:r w:rsidR="007833D5">
        <w:t xml:space="preserve"> </w:t>
      </w:r>
      <w:r w:rsidR="00E4788D">
        <w:t>identify</w:t>
      </w:r>
      <w:r>
        <w:t>ing</w:t>
      </w:r>
      <w:r w:rsidR="00E4788D">
        <w:t xml:space="preserve"> patients </w:t>
      </w:r>
      <w:r w:rsidR="00BE3339">
        <w:t xml:space="preserve">likely to benefit </w:t>
      </w:r>
      <w:r>
        <w:t>and for</w:t>
      </w:r>
      <w:r w:rsidR="00F96830">
        <w:t xml:space="preserve"> optimiz</w:t>
      </w:r>
      <w:r>
        <w:t>ing</w:t>
      </w:r>
      <w:r w:rsidR="00F96830">
        <w:t xml:space="preserve"> </w:t>
      </w:r>
      <w:r w:rsidR="00C368AA">
        <w:t xml:space="preserve">testing regimens.  </w:t>
      </w:r>
      <w:r w:rsidR="001A4C05">
        <w:t>W</w:t>
      </w:r>
      <w:r w:rsidR="008823ED" w:rsidRPr="00C93121">
        <w:t xml:space="preserve">e describe and validate a </w:t>
      </w:r>
      <w:r w:rsidR="00CA46EA">
        <w:t>model</w:t>
      </w:r>
      <w:r w:rsidR="00F529F1">
        <w:t xml:space="preserve"> for </w:t>
      </w:r>
      <w:r w:rsidR="0080427D" w:rsidRPr="00C93121">
        <w:t>predicti</w:t>
      </w:r>
      <w:r>
        <w:t>ng</w:t>
      </w:r>
      <w:r w:rsidR="0080427D" w:rsidRPr="00C93121">
        <w:t xml:space="preserve"> outcomes for any</w:t>
      </w:r>
      <w:r w:rsidR="007C7D21" w:rsidRPr="00C93121">
        <w:t xml:space="preserve"> schedule </w:t>
      </w:r>
      <w:r w:rsidR="0080427D" w:rsidRPr="00C93121">
        <w:t xml:space="preserve">of surveillance </w:t>
      </w:r>
      <w:r w:rsidR="00A02ABC" w:rsidRPr="00C93121">
        <w:t>in</w:t>
      </w:r>
      <w:r w:rsidR="0033387B" w:rsidRPr="00C93121">
        <w:t xml:space="preserve"> </w:t>
      </w:r>
      <w:r w:rsidR="0007680D" w:rsidRPr="00C93121">
        <w:t>CC</w:t>
      </w:r>
      <w:r w:rsidR="00A02ABC" w:rsidRPr="00C93121">
        <w:t xml:space="preserve"> survivors</w:t>
      </w:r>
      <w:r w:rsidR="007833D5">
        <w:t xml:space="preserve"> with specified age and cancer stage</w:t>
      </w:r>
      <w:r w:rsidR="0080427D" w:rsidRPr="00C93121">
        <w:t>.</w:t>
      </w:r>
    </w:p>
    <w:p w14:paraId="74C3B9D4" w14:textId="77777777" w:rsidR="00551941" w:rsidRPr="00C93121" w:rsidRDefault="00551941" w:rsidP="00B03879">
      <w:pPr>
        <w:spacing w:after="0" w:line="360" w:lineRule="auto"/>
      </w:pPr>
    </w:p>
    <w:p w14:paraId="1FC2BFF3" w14:textId="2C2D472D" w:rsidR="00B13907" w:rsidRDefault="006E2351" w:rsidP="00B03879">
      <w:pPr>
        <w:spacing w:after="0" w:line="360" w:lineRule="auto"/>
      </w:pPr>
      <w:r w:rsidRPr="00C93121">
        <w:t>METHODS</w:t>
      </w:r>
      <w:r w:rsidR="003E4D9C" w:rsidRPr="00C93121">
        <w:t>:</w:t>
      </w:r>
      <w:r w:rsidR="00642A57" w:rsidRPr="00C93121">
        <w:t xml:space="preserve">  </w:t>
      </w:r>
      <w:r w:rsidR="00FE37A7">
        <w:t>A</w:t>
      </w:r>
      <w:r w:rsidR="00F529F1">
        <w:t xml:space="preserve"> </w:t>
      </w:r>
      <w:r w:rsidR="006D1A2E">
        <w:t>Markov p</w:t>
      </w:r>
      <w:r w:rsidR="00647737">
        <w:t>rocess</w:t>
      </w:r>
      <w:r w:rsidR="0096293A" w:rsidRPr="0096293A">
        <w:t xml:space="preserve"> </w:t>
      </w:r>
      <w:r w:rsidR="0096293A" w:rsidRPr="00C93121">
        <w:t>parameterized based on individual-level clinical trial data</w:t>
      </w:r>
      <w:r w:rsidR="003A35B5">
        <w:t xml:space="preserve"> </w:t>
      </w:r>
      <w:r w:rsidR="00647737">
        <w:t>g</w:t>
      </w:r>
      <w:r w:rsidR="00B13907" w:rsidRPr="00C93121">
        <w:t>enerate</w:t>
      </w:r>
      <w:r w:rsidR="003A5B2C" w:rsidRPr="00C93121">
        <w:t>s</w:t>
      </w:r>
      <w:r w:rsidR="00B13907" w:rsidRPr="00C93121">
        <w:t xml:space="preserve"> natural history events for simulated patients.  </w:t>
      </w:r>
      <w:r w:rsidR="00763752">
        <w:t xml:space="preserve">A utilization </w:t>
      </w:r>
      <w:proofErr w:type="spellStart"/>
      <w:r w:rsidR="00763752">
        <w:t>submodel</w:t>
      </w:r>
      <w:proofErr w:type="spellEnd"/>
      <w:r w:rsidR="00647737">
        <w:t xml:space="preserve"> s</w:t>
      </w:r>
      <w:r w:rsidR="00B13907" w:rsidRPr="00C93121">
        <w:t>imulates surveillance</w:t>
      </w:r>
      <w:r w:rsidR="00E17C4A">
        <w:t xml:space="preserve"> </w:t>
      </w:r>
      <w:r w:rsidR="00651C6F">
        <w:t xml:space="preserve">and </w:t>
      </w:r>
      <w:r w:rsidR="00E17C4A">
        <w:t>diagnostic</w:t>
      </w:r>
      <w:r w:rsidR="00651C6F">
        <w:t xml:space="preserve"> </w:t>
      </w:r>
      <w:r w:rsidR="00B13907" w:rsidRPr="00C93121">
        <w:t>testing</w:t>
      </w:r>
      <w:r w:rsidR="006D1A2E">
        <w:t xml:space="preserve">.  </w:t>
      </w:r>
      <w:r w:rsidR="002B0879" w:rsidRPr="00C93121">
        <w:t xml:space="preserve">We validate the model against </w:t>
      </w:r>
      <w:r w:rsidR="009D730E" w:rsidRPr="00C93121">
        <w:t>outcomes</w:t>
      </w:r>
      <w:r w:rsidR="00B13F15" w:rsidRPr="00C93121">
        <w:t xml:space="preserve"> from</w:t>
      </w:r>
      <w:r w:rsidR="002B0879" w:rsidRPr="00C93121">
        <w:t xml:space="preserve"> the Follo</w:t>
      </w:r>
      <w:r w:rsidR="0034373F" w:rsidRPr="00C93121">
        <w:t>w</w:t>
      </w:r>
      <w:r w:rsidR="002B0879" w:rsidRPr="00C93121">
        <w:t>-up After Colorectal Surgery (FACS) trial.</w:t>
      </w:r>
    </w:p>
    <w:p w14:paraId="7C4134F1" w14:textId="77777777" w:rsidR="00551941" w:rsidRPr="00C93121" w:rsidRDefault="00551941" w:rsidP="00B03879">
      <w:pPr>
        <w:spacing w:after="0" w:line="360" w:lineRule="auto"/>
      </w:pPr>
    </w:p>
    <w:p w14:paraId="0D4A8E6E" w14:textId="251FDF89" w:rsidR="003E4D9C" w:rsidRDefault="006E2351" w:rsidP="00B03879">
      <w:pPr>
        <w:spacing w:after="0" w:line="360" w:lineRule="auto"/>
      </w:pPr>
      <w:r w:rsidRPr="00C93121">
        <w:t>RESULTS</w:t>
      </w:r>
      <w:r w:rsidR="003E4D9C" w:rsidRPr="00C93121">
        <w:t>:</w:t>
      </w:r>
      <w:r w:rsidR="00D75E13" w:rsidRPr="00C93121">
        <w:t xml:space="preserve">  </w:t>
      </w:r>
      <w:r w:rsidR="00B157E0">
        <w:t>Pre-validation s</w:t>
      </w:r>
      <w:r w:rsidR="00B157E0" w:rsidRPr="00C93121">
        <w:t>ensitivity analysis</w:t>
      </w:r>
      <w:r w:rsidR="00B157E0">
        <w:t xml:space="preserve"> showed</w:t>
      </w:r>
      <w:r w:rsidR="00B157E0" w:rsidRPr="00C93121">
        <w:t xml:space="preserve"> no </w:t>
      </w:r>
      <w:r w:rsidR="00B157E0">
        <w:t>parameter influencing</w:t>
      </w:r>
      <w:r w:rsidR="00B157E0" w:rsidRPr="00C93121">
        <w:t xml:space="preserve"> curative-intent treatment by </w:t>
      </w:r>
      <w:r w:rsidR="00B157E0">
        <w:t>&gt;</w:t>
      </w:r>
      <w:r w:rsidR="00B157E0" w:rsidRPr="00C93121">
        <w:t>5.0</w:t>
      </w:r>
      <w:r w:rsidR="00B157E0">
        <w:t xml:space="preserve">% </w:t>
      </w:r>
      <w:r w:rsidR="00B157E0" w:rsidRPr="00C93121">
        <w:t xml:space="preserve">or OS5 by </w:t>
      </w:r>
      <w:r w:rsidR="00B157E0">
        <w:t>&gt;</w:t>
      </w:r>
      <w:r w:rsidR="00B157E0" w:rsidRPr="00C93121">
        <w:t>1.5</w:t>
      </w:r>
      <w:r w:rsidR="00B157E0">
        <w:t>%</w:t>
      </w:r>
      <w:r w:rsidR="00B157E0" w:rsidRPr="00C93121">
        <w:t>.</w:t>
      </w:r>
      <w:r w:rsidR="00B157E0">
        <w:t xml:space="preserve"> </w:t>
      </w:r>
      <w:r w:rsidR="00E019C3">
        <w:t xml:space="preserve"> In validation, t</w:t>
      </w:r>
      <w:r w:rsidR="00110012" w:rsidRPr="00C93121">
        <w:t>he proportion of recurring subjects</w:t>
      </w:r>
      <w:r w:rsidR="009B44E1">
        <w:t xml:space="preserve"> predicted to</w:t>
      </w:r>
      <w:r w:rsidR="00110012" w:rsidRPr="00C93121">
        <w:t xml:space="preserve"> </w:t>
      </w:r>
      <w:r w:rsidR="0054578F" w:rsidRPr="00C93121">
        <w:t>receiv</w:t>
      </w:r>
      <w:r w:rsidR="009B44E1">
        <w:t>e</w:t>
      </w:r>
      <w:r w:rsidR="00110012" w:rsidRPr="00C93121">
        <w:t xml:space="preserve"> curative-intent treatment fell within </w:t>
      </w:r>
      <w:r w:rsidR="003B71D4">
        <w:t xml:space="preserve">FACS </w:t>
      </w:r>
      <w:r w:rsidR="00110012" w:rsidRPr="00C93121">
        <w:t xml:space="preserve">95% </w:t>
      </w:r>
      <w:r w:rsidR="005C0665">
        <w:t>confidence</w:t>
      </w:r>
      <w:r w:rsidR="0029631F">
        <w:t xml:space="preserve"> intervals</w:t>
      </w:r>
      <w:r w:rsidR="00182D90">
        <w:t xml:space="preserve"> for </w:t>
      </w:r>
      <w:r w:rsidR="00B21C23">
        <w:t>carcinoembryonic antigen (</w:t>
      </w:r>
      <w:r w:rsidR="00182D90">
        <w:t>CEA</w:t>
      </w:r>
      <w:r w:rsidR="00B21C23">
        <w:t>)</w:t>
      </w:r>
      <w:r w:rsidR="00182D90">
        <w:t>-intensive,</w:t>
      </w:r>
      <w:r w:rsidR="00B21C23">
        <w:t xml:space="preserve"> computed tomography</w:t>
      </w:r>
      <w:r w:rsidR="00182D90">
        <w:t xml:space="preserve"> </w:t>
      </w:r>
      <w:r w:rsidR="00B21C23">
        <w:t>(</w:t>
      </w:r>
      <w:r w:rsidR="009966C2" w:rsidRPr="00C93121">
        <w:t>CT</w:t>
      </w:r>
      <w:r w:rsidR="00B21C23">
        <w:t>)</w:t>
      </w:r>
      <w:r w:rsidR="009966C2" w:rsidRPr="00C93121">
        <w:t>-intensive</w:t>
      </w:r>
      <w:r w:rsidR="00182D90">
        <w:t xml:space="preserve">, and </w:t>
      </w:r>
      <w:r w:rsidR="001D0AC1" w:rsidRPr="00C93121">
        <w:t>combined CEA+CT regimen</w:t>
      </w:r>
      <w:r w:rsidR="00182D90">
        <w:t>s</w:t>
      </w:r>
      <w:r w:rsidR="009966C2" w:rsidRPr="00C93121">
        <w:t>, but not for a minim</w:t>
      </w:r>
      <w:r w:rsidR="003F3360">
        <w:t>um</w:t>
      </w:r>
      <w:r w:rsidR="009966C2" w:rsidRPr="00C93121">
        <w:t xml:space="preserve"> </w:t>
      </w:r>
      <w:r w:rsidR="0053138E" w:rsidRPr="00C93121">
        <w:t>surveillance</w:t>
      </w:r>
      <w:r w:rsidR="00D76D30" w:rsidRPr="00C93121">
        <w:t xml:space="preserve"> </w:t>
      </w:r>
      <w:r w:rsidR="009966C2" w:rsidRPr="00C93121">
        <w:t>regimen</w:t>
      </w:r>
      <w:r w:rsidR="005E3D37">
        <w:t>, where the model overestimated</w:t>
      </w:r>
      <w:r w:rsidR="002A441B">
        <w:t xml:space="preserve"> recurrence and</w:t>
      </w:r>
      <w:r w:rsidR="0000761A">
        <w:t xml:space="preserve"> curative treatment</w:t>
      </w:r>
      <w:r w:rsidR="00110012" w:rsidRPr="00C93121">
        <w:t>.</w:t>
      </w:r>
      <w:r w:rsidR="00681EB9" w:rsidRPr="00C93121">
        <w:t xml:space="preserve">  </w:t>
      </w:r>
      <w:r w:rsidR="00B27927">
        <w:t xml:space="preserve">Observed </w:t>
      </w:r>
      <w:r w:rsidR="0000761A">
        <w:t>f</w:t>
      </w:r>
      <w:r w:rsidR="00C775A4">
        <w:t>ive-year o</w:t>
      </w:r>
      <w:r w:rsidR="00CE161A">
        <w:t>verall survival (</w:t>
      </w:r>
      <w:r w:rsidR="00287195" w:rsidRPr="00C93121">
        <w:t>OS5</w:t>
      </w:r>
      <w:r w:rsidR="00CE161A">
        <w:t>)</w:t>
      </w:r>
      <w:r w:rsidR="00C5783B" w:rsidRPr="00C93121">
        <w:t xml:space="preserve"> fell within 95% </w:t>
      </w:r>
      <w:r w:rsidR="0029631F">
        <w:t>prediction intervals</w:t>
      </w:r>
      <w:r w:rsidR="000B28AC" w:rsidRPr="00C93121">
        <w:t xml:space="preserve"> for all </w:t>
      </w:r>
      <w:r w:rsidR="00C5783B" w:rsidRPr="00C93121">
        <w:t>regimens.</w:t>
      </w:r>
      <w:r w:rsidR="000E3BC7" w:rsidRPr="00C93121">
        <w:t xml:space="preserve"> </w:t>
      </w:r>
      <w:r w:rsidR="0091339F">
        <w:t xml:space="preserve"> </w:t>
      </w:r>
    </w:p>
    <w:p w14:paraId="69C03327" w14:textId="77777777" w:rsidR="00551941" w:rsidRPr="00C93121" w:rsidRDefault="00551941" w:rsidP="00B03879">
      <w:pPr>
        <w:spacing w:after="0" w:line="360" w:lineRule="auto"/>
      </w:pPr>
    </w:p>
    <w:p w14:paraId="0046D630" w14:textId="2CA0F670" w:rsidR="008F6C13" w:rsidRPr="00C93121" w:rsidRDefault="006E2351" w:rsidP="00B03879">
      <w:pPr>
        <w:spacing w:after="0" w:line="360" w:lineRule="auto"/>
      </w:pPr>
      <w:r w:rsidRPr="00C93121">
        <w:t>CONCLUSION</w:t>
      </w:r>
      <w:r w:rsidR="00C60ADD" w:rsidRPr="00C93121">
        <w:t>:</w:t>
      </w:r>
      <w:r w:rsidR="00C717E3" w:rsidRPr="00C93121">
        <w:t xml:space="preserve">  </w:t>
      </w:r>
      <w:r w:rsidR="003526B4" w:rsidRPr="00C93121">
        <w:t xml:space="preserve">The model performed well </w:t>
      </w:r>
      <w:r w:rsidR="000B28AC" w:rsidRPr="00C93121">
        <w:t>in predicting</w:t>
      </w:r>
      <w:r w:rsidR="003526B4" w:rsidRPr="00C93121">
        <w:t xml:space="preserve"> curative surgery for three of four FACS arms.  It performed well in predict</w:t>
      </w:r>
      <w:r w:rsidR="000B28AC" w:rsidRPr="00C93121">
        <w:t>ing</w:t>
      </w:r>
      <w:r w:rsidR="003526B4" w:rsidRPr="00C93121">
        <w:t xml:space="preserve"> </w:t>
      </w:r>
      <w:r w:rsidR="00936B4A" w:rsidRPr="00C93121">
        <w:t xml:space="preserve">OS5 </w:t>
      </w:r>
      <w:r w:rsidR="00FE0E40">
        <w:t>for all</w:t>
      </w:r>
      <w:r w:rsidR="003526B4" w:rsidRPr="00C93121">
        <w:t xml:space="preserve"> arms.</w:t>
      </w:r>
      <w:r w:rsidR="00E37944" w:rsidRPr="00C93121">
        <w:t xml:space="preserve"> </w:t>
      </w:r>
    </w:p>
    <w:p w14:paraId="38939E75" w14:textId="77777777" w:rsidR="008F6C13" w:rsidRPr="00C93121" w:rsidRDefault="008F6C13" w:rsidP="00B03879">
      <w:pPr>
        <w:spacing w:after="0" w:line="480" w:lineRule="auto"/>
      </w:pPr>
    </w:p>
    <w:p w14:paraId="1232B461" w14:textId="77777777" w:rsidR="009B3BAA" w:rsidRDefault="009B3BAA" w:rsidP="00B03879">
      <w:pPr>
        <w:spacing w:after="0" w:line="480" w:lineRule="auto"/>
      </w:pPr>
    </w:p>
    <w:p w14:paraId="060F8920" w14:textId="77777777" w:rsidR="00EB6A05" w:rsidRDefault="00EB6A05" w:rsidP="00B03879">
      <w:pPr>
        <w:spacing w:after="0" w:line="480" w:lineRule="auto"/>
      </w:pPr>
    </w:p>
    <w:p w14:paraId="1D0C515E" w14:textId="77777777" w:rsidR="00EB6A05" w:rsidRDefault="00EB6A05" w:rsidP="00B03879">
      <w:pPr>
        <w:spacing w:after="0" w:line="480" w:lineRule="auto"/>
      </w:pPr>
    </w:p>
    <w:p w14:paraId="7C9A3439" w14:textId="77777777" w:rsidR="00EB6A05" w:rsidRDefault="00EB6A05" w:rsidP="00B03879">
      <w:pPr>
        <w:spacing w:after="0" w:line="480" w:lineRule="auto"/>
      </w:pPr>
    </w:p>
    <w:p w14:paraId="42D26DEF" w14:textId="77777777" w:rsidR="00EB6A05" w:rsidRDefault="00EB6A05" w:rsidP="00B03879">
      <w:pPr>
        <w:spacing w:after="0" w:line="480" w:lineRule="auto"/>
      </w:pPr>
    </w:p>
    <w:p w14:paraId="1DD05426" w14:textId="77777777" w:rsidR="00EB6A05" w:rsidRDefault="00EB6A05" w:rsidP="00B03879">
      <w:pPr>
        <w:spacing w:after="0" w:line="480" w:lineRule="auto"/>
      </w:pPr>
    </w:p>
    <w:p w14:paraId="4D3A62A7" w14:textId="77777777" w:rsidR="00DD4857" w:rsidRDefault="00DD4857" w:rsidP="00B03879"/>
    <w:p w14:paraId="328B1189" w14:textId="2D706E0B" w:rsidR="00D81F17" w:rsidRPr="00C93121" w:rsidRDefault="00EC6662" w:rsidP="00B03879">
      <w:r>
        <w:lastRenderedPageBreak/>
        <w:t>I</w:t>
      </w:r>
      <w:r w:rsidR="00D81F17" w:rsidRPr="00C93121">
        <w:t>NTRODUCTION</w:t>
      </w:r>
    </w:p>
    <w:p w14:paraId="0794BC39" w14:textId="61999FA3" w:rsidR="004B7BC1" w:rsidRDefault="0028724B" w:rsidP="00B03879">
      <w:pPr>
        <w:spacing w:after="0" w:line="480" w:lineRule="auto"/>
        <w:ind w:firstLine="720"/>
      </w:pPr>
      <w:r>
        <w:t>More than three quarters</w:t>
      </w:r>
      <w:r w:rsidR="00EB415D">
        <w:t xml:space="preserve"> of the</w:t>
      </w:r>
      <w:r w:rsidRPr="00C93121">
        <w:t xml:space="preserve"> </w:t>
      </w:r>
      <w:r w:rsidR="003C4AD5">
        <w:t>nearly</w:t>
      </w:r>
      <w:r w:rsidR="007C433C" w:rsidRPr="00C93121">
        <w:t xml:space="preserve"> </w:t>
      </w:r>
      <w:r w:rsidR="00B21C23">
        <w:t>95</w:t>
      </w:r>
      <w:r w:rsidR="000E0F52" w:rsidRPr="00C93121">
        <w:t xml:space="preserve">,000 Americans diagnosed </w:t>
      </w:r>
      <w:r w:rsidR="002237B0">
        <w:t xml:space="preserve">annually </w:t>
      </w:r>
      <w:r w:rsidR="000E0F52" w:rsidRPr="00C93121">
        <w:t>with colo</w:t>
      </w:r>
      <w:r w:rsidR="00B21C23">
        <w:t>n</w:t>
      </w:r>
      <w:r w:rsidR="000E0F52" w:rsidRPr="00C93121">
        <w:t xml:space="preserve"> cancer (CC) </w:t>
      </w:r>
      <w:r w:rsidR="00B55FC6">
        <w:t>receive</w:t>
      </w:r>
      <w:r w:rsidR="00824B1B">
        <w:t xml:space="preserve"> </w:t>
      </w:r>
      <w:r w:rsidR="008F513B">
        <w:t xml:space="preserve">curative-intent </w:t>
      </w:r>
      <w:r w:rsidR="00645E11">
        <w:t>treatment</w:t>
      </w:r>
      <w:r w:rsidR="000E0F52" w:rsidRPr="00C93121">
        <w:t>.</w:t>
      </w:r>
      <w:r w:rsidR="00824B1B">
        <w:fldChar w:fldCharType="begin" w:fldLock="1"/>
      </w:r>
      <w:r w:rsidR="00834959">
        <w:instrText>ADDIN CSL_CITATION { "citationItems" : [ { "id" : "ITEM-1", "itemData" : { "DOI" : "10.3322/caac.21332", "ISBN" : "1542-4863 (Electronic)\\r0007-9235 (Linking)", "ISSN" : "1542-4863", "PMID" : "26742998", "abstract" : "Each year, the American Cancer Society estimates the numbers of new cancer cases and deaths that will occur in the United States in the current year and compiles the most recent data on cancer incidence, mortality, and survival. Incidence data were collected by the National Cancer Institute (Surveillance, Epidemiology, and End Results [SEER] Program), the Centers for Disease Control and Prevention (National Program of Cancer Registries), and the North American Association of Central Cancer Registries. Mortality data were collected by the National Center for Health Statistics. In 2016, 1,685,210 new cancer cases and 595,690 cancer deaths are projected to occur in the United States. Overall cancer incidence trends (13 oldest SEER registries) are stable in women, but declining by 3.1% per year in men (from 2009-2012), much of which is because of recent rapid declines in prostate cancer diagnoses. The cancer death rate has dropped by 23% since 1991, translating to more than 1.7 million deaths averted through 2012. Despite this progress, death rates are increasing for cancers of the liver, pancreas, and uterine corpus, and cancer is now the leading cause of death in 21 states, primarily due to exceptionally large reductions in death from heart disease. Among children and adolescents (aged birth-19 years), brain cancer has surpassed leukemia as the leading cause of cancer death because of the dramatic therapeutic advances against leukemia. Accelerating progress against cancer requires both increased national investment in cancer research and the application of existing cancer control knowledge across all segments of the population.", "author" : [ { "dropping-particle" : "", "family" : "Siegel", "given" : "R L", "non-dropping-particle" : "", "parse-names" : false, "suffix" : "" }, { "dropping-particle" : "", "family" : "Miller", "given" : "K D", "non-dropping-particle" : "", "parse-names" : false, "suffix" : "" }, { "dropping-particle" : "", "family" : "Jemal", "given" : "A", "non-dropping-particle" : "", "parse-names" : false, "suffix" : "" } ], "container-title" : "CA Cancer J Clin", "id" : "ITEM-1", "issue" : "1", "issued" : { "date-parts" : [ [ "2016" ] ] }, "page" : "7-30", "title" : "Cancer statistics, 2016", "type" : "article-journal", "volume" : "66" }, "uris" : [ "http://www.mendeley.com/documents/?uuid=55ec8fa1-06ce-4ea8-a562-33cd7ccd84e2", "http://www.mendeley.com/documents/?uuid=fb9a0e96-c20f-4f06-a1bd-39bb1949aac4" ] } ], "mendeley" : { "formattedCitation" : "[1]", "plainTextFormattedCitation" : "[1]", "previouslyFormattedCitation" : "[1]" }, "properties" : { "noteIndex" : 0 }, "schema" : "https://github.com/citation-style-language/schema/raw/master/csl-citation.json" }</w:instrText>
      </w:r>
      <w:r w:rsidR="00824B1B">
        <w:fldChar w:fldCharType="separate"/>
      </w:r>
      <w:r w:rsidR="00E3241D" w:rsidRPr="00E3241D">
        <w:rPr>
          <w:noProof/>
        </w:rPr>
        <w:t>[1]</w:t>
      </w:r>
      <w:r w:rsidR="00824B1B">
        <w:fldChar w:fldCharType="end"/>
      </w:r>
      <w:r w:rsidR="004068D3" w:rsidRPr="00C93121">
        <w:rPr>
          <w:rStyle w:val="CommentReference"/>
        </w:rPr>
        <w:t xml:space="preserve"> </w:t>
      </w:r>
      <w:r w:rsidR="000E0F52" w:rsidRPr="00C93121">
        <w:t xml:space="preserve"> </w:t>
      </w:r>
      <w:r w:rsidR="006C64C4">
        <w:t>While the majority will be cure</w:t>
      </w:r>
      <w:r w:rsidR="00B000A2">
        <w:t>d</w:t>
      </w:r>
      <w:r w:rsidR="00827130">
        <w:t xml:space="preserve"> in the long term</w:t>
      </w:r>
      <w:r w:rsidR="00B000A2">
        <w:t xml:space="preserve">, approximately one fifth </w:t>
      </w:r>
      <w:r w:rsidR="000E0F52" w:rsidRPr="00C93121">
        <w:t>will experience</w:t>
      </w:r>
      <w:r w:rsidR="00EB415D" w:rsidRPr="00EB415D">
        <w:t xml:space="preserve"> </w:t>
      </w:r>
      <w:r w:rsidR="000E0F52" w:rsidRPr="00C93121">
        <w:t>recurrence</w:t>
      </w:r>
      <w:r w:rsidR="00645E11">
        <w:t>, consisting of disease relapse</w:t>
      </w:r>
      <w:r w:rsidR="000E0F52" w:rsidRPr="00C93121">
        <w:t xml:space="preserve"> or develop</w:t>
      </w:r>
      <w:r w:rsidR="00645E11">
        <w:t>ment of</w:t>
      </w:r>
      <w:r w:rsidR="000E0F52" w:rsidRPr="00C93121">
        <w:t xml:space="preserve"> a new primary (metachronous) CC</w:t>
      </w:r>
      <w:r w:rsidR="00D77309">
        <w:fldChar w:fldCharType="begin" w:fldLock="1"/>
      </w:r>
      <w:r w:rsidR="00834959">
        <w:instrText>ADDIN CSL_CITATION { "citationItems" : [ { "id" : "ITEM-1", "itemData" : { "DOI" : "10.1001/jama.2013.285718", "ISSN" : "1538-3598", "PMID" : "24430319", "abstract" : "IMPORTANCE: Intensive follow-up after surgery for colorectal cancer is common practice but is based on limited evidence.\\n\\nOBJECTIVE: To assess the effect of scheduled blood measurement of carcinoembryonic antigen (CEA) and computed tomography (CT) as follow-up to detect recurrent colorectal cancer treatable with curative intent.\\n\\nDESIGN, SETTING, AND PARTICIPANTS: Randomized clinical trial in 39 National Health Service hospitals in the United Kingdom; 1202 eligible participants were recruited between January 2003 and August 2009 who had undergone curative surgery for primary colorectal cancer, including adjuvant treatment if indicated, with no evidence of residual disease on investigation.\\n\\nINTERVENTIONS: Participants were randomly assigned to 1 of 4 groups: CEA only (n\u2009=\u2009300), CT only (n\u2009=\u2009299), CEA+CT (n\u2009=\u2009302), or minimum follow-up (n\u2009=\u2009301). Blood CEA was measured every 3 months for 2 years, then every 6 months for 3 years; CT scans of the chest, abdomen, and pelvis were performed every 6 months for 2 years, then annually for 3 years; and the minimum follow-up group received follow-up if symptoms occurred.\\n\\nMAIN OUTCOMES AND MEASURES: The primary outcome was surgical treatment of recurrence with curative intent; secondary outcomes were mortality (total and colorectal cancer), time to detection of recurrence, and survival after treatment of recurrence with curative intent.\\n\\nRESULTS: After a mean 4.4 (SD, 0.8) years of observation, cancer recurrence was detected in 199 participants (16.6%; 95% CI, 14.5%-18.7%) overall; 71 of 1202 participants (5.9%; 95% CI, 4.6%-7.2%) were treated for recurrence with curative intent, with little difference according to Dukes staging (stage A, 5.1% [13/254]; stage B, 6.1% [34/553]; stage C, 6.2% [22/354]). Surgical treatment of recurrence with curative intent was 2.3% (7/301) in the minimum follow-up group, 6.7% (20/300) in the CEA group, 8% (24/299) in the CT group, and 6.6% (20/302) in the CEA+CT group. Compared with minimum follow-up, the absolute difference in the percentage of patients treated with curative intent in the CEA group was 4.4% (95% CI, 1.0%-7.9%; adjusted odds ratio [OR], 3.00; 95% CI, 1.23-7.33), in the CT group was 5.7% (95% CI, 2.2%-9.5%; adjusted OR, 3.63; 95% CI, 1.51-8.69), and in the CEA+CT group was 4.3% (95% CI, 1.0%-7.9%; adjusted OR, 3.10; 95% CI, 1.10-8.71). The number of deaths was not significantly different in the combined intensive monitoring groups (CEA, CT, and CEA+CT; 18.2\u2026", "author" : [ { "dropping-particle" : "", "family" : "Primrose", "given" : "John N", "non-dropping-particle" : "", "parse-names" : false, "suffix" : "" }, { "dropping-particle" : "", "family" : "Perera", "given" : "Rafael", "non-dropping-particle" : "", "parse-names" : false, "suffix" : "" }, { "dropping-particle" : "", "family" : "Gray", "given" : "Alastair", "non-dropping-particle" : "", "parse-names" : false, "suffix" : "" }, { "dropping-particle" : "", "family" : "Rose", "given" : "Peter", "non-dropping-particle" : "", "parse-names" : false, "suffix" : "" }, { "dropping-particle" : "", "family" : "Fuller", "given" : "Alice", "non-dropping-particle" : "", "parse-names" : false, "suffix" : "" }, { "dropping-particle" : "", "family" : "Corkhill", "given" : "Andrea", "non-dropping-particle" : "", "parse-names" : false, "suffix" : "" }, { "dropping-particle" : "", "family" : "George", "given" : "Steve", "non-dropping-particle" : "", "parse-names" : false, "suffix" : "" }, { "dropping-particle" : "", "family" : "Mant", "given" : "David", "non-dropping-particle" : "", "parse-names" : false, "suffix" : "" } ], "container-title" : "JAMA : the journal of the American Medical Association", "id" : "ITEM-1", "issue" : "3", "issued" : { "date-parts" : [ [ "2014" ] ] }, "page" : "263-70", "title" : "Effect of 3 to 5 years of scheduled CEA and CT follow-up to detect recurrence of colorectal cancer: the FACS randomized clinical trial.", "type" : "article-journal", "volume" : "311" }, "uris" : [ "http://www.mendeley.com/documents/?uuid=ea5f6b97-dd87-4c21-9f9f-54f0f1ca8208" ] } ], "mendeley" : { "formattedCitation" : "[2]", "plainTextFormattedCitation" : "[2]", "previouslyFormattedCitation" : "[2]" }, "properties" : { "noteIndex" : 0 }, "schema" : "https://github.com/citation-style-language/schema/raw/master/csl-citation.json" }</w:instrText>
      </w:r>
      <w:r w:rsidR="00D77309">
        <w:fldChar w:fldCharType="separate"/>
      </w:r>
      <w:r w:rsidR="00E3241D" w:rsidRPr="00E3241D">
        <w:rPr>
          <w:noProof/>
        </w:rPr>
        <w:t>[2]</w:t>
      </w:r>
      <w:r w:rsidR="00D77309">
        <w:fldChar w:fldCharType="end"/>
      </w:r>
      <w:r w:rsidR="00E6117E">
        <w:t>, with m</w:t>
      </w:r>
      <w:r w:rsidR="000E0F52" w:rsidRPr="00C93121">
        <w:t xml:space="preserve">edian </w:t>
      </w:r>
      <w:r w:rsidR="00A31E9A" w:rsidRPr="00C93121">
        <w:t xml:space="preserve">survival </w:t>
      </w:r>
      <w:r w:rsidR="00645E11">
        <w:t>of</w:t>
      </w:r>
      <w:r w:rsidR="000E0F52" w:rsidRPr="00C93121">
        <w:t xml:space="preserve"> two</w:t>
      </w:r>
      <w:r w:rsidR="007072BA">
        <w:t xml:space="preserve"> to three</w:t>
      </w:r>
      <w:r w:rsidR="000E0F52" w:rsidRPr="00C93121">
        <w:t xml:space="preserve"> years.</w:t>
      </w:r>
      <w:r w:rsidR="00697B8D" w:rsidRPr="00C93121">
        <w:fldChar w:fldCharType="begin" w:fldLock="1"/>
      </w:r>
      <w:r w:rsidR="00834959">
        <w:instrText>ADDIN CSL_CITATION { "citationItems" : [ { "id" : "ITEM-1", "itemData" : { "DOI" : "10.1016/S0140-6736(10)60353-4", "ISBN" : "1474-547X (Electronic)\r0140-6736 (Linking)", "PMID" : "20304247", "abstract" : "Substantial progress has been made in colorectal cancer in the past decade. Screening, used to identify individuals at an early stage, has improved outcome. There is greater understanding of the genetic basis of inherited colorectal cancer and identification of patients at risk. Optimisation of surgery for patients with localised disease has had a major effect on survival at 5 years and 10 years. For rectal cancer, identification of patients at greatest risk of local failure is important in the selection of patients for preoperative chemoradiation, a strategy proven to improve outcomes in these patients. Stringent postoperative follow-up helps the early identification of potentially radically treatable oligometastatic disease and improves long-term survival. Treatment with adjuvant fluoropyrimidine for colon and rectal cancers further improves survival, more so in stage III than in stage II disease, and oxaliplatin-based combination chemotherapy is now routinely used for stage III disease, although efficacy must be carefully balanced against toxicity. In stage II disease, molecular markers such as microsatellite instability might help select patients for treatment. The integration of targeted treatments with conventional cytotoxic drugs has expanded the treatment of metastatic disease resulting in incremental survival gains. However, biomarker development is essential to aid selection of patients likely to respond to therapy, thereby rationalising treatments and improving outcomes.", "author" : [ { "dropping-particle" : "", "family" : "Cunningham", "given" : "D", "non-dropping-particle" : "", "parse-names" : false, "suffix" : "" }, { "dropping-particle" : "", "family" : "Atkin", "given" : "W", "non-dropping-particle" : "", "parse-names" : false, "suffix" : "" }, { "dropping-particle" : "", "family" : "Lenz", "given" : "H J", "non-dropping-particle" : "", "parse-names" : false, "suffix" : "" }, { "dropping-particle" : "", "family" : "Lynch", "given" : "H T", "non-dropping-particle" : "", "parse-names" : false, "suffix" : "" }, { "dropping-particle" : "", "family" : "Minsky", "given" : "B", "non-dropping-particle" : "", "parse-names" : false, "suffix" : "" }, { "dropping-particle" : "", "family" : "Nordlinger", "given" : "B", "non-dropping-particle" : "", "parse-names" : false, "suffix" : "" }, { "dropping-particle" : "", "family" : "Starling", "given" : "N", "non-dropping-particle" : "", "parse-names" : false, "suffix" : "" } ], "container-title" : "Lancet", "edition" : "2010/03/23", "id" : "ITEM-1", "issue" : "9719", "issued" : { "date-parts" : [ [ "2010" ] ] }, "language" : "eng", "note" : "Cunningham, David\nAtkin, Wendy\nLenz, Heinz-Josef\nLynch, Henry T\nMinsky, Bruce\nNordlinger, Bernard\nStarling, Naureen\nEngland\nLancet. 2010 Mar 20;375(9719):1030-47.", "page" : "1030-1047", "title" : "Colorectal cancer", "type" : "article-journal", "volume" : "375" }, "uris" : [ "http://www.mendeley.com/documents/?uuid=3f4e0d76-d663-4f69-b10e-2bb9cbfebd2e", "http://www.mendeley.com/documents/?uuid=88726f1a-ef0a-4db8-8d64-8d7fb5eeaa46" ] } ], "mendeley" : { "formattedCitation" : "[3]", "plainTextFormattedCitation" : "[3]", "previouslyFormattedCitation" : "[3]" }, "properties" : { "noteIndex" : 0 }, "schema" : "https://github.com/citation-style-language/schema/raw/master/csl-citation.json" }</w:instrText>
      </w:r>
      <w:r w:rsidR="00697B8D" w:rsidRPr="00C93121">
        <w:fldChar w:fldCharType="separate"/>
      </w:r>
      <w:r w:rsidR="00E3241D" w:rsidRPr="00E3241D">
        <w:rPr>
          <w:noProof/>
        </w:rPr>
        <w:t>[3]</w:t>
      </w:r>
      <w:r w:rsidR="00697B8D" w:rsidRPr="00C93121">
        <w:fldChar w:fldCharType="end"/>
      </w:r>
      <w:r w:rsidR="00263DF8">
        <w:fldChar w:fldCharType="begin" w:fldLock="1"/>
      </w:r>
      <w:r w:rsidR="00834959">
        <w:instrText>ADDIN CSL_CITATION { "citationItems" : [ { "id" : "ITEM-1", "itemData" : { "DOI" : "10.3748/wjg.v21.i10.2871", "ISBN" : "3962090819", "ISSN" : "22192840", "PMID" : "25780283", "abstract" : "The debate on the optimal drug combination for treating chemotherapy-na\u00efve patients with metastatic colorectal cancer has recently become particularly heated. The present editorial will review recent data on this topic. The FIRE-3 and PEAK trials have shown a 7.5 to 12 mo survival advantage with the use anti-epidermal growth factor receptor (anti-EGFR) antibodies. The CALGB 80405 has shown no difference between anti-EGFR and anti-vascular endothelial growth factor agents. All three trials have consistently shown a significant increase in objective response rate. These data suggest that there is a subset of metastatic colorectal cancer patients, rigorously selected by molecular profiling, who particularly benefit from an anti-EGFR-based regimen in the first-line setting.", "author" : [ { "dropping-particle" : "", "family" : "Formica", "given" : "Vincenzo", "non-dropping-particle" : "", "parse-names" : false, "suffix" : "" }, { "dropping-particle" : "", "family" : "Roselli", "given" : "Mario", "non-dropping-particle" : "", "parse-names" : false, "suffix" : "" } ], "container-title" : "World Journal of Gastroenterology", "id" : "ITEM-1", "issue" : "10", "issued" : { "date-parts" : [ [ "2015" ] ] }, "page" : "2871-2874", "title" : "Targeted therapy in first line treatment of RAS wild type colorectal cancer", "type" : "article-journal", "volume" : "21" }, "uris" : [ "http://www.mendeley.com/documents/?uuid=dceb3b32-583e-4541-8076-547a3a89d13d", "http://www.mendeley.com/documents/?uuid=7db1337e-d910-4d0f-835a-d9442c5fadf2" ] } ], "mendeley" : { "formattedCitation" : "[4]", "plainTextFormattedCitation" : "[4]", "previouslyFormattedCitation" : "[4]" }, "properties" : { "noteIndex" : 0 }, "schema" : "https://github.com/citation-style-language/schema/raw/master/csl-citation.json" }</w:instrText>
      </w:r>
      <w:r w:rsidR="00263DF8">
        <w:fldChar w:fldCharType="separate"/>
      </w:r>
      <w:r w:rsidR="00E3241D" w:rsidRPr="00E3241D">
        <w:rPr>
          <w:noProof/>
        </w:rPr>
        <w:t>[4]</w:t>
      </w:r>
      <w:r w:rsidR="00263DF8">
        <w:fldChar w:fldCharType="end"/>
      </w:r>
      <w:r w:rsidR="00186E62" w:rsidRPr="00C93121">
        <w:t xml:space="preserve"> </w:t>
      </w:r>
      <w:r w:rsidR="00E6117E">
        <w:t xml:space="preserve"> </w:t>
      </w:r>
      <w:r w:rsidR="00D87149" w:rsidRPr="00D87149">
        <w:t xml:space="preserve"> </w:t>
      </w:r>
    </w:p>
    <w:p w14:paraId="394033CE" w14:textId="2EBE716D" w:rsidR="00FF4556" w:rsidRDefault="000E0F52" w:rsidP="00353580">
      <w:pPr>
        <w:spacing w:after="0" w:line="480" w:lineRule="auto"/>
        <w:ind w:firstLine="720"/>
      </w:pPr>
      <w:r w:rsidRPr="00C93121">
        <w:t xml:space="preserve">Most </w:t>
      </w:r>
      <w:r w:rsidR="00827130">
        <w:t>CC survivors</w:t>
      </w:r>
      <w:r w:rsidRPr="00C93121">
        <w:t xml:space="preserve"> </w:t>
      </w:r>
      <w:r w:rsidR="00B91D90" w:rsidRPr="00C93121">
        <w:t>undergo post-treatment</w:t>
      </w:r>
      <w:r w:rsidRPr="00C93121">
        <w:t xml:space="preserve"> surveillance </w:t>
      </w:r>
      <w:r w:rsidR="00E6117E">
        <w:t>i</w:t>
      </w:r>
      <w:r w:rsidR="00B91D90" w:rsidRPr="00C93121">
        <w:t>nvolv</w:t>
      </w:r>
      <w:r w:rsidR="00E6117E">
        <w:t>ing</w:t>
      </w:r>
      <w:r w:rsidRPr="00C93121">
        <w:t xml:space="preserve"> periodic follow-up testing to detect recurrence</w:t>
      </w:r>
      <w:r w:rsidR="009266B5">
        <w:t xml:space="preserve"> at an earlier stage</w:t>
      </w:r>
      <w:r w:rsidR="00926AF8" w:rsidRPr="00926AF8">
        <w:t xml:space="preserve"> </w:t>
      </w:r>
      <w:r w:rsidR="00926AF8">
        <w:t>where salvage surgery can provide a cure</w:t>
      </w:r>
      <w:r w:rsidR="009266B5">
        <w:t>.</w:t>
      </w:r>
      <w:r w:rsidRPr="00C93121">
        <w:t xml:space="preserve">  </w:t>
      </w:r>
      <w:r w:rsidR="006E5652">
        <w:t>Two previous meta</w:t>
      </w:r>
      <w:r w:rsidR="00493480">
        <w:t>-</w:t>
      </w:r>
      <w:r w:rsidR="006E5652">
        <w:t>analyses show</w:t>
      </w:r>
      <w:r w:rsidR="00000915">
        <w:t xml:space="preserve">ed improved </w:t>
      </w:r>
      <w:r w:rsidR="00987ACC">
        <w:t>mortality</w:t>
      </w:r>
      <w:r w:rsidR="00000915">
        <w:t xml:space="preserve"> </w:t>
      </w:r>
      <w:r w:rsidR="00987ACC">
        <w:t>with intensive surveillance</w:t>
      </w:r>
      <w:r w:rsidR="00D31C71">
        <w:t xml:space="preserve"> (i.e. more frequent testing using multiple modalities)</w:t>
      </w:r>
      <w:r w:rsidR="00987ACC">
        <w:t xml:space="preserve"> compared to less intensive surveillance </w:t>
      </w:r>
      <w:r w:rsidR="00000915">
        <w:t>(</w:t>
      </w:r>
      <w:r w:rsidR="00987ACC">
        <w:t>risk ratio 0.73,</w:t>
      </w:r>
      <w:r w:rsidR="00182CF1" w:rsidRPr="00182CF1">
        <w:t xml:space="preserve"> </w:t>
      </w:r>
      <w:r w:rsidR="00000915">
        <w:t xml:space="preserve">95% </w:t>
      </w:r>
      <w:r w:rsidR="002237B0">
        <w:t>CI</w:t>
      </w:r>
      <w:r w:rsidR="00000915">
        <w:t xml:space="preserve"> </w:t>
      </w:r>
      <w:r w:rsidR="00182CF1" w:rsidRPr="00182CF1">
        <w:t>0.60 to 0</w:t>
      </w:r>
      <w:r w:rsidR="00182CF1">
        <w:t>.89</w:t>
      </w:r>
      <w:r w:rsidR="00987ACC">
        <w:fldChar w:fldCharType="begin" w:fldLock="1"/>
      </w:r>
      <w:r w:rsidR="00834959">
        <w:instrText>ADDIN CSL_CITATION { "citationItems" : [ { "id" : "ITEM-1", "itemData" : { "DOI" : "10.1136/bmj.324.7341.813", "ISBN" : "1756-1833 (Electronic)\r0959-535X (Linking)", "PMID" : "11934773", "abstract" : "OBJECTIVE: To review the evidence from clinical trials of follow up of patients after curative resection for colorectal cancer. DESIGN: Systematic review and meta-analysis of randomised controlled trials of intensive compared with control follow up. MAIN OUTCOME MEASURES: All cause mortality at five years (primary outcome). Rates of recurrence of intraluminal, local, and metastatic disease and metachronous (second colorectal primary) cancers (secondary outcomes). RESULTS: Five trials, which included 1342 patients, met the inclusion criteria. Intensive follow up was associated with a reduction in all cause mortality (combined risk ratio 0.81, 95% confidence interval 0.70 to 0.94, P=0.007). The effect was most pronounced in the four extramural detection trials that used computed tomography and frequent measurements of serum carcinoembryonic antigen (risk ratio 0.73, 0.60 to 0.89, P=0.002). Intensive follow up was associated with significantly earlier detection of all recurrences (difference in means 8.5 months, 7.6 to 9.4 months, P&lt;0.001) and an increased detection rate for isolated local recurrences (risk ratio 1.61, 1.12 to 2.32, P=0.011). CONCLUSIONS: Intensive follow up after curative resection for colorectal cancer improves survival. Large trials are required to identify which components of intensive follow up are most beneficial.", "author" : [ { "dropping-particle" : "", "family" : "Renehan", "given" : "A G", "non-dropping-particle" : "", "parse-names" : false, "suffix" : "" }, { "dropping-particle" : "", "family" : "Egger", "given" : "M", "non-dropping-particle" : "", "parse-names" : false, "suffix" : "" }, { "dropping-particle" : "", "family" : "Saunders", "given" : "M P", "non-dropping-particle" : "", "parse-names" : false, "suffix" : "" }, { "dropping-particle" : "", "family" : "O'Dwyer", "given" : "S T", "non-dropping-particle" : "", "parse-names" : false, "suffix" : "" } ], "container-title" : "BMJ (Clinical Research Ed.)", "edition" : "2002/04/06", "id" : "ITEM-1", "issue" : "7341", "issued" : { "date-parts" : [ [ "2002" ] ] }, "language" : "eng", "note" : "Renehan, Andrew G\nEgger, Matthias\nSaunders, Mark P\nO'Dwyer, Sarah T\nEngland\nClinical research ed.\nBMJ. 2002 Apr 6;324(7341):813.", "page" : "813", "title" : "Impact on survival of intensive follow up after curative resection for colorectal cancer: systematic review and meta-analysis of randomised trials", "type" : "article-journal", "volume" : "324" }, "uris" : [ "http://www.mendeley.com/documents/?uuid=e7da0ad8-4884-454e-b08a-e7e5f6917422", "http://www.mendeley.com/documents/?uuid=a655bec8-8587-496b-96e1-33ee5efa44f5" ] } ], "mendeley" : { "formattedCitation" : "[5]", "plainTextFormattedCitation" : "[5]", "previouslyFormattedCitation" : "[5]" }, "properties" : { "noteIndex" : 0 }, "schema" : "https://github.com/citation-style-language/schema/raw/master/csl-citation.json" }</w:instrText>
      </w:r>
      <w:r w:rsidR="00987ACC">
        <w:fldChar w:fldCharType="separate"/>
      </w:r>
      <w:r w:rsidR="00E3241D" w:rsidRPr="00E3241D">
        <w:rPr>
          <w:noProof/>
        </w:rPr>
        <w:t>[5]</w:t>
      </w:r>
      <w:r w:rsidR="00987ACC">
        <w:fldChar w:fldCharType="end"/>
      </w:r>
      <w:r w:rsidR="00987ACC">
        <w:t>; odds ratio</w:t>
      </w:r>
      <w:r w:rsidR="00000915" w:rsidRPr="00000915">
        <w:t xml:space="preserve"> </w:t>
      </w:r>
      <w:r w:rsidR="00987ACC">
        <w:t xml:space="preserve">0.73, 95% </w:t>
      </w:r>
      <w:r w:rsidR="002237B0">
        <w:t xml:space="preserve">CI </w:t>
      </w:r>
      <w:r w:rsidR="00987ACC">
        <w:t>0.59 to 0.91</w:t>
      </w:r>
      <w:r w:rsidR="000D462A">
        <w:fldChar w:fldCharType="begin" w:fldLock="1"/>
      </w:r>
      <w:r w:rsidR="00834959">
        <w:instrText>ADDIN CSL_CITATION { "citationItems" : [ { "id" : "ITEM-1", "itemData" : { "DOI" : "10.1002/14651858.CD002200.pub2", "ISBN" : "1469-493X (Electronic)\r1361-6137 (Linking)", "PMID" : "17253476", "abstract" : "BACKGROUND: It is common clinical practice to follow patients with colorectal cancer (CRC) for several years following their definitive surgery and/or adjuvant therapy. Despite this widespread practice there is considerable controversy about how often patients should be seen, what tests should be performed and whether these varying strategies have any significant impact on patient outcomes. OBJECTIVES: To review the available evidence concerning the benefits of intensive follow up of colorectal cancer patients with respect to survival. Secondary endpoints include time to diagnosis of recurrence, quality of life and the harms and costs of surveillance and investigations. SEARCH STRATEGY: Relevant trials were identified by electronic searches of MEDLINE, EMBASE, CINAHL, CANCERLIT, Cochrane Controlled Trials Register, Science Citation Index, conference proceedings, trial registers, reference lists and contact with experts in the field. SELECTION CRITERIA: Only randomised controlled trials comparing different follow-up strategies for patients with non-metastatic CRC treated with curative intent were included. DATA COLLECTION AND ANALYSIS: Trial eligibility and methodological quality were assessed independently by the three authors. MAIN RESULTS: Eight studies were included in this update of the review. There was evidence that an overall survival benefit at five years exists for patients undergoing more intensive follow up OR was 0.73 (95% CI 0.59 to 0.91); and RD -0.06 (95% CI -0.11 to -0.02). The absolute number of recurrences was similar; OR was 0.91 (95% CI 0.75 to 1.10); and RD -0.02 (95% CI -0.06 to 0.02) and although the weighted mean difference for the time to recurrence was significantly reduced by -6.75 (95% CI -11.06 to -2.44) there was significant heterogeneity between the studies. Analyses demonstrated a mortality benefit for performing more tests versus fewer tests OR was 0.64 (95% CI 0.49 to 0.85), and RD -0.09 (95%CI -0.14 to -0.03) and liver imaging versus no liver imaging OR was 0.64 (95% CI 0.49 to 0.85), and RD -0.09 (95%CI -0.14 to -0.03). There were significantly more curative surgical procedures attempted in the intensively followed arm: OR 2.41(95% CI 1.63 to 3.54), RD 0.06 (95%CI 0.04 to 0.09). No useful data on quality of life, harms or cost-effectiveness were available for further analysis. AUTHORS' CONCLUSIONS: The results of our review suggest that there is an overall survival benefit for intensifying the follow up of patients af\u2026", "author" : [ { "dropping-particle" : "", "family" : "Jeffery", "given" : "M", "non-dropping-particle" : "", "parse-names" : false, "suffix" : "" }, { "dropping-particle" : "", "family" : "Hickey", "given" : "B E", "non-dropping-particle" : "", "parse-names" : false, "suffix" : "" }, { "dropping-particle" : "", "family" : "Hider", "given" : "P N", "non-dropping-particle" : "", "parse-names" : false, "suffix" : "" } ], "container-title" : "Cochrane Database of Systematic Reviews", "edition" : "2007/01/27", "id" : "ITEM-1", "issue" : "1", "issued" : { "date-parts" : [ [ "2007" ] ] }, "language" : "eng", "note" : "Jeffery, M\nHickey, B E\nHider, P N\nMeta-Analysis\nReview\nEngland\nCochrane database of systematic reviews (Online)\nCochrane Database Syst Rev. 2007 Jan 24;(1):CD002200.", "page" : "CD002200", "title" : "Follow-up strategies for patients treated for non-metastatic colorectal cancer", "type" : "article-journal" }, "uris" : [ "http://www.mendeley.com/documents/?uuid=90adf1fa-3a41-4e35-b09d-f0369064874b", "http://www.mendeley.com/documents/?uuid=211f18dd-88ee-48d0-a93c-c5c3c4dd294c" ] } ], "mendeley" : { "formattedCitation" : "[6]", "plainTextFormattedCitation" : "[6]", "previouslyFormattedCitation" : "[6]" }, "properties" : { "noteIndex" : 0 }, "schema" : "https://github.com/citation-style-language/schema/raw/master/csl-citation.json" }</w:instrText>
      </w:r>
      <w:r w:rsidR="000D462A">
        <w:fldChar w:fldCharType="separate"/>
      </w:r>
      <w:r w:rsidR="00E3241D" w:rsidRPr="00E3241D">
        <w:rPr>
          <w:noProof/>
        </w:rPr>
        <w:t>[6]</w:t>
      </w:r>
      <w:r w:rsidR="000D462A">
        <w:fldChar w:fldCharType="end"/>
      </w:r>
      <w:r w:rsidR="00182CF1">
        <w:t>)</w:t>
      </w:r>
      <w:r w:rsidR="00987ACC">
        <w:t>.</w:t>
      </w:r>
      <w:r w:rsidR="00167F59" w:rsidRPr="00C93121">
        <w:t xml:space="preserve">  </w:t>
      </w:r>
      <w:r w:rsidR="00184F05">
        <w:t>However, a</w:t>
      </w:r>
      <w:r w:rsidR="002E6167">
        <w:t xml:space="preserve"> more recent </w:t>
      </w:r>
      <w:r w:rsidR="00493480">
        <w:t>meta-analysis</w:t>
      </w:r>
      <w:r w:rsidR="00EB6B98">
        <w:fldChar w:fldCharType="begin" w:fldLock="1"/>
      </w:r>
      <w:r w:rsidR="00834959">
        <w:instrText>ADDIN CSL_CITATION { "citationItems" : [ { "id" : "ITEM-1", "itemData" : { "DOI" : "10.1002/bjs.10233", "ISSN" : "13652168", "PMID" : "27488593", "abstract" : "BACKGROUND After potentially curative resection of primary colorectal cancer, patients may be monitored by measurement of carcinoembryonic antigen and/or CT to detect asymptomatic metastatic disease earlier. METHODS A systematic review and meta-analysis was conducted to find evidence for the clinical effectiveness of monitoring in advancing the diagnosis of recurrence and its effect on survival. MEDLINE (Ovid), Embase, the Cochrane Library, Web of Science and other databases were searched for randomized comparisons of increased intensity monitoring compared with a contemporary standard policy after resection of primary colorectal cancer. RESULTS There were 16 randomized comparisons, 11 with published survival data. More intensive monitoring advanced the diagnosis of recurrence by a median of 10 (i.q.r. 5-24) months. In ten of 11 studies the authors reported no demonstrable difference in overall survival. Seven RCTs, published from 1995 to 2016, randomly assigned 3325 patients to a monitoring protocol made more intensive by introducing new methods or increasing the frequency of existing follow-up protocols versus less invasive monitoring. No detectable difference in overall survival was associated with more intensive monitoring protocols (hazard ratio 0\u00b798, 95 per cent c.i. 0\u00b787 to 1\u00b711). CONCLUSION Based on pooled data from randomized trials published from 1995 to 2016, the anticipated survival benefit from surgical treatment resulting from earlier detection of metastases has not been achieved.", "author" : [ { "dropping-particle" : "", "family" : "Mokhles", "given" : "S.", "non-dropping-particle" : "", "parse-names" : false, "suffix" : "" }, { "dropping-particle" : "", "family" : "Macbeth", "given" : "F.", "non-dropping-particle" : "", "parse-names" : false, "suffix" : "" }, { "dropping-particle" : "", "family" : "Farewell", "given" : "V.", "non-dropping-particle" : "", "parse-names" : false, "suffix" : "" }, { "dropping-particle" : "", "family" : "Fiorentino", "given" : "F.", "non-dropping-particle" : "", "parse-names" : false, "suffix" : "" }, { "dropping-particle" : "", "family" : "Williams", "given" : "N. R.", "non-dropping-particle" : "", "parse-names" : false, "suffix" : "" }, { "dropping-particle" : "", "family" : "Younes", "given" : "R. N.", "non-dropping-particle" : "", "parse-names" : false, "suffix" : "" }, { "dropping-particle" : "", "family" : "Takkenberg", "given" : "J. J M", "non-dropping-particle" : "", "parse-names" : false, "suffix" : "" }, { "dropping-particle" : "", "family" : "Treasure", "given" : "T.", "non-dropping-particle" : "", "parse-names" : false, "suffix" : "" } ], "container-title" : "British Journal of Surgery", "id" : "ITEM-1", "issue" : "10", "issued" : { "date-parts" : [ [ "2016" ] ] }, "page" : "1259-1268", "title" : "Meta-analysis of colorectal cancer follow-up after potentially curative resection", "type" : "article-journal", "volume" : "103" }, "uris" : [ "http://www.mendeley.com/documents/?uuid=4aee17d2-a082-4219-ad9f-b9124f61f73a", "http://www.mendeley.com/documents/?uuid=a1345b85-56e3-4083-a234-5714ffad67cd" ] } ], "mendeley" : { "formattedCitation" : "[7]", "plainTextFormattedCitation" : "[7]", "previouslyFormattedCitation" : "[7]" }, "properties" : { "noteIndex" : 0 }, "schema" : "https://github.com/citation-style-language/schema/raw/master/csl-citation.json" }</w:instrText>
      </w:r>
      <w:r w:rsidR="00EB6B98">
        <w:fldChar w:fldCharType="separate"/>
      </w:r>
      <w:r w:rsidR="00E3241D" w:rsidRPr="00E3241D">
        <w:rPr>
          <w:noProof/>
        </w:rPr>
        <w:t>[7]</w:t>
      </w:r>
      <w:r w:rsidR="00EB6B98">
        <w:fldChar w:fldCharType="end"/>
      </w:r>
      <w:r w:rsidR="007C7838">
        <w:t>,</w:t>
      </w:r>
      <w:r w:rsidR="00EB6B98">
        <w:t xml:space="preserve"> which</w:t>
      </w:r>
      <w:r w:rsidR="002E6167">
        <w:t xml:space="preserve"> </w:t>
      </w:r>
      <w:r w:rsidR="00EB6B98">
        <w:t>i</w:t>
      </w:r>
      <w:r w:rsidR="002E6167">
        <w:t xml:space="preserve">ncluded </w:t>
      </w:r>
      <w:r w:rsidR="00EB6B98">
        <w:t>three large trials</w:t>
      </w:r>
      <w:r w:rsidR="00EB6B98" w:rsidRPr="00EB6B98">
        <w:t xml:space="preserve"> </w:t>
      </w:r>
      <w:r w:rsidR="00EB6B98">
        <w:t>published in the last decade</w:t>
      </w:r>
      <w:r w:rsidR="00834959">
        <w:fldChar w:fldCharType="begin" w:fldLock="1"/>
      </w:r>
      <w:r w:rsidR="000F24D1">
        <w:instrText>ADDIN CSL_CITATION { "citationItems" : [ { "id" : "ITEM-1", "itemData" : { "DOI" : "10.1200/JCO.2005.02.0826", "ISBN" : "1527-7755 (Electronic)\r0732-183X (Linking)", "PMID" : "16365182", "abstract" : "PURPOSE: Although systematic postoperative surveillance of patients with colorectal cancer has been demonstrated to improve survival, it remains unknown whether a more intensive strategy provides any significant advantage. This prospective, multicenter, randomized, controlled trial was aimed at comparing the efficacy of two different surveillance strategies in terms of both survival and recurrence resectability. PATIENTS AND METHODS: Patients with stage II or III colorectal cancer were allocated randomly to either a simple surveillance strategy including clinical evaluation and serum carcinoembryonic antigen monitoring, or an intensive strategy in which abdominal computed tomography or ultrasonography, chest radiograph, and colonoscopy were added. RESULTS: A total of 259 patients were included: 132 were observed according to the simple strategy and 127 were observed according to the intensive strategy. Both groups were similar with respect to baseline characteristics and rate and type of tumor recurrence. After a median follow-up of 48 months, there was no difference in the probability of overall survival in the whole series (hazard ratio [HR] = 0.87; 95% CI, 0.49 to 1.54; P = .62). However, the intensive strategy was associated with higher overall survival in patients with stage II tumors (HR = 0.34; 95% CI, 0.12 to 0.98; P = .045) and in those with rectal lesions (HR = 0.09; 95% CI, 0.01 to 0.81; P = .03), mainly due to higher rate of resectability for recurrent tumors. Colonoscopy was responsible for the detection of the highest proportion (44%) of resectable tumor recurrence in the intensive arm. CONCLUSION: A more intensive surveillance strategy improves the prognosis of patients with stage II colorectal cancer or those with rectal tumors. Inclusion of regular performance of colonoscopy seems justified up to the fifth year of follow-up, at least.", "author" : [ { "dropping-particle" : "", "family" : "Rodriguez-Moranta", "given" : "F", "non-dropping-particle" : "", "parse-names" : false, "suffix" : "" }, { "dropping-particle" : "", "family" : "Salo", "given" : "J", "non-dropping-particle" : "", "parse-names" : false, "suffix" : "" }, { "dropping-particle" : "", "family" : "Arcusa", "given" : "A", "non-dropping-particle" : "", "parse-names" : false, "suffix" : "" }, { "dropping-particle" : "", "family" : "Boadas", "given" : "J", "non-dropping-particle" : "", "parse-names" : false, "suffix" : "" }, { "dropping-particle" : "", "family" : "Pinol", "given" : "V", "non-dropping-particle" : "", "parse-names" : false, "suffix" : "" }, { "dropping-particle" : "", "family" : "Bessa", "given" : "X", "non-dropping-particle" : "", "parse-names" : false, "suffix" : "" }, { "dropping-particle" : "", "family" : "Batiste-Alentorn", "given" : "E", "non-dropping-particle" : "", "parse-names" : false, "suffix" : "" }, { "dropping-particle" : "", "family" : "Lacy", "given" : "A M", "non-dropping-particle" : "", "parse-names" : false, "suffix" : "" }, { "dropping-particle" : "", "family" : "Delgado", "given" : "S", "non-dropping-particle" : "", "parse-names" : false, "suffix" : "" }, { "dropping-particle" : "", "family" : "Maurel", "given" : "J", "non-dropping-particle" : "", "parse-names" : false, "suffix" : "" }, { "dropping-particle" : "", "family" : "Pique", "given" : "J M", "non-dropping-particle" : "", "parse-names" : false, "suffix" : "" }, { "dropping-particle" : "", "family" : "Castells", "given" : "A", "non-dropping-particle" : "", "parse-names" : false, "suffix" : "" } ], "container-title" : "Journal of Clinical Oncology", "edition" : "2005/12/21", "id" : "ITEM-1", "issue" : "3", "issued" : { "date-parts" : [ [ "2006" ] ] }, "language" : "eng", "note" : "Rodriguez-Moranta, Francisco\nSalo, Joan\nArcusa, Angels\nBoadas, Jaume\nPinol, Virginia\nBessa, Xavier\nBatiste-Alentorn, Eduard\nLacy, Antonio M\nDelgado, Salvadora\nMaurel, Joan\nPique, Josep M\nCastells, Antoni\nJ Clin Oncol. 2006 Jan 20;24(3):386-93. Epub 2005 Dec 19.", "page" : "386-393", "title" : "Postoperative surveillance in patients with colorectal cancer who have undergone curative resection: a prospective, multicenter, randomized, controlled trial", "type" : "article-journal", "volume" : "24" }, "uris" : [ "http://www.mendeley.com/documents/?uuid=af58ce03-1c8f-40ca-9a6a-1d41af40727b", "http://www.mendeley.com/documents/?uuid=70ecac8c-e6e3-4c31-931d-a3f8bf3b5b98" ] }, { "id" : "ITEM-2", "itemData" : { "DOI" : "10.1001/jama.2013.285718", "ISSN" : "1538-3598", "PMID" : "24430319", "abstract" : "IMPORTANCE: Intensive follow-up after surgery for colorectal cancer is common practice but is based on limited evidence.\\n\\nOBJECTIVE: To assess the effect of scheduled blood measurement of carcinoembryonic antigen (CEA) and computed tomography (CT) as follow-up to detect recurrent colorectal cancer treatable with curative intent.\\n\\nDESIGN, SETTING, AND PARTICIPANTS: Randomized clinical trial in 39 National Health Service hospitals in the United Kingdom; 1202 eligible participants were recruited between January 2003 and August 2009 who had undergone curative surgery for primary colorectal cancer, including adjuvant treatment if indicated, with no evidence of residual disease on investigation.\\n\\nINTERVENTIONS: Participants were randomly assigned to 1 of 4 groups: CEA only (n\u2009=\u2009300), CT only (n\u2009=\u2009299), CEA+CT (n\u2009=\u2009302), or minimum follow-up (n\u2009=\u2009301). Blood CEA was measured every 3 months for 2 years, then every 6 months for 3 years; CT scans of the chest, abdomen, and pelvis were performed every 6 months for 2 years, then annually for 3 years; and the minimum follow-up group received follow-up if symptoms occurred.\\n\\nMAIN OUTCOMES AND MEASURES: The primary outcome was surgical treatment of recurrence with curative intent; secondary outcomes were mortality (total and colorectal cancer), time to detection of recurrence, and survival after treatment of recurrence with curative intent.\\n\\nRESULTS: After a mean 4.4 (SD, 0.8) years of observation, cancer recurrence was detected in 199 participants (16.6%; 95% CI, 14.5%-18.7%) overall; 71 of 1202 participants (5.9%; 95% CI, 4.6%-7.2%) were treated for recurrence with curative intent, with little difference according to Dukes staging (stage A, 5.1% [13/254]; stage B, 6.1% [34/553]; stage C, 6.2% [22/354]). Surgical treatment of recurrence with curative intent was 2.3% (7/301) in the minimum follow-up group, 6.7% (20/300) in the CEA group, 8% (24/299) in the CT group, and 6.6% (20/302) in the CEA+CT group. Compared with minimum follow-up, the absolute difference in the percentage of patients treated with curative intent in the CEA group was 4.4% (95% CI, 1.0%-7.9%; adjusted odds ratio [OR], 3.00; 95% CI, 1.23-7.33), in the CT group was 5.7% (95% CI, 2.2%-9.5%; adjusted OR, 3.63; 95% CI, 1.51-8.69), and in the CEA+CT group was 4.3% (95% CI, 1.0%-7.9%; adjusted OR, 3.10; 95% CI, 1.10-8.71). The number of deaths was not significantly different in the combined intensive monitoring groups (CEA, CT, and CEA+CT; 18.2\u2026", "author" : [ { "dropping-particle" : "", "family" : "Primrose", "given" : "John N", "non-dropping-particle" : "", "parse-names" : false, "suffix" : "" }, { "dropping-particle" : "", "family" : "Perera", "given" : "Rafael", "non-dropping-particle" : "", "parse-names" : false, "suffix" : "" }, { "dropping-particle" : "", "family" : "Gray", "given" : "Alastair", "non-dropping-particle" : "", "parse-names" : false, "suffix" : "" }, { "dropping-particle" : "", "family" : "Rose", "given" : "Peter", "non-dropping-particle" : "", "parse-names" : false, "suffix" : "" }, { "dropping-particle" : "", "family" : "Fuller", "given" : "Alice", "non-dropping-particle" : "", "parse-names" : false, "suffix" : "" }, { "dropping-particle" : "", "family" : "Corkhill", "given" : "Andrea", "non-dropping-particle" : "", "parse-names" : false, "suffix" : "" }, { "dropping-particle" : "", "family" : "George", "given" : "Steve", "non-dropping-particle" : "", "parse-names" : false, "suffix" : "" }, { "dropping-particle" : "", "family" : "Mant", "given" : "David", "non-dropping-particle" : "", "parse-names" : false, "suffix" : "" } ], "container-title" : "JAMA : the journal of the American Medical Association", "id" : "ITEM-2", "issue" : "3", "issued" : { "date-parts" : [ [ "2014" ] ] }, "page" : "263-70", "title" : "Effect of 3 to 5 years of scheduled CEA and CT follow-up to detect recurrence of colorectal cancer: the FACS randomized clinical trial.", "type" : "article-journal", "volume" : "311" }, "uris" : [ "http://www.mendeley.com/documents/?uuid=ea5f6b97-dd87-4c21-9f9f-54f0f1ca8208", "http://www.mendeley.com/documents/?uuid=a02b20fa-6abe-4e96-bb22-c91fb04e40ce" ] }, { "id" : "ITEM-3", "itemData" : { "DOI" : "10.1093/annonc/mdv541", "ISBN" : "0923-7534", "ISSN" : "15698041", "PMID" : "26578734", "abstract" : "BACKGROUND: Colorectal cancer is the third most common and the third most lethal  cancer in both men and women in developed countries. About 75% of cases are first diagnosed when the disease is classified as localized or regional, undergo potentially curative treatment and enter a post-treatment surveillance program. Although such programs drain significant resources from health systems, empirical evidence of their efficacy is scanty. PATIENTS AND METHODS: Dukes B2-C colorectal cancer patients who had no evidence of disease at the end of their front-line treatment (surgery and adjuvant radiochemotherapy, if indicated) were eligible for the trial and randomized to two different surveillance programs. These programs differed greatly in the frequency of diagnostic imaging. They had similar schedules of physical examinations and carcinoembryonic antigen (CEA) assessments. Patients received baseline and yearly health-related quality-of-life (HR-QoL) questionnaires. Primary outcomes were overall survival (OS) and QoL. RESULTS: From 1998 to 2006, 1228 assessable patients were randomized, 933 with colon cancer and 295 with rectal cancer. More than 90% of patients had the expected number of diagnostic procedures. Median follow-up duration was 62 months [interquartile range (IQR) 51-86] in the minimal surveillance group and 62 months (IQR 50-85) in the intensive group. At primary analysis, 250 patients had recurred and 218 had died. Intensive surveillance anticipated recurrence, as shown by a significant difference in mean disease-free survival of 5.9 months. Comparison of OS curves of the whole intention-to-treat population showed no statistically significant differences. HR-QoL of life scores did not differ between regimens. CONCLUSION: Our findings support the conclusions of other randomized clinical trials, which show that early diagnosis of cancer recurrence is not associated with OS benefit. CLINICALTRIALSGOV: NCT02409472.", "author" : [ { "dropping-particle" : "", "family" : "Rosati", "given" : "G.", "non-dropping-particle" : "", "parse-names" : false, "suffix" : "" }, { "dropping-particle" : "", "family" : "Ambrosini", "given" : "G.", "non-dropping-particle" : "", "parse-names" : false, "suffix" : "" }, { "dropping-particle" : "", "family" : "Barni", "given" : "S.", "non-dropping-particle" : "", "parse-names" : false, "suffix" : "" }, { "dropping-particle" : "", "family" : "Andreoni", "given" : "B.", "non-dropping-particle" : "", "parse-names" : false, "suffix" : "" }, { "dropping-particle" : "", "family" : "Corradini", "given" : "G.", "non-dropping-particle" : "", "parse-names" : false, "suffix" : "" }, { "dropping-particle" : "", "family" : "Luchena", "given" : "G.", "non-dropping-particle" : "", "parse-names" : false, "suffix" : "" }, { "dropping-particle" : "", "family" : "Daniele", "given" : "B.", "non-dropping-particle" : "", "parse-names" : false, "suffix" : "" }, { "dropping-particle" : "", "family" : "Gaion", "given" : "F.", "non-dropping-particle" : "", "parse-names" : false, "suffix" : "" }, { "dropping-particle" : "", "family" : "Oliverio", "given" : "G.", "non-dropping-particle" : "", "parse-names" : false, "suffix" : "" }, { "dropping-particle" : "", "family" : "Duro", "given" : "M.", "non-dropping-particle" : "", "parse-names" : false, "suffix" : "" }, { "dropping-particle" : "", "family" : "Martignoni", "given" : "G.", "non-dropping-particle" : "", "parse-names" : false, "suffix" : "" }, { "dropping-particle" : "", "family" : "Pinna", "given" : "N.", "non-dropping-particle" : "", "parse-names" : false, "suffix" : "" }, { "dropping-particle" : "", "family" : "Sozzi", "given" : "P.", "non-dropping-particle" : "", "parse-names" : false, "suffix" : "" }, { "dropping-particle" : "", "family" : "Pancera", "given" : "G.", "non-dropping-particle" : "", "parse-names" : false, "suffix" : "" }, { "dropping-particle" : "", "family" : "Solina", "given" : "G.", "non-dropping-particle" : "", "parse-names" : false, "suffix" : "" }, { "dropping-particle" : "", "family" : "Pavia", "given" : "G.", "non-dropping-particle" : "", "parse-names" : false, "suffix" : "" }, { "dropping-particle" : "", "family" : "Pignata", "given" : "S.", "non-dropping-particle" : "", "parse-names" : false, "suffix" : "" }, { "dropping-particle" : "", "family" : "Johnson", "given" : "F.", "non-dropping-particle" : "", "parse-names" : false, "suffix" : "" }, { "dropping-particle" : "", "family" : "Labianca", "given" : "R.", "non-dropping-particle" : "", "parse-names" : false, "suffix" : "" }, { "dropping-particle" : "", "family" : "Apolone", "given" : "G.", "non-dropping-particle" : "", "parse-names" : false, "suffix" : "" }, { "dropping-particle" : "", "family" : "Zaniboni", "given" : "A.", "non-dropping-particle" : "", "parse-names" : false, "suffix" : "" }, { "dropping-particle" : "", "family" : "Monteforte", "given" : "M.", "non-dropping-particle" : "", "parse-names" : false, "suffix" : "" }, { "dropping-particle" : "", "family" : "Negri", "given" : "E.", "non-dropping-particle" : "", "parse-names" : false, "suffix" : "" }, { "dropping-particle" : "", "family" : "Torri", "given" : "V.", "non-dropping-particle" : "", "parse-names" : false, "suffix" : "" }, { "dropping-particle" : "", "family" : "Mosconi", "given" : "P.", "non-dropping-particle" : "", "parse-names" : false, "suffix" : "" }, { "dropping-particle" : "", "family" : "Fossati", "given" : "Roldano", "non-dropping-particle" : "", "parse-names" : false, "suffix" : "" } ], "container-title" : "Annals of Oncology", "id" : "ITEM-3", "issue" : "2", "issued" : { "date-parts" : [ [ "2016" ] ] }, "page" : "274-280", "title" : "A randomized trial of intensive versus minimal surveillance of patients with resected Dukes B2-C colorectal carcinoma", "type" : "article-journal", "volume" : "27" }, "uris" : [ "http://www.mendeley.com/documents/?uuid=5265080a-a301-44c9-8713-9122d0bc07ff", "http://www.mendeley.com/documents/?uuid=55d953a7-e809-40e1-900a-e3b8b97d7045" ] } ], "mendeley" : { "formattedCitation" : "[2, 8, 9]", "plainTextFormattedCitation" : "[2, 8, 9]", "previouslyFormattedCitation" : "[2, 8, 9]" }, "properties" : { "noteIndex" : 0 }, "schema" : "https://github.com/citation-style-language/schema/raw/master/csl-citation.json" }</w:instrText>
      </w:r>
      <w:r w:rsidR="00834959">
        <w:fldChar w:fldCharType="separate"/>
      </w:r>
      <w:r w:rsidR="00834959" w:rsidRPr="00834959">
        <w:rPr>
          <w:noProof/>
        </w:rPr>
        <w:t>[2, 8, 9]</w:t>
      </w:r>
      <w:r w:rsidR="00834959">
        <w:fldChar w:fldCharType="end"/>
      </w:r>
      <w:r w:rsidR="007C7838">
        <w:t>,</w:t>
      </w:r>
      <w:r w:rsidR="00184F05">
        <w:t xml:space="preserve"> </w:t>
      </w:r>
      <w:r w:rsidR="00EB6B98">
        <w:t xml:space="preserve">showed no survival benefit </w:t>
      </w:r>
      <w:r w:rsidR="00451669">
        <w:t>from</w:t>
      </w:r>
      <w:r w:rsidR="00EB6B98">
        <w:t xml:space="preserve"> intensive surveillance. </w:t>
      </w:r>
      <w:r w:rsidR="002E6167">
        <w:t xml:space="preserve"> </w:t>
      </w:r>
      <w:r w:rsidR="00156619" w:rsidRPr="00C93121">
        <w:t>Across all published surveillance trials,</w:t>
      </w:r>
      <w:r w:rsidRPr="00C93121">
        <w:t xml:space="preserve"> the strategies tested, the populations studi</w:t>
      </w:r>
      <w:r w:rsidR="007126F7" w:rsidRPr="00C93121">
        <w:t>ed, and the study periods vary</w:t>
      </w:r>
      <w:r w:rsidRPr="00C93121">
        <w:t xml:space="preserve"> significantly.</w:t>
      </w:r>
      <w:r w:rsidR="00CD4054">
        <w:fldChar w:fldCharType="begin" w:fldLock="1"/>
      </w:r>
      <w:r w:rsidR="00834959">
        <w:instrText>ADDIN CSL_CITATION { "citationItems" : [ { "id" : "ITEM-1", "itemData" : { "DOI" : "10.1007/s10434-000-0032-y", "ISBN" : "1068-9265 (Print)\r1068-9265 (Linking)", "PMID" : "10674446", "abstract" : "BACKGROUND: Because more than 90% of local recurrences after curative surgery for rectal cancer appear within the first 36 months after surgery, an intensive and strict follow-up program during this period could improve early diagnosis and, thus, prognosis of patients. METHODS: Of the 216 patients who underwent surgery for rectal cancer, 127 entered an intensive follow-up program (median follow-up: 42 months); the clinical outcome of the remaining 89 patients was reconstructed with the help of their general practitioners. RESULTS: Fifty eight (26.8%) of the 216 patients who were treated with curative surgery alone developed a local recurrence; pelvic recurrences were prevalent. Eleven (30.5%) of the 36 patients who had recurrence during follow-up, and 6 of the 22 who had not undergone follow-up, had a reoperation with curative intent; the median survival was 19 months vs. 8 months, respectively (P = ns). Four (44.4%) curative reoperations were performed on the 9 asymptomatic patients and in 13 (26.5%) of the 49 cases with symptomatic local recurrences. Median survival was 15 months vs. 14 months, respectively (P = n.s). All patients except one (living after 42 months from reoperation) died within 48 months. CONCLUSIONS: In our study, adherence to a strict follow-up program unfortunately proved to be ineffective for improving long-term survival for patients who underwent reoperation with curative intent.", "author" : [ { "dropping-particle" : "", "family" : "Secco", "given" : "G B", "non-dropping-particle" : "", "parse-names" : false, "suffix" : "" }, { "dropping-particle" : "", "family" : "Fardelli", "given" : "R", "non-dropping-particle" : "", "parse-names" : false, "suffix" : "" }, { "dropping-particle" : "", "family" : "Rovida", "given" : "S", "non-dropping-particle" : "", "parse-names" : false, "suffix" : "" }, { "dropping-particle" : "", "family" : "Gianquinto", "given" : "D", "non-dropping-particle" : "", "parse-names" : false, "suffix" : "" }, { "dropping-particle" : "", "family" : "Baldi", "given" : "E", "non-dropping-particle" : "", "parse-names" : false, "suffix" : "" }, { "dropping-particle" : "", "family" : "Bonfante", "given" : "P", "non-dropping-particle" : "", "parse-names" : false, "suffix" : "" }, { "dropping-particle" : "", "family" : "Derchi", "given" : "L", "non-dropping-particle" : "", "parse-names" : false, "suffix" : "" }, { "dropping-particle" : "", "family" : "Ferraris", "given" : "R", "non-dropping-particle" : "", "parse-names" : false, "suffix" : "" } ], "container-title" : "Annals of Surgical Oncology", "edition" : "2000/02/16", "id" : "ITEM-1", "issue" : "1", "issued" : { "date-parts" : [ [ "2000" ] ] }, "language" : "eng", "note" : "Secco, G B\nFardelli, R\nRovida, S\nGianquinto, D\nBaldi, E\nBonfante, P\nDerchi, L\nFerraris, R\nUnited states\nAnnals of surgical oncology\nAnn Surg Oncol. 2000 Jan-Feb;7(1):32-7.", "page" : "32-37", "title" : "Is intensive follow-up really able to improve prognosis of patients with local recurrence after curative surgery for rectal cancer?", "type" : "article-journal", "volume" : "7" }, "uris" : [ "http://www.mendeley.com/documents/?uuid=b3971712-8c45-4ef4-95e3-f922f5ab7563", "http://www.mendeley.com/documents/?uuid=dc9765c8-f0ed-4165-bc9a-994a63816cdc" ] }, { "id" : "ITEM-2", "itemData" : { "DOI" : "10.1007/BF02239434", "ISBN" : "0012-3706 (Print)\r0012-3706 (Linking)", "PMID" : "9749496", "abstract" : "PURPOSE: This prospective, randomized, single-center study was designed to evaluate the influence of follow-up on detection and resectability of local recurrences and on survival after radical surgery for colorectal cancer. METHODS: Between 1987 and 1990, 207 consecutive patients who underwent curative resections for primary untreated large-bowel carcinoma were randomly assigned to a conventional follow-up group (Group A; n = 103) and to an intense follow-up group (Group B; n = 104). All the patients were followed up prospectively, and the outcome was known for all of them at five years. Patients in Group A were seen at six-month intervals for one year, and once a year thereafter. Patients in Group B were checked every three months during the first two years, at six-month intervals for the next three years, and once a year thereafter. RESULTS: Of the 103 patients in Group A, local recurrence was detected in 20; 9 (13 percent) of these patients had colon cancer, and 11 (29 percent) had rectal cancer. Of the 104 patients in Group B, local recurrence was detected in 26; 12 (16 percent) of these patients had colon cancer, and 14 (45 percent) had rectal cancer. Twelve cases (60 percent) of local recurrence in Group A and 24 cases (92 percent) in Group B were detected at scheduled visits (P &lt; 0.05). Local recurrences were detected earlier in patients of Group B (10.3 +/- 2.7 vs. 20.2 +/- 6.1 months; P &lt; 0.0003). Curative re-resection was possible in 2 patients (10 percent) in Group A, 1 with colon cancer and 1 with rectal cancer, and in 17 patients (65 percent) in Group B, 6 with colon cancer and 11 with rectal cancer (P &lt; 0.01). Of the Group B patients who had curative re-resections of local recurrence, 8 (47 percent) were disease-free and long-term survivors as of the last follow-up, and 2 (11.7 percent) were alive, but with a new recurrence. The 2 patients in Group A who had curative re-resections died as a result of cancer. The five-year survival rate in Group A was 58.3 percent and in Group B was 73.1 percent. The difference is statistically significant (P &lt; 0.02). CONCLUSIONS: Our data support use of an intense follow-up plan after primary resection of large-bowel cancer, at least in patients with rectal cancer.", "author" : [ { "dropping-particle" : "", "family" : "Pietra", "given" : "N", "non-dropping-particle" : "", "parse-names" : false, "suffix" : "" }, { "dropping-particle" : "", "family" : "Sarli", "given" : "L", "non-dropping-particle" : "", "parse-names" : false, "suffix" : "" }, { "dropping-particle" : "", "family" : "Costi", "given" : "R", "non-dropping-particle" : "", "parse-names" : false, "suffix" : "" }, { "dropping-particle" : "", "family" : "Ouchemi", "given" : "C", "non-dropping-particle" : "", "parse-names" : false, "suffix" : "" }, { "dropping-particle" : "", "family" : "Grattarola", "given" : "M", "non-dropping-particle" : "", "parse-names" : false, "suffix" : "" }, { "dropping-particle" : "", "family" : "Peracchia", "given" : "A", "non-dropping-particle" : "", "parse-names" : false, "suffix" : "" } ], "container-title" : "Diseases of the Colon and Rectum", "edition" : "1998/09/28", "id" : "ITEM-2", "issue" : "9", "issued" : { "date-parts" : [ [ "1998" ] ] }, "language" : "eng", "note" : "Pietra, N\nSarli, L\nCosti, R\nOuchemi, C\nGrattarola, M\nPeracchia, A\nDis Colon Rectum. 1998 Sep;41(9):1127-33.", "page" : "1127-1133", "title" : "Role of follow-up in management of local recurrences of colorectal cancer: a prospective, randomized study", "type" : "article-journal", "volume" : "41" }, "uris" : [ "http://www.mendeley.com/documents/?uuid=d450c585-e9c9-4327-a871-e94f33a4237c", "http://www.mendeley.com/documents/?uuid=cca32062-0917-4d75-9f60-b22c0f324706" ] }, { "id" : "ITEM-3", "itemData" : { "DOI" : "10.1016/S0016-5085(98)70626-2", "ISBN" : "0016-5085 (Print)\r0016-5085 (Linking)", "PMID" : "9428212", "abstract" : "BACKGROUND &amp; AIMS: Guidelines on the type and frequency of follow-up of patients after curative surgery for colorectal cancer are unclear. The aim of this study was to determine the survival benefit of a planned follow-up program. METHODS: Three hundred twenty-five patients who underwent curative resection of colorectal cancer were prospectively randomized to either intensive or standard follow-up. After stratification according to Dukes' stage and site in the colon or rectum, patients were randomized to intensive follow-up of yearly colonoscopy, computerized tomography (CT) of the liver, and chest radiography and clinical review and simple screening vs. structured clinical review and simple screening tests only. RESULTS: On completion of 5-year follow-up, there was no significant difference in survival between the two groups. Yearly colonoscopy failed to detect any asymptomatic local recurrences. Only one asymptomatic curable metachronous colon tumor was detected. Liver CT resulted in earlier detection of hepatic metastases but did not increase the number of curative hepatectomies. Only 1 patient had an asymptomatic CT-detected liver metastasis, and another had an asymptomatic chest radiography-detected lung metastasis. Both had curative resections. CONCLUSIONS: Yearly colonoscopy, liver CT, and chest radiography will not improve survival from colorectal cancer when added to symptom and simple screening review.", "author" : [ { "dropping-particle" : "", "family" : "Schoemaker", "given" : "D", "non-dropping-particle" : "", "parse-names" : false, "suffix" : "" }, { "dropping-particle" : "", "family" : "Black", "given" : "R", "non-dropping-particle" : "", "parse-names" : false, "suffix" : "" }, { "dropping-particle" : "", "family" : "Giles", "given" : "L", "non-dropping-particle" : "", "parse-names" : false, "suffix" : "" }, { "dropping-particle" : "", "family" : "Toouli", "given" : "J", "non-dropping-particle" : "", "parse-names" : false, "suffix" : "" } ], "container-title" : "Gastroenterology", "edition" : "1998/01/15", "id" : "ITEM-3", "issue" : "1", "issued" : { "date-parts" : [ [ "1998" ] ] }, "language" : "eng", "note" : "Schoemaker, D\nBlack, R\nGiles, L\nToouli, J\nGastroenterology. 1998 Jan;114(1):7-14.", "page" : "7-14", "title" : "Yearly colonoscopy, liver CT, and chest radiography do not influence 5-year survival of colorectal cancer patients", "type" : "article-journal", "volume" : "114" }, "uris" : [ "http://www.mendeley.com/documents/?uuid=2f83f5c4-8bc2-492a-b055-f436c1dc3814", "http://www.mendeley.com/documents/?uuid=9f77ae8f-c9e2-4d9f-98a9-8d5c837d829a" ] }, { "id" : "ITEM-4", "itemData" : { "DOI" : "10.1001/archsurg.1995.01430100040009", "ISBN" : "0004-0010 (Print)\r0004-0010 (Linking)", "PMID" : "7575117", "abstract" : "OBJECTIVE: To determine whether an intensified follow-up of patients with colorectal cancer can lead to improved reresectability and a better long-term survival. DESIGN: A prospective randomized trial of 106 patients. SETTING: Oulu University Hospital, a referral center in northern Finland. PATIENTS: A total of 106 consecutive patients who underwent radical resection for colorectal cancer, 54 of whom were randomized into a conventional follow-up group and 52 into an intensified follow-up group. MAIN OUTCOME MEASURES: After a 5-year follow-up, the time of detection of recurrence, the recurrence rates, the first method showing recurrence, the mode of recurrence, reresectability, and survival were compared between the groups. RESULTS: The recurrences were identified earlier in the intensified follow-up group than in the conventional follow-up group (mean +/- SD, 10 +/- 5 months vs 15 +/- 10 months). The overall recurrence rate was 41%, with 39% in the conventional group and 42% in the intensified group. Carcinoembryonic antigen determination was the most common method showing recurrence in both groups. Endoscopy and ultrasound were beneficial in the intensified follow-up group, but computed tomography failed to improve the diagnostics. The mode of recurrence did not differ between the groups. Radical resections were performed on 19% (8/43) of the patients, 14% (3/21) in the conventional group and 22% (5/22) in the intensified group. The cumulative 5-year survival was 54% in the conventional group and 59% in the intensified group. CONCLUSION: Earlier detection of recurrent colorectal cancer by intensified follow-up does not lead to either significantly increased reresectability or improved 5-year survival.", "author" : [ { "dropping-particle" : "", "family" : "Makela", "given" : "J T", "non-dropping-particle" : "", "parse-names" : false, "suffix" : "" }, { "dropping-particle" : "", "family" : "Laitinen", "given" : "S O", "non-dropping-particle" : "", "parse-names" : false, "suffix" : "" }, { "dropping-particle" : "", "family" : "Kairaluoma", "given" : "M I", "non-dropping-particle" : "", "parse-names" : false, "suffix" : "" } ], "container-title" : "Archives of Surgery", "edition" : "1995/10/01", "id" : "ITEM-4", "issue" : "10", "issued" : { "date-parts" : [ [ "1995" ] ] }, "language" : "eng", "note" : "Makela, J T\nLaitinen, S O\nKairaluoma, M I\nChicago, Ill. : 1960\nArch Surg. 1995 Oct;130(10):1062-7.", "page" : "1062-1067", "title" : "Five-year follow-up after radical surgery for colorectal cancer. Results of a prospective randomized trial", "type" : "article-journal", "volume" : "130" }, "uris" : [ "http://www.mendeley.com/documents/?uuid=465c1b41-55db-4bfc-8392-66b5455d4915", "http://www.mendeley.com/documents/?uuid=d1e48592-33c9-40cb-b868-0dec31b1b975" ] }, { "id" : "ITEM-5", "itemData" : { "DOI" : "10.1016/j.ejso.2015.06.008", "abstract" : "Aim: The value of frequent Carcino-Embryonic Antigen (CEA) measurements and CEA-triggered imaging for detecting recurrent disease in colorectal cancer (CRC) patients was investigated in search for an evidence-based follow-up protocol. Methods: This is a randomized-controlled multicenter prospective study using a stepped-wedge cluster design. From October 2010 to October 2012, surgically treated non-metastasized CRC patients in follow-up were followed in eleven hospitals. Clusters of hospitals Tel.: \u00fe31 50 3610219; fax: \u00fe31 50 3615625. E-mail addresses: c.j.verberne@umcg.nl (C.J. Verberne), z.zhan01@umcg.nl (Z. Zhan), e.r.v.d.heuvel@tue.nl (E. van den Heuvel), irenegrossmann@ me.com (I. Grossmann), e.r.manusama@znb.nl (E. Manusama), j.klaase@mst.nl (J. Klaase), h.mijle@nijsmellinghe.nl (H.C.J. van der Mijle), b.lamme@ asz.nl (B. Lamme), k.bosscha@jbz.nl (K. Bosscha), p.c.baas@mzh.nl (P. Baas), b.van.ooijen@meandermc.nl (B. van Ooijen), grard.nieuwehuijzen@ catharinaziekenhuis.nl (G. Nieuwenhuijzen), andreas.marinelli@mch.nl (A. Marinelli), e.van.der.zaag@gelre.nl (E. van der Zaag), d.wasowicz@ elisabeth.nl (D. Wasowicz), g.h.de.bock@umcg.nl (G.H. de Bock), t.wiggers@umcg.nl (T. Wiggers). ScienceDirect EJSO 41 (2015) 1188e1196 www.ejso.com sequentially changed their usual follow-up care into an intensified follow-up schedule consisting of CEA measurements every two months, with imaging in case of two CEA rises. The primary outcome measures were the proportion of recurrences that could be treated with cura-tive intent, recurrences with definitive curative treatment outcome, and the time to detection of recurrent disease. Results: 3223 patients were included; 243 recurrences were detected (7.5%). A higher proportion of recurrences was detected in the inter-vention protocol compared to the control protocol (OR \u00bc 1.80; 95%-CI: 1.33e2.50; p \u00bc 0.0004). The proportion of recurrences that could be treated with curative intent was higher in the intervention protocol (OR \u00bc 2.84; 95%-CI: 1.38e5.86; p \u00bc 0.0048) and the proportion of recurrences with definitive curative treatment outcome was also higher (OR \u00bc 3.12, 95%-CI: 1.25e6.02, p-value: 0.0145). The time to detection of recurrent disease was significantly shorter in the intensified follow-up protocol (HR \u00bc 1.45; 95%-CI: 1.08e1.95; p \u00bc 0.013). Conclusion: The CEAwatch protocol detects recurrent disease after colorectal cancer earlier, in a phase that a significantly higher propor-tion of recurrences can be treate\u2026", "author" : [ { "dropping-particle" : "", "family" : "Verberne", "given" : "C J", "non-dropping-particle" : "", "parse-names" : false, "suffix" : "" }, { "dropping-particle" : "", "family" : "Zhan", "given" : "Z", "non-dropping-particle" : "", "parse-names" : false, "suffix" : "" }, { "dropping-particle" : "", "family" : "Heuvel", "given" : "E", "non-dropping-particle" : "Van Den", "parse-names" : false, "suffix" : "" }, { "dropping-particle" : "", "family" : "Grossmann", "given" : "I", "non-dropping-particle" : "", "parse-names" : false, "suffix" : "" }, { "dropping-particle" : "", "family" : "Doornbos", "given" : "P M", "non-dropping-particle" : "", "parse-names" : false, "suffix" : "" }, { "dropping-particle" : "", "family" : "Havenga", "given" : "K", "non-dropping-particle" : "", "parse-names" : false, "suffix" : "" }, { "dropping-particle" : "", "family" : "Manusama", "given" : "E", "non-dropping-particle" : "", "parse-names" : false, "suffix" : "" }, { "dropping-particle" : "", "family" : "Klaase", "given" : "J", "non-dropping-particle" : "", "parse-names" : false, "suffix" : "" }, { "dropping-particle" : "", "family" : "Mijle", "given" : "H C J", "non-dropping-particle" : "Van Der", "parse-names" : false, "suffix" : "" }, { "dropping-particle" : "", "family" : "Lamme", "given" : "B", "non-dropping-particle" : "", "parse-names" : false, "suffix" : "" }, { "dropping-particle" : "", "family" : "Bosscha", "given" : "K", "non-dropping-particle" : "", "parse-names" : false, "suffix" : "" }, { "dropping-particle" : "", "family" : "Baas", "given" : "P", "non-dropping-particle" : "", "parse-names" : false, "suffix" : "" }, { "dropping-particle" : "", "family" : "Ooijen", "given" : "B", "non-dropping-particle" : "Van", "parse-names" : false, "suffix" : "" }, { "dropping-particle" : "", "family" : "Nieuwenhuijzen", "given" : "G", "non-dropping-particle" : "", "parse-names" : false, "suffix" : "" }, { "dropping-particle" : "", "family" : "Marinelli", "given" : "A", "non-dropping-particle" : "", "parse-names" : false, "suffix" : "" }, { "dropping-particle" : "", "family" : "Zaag", "given" : "E", "non-dropping-particle" : "Van Der", "parse-names" : false, "suffix" : "" }, { "dropping-particle" : "", "family" : "Wasowicz", "given" : "D", "non-dropping-particle" : "", "parse-names" : false, "suffix" : "" }, { "dropping-particle" : "", "family" : "Bock", "given" : "G H", "non-dropping-particle" : "De", "parse-names" : false, "suffix" : "" }, { "dropping-particle" : "", "family" : "Wiggers", "given" : "T", "non-dropping-particle" : "", "parse-names" : false, "suffix" : "" } ], "id" : "ITEM-5", "issued" : { "date-parts" : [ [ "2015" ] ] }, "title" : "Intensified follow-up in colorectal cancer patients using frequent Carcino-Embryonic Antigen (CEA) measurements and CEA-triggered imaging: Results of the randomized &amp;quot; CEAwatch &amp;quot; trial", "type" : "article-journal" }, "uris" : [ "http://www.mendeley.com/documents/?uuid=b977adee-3e38-39b5-b10c-747bcfd0093b", "http://www.mendeley.com/documents/?uuid=2927f67e-ea9a-48bd-907d-f3ff9757672b" ] }, { "id" : "ITEM-6", "itemData" : { "DOI" : "10.1007/BF02054122", "ISBN" : "0012-3706 (Print)\r0012-3706 (Linking)", "PMID" : "7774474", "abstract" : "PURPOSE: This study investigated the value of intense follow-up compared with no follow-up after curative surgery of cancer in the colon or rectum. METHODS: One hundred seven patients were randomized to no follow-up (control group; n = 54) or intense follow-up (follow-up group; n = 53) after surgery and early postoperative colonoscopy. Patients in the follow-up group were followed at frequent intervals with clinical examination, rigid proctosigmoidoscopy, colonoscopy, computed tomography of the pelvis (in patients operated with abdominoperineal resection), pulmonary x-ray, liver function tests, and determinations of carcinoembryonic antigen and fecal hemoglobin. Follow-up ranged from 5.5 to 8.8 years after primary surgery. RESULTS: Tumor recurred in 18 patients (33 percent) in the control group and in 17 patients (32 percent) in the follow-up group. Reresection with curative intent was performed in three patients in the control group and in five patients (four of whom were asymptomatic) in the follow-up group. In the follow-up group two asymptomatic patients with elevated carcinoembryonic antigen levels were disease-free three and five and one-half years after reresection and were the only patients apparently cured by reresection. No patient underwent surgery for metastatic disease in the liver or lungs. Symptomatic metachronous carcinoma was detected in one patient (control group) after three years. Five-year survival rate was 67 percent in the control group and 75 percent in the follow-up group (P &gt; 0.05); the corresponding cancer-specific survival rates were 71 percent and 78 percent, respectively. CONCLUSION: Intense follow-up after resection of colorectal cancer did not prolong survival in this study.", "author" : [ { "dropping-particle" : "", "family" : "Ohlsson", "given" : "B", "non-dropping-particle" : "", "parse-names" : false, "suffix" : "" }, { "dropping-particle" : "", "family" : "Breland", "given" : "U", "non-dropping-particle" : "", "parse-names" : false, "suffix" : "" }, { "dropping-particle" : "", "family" : "Ekberg", "given" : "H", "non-dropping-particle" : "", "parse-names" : false, "suffix" : "" }, { "dropping-particle" : "", "family" : "Graffner", "given" : "H", "non-dropping-particle" : "", "parse-names" : false, "suffix" : "" }, { "dropping-particle" : "", "family" : "Tranberg", "given" : "K G", "non-dropping-particle" : "", "parse-names" : false, "suffix" : "" } ], "container-title" : "Diseases of the Colon and Rectum", "edition" : "1995/06/01", "id" : "ITEM-6", "issue" : "6", "issued" : { "date-parts" : [ [ "1995" ] ] }, "language" : "eng", "note" : "Ohlsson, B\nBreland, U\nEkberg, H\nGraffner, H\nTranberg, K G\nDis Colon Rectum. 1995 Jun;38(6):619-26.", "page" : "619-626", "title" : "Follow-up after curative surgery for colorectal carcinoma. Randomized comparison with no follow-up", "type" : "article-journal", "volume" : "38" }, "uris" : [ "http://www.mendeley.com/documents/?uuid=688fd4d5-e7fe-4851-9500-0814a8d06872", "http://www.mendeley.com/documents/?uuid=27c2d800-1449-4fb9-8e98-917065b17fbc" ] }, { "id" : "ITEM-7", "itemData" : { "DOI" : "10.1001/jama.2013.285718", "ISSN" : "1538-3598", "PMID" : "24430319", "abstract" : "IMPORTANCE: Intensive follow-up after surgery for colorectal cancer is common practice but is based on limited evidence.\\n\\nOBJECTIVE: To assess the effect of scheduled blood measurement of carcinoembryonic antigen (CEA) and computed tomography (CT) as follow-up to detect recurrent colorectal cancer treatable with curative intent.\\n\\nDESIGN, SETTING, AND PARTICIPANTS: Randomized clinical trial in 39 National Health Service hospitals in the United Kingdom; 1202 eligible participants were recruited between January 2003 and August 2009 who had undergone curative surgery for primary colorectal cancer, including adjuvant treatment if indicated, with no evidence of residual disease on investigation.\\n\\nINTERVENTIONS: Participants were randomly assigned to 1 of 4 groups: CEA only (n\u2009=\u2009300), CT only (n\u2009=\u2009299), CEA+CT (n\u2009=\u2009302), or minimum follow-up (n\u2009=\u2009301). Blood CEA was measured every 3 months for 2 years, then every 6 months for 3 years; CT scans of the chest, abdomen, and pelvis were performed every 6 months for 2 years, then annually for 3 years; and the minimum follow-up group received follow-up if symptoms occurred.\\n\\nMAIN OUTCOMES AND MEASURES: The primary outcome was surgical treatment of recurrence with curative intent; secondary outcomes were mortality (total and colorectal cancer), time to detection of recurrence, and survival after treatment of recurrence with curative intent.\\n\\nRESULTS: After a mean 4.4 (SD, 0.8) years of observation, cancer recurrence was detected in 199 participants (16.6%; 95% CI, 14.5%-18.7%) overall; 71 of 1202 participants (5.9%; 95% CI, 4.6%-7.2%) were treated for recurrence with curative intent, with little difference according to Dukes staging (stage A, 5.1% [13/254]; stage B, 6.1% [34/553]; stage C, 6.2% [22/354]). Surgical treatment of recurrence with curative intent was 2.3% (7/301) in the minimum follow-up group, 6.7% (20/300) in the CEA group, 8% (24/299) in the CT group, and 6.6% (20/302) in the CEA+CT group. Compared with minimum follow-up, the absolute difference in the percentage of patients treated with curative intent in the CEA group was 4.4% (95% CI, 1.0%-7.9%; adjusted odds ratio [OR], 3.00; 95% CI, 1.23-7.33), in the CT group was 5.7% (95% CI, 2.2%-9.5%; adjusted OR, 3.63; 95% CI, 1.51-8.69), and in the CEA+CT group was 4.3% (95% CI, 1.0%-7.9%; adjusted OR, 3.10; 95% CI, 1.10-8.71). The number of deaths was not significantly different in the combined intensive monitoring groups (CEA, CT, and CEA+CT; 18.2\u2026", "author" : [ { "dropping-particle" : "", "family" : "Primrose", "given" : "John N", "non-dropping-particle" : "", "parse-names" : false, "suffix" : "" }, { "dropping-particle" : "", "family" : "Perera", "given" : "Rafael", "non-dropping-particle" : "", "parse-names" : false, "suffix" : "" }, { "dropping-particle" : "", "family" : "Gray", "given" : "Alastair", "non-dropping-particle" : "", "parse-names" : false, "suffix" : "" }, { "dropping-particle" : "", "family" : "Rose", "given" : "Peter", "non-dropping-particle" : "", "parse-names" : false, "suffix" : "" }, { "dropping-particle" : "", "family" : "Fuller", "given" : "Alice", "non-dropping-particle" : "", "parse-names" : false, "suffix" : "" }, { "dropping-particle" : "", "family" : "Corkhill", "given" : "Andrea", "non-dropping-particle" : "", "parse-names" : false, "suffix" : "" }, { "dropping-particle" : "", "family" : "George", "given" : "Steve", "non-dropping-particle" : "", "parse-names" : false, "suffix" : "" }, { "dropping-particle" : "", "family" : "Mant", "given" : "David", "non-dropping-particle" : "", "parse-names" : false, "suffix" : "" } ], "container-title" : "JAMA : the journal of the American Medical Association", "id" : "ITEM-7", "issue" : "3", "issued" : { "date-parts" : [ [ "2014" ] ] }, "page" : "263-70", "title" : "Effect of 3 to 5 years of scheduled CEA and CT follow-up to detect recurrence of colorectal cancer: the FACS randomized clinical trial.", "type" : "article-journal", "volume" : "311" }, "uris" : [ "http://www.mendeley.com/documents/?uuid=a02b20fa-6abe-4e96-bb22-c91fb04e40ce", "http://www.mendeley.com/documents/?uuid=ea5f6b97-dd87-4c21-9f9f-54f0f1ca8208", "http://www.mendeley.com/documents/?uuid=6590643f-0179-4395-88a2-e16cd5b0014a" ] }, { "id" : "ITEM-8", "itemData" : { "DOI" : "10.1093/annonc/mdv541", "ISBN" : "0923-7534", "ISSN" : "15698041", "PMID" : "26578734", "abstract" : "BACKGROUND: Colorectal cancer is the third most common and the third most lethal  cancer in both men and women in developed countries. About 75% of cases are first diagnosed when the disease is classified as localized or regional, undergo potentially curative treatment and enter a post-treatment surveillance program. Although such programs drain significant resources from health systems, empirical evidence of their efficacy is scanty. PATIENTS AND METHODS: Dukes B2-C colorectal cancer patients who had no evidence of disease at the end of their front-line treatment (surgery and adjuvant radiochemotherapy, if indicated) were eligible for the trial and randomized to two different surveillance programs. These programs differed greatly in the frequency of diagnostic imaging. They had similar schedules of physical examinations and carcinoembryonic antigen (CEA) assessments. Patients received baseline and yearly health-related quality-of-life (HR-QoL) questionnaires. Primary outcomes were overall survival (OS) and QoL. RESULTS: From 1998 to 2006, 1228 assessable patients were randomized, 933 with colon cancer and 295 with rectal cancer. More than 90% of patients had the expected number of diagnostic procedures. Median follow-up duration was 62 months [interquartile range (IQR) 51-86] in the minimal surveillance group and 62 months (IQR 50-85) in the intensive group. At primary analysis, 250 patients had recurred and 218 had died. Intensive surveillance anticipated recurrence, as shown by a significant difference in mean disease-free survival of 5.9 months. Comparison of OS curves of the whole intention-to-treat population showed no statistically significant differences. HR-QoL of life scores did not differ between regimens. CONCLUSION: Our findings support the conclusions of other randomized clinical trials, which show that early diagnosis of cancer recurrence is not associated with OS benefit. CLINICALTRIALSGOV: NCT02409472.", "author" : [ { "dropping-particle" : "", "family" : "Rosati", "given" : "G.", "non-dropping-particle" : "", "parse-names" : false, "suffix" : "" }, { "dropping-particle" : "", "family" : "Ambrosini", "given" : "G.", "non-dropping-particle" : "", "parse-names" : false, "suffix" : "" }, { "dropping-particle" : "", "family" : "Barni", "given" : "S.", "non-dropping-particle" : "", "parse-names" : false, "suffix" : "" }, { "dropping-particle" : "", "family" : "Andreoni", "given" : "B.", "non-dropping-particle" : "", "parse-names" : false, "suffix" : "" }, { "dropping-particle" : "", "family" : "Corradini", "given" : "G.", "non-dropping-particle" : "", "parse-names" : false, "suffix" : "" }, { "dropping-particle" : "", "family" : "Luchena", "given" : "G.", "non-dropping-particle" : "", "parse-names" : false, "suffix" : "" }, { "dropping-particle" : "", "family" : "Daniele", "given" : "B.", "non-dropping-particle" : "", "parse-names" : false, "suffix" : "" }, { "dropping-particle" : "", "family" : "Gaion", "given" : "F.", "non-dropping-particle" : "", "parse-names" : false, "suffix" : "" }, { "dropping-particle" : "", "family" : "Oliverio", "given" : "G.", "non-dropping-particle" : "", "parse-names" : false, "suffix" : "" }, { "dropping-particle" : "", "family" : "Duro", "given" : "M.", "non-dropping-particle" : "", "parse-names" : false, "suffix" : "" }, { "dropping-particle" : "", "family" : "Martignoni", "given" : "G.", "non-dropping-particle" : "", "parse-names" : false, "suffix" : "" }, { "dropping-particle" : "", "family" : "Pinna", "given" : "N.", "non-dropping-particle" : "", "parse-names" : false, "suffix" : "" }, { "dropping-particle" : "", "family" : "Sozzi", "given" : "P.", "non-dropping-particle" : "", "parse-names" : false, "suffix" : "" }, { "dropping-particle" : "", "family" : "Pancera", "given" : "G.", "non-dropping-particle" : "", "parse-names" : false, "suffix" : "" }, { "dropping-particle" : "", "family" : "Solina", "given" : "G.", "non-dropping-particle" : "", "parse-names" : false, "suffix" : "" }, { "dropping-particle" : "", "family" : "Pavia", "given" : "G.", "non-dropping-particle" : "", "parse-names" : false, "suffix" : "" }, { "dropping-particle" : "", "family" : "Pignata", "given" : "S.", "non-dropping-particle" : "", "parse-names" : false, "suffix" : "" }, { "dropping-particle" : "", "family" : "Johnson", "given" : "F.", "non-dropping-particle" : "", "parse-names" : false, "suffix" : "" }, { "dropping-particle" : "", "family" : "Labianca", "given" : "R.", "non-dropping-particle" : "", "parse-names" : false, "suffix" : "" }, { "dropping-particle" : "", "family" : "Apolone", "given" : "G.", "non-dropping-particle" : "", "parse-names" : false, "suffix" : "" }, { "dropping-particle" : "", "family" : "Zaniboni", "given" : "A.", "non-dropping-particle" : "", "parse-names" : false, "suffix" : "" }, { "dropping-particle" : "", "family" : "Monteforte", "given" : "M.", "non-dropping-particle" : "", "parse-names" : false, "suffix" : "" }, { "dropping-particle" : "", "family" : "Negri", "given" : "E.", "non-dropping-particle" : "", "parse-names" : false, "suffix" : "" }, { "dropping-particle" : "", "family" : "Torri", "given" : "V.", "non-dropping-particle" : "", "parse-names" : false, "suffix" : "" }, { "dropping-particle" : "", "family" : "Mosconi", "given" : "P.", "non-dropping-particle" : "", "parse-names" : false, "suffix" : "" }, { "dropping-particle" : "", "family" : "Fossati", "given" : "Roldano", "non-dropping-particle" : "", "parse-names" : false, "suffix" : "" } ], "container-title" : "Annals of Oncology", "id" : "ITEM-8", "issue" : "2", "issued" : { "date-parts" : [ [ "2016" ] ] }, "page" : "274-280", "title" : "A randomized trial of intensive versus minimal surveillance of patients with resected Dukes B2-C colorectal carcinoma", "type" : "article-journal", "volume" : "27" }, "uris" : [ "http://www.mendeley.com/documents/?uuid=55d953a7-e809-40e1-900a-e3b8b97d7045", "http://www.mendeley.com/documents/?uuid=5265080a-a301-44c9-8713-9122d0bc07ff", "http://www.mendeley.com/documents/?uuid=77dc0855-a98b-4d4d-ab01-56488b526579" ] } ], "mendeley" : { "formattedCitation" : "[2, 9\u201315]", "plainTextFormattedCitation" : "[2, 9\u201315]", "previouslyFormattedCitation" : "[2, 9\u201315]" }, "properties" : { "noteIndex" : 0 }, "schema" : "https://github.com/citation-style-language/schema/raw/master/csl-citation.json" }</w:instrText>
      </w:r>
      <w:r w:rsidR="00CD4054">
        <w:fldChar w:fldCharType="separate"/>
      </w:r>
      <w:r w:rsidR="00E3241D" w:rsidRPr="00E3241D">
        <w:rPr>
          <w:noProof/>
        </w:rPr>
        <w:t>[2, 9–15]</w:t>
      </w:r>
      <w:r w:rsidR="00CD4054">
        <w:fldChar w:fldCharType="end"/>
      </w:r>
      <w:r w:rsidRPr="00C93121">
        <w:t xml:space="preserve">  </w:t>
      </w:r>
      <w:r w:rsidR="0060493F">
        <w:t>U</w:t>
      </w:r>
      <w:r w:rsidR="00493480">
        <w:t xml:space="preserve">nsurprisingly, </w:t>
      </w:r>
      <w:r w:rsidR="008C4701" w:rsidRPr="00C93121">
        <w:t xml:space="preserve">an evidence-based </w:t>
      </w:r>
      <w:r w:rsidR="007B7AEA" w:rsidRPr="00C93121">
        <w:t>consensus</w:t>
      </w:r>
      <w:r w:rsidRPr="00C93121">
        <w:t xml:space="preserve"> among expert panels </w:t>
      </w:r>
      <w:r w:rsidR="007B7AEA" w:rsidRPr="00C93121">
        <w:t>regarding</w:t>
      </w:r>
      <w:r w:rsidRPr="00C93121">
        <w:t xml:space="preserve"> how best to follow these patients</w:t>
      </w:r>
      <w:r w:rsidR="007B7AEA" w:rsidRPr="00C93121">
        <w:t xml:space="preserve"> is lacking</w:t>
      </w:r>
      <w:r w:rsidRPr="00C93121">
        <w:t>.</w:t>
      </w:r>
      <w:r w:rsidR="00CD4054">
        <w:fldChar w:fldCharType="begin" w:fldLock="1"/>
      </w:r>
      <w:r w:rsidR="00834959">
        <w:instrText>ADDIN CSL_CITATION { "citationItems" : [ { "id" : "ITEM-1", "itemData" : { "DOI" : "10.1093/annonc/mdt354", "ISBN" : "1569-8041", "ISSN" : "15698041", "PMID" : "24078664", "abstract" : "The DNA modification 5-hydroxymethylcytosine (5hmC) is now referred to as the sixth base of DNA with evidence of tissue-specific patterns and correlation with gene regulation and expression. This epigenetic mark was recently reported as a potential biomarker for multiple types of cancer, but its application in the clinic is limited by the utility of recent 5hmC quantification assays. We use a recently developed, ultra-sensitive, fluorescence-based single-molecule method for global quantification of 5hmC in genomic DNA. The high sensitivity of the method gives access to precise quantification of extremely low 5hmC levels common in many cancers. We assessed 5hmC levels in DNA extracted from a set of colon and blood cancer samples and compared 5hmC levels with healthy controls, in a single-molecule approach. Using our method, we observed a significantly reduced level of 5hmC in blood and colon cancers and could distinguish between colon tumor and colon tissue adjacent to the tumor based on the global levels of this molecular biomarker. Single-molecule detection of 5hmC allows distinguishing between malignant and healthy tissue in clinically relevant and accessible tissue such as blood and colon. The presented method outperforms current commercially available quantification kits and may potentially be developed into a widely used, 5hmC quantification assay for research and clinical diagnostics. Furthermore, using this method, we confirm that 5hmC is a good molecular biomarker for diagnosing colon and various types of blood cancer.", "author" : [ { "dropping-particle" : "", "family" : "Labianca", "given" : "R.", "non-dropping-particle" : "", "parse-names" : false, "suffix" : "" }, { "dropping-particle" : "", "family" : "Nordlinger", "given" : "B.", "non-dropping-particle" : "", "parse-names" : false, "suffix" : "" }, { "dropping-particle" : "", "family" : "Beretta", "given" : "G. D.", "non-dropping-particle" : "", "parse-names" : false, "suffix" : "" }, { "dropping-particle" : "", "family" : "Mosconi", "given" : "S.", "non-dropping-particle" : "", "parse-names" : false, "suffix" : "" }, { "dropping-particle" : "", "family" : "Mandal\u00e0", "given" : "M.", "non-dropping-particle" : "", "parse-names" : false, "suffix" : "" }, { "dropping-particle" : "", "family" : "Cervantes", "given" : "A.", "non-dropping-particle" : "", "parse-names" : false, "suffix" : "" }, { "dropping-particle" : "", "family" : "Arnold", "given" : "D.", "non-dropping-particle" : "", "parse-names" : false, "suffix" : "" } ], "container-title" : "Annals of Oncology", "id" : "ITEM-1", "issue" : "SUPPL.6", "issued" : { "date-parts" : [ [ "2013" ] ] }, "title" : "Early colon cancer: ESMO clinical practice guidelines for diagnosis, treatment and follow-up", "type" : "article-journal", "volume" : "24" }, "uris" : [ "http://www.mendeley.com/documents/?uuid=4ac6a653-9f3d-45ff-a038-22144c03221f" ] }, { "id" : "ITEM-2", "itemData" : { "DOI" : "10.1093/annonc/mdx224", "ISSN" : "15698041", "PMID" : "28881920", "author" : [ { "dropping-particle" : "", "family" : "Glynne-Jones", "given" : "R.", "non-dropping-particle" : "", "parse-names" : false, "suffix" : "" }, { "dropping-particle" : "", "family" : "Wyrwicz", "given" : "L.", "non-dropping-particle" : "", "parse-names" : false, "suffix" : "" }, { "dropping-particle" : "", "family" : "Tiret", "given" : "E.", "non-dropping-particle" : "", "parse-names" : false, "suffix" : "" }, { "dropping-particle" : "", "family" : "Brown", "given" : "G.", "non-dropping-particle" : "", "parse-names" : false, "suffix" : "" }, { "dropping-particle" : "", "family" : "R\u00f6del", "given" : "C.", "non-dropping-particle" : "", "parse-names" : false, "suffix" : "" }, { "dropping-particle" : "", "family" : "Cervantes", "given" : "A.", "non-dropping-particle" : "", "parse-names" : false, "suffix" : "" }, { "dropping-particle" : "", "family" : "Arnold", "given" : "D.", "non-dropping-particle" : "", "parse-names" : false, "suffix" : "" } ], "container-title" : "Annals of Oncology", "id" : "ITEM-2", "issued" : { "date-parts" : [ [ "2017" ] ] }, "page" : "iv22-iv40", "title" : "Rectal cancer: ESMO Clinical Practice Guidelines for diagnosis, treatment and follow-up", "type" : "article-journal", "volume" : "28" }, "uris" : [ "http://www.mendeley.com/documents/?uuid=a68a0458-7283-44e2-8c9f-d4f2a4d8329b" ] }, { "id" : "ITEM-3", "itemData" : { "ISBN" : "978-1-4731-0860-8", "abstract" : "The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application of the recommendations in this guideline are not mandatory and the guideline does not override the responsibility of healthcare professionals to make decisions appropriate to the circumstances of the individual patient, in consultation with the patient and/or their carer or guardian. Local commissioners and/or providers have a responsibility to enable the guideline to be applied when individual health professionals and their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 "author" : [ { "dropping-particle" : "", "family" : "NICE. National Institute for Health and Care Excellence", "given" : "", "non-dropping-particle" : "", "parse-names" : false, "suffix" : "" } ], "container-title" : "National Institute for Health and Care Excellence", "id" : "ITEM-3", "issue" : "December", "issued" : { "date-parts" : [ [ "2011" ] ] }, "page" : "1-48", "title" : "Colorectal cancer: diagnosis and  management Clinical guideline", "type" : "article-journal" }, "uris" : [ "http://www.mendeley.com/documents/?uuid=65023706-55ea-4132-8f16-41bdf235a1c9" ] }, { "id" : "ITEM-4", "itemData" : { "DOI" : "10.1053/j.gastro.2006.03.013", "ISBN" : "0016-5085 (Print)\r0016-5085 (Linking)", "PMID" : "16697749", "abstract" : "Patients with resected colorectal cancer are at risk for recurrent cancer and metachronous neoplasms in the colon. This joint update of guidelines by the American Cancer Society and the US Multi-Society Task Force on Colorectal Cancer addresses only the use of endoscopy in the surveillance of these patients. Patients with endoscopically resected Stage I colorectal cancer, surgically resected Stages II and III cancers, and Stage IV cancer resected for cure (isolated hepatic or pulmonary metastasis) are candidates for endoscopic surveillance. The colorectum should be carefully cleared of synchronous neoplasia in the perioperative period. In nonobstructed colons, colonoscopy should be performed preoperatively. In obstructed colons, double-contrast barium enema or computed tomography colonography should be performed preoperatively, and colonoscopy should be performed 3 to 6 months after surgery. These steps complete the process of clearing synchronous disease. After clearing for synchronous disease, another colonoscopy should be performed in 1 year to look for metachronous lesions. This recommendation is based on reports of a high incidence of apparently metachronous second cancers in the first 2 years after resection. If the examination at 1 year is normal, then the interval before the next subsequent examination should be 3 years. If that examination is normal, then the interval before the next subsequent examination should be 5 years. Shorter intervals may be indicated by associated adenoma findings (see \"Guidelines for Colonoscopy Surveillance After Polypectomy: A Consensus Update by the US Multi-Society Task Force on Colorectal Cancer and the American Cancer Society\"). Shorter intervals also are indicated if the patient's age, family history, or tumor testing indicate definite or probable hereditary nonpolyposis colorectal cancer. Patients undergoing low anterior resection of rectal cancer generally have higher rates of local cancer recurrence compared with those with colon cancer. Although effectiveness is not proven, performance of endoscopic ultrasound or flexible sigmoidoscopy at 3- to 6-month intervals for the first 2 years after resection can be considered for the purpose of detecting a surgically curable recurrence of the original rectal cancer.", "author" : [ { "dropping-particle" : "", "family" : "Rex", "given" : "D K", "non-dropping-particle" : "", "parse-names" : false, "suffix" : "" }, { "dropping-particle" : "", "family" : "Kahi", "given" : "C J", "non-dropping-particle" : "", "parse-names" : false, "suffix" : "" }, { "dropping-particle" : "", "family" : "Levin", "given" : "B", "non-dropping-particle" : "", "parse-names" : false, "suffix" : "" }, { "dropping-particle" : "", "family" : "Smith", "given" : "R A", "non-dropping-particle" : "", "parse-names" : false, "suffix" : "" }, { "dropping-particle" : "", "family" : "Bond", "given" : "J H", "non-dropping-particle" : "", "parse-names" : false, "suffix" : "" }, { "dropping-particle" : "", "family" : "Brooks", "given" : "D", "non-dropping-particle" : "", "parse-names" : false, "suffix" : "" }, { "dropping-particle" : "", "family" : "Burt", "given" : "R W", "non-dropping-particle" : "", "parse-names" : false, "suffix" : "" }, { "dropping-particle" : "", "family" : "Byers", "given" : "T", "non-dropping-particle" : "", "parse-names" : false, "suffix" : "" }, { "dropping-particle" : "", "family" : "Fletcher", "given" : "R H", "non-dropping-particle" : "", "parse-names" : false, "suffix" : "" }, { "dropping-particle" : "", "family" : "Hyman", "given" : "N", "non-dropping-particle" : "", "parse-names" : false, "suffix" : "" }, { "dropping-particle" : "", "family" : "Johnson", "given" : "D", "non-dropping-particle" : "", "parse-names" : false, "suffix" : "" }, { "dropping-particle" : "", "family" : "Kirk", "given" : "L", "non-dropping-particle" : "", "parse-names" : false, "suffix" : "" }, { "dropping-particle" : "", "family" : "Lieberman", "given" : "D A", "non-dropping-particle" : "", "parse-names" : false, "suffix" : "" }, { "dropping-particle" : "", "family" : "Levin", "given" : "T R", "non-dropping-particle" : "", "parse-names" : false, "suffix" : "" }, { "dropping-particle" : "", "family" : "O'Brien", "given" : "M J", "non-dropping-particle" : "", "parse-names" : false, "suffix" : "" }, { "dropping-particle" : "", "family" : "Simmang", "given" : "C", "non-dropping-particle" : "", "parse-names" : false, "suffix" : "" }, { "dropping-particle" : "", "family" : "Thorson", "given" : "A G", "non-dropping-particle" : "", "parse-names" : false, "suffix" : "" }, { "dropping-particle" : "", "family" : "Winawer", "given" : "S J", "non-dropping-particle" : "", "parse-names" : false, "suffix" : "" } ], "container-title" : "Gastroenterology", "edition" : "2006/05/16", "id" : "ITEM-4", "issue" : "6", "issued" : { "date-parts" : [ [ "2006" ] ] }, "language" : "eng", "note" : "Rex, Douglas K\nKahi, Charles J\nLevin, Bernard\nSmith, Robert A\nBond, John H\nBrooks, Durado\nBurt, Randall W\nByers, Tim\nFletcher, Robert H\nHyman, Neil\nJohnson, David\nKirk, Lynne\nLieberman, David A\nLevin, Theodore R\nO'Brien, Michael J\nSimmang, Clifford\nThorson, Alan G\nWinawer, Sidney J\nAmerican Cancer Society\nUS Multi-Society Task Force on Colorectal Cancer\nGastroenterology. 2006 May;130(6):1865-71.", "page" : "1865-1871", "title" : "Guidelines for colonoscopy surveillance after cancer resection: a consensus update by the American Cancer Society and the US Multi-Society Task Force on Colorectal Cancer", "type" : "article-journal", "volume" : "130" }, "uris" : [ "http://www.mendeley.com/documents/?uuid=35334ba6-1b92-4d2b-b1f2-48966486d9d0", "http://www.mendeley.com/documents/?uuid=b3daed10-ce9a-4c5d-941e-0b090de062ef" ] }, { "id" : "ITEM-5", "itemData" : { "URL" : "http://www.nccn.org/professionals/physician_gls/pdf/colon.pdf", "author" : [ { "dropping-particle" : "", "family" : "Network", "given" : "National Comprehensive Cancer", "non-dropping-particle" : "", "parse-names" : false, "suffix" : "" } ], "id" : "ITEM-5", "issue" : "September 26", "issued" : { "date-parts" : [ [ "2016" ] ] }, "title" : "NCCN Clinical Practice Guidelines in Oncology: Colon Cancer", "type" : "webpage", "volume" : "2016" }, "uris" : [ "http://www.mendeley.com/documents/?uuid=5004b782-8005-430b-8b86-1e5e58e38e88", "http://www.mendeley.com/documents/?uuid=b08a7d31-dd57-4dbf-ae98-586e66092a4a" ] }, { "id" : "ITEM-6", "itemData" : { "URL" : "http://www.nccn.org/professionals/physician_gls/pdf/rectal.pdf", "author" : [ { "dropping-particle" : "", "family" : "Network", "given" : "National Comrehensive Cancer", "non-dropping-particle" : "", "parse-names" : false, "suffix" : "" } ], "id" : "ITEM-6", "issue" : "September 26", "issued" : { "date-parts" : [ [ "2014" ] ] }, "title" : "NCCN Clinical Practice Guidelines in Oncology: Rectal Cancer", "type" : "webpage", "volume" : "2014" }, "uris" : [ "http://www.mendeley.com/documents/?uuid=87d3af89-23b2-4b9b-b88e-acaed93af433", "http://www.mendeley.com/documents/?uuid=808d09a6-0eaf-4122-b01e-5236187d4ded" ] }, { "id" : "ITEM-7", "itemData" : { "DOI" : "10.1200/JCO.2013.50.7442", "ISSN" : "15277755", "PMID" : "24220554", "abstract" : "PURPOSE: The American Society of Clinical Oncology (ASCO) has a policy and set of procedures for endorsing recent clinical practice guidelines that have been developed by other professional organizations. METHODS: The Cancer Care Ontario (CCO) Guideline on Follow-up Care, Surveillance Protocol, and Secondary Prevention Measures for Survivors of Colorectal Cancer was reviewed by ASCO for methodologic rigor and considered for endorsement. RESULTS: The ASCO Panel concurred with the CCO recommendations and recommended endorsement, with the addition of several qualifying statements. CONCLUSION: Surveillance should be guided by presumed risk of recurrence and functional status of the patient (important within the first 2 to 4 years). Medical history, physical examination, and carcinoembryonic antigen testing should be performed every 3 to 6 months for 5 years. Patients at higher risk of recurrence should be considered for testing in the more frequent end of the range. A computed tomography scan (abdominal and chest) is recommended annually for 3 years, in most cases. Positron emission tomography scans should not be used for surveillance outside of a clinical trial. A surveillance colonoscopy should be performed 1 year after the initial surgery and then every 5 years, dictated by the findings of the previous one. If a colonoscopy was not preformed before diagnosis, it should be done after completion of adjuvant therapy (before 1 year). Secondary prevention (maintaining a healthy body weight and active lifestyle) is recommended. If a patient is not a candidate for surgery or systemic therapy because of severe comorbid conditions, surveillance tests should not be performed. A treatment plan from the specialist should have clear directions on appropriate follow-up by a nonspecialist.", "author" : [ { "dropping-particle" : "", "family" : "Meyerhardt", "given" : "Jeffrey A.", "non-dropping-particle" : "", "parse-names" : false, "suffix" : "" }, { "dropping-particle" : "", "family" : "Mangu", "given" : "Pamela B.", "non-dropping-particle" : "", "parse-names" : false, "suffix" : "" }, { "dropping-particle" : "", "family" : "Flynn", "given" : "Patrick J.", "non-dropping-particle" : "", "parse-names" : false, "suffix" : "" }, { "dropping-particle" : "", "family" : "Korde", "given" : "Larissa", "non-dropping-particle" : "", "parse-names" : false, "suffix" : "" }, { "dropping-particle" : "", "family" : "Loprinzi", "given" : "Charles L.", "non-dropping-particle" : "", "parse-names" : false, "suffix" : "" }, { "dropping-particle" : "", "family" : "Minsky", "given" : "Bruce D.", "non-dropping-particle" : "", "parse-names" : false, "suffix" : "" }, { "dropping-particle" : "", "family" : "Petrelli", "given" : "Nicholas J.", "non-dropping-particle" : "", "parse-names" : false, "suffix" : "" }, { "dropping-particle" : "", "family" : "Ryan", "given" : "Kim", "non-dropping-particle" : "", "parse-names" : false, "suffix" : "" }, { "dropping-particle" : "", "family" : "Schrag", "given" : "Deborah H.", "non-dropping-particle" : "", "parse-names" : false, "suffix" : "" }, { "dropping-particle" : "", "family" : "Wong", "given" : "Sandra L.", "non-dropping-particle" : "", "parse-names" : false, "suffix" : "" }, { "dropping-particle" : "", "family" : "Benson", "given" : "Al B.", "non-dropping-particle" : "", "parse-names" : false, "suffix" : "" } ], "container-title" : "Journal of Clinical Oncology", "id" : "ITEM-7", "issue" : "35", "issued" : { "date-parts" : [ [ "2013" ] ] }, "page" : "4465-4470", "title" : "Follow-up care, surveillance protocol, and secondary prevention measures for survivors of colorectal cancer: American society of clinical oncology clinical practice guideline endorsement", "type" : "article-journal", "volume" : "31" }, "uris" : [ "http://www.mendeley.com/documents/?uuid=9819bb94-6475-4d25-bd6a-f12aa974309a" ] } ], "mendeley" : { "formattedCitation" : "[16\u201322]", "plainTextFormattedCitation" : "[16\u201322]", "previouslyFormattedCitation" : "[16\u201322]" }, "properties" : { "noteIndex" : 0 }, "schema" : "https://github.com/citation-style-language/schema/raw/master/csl-citation.json" }</w:instrText>
      </w:r>
      <w:r w:rsidR="00CD4054">
        <w:fldChar w:fldCharType="separate"/>
      </w:r>
      <w:r w:rsidR="00E3241D" w:rsidRPr="00E3241D">
        <w:rPr>
          <w:noProof/>
        </w:rPr>
        <w:t>[16–22]</w:t>
      </w:r>
      <w:r w:rsidR="00CD4054">
        <w:fldChar w:fldCharType="end"/>
      </w:r>
      <w:r w:rsidRPr="00C93121">
        <w:t xml:space="preserve">   </w:t>
      </w:r>
    </w:p>
    <w:p w14:paraId="72C1568E" w14:textId="2B02C567" w:rsidR="0090277B" w:rsidRDefault="0090277B" w:rsidP="0090277B">
      <w:pPr>
        <w:spacing w:after="0" w:line="480" w:lineRule="auto"/>
        <w:ind w:firstLine="720"/>
      </w:pPr>
      <w:r>
        <w:t xml:space="preserve">Part of the frustrating lack of progress in identifying an approach to surveillance that improves survival may </w:t>
      </w:r>
      <w:r w:rsidR="00121604">
        <w:t xml:space="preserve">arise from </w:t>
      </w:r>
      <w:r>
        <w:t>the heterogeneity of patient characteristics, disease features, and treatment histories.   A number of factors have been found to impact recurrence risk in CC, including age, cancer stage, preoperative</w:t>
      </w:r>
      <w:r w:rsidR="00C03C8C">
        <w:t xml:space="preserve"> carcinoembryonic antigen</w:t>
      </w:r>
      <w:r>
        <w:t xml:space="preserve"> </w:t>
      </w:r>
      <w:r w:rsidR="00C03C8C">
        <w:t>(</w:t>
      </w:r>
      <w:r>
        <w:t>CEA</w:t>
      </w:r>
      <w:r w:rsidR="00C03C8C">
        <w:t>)</w:t>
      </w:r>
      <w:r>
        <w:t xml:space="preserve"> level, tumor differentiation, perineural and lymphovascular invasion, number of lymph nodes harvested at primary surgery, number of cancer-containing nodes, whether the patient recei</w:t>
      </w:r>
      <w:r w:rsidR="000F24D1">
        <w:t>ved adjuvant chemotherapy</w:t>
      </w:r>
      <w:r>
        <w:t xml:space="preserve">, microsatellite instability, </w:t>
      </w:r>
      <w:r w:rsidR="000F24D1">
        <w:t>and others.</w:t>
      </w:r>
      <w:r w:rsidR="000F24D1">
        <w:fldChar w:fldCharType="begin" w:fldLock="1"/>
      </w:r>
      <w:r w:rsidR="00C82D09">
        <w:instrText>ADDIN CSL_CITATION { "citationItems" : [ { "id" : "ITEM-1", "itemData" : { "DOI" : "10.1200/JCO.2007.14.1291", "ISBN" : "1527-7755 (Electronic)\\r0732-183X (Linking)", "ISSN" : "0732183X", "PMID" : "18202413", "abstract" : "PURPOSE Estimates of recurrence after curative colon cancer surgery are integral to patient care, forming the basis of cancer staging and treatment planning. The categoric staging system of the American Joint Committee on Cancer (AJCC) is commonly used to convey risk by grouping patients based on anatomic elements. Although easy to implement, there remains significant heterogeneity within each stage grouping. In the era of multimodality treatment, a more refined tool is needed to predict recurrence. METHODS An institutional database of 1,320 patients with nonmetastatic colon cancer was used to develop a nomogram to estimate recurrence after curative surgery. Prognostic factors were assessed with multivariable analysis using Cox regression, whereas nonlinear continuous variables were modeled with cubic splines. The model was internally validated with bootstrapping, and performance was assessed by concordance index and a calibration curve. RESULTS The colon cancer recurrence nomogram predicted relapse with a concordance index of 0.77, improving on the stratification provided by either the AJCC fifth or sixth staging scheme. Factors in the model included patient age, tumor location, preoperative carcinoembryonic antigen, T stage, numbers of positive and negative lymph nodes, lymphovascular invasion, perineural invasion, and use of postoperative chemotherapy. CONCLUSION Using common clinicopathologic factors, the recurrence nomogram is better able to account for tumor and patient heterogeneity, thereby providing a more individualized outcome prognostication than that afforded by the AJCC categoric system. By identifying both the high- and low-risk patients within any particular stage, the nomogram is expected to aid in treatment planning and future trial design.", "author" : [ { "dropping-particle" : "", "family" : "Weiser", "given" : "Martin R.", "non-dropping-particle" : "", "parse-names" : false, "suffix" : "" }, { "dropping-particle" : "", "family" : "Landmann", "given" : "Ron G.", "non-dropping-particle" : "", "parse-names" : false, "suffix" : "" }, { "dropping-particle" : "", "family" : "Kattan", "given" : "Michael W.", "non-dropping-particle" : "", "parse-names" : false, "suffix" : "" }, { "dropping-particle" : "", "family" : "Gonen", "given" : "Mithat", "non-dropping-particle" : "", "parse-names" : false, "suffix" : "" }, { "dropping-particle" : "", "family" : "Shia", "given" : "Jinru", "non-dropping-particle" : "", "parse-names" : false, "suffix" : "" }, { "dropping-particle" : "", "family" : "Chou", "given" : "Joanne", "non-dropping-particle" : "", "parse-names" : false, "suffix" : "" }, { "dropping-particle" : "", "family" : "Paty", "given" : "Philip B.", "non-dropping-particle" : "", "parse-names" : false, "suffix" : "" }, { "dropping-particle" : "", "family" : "Guillem", "given" : "Jos\u00e9 G.", "non-dropping-particle" : "", "parse-names" : false, "suffix" : "" }, { "dropping-particle" : "", "family" : "Temple", "given" : "Larissa K.", "non-dropping-particle" : "", "parse-names" : false, "suffix" : "" }, { "dropping-particle" : "", "family" : "Schrag", "given" : "Deborah", "non-dropping-particle" : "", "parse-names" : false, "suffix" : "" }, { "dropping-particle" : "", "family" : "Saltz", "given" : "Leonard B.", "non-dropping-particle" : "", "parse-names" : false, "suffix" : "" }, { "dropping-particle" : "", "family" : "Wong", "given" : "W. Douglas", "non-dropping-particle" : "", "parse-names" : false, "suffix" : "" } ], "container-title" : "Journal of Clinical Oncology", "id" : "ITEM-1", "issue" : "3", "issued" : { "date-parts" : [ [ "2008" ] ] }, "page" : "380-385", "title" : "Individualized prediction of colon cancer recurrence using a nomogram", "type" : "article-journal", "volume" : "26" }, "uris" : [ "http://www.mendeley.com/documents/?uuid=ea3ca0db-1422-4f23-b3c4-817512ad93f6" ] }, { "id" : "ITEM-2", "itemData" : { "DOI" : "10.1016/j.amjsurg.2013.02.010", "ISBN" : "1879-1883 (Electronic) 0002-9610 (Linking)", "ISSN" : "00029610", "PMID" : "23835209", "abstract" : "Background This study was designed to evaluate the prognostic significance of the positivity of lymphovascular (LVI) and perineural invasion (PNI) in patients with locally advanced colorectal cancer. Methods From January 1999 to December 2009, 1,437 consecutive patients who underwent curative surgery for stage II or III colorectal cancer were analyzed. Patients were then categorized into 4 groups: LVI-/PNI- (n = 850), LVI+ only (n = 178), PNI+ only (n = 271), and LVI+/PNI+ (n = 138). Results With a median follow-up period of 56 months, the 5-year overall survival rates of patients with LVI-/PNI-, LVI+ only, PNI+ only, and LVI+/PNI+ were 82%, 73%, 71%, and 56%, respectively (P &lt;.001), and the 5-year disease-free survival rates of patients with LVI-/PNI-, LVI+ only, PNI+ only, and LVI+/PNI+ were 80%, 70%, 65%, and 46%, respectively (P &lt;.001). In multivariate analysis, LVI+/PNI+ was an independent prognostic factor for both overall survival (P &lt;.001) and disease-free survival (P &lt;.001). Conclusions Positivity of both LVI and PNI is a strong predictor of overall and disease-free survival in patients with stages II and III colorectal cancer. \u00a9 2013 Elsevier Inc. All rights reserved.", "author" : [ { "dropping-particle" : "", "family" : "Huh", "given" : "Jung Wook", "non-dropping-particle" : "", "parse-names" : false, "suffix" : "" }, { "dropping-particle" : "", "family" : "Lee", "given" : "Jae Hyuk", "non-dropping-particle" : "", "parse-names" : false, "suffix" : "" }, { "dropping-particle" : "", "family" : "Kim", "given" : "Hyeong Rok", "non-dropping-particle" : "", "parse-names" : false, "suffix" : "" }, { "dropping-particle" : "", "family" : "Kim", "given" : "Young Jin", "non-dropping-particle" : "", "parse-names" : false, "suffix" : "" } ], "container-title" : "American Journal of Surgery", "id" : "ITEM-2", "issue" : "5", "issued" : { "date-parts" : [ [ "2013" ] ] }, "page" : "758-763", "publisher" : "Elsevier Inc", "title" : "Prognostic significance of lymphovascular or perineural invasion in patients with locally advanced colorectal cancer", "type" : "article-journal", "volume" : "206" }, "uris" : [ "http://www.mendeley.com/documents/?uuid=b58569e5-a852-43f1-9e0c-52bc00ad048a" ] }, { "id" : "ITEM-3", "itemData" : { "DOI" : "10.1097/01.MP.0000018979.68686.B2", "ISBN" : "0893-3952 (Print)\\r0893-3952 (Linking)", "ISSN" : "0893-3952", "PMID" : "12118112", "abstract" : "Detection of colorectal carcinomas with high-frequency microsatellite instability (MSI-H) is clinically important for several reasons. Recent studies suggested that immunohistochemical analysis of MLH1 and MSH2 expression is a rapid and accurate method for identifying large bowel tumors of the MSI-H phenotype. In this study, we evaluated by immunohistochemistry MLH1 and MSH2 protein expression in 132 MSI-H, 23 MSI-L (low-frequency MSI), and 150 microsatellite stable (MSS) colorectal adenocarcinomas. Loss of MLH1 or MSH2 expression was detected in 120 (90.9%) MSI-H carcinomas, whereas all MSI-L and MSS tumors showed normal expression of both proteins. Lack of MLH1 nuclear staining was observed much more often than absence of MSH2 nuclear staining (106 and 14 cases, respectively). Among MSI-H carcinomas, MLH1/MSH2 pattern of expression was significantly related to several clinical and pathological variables. In particular, MSI-H MLH1/MSH2-positive carcinomas were more often located in the distal colon, were more frequently classified as ordinary adenocarcinomas, and were more likely to be well or moderately differentiated, p53 positive, and &lt;7 cm in diameter than were MLH1-negative and MSH2-negative carcinomas. In addition, MLH1-negative carcinomas were less common among patients with hereditary nonpolyposis colorectal cancer (HNPCC) or suspected HNPCC and in the group of patients aged &lt;50 years. Patients with MLH1-negative carcinomas more frequently died of disease than did patients with MLH1/MSH2-positive and MSH2-negative MSI-H tumors, but the difference was not statistically significant. The results of the present investigation strongly indicate that immunohistochemical analysis of MLH1 and MSH2 expression is a practical and reliable method for the routine detection of the vast majority of MSI-H large bowel adenocarcinomas. Our data also point out that MSI-H MLH1/MSH2-positive colorectal carcinomas are characterized by distinctive pathological features.", "author" : [ { "dropping-particle" : "", "family" : "Lanza", "given" : "Giovanni", "non-dropping-particle" : "", "parse-names" : false, "suffix" : "" }, { "dropping-particle" : "", "family" : "Gaf\u00e0", "given" : "Roberta", "non-dropping-particle" : "", "parse-names" : false, "suffix" : "" }, { "dropping-particle" : "", "family" : "Maestri", "given" : "Iva", "non-dropping-particle" : "", "parse-names" : false, "suffix" : "" }, { "dropping-particle" : "", "family" : "Santini", "given" : "Alessandra", "non-dropping-particle" : "", "parse-names" : false, "suffix" : "" }, { "dropping-particle" : "", "family" : "Matteuzzi", "given" : "Maurizio", "non-dropping-particle" : "", "parse-names" : false, "suffix" : "" }, { "dropping-particle" : "", "family" : "Cavazzini", "given" : "Luigi", "non-dropping-particle" : "", "parse-names" : false, "suffix" : "" } ], "container-title" : "Modern pathology : an official journal of the United States and Canadian Academy of Pathology, Inc", "id" : "ITEM-3", "issue" : "7", "issued" : { "date-parts" : [ [ "2002" ] ] }, "page" : "741-9", "title" : "Immunohistochemical pattern of MLH1/MSH2 expression is related to clinical and pathological features in colorectal adenocarcinomas with microsatellite instability.", "type" : "article-journal", "volume" : "15" }, "uris" : [ "http://www.mendeley.com/documents/?uuid=038b99c5-a2e2-4732-8422-34c55871e198" ] }, { "id" : "ITEM-4", "itemData" : { "DOI" : "10.1007/s11605-012-2053-9", "ISBN" : "1091-255x", "ISSN" : "1091255X", "PMID" : "23093449", "abstract" : "BACKGROUND: The presence of an inflammatory response resulting from bowel perforation or anastomotic leakage has been suggested to enhance recurrence rates in colorectal cancer patients. Currently, it is unknown if bowel perforation or anastomotic leakage has prognostic significance in early stage colon cancer patients. In this study, the impact of peri-operative bowel perforation including anastomotic leakage on disease-free survival of stage I/II colon cancer patients was investigated. METHODS: Prospective follow up data of 448 patients with stages I/II colon cancer that underwent resection were included. Patients who died within 3 months after initial surgery were excluded. RESULTS: Median follow up was 56.0 months. Patients with peri-operative bowel perforation (n = 25) had a higher recurrence rate compared to patients without perforation (n = 423), 36.0 % vs. 16.1 % (p = 0.01). Disease-free survival was significantly worse for the perforation group compared to patients without perforation (p = 0.004). Multivariate analysis including T-stage, histological grade, and adjuvant chemotherapy showed peri-operative bowel perforation to be an independent factor significantly associated with disease recurrence (odds ratio, 2.7; 95 % CI, 1.1-6.7). CONCLUSION: Peri-operative bowel perforation is associated with increased recurrence rates and impaired disease-free survival in early-stage colon cancer patients.", "author" : [ { "dropping-particle" : "", "family" : "Belt", "given" : "E. J T", "non-dropping-particle" : "", "parse-names" : false, "suffix" : "" }, { "dropping-particle" : "", "family" : "Stockmann", "given" : "H. B A C", "non-dropping-particle" : "", "parse-names" : false, "suffix" : "" }, { "dropping-particle" : "", "family" : "Abis", "given" : "G. S A", "non-dropping-particle" : "", "parse-names" : false, "suffix" : "" }, { "dropping-particle" : "", "family" : "Boer", "given" : "J. M.", "non-dropping-particle" : "de", "parse-names" : false, "suffix" : "" }, { "dropping-particle" : "", "family" : "Lange-de Klerk", "given" : "E. S M", "non-dropping-particle" : "de", "parse-names" : false, "suffix" : "" }, { "dropping-particle" : "", "family" : "Egmond", "given" : "M.", "non-dropping-particle" : "van", "parse-names" : false, "suffix" : "" }, { "dropping-particle" : "", "family" : "Meijer", "given" : "G. A.", "non-dropping-particle" : "", "parse-names" : false, "suffix" : "" }, { "dropping-particle" : "", "family" : "Oosterling", "given" : "S. J.", "non-dropping-particle" : "", "parse-names" : false, "suffix" : "" } ], "container-title" : "Journal of Gastrointestinal Surgery", "id" : "ITEM-4", "issue" : "12", "issued" : { "date-parts" : [ [ "2012" ] ] }, "page" : "2260-2266", "title" : "Peri-Operative Bowel Perforation in Early Stage Colon Cancer is Associated with an Adverse Oncological Outcome", "type" : "article-journal", "volume" : "16" }, "uris" : [ "http://www.mendeley.com/documents/?uuid=cdf1046e-322e-47d3-a4f2-cb2b67387487" ] }, { "id" : "ITEM-5", "itemData" : { "DOI" : "10.1097/SLA.0b013e3182a6f2fc", "ISSN" : "0003-4932", "author" : [ { "dropping-particle" : "", "family" : "Krarup", "given" : "Peter-Martin", "non-dropping-particle" : "", "parse-names" : false, "suffix" : "" }, { "dropping-particle" : "", "family" : "Nordholm-Carstensen", "given" : "Andreas", "non-dropping-particle" : "", "parse-names" : false, "suffix" : "" }, { "dropping-particle" : "", "family" : "Jorgensen", "given" : "Lars N.", "non-dropping-particle" : "", "parse-names" : false, "suffix" : "" }, { "dropping-particle" : "", "family" : "Harling", "given" : "Henrik", "non-dropping-particle" : "", "parse-names" : false, "suffix" : "" } ], "container-title" : "Annals of Surgery", "id" : "ITEM-5", "issue" : "5", "issued" : { "date-parts" : [ [ "2014" ] ] }, "page" : "930-938", "title" : "Anastomotic Leak Increases Distant Recurrence and Long-Term Mortality After Curative Resection for Colonic Cancer", "type" : "article-journal", "volume" : "259" }, "uris" : [ "http://www.mendeley.com/documents/?uuid=c653ebc4-317e-4035-9f2c-6af702cf349d" ] } ], "mendeley" : { "formattedCitation" : "[23\u201327]", "plainTextFormattedCitation" : "[23\u201327]", "previouslyFormattedCitation" : "[23\u201327]" }, "properties" : { "noteIndex" : 0 }, "schema" : "https://github.com/citation-style-language/schema/raw/master/csl-citation.json" }</w:instrText>
      </w:r>
      <w:r w:rsidR="000F24D1">
        <w:fldChar w:fldCharType="separate"/>
      </w:r>
      <w:r w:rsidR="000F24D1" w:rsidRPr="000F24D1">
        <w:rPr>
          <w:noProof/>
        </w:rPr>
        <w:t>[23–27]</w:t>
      </w:r>
      <w:r w:rsidR="000F24D1">
        <w:fldChar w:fldCharType="end"/>
      </w:r>
      <w:r>
        <w:t xml:space="preserve">  Notably, existing guidelines do not offer algorithms for tailoring surveillance based on a patient’s specific risk factors or treatment history.  While some guidelines incorporate a degree of flexibility in their recommendations based on whether patients are considered “high risk”, they do not </w:t>
      </w:r>
      <w:r>
        <w:lastRenderedPageBreak/>
        <w:t>offer objective criteria for defining high risk.</w:t>
      </w:r>
      <w:r w:rsidR="00C82D09">
        <w:fldChar w:fldCharType="begin" w:fldLock="1"/>
      </w:r>
      <w:r w:rsidR="00C82D09">
        <w:instrText>ADDIN CSL_CITATION { "citationItems" : [ { "id" : "ITEM-1", "itemData" : { "DOI" : "10.1200/JCO.2013.50.7442", "ISSN" : "15277755", "PMID" : "24220554", "abstract" : "PURPOSE: The American Society of Clinical Oncology (ASCO) has a policy and set of procedures for endorsing recent clinical practice guidelines that have been developed by other professional organizations. METHODS: The Cancer Care Ontario (CCO) Guideline on Follow-up Care, Surveillance Protocol, and Secondary Prevention Measures for Survivors of Colorectal Cancer was reviewed by ASCO for methodologic rigor and considered for endorsement. RESULTS: The ASCO Panel concurred with the CCO recommendations and recommended endorsement, with the addition of several qualifying statements. CONCLUSION: Surveillance should be guided by presumed risk of recurrence and functional status of the patient (important within the first 2 to 4 years). Medical history, physical examination, and carcinoembryonic antigen testing should be performed every 3 to 6 months for 5 years. Patients at higher risk of recurrence should be considered for testing in the more frequent end of the range. A computed tomography scan (abdominal and chest) is recommended annually for 3 years, in most cases. Positron emission tomography scans should not be used for surveillance outside of a clinical trial. A surveillance colonoscopy should be performed 1 year after the initial surgery and then every 5 years, dictated by the findings of the previous one. If a colonoscopy was not preformed before diagnosis, it should be done after completion of adjuvant therapy (before 1 year). Secondary prevention (maintaining a healthy body weight and active lifestyle) is recommended. If a patient is not a candidate for surgery or systemic therapy because of severe comorbid conditions, surveillance tests should not be performed. A treatment plan from the specialist should have clear directions on appropriate follow-up by a nonspecialist.", "author" : [ { "dropping-particle" : "", "family" : "Meyerhardt", "given" : "Jeffrey A.", "non-dropping-particle" : "", "parse-names" : false, "suffix" : "" }, { "dropping-particle" : "", "family" : "Mangu", "given" : "Pamela B.", "non-dropping-particle" : "", "parse-names" : false, "suffix" : "" }, { "dropping-particle" : "", "family" : "Flynn", "given" : "Patrick J.", "non-dropping-particle" : "", "parse-names" : false, "suffix" : "" }, { "dropping-particle" : "", "family" : "Korde", "given" : "Larissa", "non-dropping-particle" : "", "parse-names" : false, "suffix" : "" }, { "dropping-particle" : "", "family" : "Loprinzi", "given" : "Charles L.", "non-dropping-particle" : "", "parse-names" : false, "suffix" : "" }, { "dropping-particle" : "", "family" : "Minsky", "given" : "Bruce D.", "non-dropping-particle" : "", "parse-names" : false, "suffix" : "" }, { "dropping-particle" : "", "family" : "Petrelli", "given" : "Nicholas J.", "non-dropping-particle" : "", "parse-names" : false, "suffix" : "" }, { "dropping-particle" : "", "family" : "Ryan", "given" : "Kim", "non-dropping-particle" : "", "parse-names" : false, "suffix" : "" }, { "dropping-particle" : "", "family" : "Schrag", "given" : "Deborah H.", "non-dropping-particle" : "", "parse-names" : false, "suffix" : "" }, { "dropping-particle" : "", "family" : "Wong", "given" : "Sandra L.", "non-dropping-particle" : "", "parse-names" : false, "suffix" : "" }, { "dropping-particle" : "", "family" : "Benson", "given" : "Al B.", "non-dropping-particle" : "", "parse-names" : false, "suffix" : "" } ], "container-title" : "Journal of Clinical Oncology", "id" : "ITEM-1", "issue" : "35", "issued" : { "date-parts" : [ [ "2013" ] ] }, "page" : "4465-4470", "title" : "Follow-up care, surveillance protocol, and secondary prevention measures for survivors of colorectal cancer: American society of clinical oncology clinical practice guideline endorsement", "type" : "article-journal", "volume" : "31" }, "uris" : [ "http://www.mendeley.com/documents/?uuid=9819bb94-6475-4d25-bd6a-f12aa974309a" ] }, { "id" : "ITEM-2", "itemData" : { "URL" : "http://www.nccn.org/professionals/physician_gls/pdf/colon.pdf", "author" : [ { "dropping-particle" : "", "family" : "Network", "given" : "National Comprehensive Cancer", "non-dropping-particle" : "", "parse-names" : false, "suffix" : "" } ], "id" : "ITEM-2", "issue" : "September 26", "issued" : { "date-parts" : [ [ "2016" ] ] }, "title" : "NCCN Clinical Practice Guidelines in Oncology: Colon Cancer", "type" : "webpage", "volume" : "2016" }, "uris" : [ "http://www.mendeley.com/documents/?uuid=5004b782-8005-430b-8b86-1e5e58e38e88" ] } ], "mendeley" : { "formattedCitation" : "[20, 22]", "plainTextFormattedCitation" : "[20, 22]", "previouslyFormattedCitation" : "[20, 22]" }, "properties" : { "noteIndex" : 0 }, "schema" : "https://github.com/citation-style-language/schema/raw/master/csl-citation.json" }</w:instrText>
      </w:r>
      <w:r w:rsidR="00C82D09">
        <w:fldChar w:fldCharType="separate"/>
      </w:r>
      <w:r w:rsidR="00C82D09" w:rsidRPr="00C82D09">
        <w:rPr>
          <w:noProof/>
        </w:rPr>
        <w:t>[20, 22]</w:t>
      </w:r>
      <w:r w:rsidR="00C82D09">
        <w:fldChar w:fldCharType="end"/>
      </w:r>
      <w:r>
        <w:t xml:space="preserve">  This has led numerous authors to suggest a need for greater risk stratification and personalization of surveillance.</w:t>
      </w:r>
      <w:r w:rsidR="00C82D09">
        <w:fldChar w:fldCharType="begin" w:fldLock="1"/>
      </w:r>
      <w:r w:rsidR="00C82D09">
        <w:instrText>ADDIN CSL_CITATION { "citationItems" : [ { "id" : "ITEM-1", "itemData" : { "DOI" : "10.1016/j.surg.2013.04.013", "ISBN" : "0039-6060", "ISSN" : "00396060", "PMID" : "23889952", "abstract" : "Background: Guidelines for post resection surveillance of colorectal cancer recommend a collection of the patient's history and physical examination, testing for carcinoembryonic antigen (CEA), and colonoscopy. No consistent guidelines exist for the use of abdominal computed tomography (CT) and position emission tomography (PET)/PET-CT. The goal of our study was to describe current trends, the impact of oncologic follow-up on guideline adherence, and the patterns of use of nonrecommended tests. Methods: We used Texas Cancer Registry-Medicare-linked data (2000-2009) to identify physician visits, CEA testing, colonoscopy, abdominal CT, and PET/PET-CT scans in patients ???66 years old with stage I-III colorectal cancer who underwent curative resection. Compliance with guidelines was assessed with a composite measure of physician visits, CEA tests, and colonoscopy use from start of surveillance. Results: In patients who survived 3 years, the overall compliance with guidelines was 25.1%. In patients seen regularly by a medical oncologist, compliance with guidelines increased to 61.5% compared with 8.8% for those not seen by a medical oncologist regularly (P &lt;.0001). The use of abdominal CT and PET/PET-CT increased from 57.5% and 9.5%, respectively, in 2001 to 65.8% and 24.6% (P &lt;.0001) in 2006. Patients who saw a medical oncologist were more likely to get cross-sectional imaging than those who did not (P &lt;.0001). Conclusion: Compliance with current minimum guidelines for post treatment surveillance of colorectal cancer is low and the use of nonrecommended testing has increased over time. Both compliance and use of nonrecommended tests are markedly increased in patients seen by a medical oncologist. The comparative effectiveness of CT and PET/PET-CT in the surveillance of colorectal cancer patients needs further examination. ?? 2013 Mosby, Inc. All rights reserved.", "author" : [ { "dropping-particle" : "", "family" : "Vargas", "given" : "Gabriela M.", "non-dropping-particle" : "", "parse-names" : false, "suffix" : "" }, { "dropping-particle" : "", "family" : "Sheffield", "given" : "Kristin M.", "non-dropping-particle" : "", "parse-names" : false, "suffix" : "" }, { "dropping-particle" : "", "family" : "Parmar", "given" : "Abhishek D.", "non-dropping-particle" : "", "parse-names" : false, "suffix" : "" }, { "dropping-particle" : "", "family" : "Han", "given" : "Yimei", "non-dropping-particle" : "", "parse-names" : false, "suffix" : "" }, { "dropping-particle" : "", "family" : "Brown", "given" : "Kimberly M.", "non-dropping-particle" : "", "parse-names" : false, "suffix" : "" }, { "dropping-particle" : "", "family" : "Riall", "given" : "Taylor S.", "non-dropping-particle" : "", "parse-names" : false, "suffix" : "" } ], "container-title" : "Surgery (United States)", "id" : "ITEM-1", "issue" : "2", "issued" : { "date-parts" : [ [ "2013" ] ] }, "page" : "244-255", "publisher" : "Mosby, Inc.", "title" : "Physician follow-up and observation of guidelines in the post treatment surveillance of colorectal cancer", "type" : "article-journal", "volume" : "154" }, "uris" : [ "http://www.mendeley.com/documents/?uuid=ec06e8fc-a0f0-4321-9467-c7d17078cbb3" ] }, { "id" : "ITEM-2", "itemData" : { "DOI" : "10.1038/nrclinonc.2016.199", "ISSN" : "1759-4782", "PMID" : "27995949", "abstract" : "Treatments for colorectal cancer (CRC) of all stages have evolved considerably over the past two decades, resulting in improved long-term outcomes. After curative treatment, however, 30% of patients with stage I-III and up to 65% of patients with stage IV CRC develop recurrent disease. Thus, patients are routinely offered surveillance in order to detect disease recurrence at an early, asymptomatic stage, with the intention of improving survival. Nevertheless, controversy continues to surround the optimal surveillance protocols. For patients with stage I-III CRC, more-intensive surveillance improves overall survival compared with less-intensive or no surveillance, probably owing to improved outcomes after cancer recurrence, as well as proactive treatment of other conditions detected opportunistically. The benefit of surveillance after curative treatment of stage IV CRC is more controversial, but might be justified because repeat resection can improve overall survival and 20% of these patients are eligible for such treatment with curative intent. No trials have assessed the optimal follow-up approach after curative resection of metastatic CRC, and similarly to surveillance of patients with stage I-III disease, most programmes are more intensive during the first 3 years than at later time points. Herein, we provide a comprehensive overview of surveillance strategies for patients with CRC, and discuss the future development of patient-centred programmes.", "author" : [ { "dropping-particle" : "", "family" : "Stok", "given" : "Eric P", "non-dropping-particle" : "van der", "parse-names" : false, "suffix" : "" }, { "dropping-particle" : "", "family" : "Spaander", "given" : "Manon C W", "non-dropping-particle" : "", "parse-names" : false, "suffix" : "" }, { "dropping-particle" : "", "family" : "Grunhagen", "given" : "Dirk J", "non-dropping-particle" : "", "parse-names" : false, "suffix" : "" }, { "dropping-particle" : "", "family" : "Verhoef", "given" : "Cornelis", "non-dropping-particle" : "", "parse-names" : false, "suffix" : "" }, { "dropping-particle" : "", "family" : "Kuipers", "given" : "Ernst J", "non-dropping-particle" : "", "parse-names" : false, "suffix" : "" } ], "container-title" : "Nat Rev Clin Oncol", "id" : "ITEM-2", "issued" : { "date-parts" : [ [ "2016" ] ] }, "publisher" : "Nature Publishing Group", "title" : "Surveillance after curative treatment for colorectal cancer", "type" : "article-journal" }, "uris" : [ "http://www.mendeley.com/documents/?uuid=46cf622b-e275-40f2-83fb-fd447097160f" ] }, { "id" : "ITEM-3", "itemData" : { "DOI" : "10.1186/s12957-015-0674-7", "ISSN" : "1477-7819", "abstract" : "? 2015 Gilardoni et al.Background: Although several meta-analyses showed the positive effects of follow-up on the prognosis of colon cancer (CC), international guidelines are not in accordance on appropriate tests and their time frequency to optimize surveillance. Furthermore, stratified strategies based upon risk grading have not been implemented. This approach may be useful to rationalize resources. Methods: From 2006, all patients operated for an early stage CC (I, IIA, IIB) according to the 7th edition of the AJCC-2010 classification entered in a prospective surveillance program in accordance to our local guidelines. Patients who underwent surgical resection after 2009 have been excluded to guarantee at least a 5-year follow-up. Classic histopathologic prognostic factors such as grade, T and N status, lymphatic and vascular invasion were assessed. Moreover, tumor budding and tumor-to-stroma proportion were evaluated. Results: We had complete records of 196 patients. Distribution was as follows: 65 (33.2%) in stage I, 122 (62.2%) in stage IIA, and 9 (4.6%) in stage IIB. Eleven patients (5.6%) had a disease recurrence (local or distant). The median recurrence time was 20months (range 6-48). Nine patients (82%) had recurrence with 24months, and 91% were asymptomatic and detected by ultrasound or CT scan. According to the log-rank test, the risk factors with significant effect on the disease-free survival (DFS) were the number of lymph nodes&lt;12 (p=0.027) and the vascular invasion (p=0.021), while for the overall (OS), only the vascular invasion was significant (p=0.043). By the univariate and multivariate analyses, DSF was significantly lower in patients with less than 12 nodes removed, with vascular invasion, and with left of double cancer. OS was negatively affected only by vascular invasion despite the hazard ratios were similar to DSF. Stage IIB was associated with a threefold-increased risk of reduced OS and DSF. Conclusions: Stages I and IIA appear to behave similarly and should be considered as true early stages. The detection of fibrosis and budding do not seem to add valuable information for prognosis. In early CC stages, the surveillance program should be maximized within the first two years.", "author" : [ { "dropping-particle" : "", "family" : "Gilardoni", "given" : "Elisa", "non-dropping-particle" : "", "parse-names" : false, "suffix" : "" }, { "dropping-particle" : "", "family" : "Bernasconi", "given" : "Davide Paolo", "non-dropping-particle" : "", "parse-names" : false, "suffix" : "" }, { "dropping-particle" : "", "family" : "Poli", "given" : "Silvia", "non-dropping-particle" : "", "parse-names" : false, "suffix" : "" }, { "dropping-particle" : "", "family" : "Garancini", "given" : "Mattia", "non-dropping-particle" : "", "parse-names" : false, "suffix" : "" }, { "dropping-particle" : "", "family" : "Luperto", "given" : "Margherita", "non-dropping-particle" : "", "parse-names" : false, "suffix" : "" }, { "dropping-particle" : "", "family" : "Zucchini", "given" : "Nicola", "non-dropping-particle" : "", "parse-names" : false, "suffix" : "" }, { "dropping-particle" : "", "family" : "Bovo", "given" : "Giorgio", "non-dropping-particle" : "", "parse-names" : false, "suffix" : "" }, { "dropping-particle" : "", "family" : "Totis", "given" : "Mauro", "non-dropping-particle" : "", "parse-names" : false, "suffix" : "" }, { "dropping-particle" : "", "family" : "Bugatti", "given" : "Alvaro", "non-dropping-particle" : "", "parse-names" : false, "suffix" : "" }, { "dropping-particle" : "", "family" : "Gianotti", "given" : "Luca", "non-dropping-particle" : "", "parse-names" : false, "suffix" : "" } ], "container-title" : "World Journal of Surgical Oncology", "id" : "ITEM-3", "issue" : "1", "issued" : { "date-parts" : [ [ "2015" ] ] }, "page" : "260", "publisher" : "World Journal of Surgical Oncology", "title" : "Surveillance for early stages of colon cancer: potentials for optimizing follow-up protocols", "type" : "article-journal", "volume" : "13" }, "uris" : [ "http://www.mendeley.com/documents/?uuid=8b3a92b2-757b-4153-804b-602791eed867" ] } ], "mendeley" : { "formattedCitation" : "[28\u201330]", "plainTextFormattedCitation" : "[28\u201330]" }, "properties" : { "noteIndex" : 0 }, "schema" : "https://github.com/citation-style-language/schema/raw/master/csl-citation.json" }</w:instrText>
      </w:r>
      <w:r w:rsidR="00C82D09">
        <w:fldChar w:fldCharType="separate"/>
      </w:r>
      <w:r w:rsidR="00C82D09" w:rsidRPr="00C82D09">
        <w:rPr>
          <w:noProof/>
        </w:rPr>
        <w:t>[28–30]</w:t>
      </w:r>
      <w:r w:rsidR="00C82D09">
        <w:fldChar w:fldCharType="end"/>
      </w:r>
    </w:p>
    <w:p w14:paraId="5C6AACE6" w14:textId="3442D7EF" w:rsidR="00FF4556" w:rsidRPr="00C93121" w:rsidRDefault="0090277B" w:rsidP="0090277B">
      <w:pPr>
        <w:spacing w:after="0" w:line="480" w:lineRule="auto"/>
        <w:ind w:firstLine="720"/>
      </w:pPr>
      <w:r>
        <w:t>For these reasons, there is an unmet n</w:t>
      </w:r>
      <w:r w:rsidR="00121604">
        <w:t>eed to develop a new approach for</w:t>
      </w:r>
      <w:r>
        <w:t xml:space="preserve"> post-treatment surveillance—one which </w:t>
      </w:r>
      <w:r w:rsidR="0060137C">
        <w:t xml:space="preserve">enables </w:t>
      </w:r>
      <w:r>
        <w:t>consider</w:t>
      </w:r>
      <w:r w:rsidR="0060137C">
        <w:t>ation of</w:t>
      </w:r>
      <w:r>
        <w:t xml:space="preserve"> patient, disease, and treatment factors to tailor the surveillance regimen of each patient.  Such multi-dimensional risk stratification may help identify the patients most likely to benefit from intensive surveillance and inform which surveillance strategies (specific tests and frequency) are most likely to result in detection of recurrence at a point where curative treatment is possible while minimizing unnecessary testing.  The sheer number of distinct combinations and schedules of surveillance tests coupled with the number of risk-modifying patient, disease, and treatment factors make it unlikely that any number of traditional surveillance trials by themselves will ever provide the insight needed to personalize colon cancer surveillance.  </w:t>
      </w:r>
    </w:p>
    <w:p w14:paraId="60187FD7" w14:textId="67B78517" w:rsidR="00D61AFE" w:rsidRPr="00C93121" w:rsidRDefault="003F5CF5" w:rsidP="00353580">
      <w:pPr>
        <w:spacing w:after="0" w:line="480" w:lineRule="auto"/>
        <w:ind w:firstLine="720"/>
      </w:pPr>
      <w:r>
        <w:t>We</w:t>
      </w:r>
      <w:r w:rsidR="004E11FE" w:rsidRPr="00C93121">
        <w:t xml:space="preserve"> previously developed and validated a simple proof-of-concept simulation model </w:t>
      </w:r>
      <w:r w:rsidR="00EF6A2F" w:rsidRPr="00C93121">
        <w:t xml:space="preserve">based on published aggregate data </w:t>
      </w:r>
      <w:r w:rsidR="007C7838">
        <w:t>that</w:t>
      </w:r>
      <w:r w:rsidR="007C7838" w:rsidRPr="00C93121">
        <w:t xml:space="preserve"> </w:t>
      </w:r>
      <w:r w:rsidR="004E11FE" w:rsidRPr="00C93121">
        <w:t>predicted the rate of cura</w:t>
      </w:r>
      <w:r w:rsidR="00A220CB" w:rsidRPr="00C93121">
        <w:t xml:space="preserve">tive salvage surgery </w:t>
      </w:r>
      <w:r w:rsidR="007126F7" w:rsidRPr="00C93121">
        <w:t xml:space="preserve">and survival outcomes </w:t>
      </w:r>
      <w:r w:rsidR="00A220CB" w:rsidRPr="00C93121">
        <w:t>among colorectal</w:t>
      </w:r>
      <w:r w:rsidR="004E11FE" w:rsidRPr="00C93121">
        <w:t xml:space="preserve"> cancer </w:t>
      </w:r>
      <w:r w:rsidR="00675EE7">
        <w:t>patients</w:t>
      </w:r>
      <w:r w:rsidR="00D066DF" w:rsidRPr="00C93121">
        <w:t>.</w:t>
      </w:r>
      <w:r w:rsidR="003D7CBE" w:rsidRPr="00C93121">
        <w:fldChar w:fldCharType="begin" w:fldLock="1"/>
      </w:r>
      <w:r w:rsidR="00C82D09">
        <w:instrText>ADDIN CSL_CITATION { "citationItems" : [ { "id" : "ITEM-1", "itemData" : { "DOI" : "10.1186/1472-6947-14-29", "ISBN" : "1472-6947 (Electronic) 1472-6947 (Linking)", "PMID" : "24708517", "abstract" : "BACKGROUND: Approximately one-third of those treated curatively for colorectal cancer (CRC) will experience recurrence. No evidence-based consensus exists on how best to follow patients after initial treatment to detect asymptomatic recurrence. Here, a new approach for simulating surveillance and recurrence among CRC survivors is outlined, and development and calibration of a simple model applying this approach is described. The model's ability to predict outcomes for a group of patients under a specified surveillance strategy is validated. METHODS: We developed an individual-based simulation model consisting of two interacting submodels: a continuous-time disease-progression submodel overlain by a discrete-time Markov submodel of surveillance and re-treatment. In the former, some patients develops recurrent disease which probabilistically progresses from detectability to unresectability, and which may produce early symptoms leading to detection independent of surveillance testing. In the latter submodel, patients undergo user-specified surveillance testing regimens. Parameters describing disease progression were preliminarily estimated through calibration to match five-year disease-free survival, overall survival at years 1-5, and proportion of recurring patients undergoing curative salvage surgery from one arm of a published randomized trial. The calibrated model was validated by examining its ability to predict these same outcomes for patients in a different arm of the same trial undergoing less aggressive surveillance. RESULTS: Calibrated parameter values were consistent with generally observed recurrence patterns. Sensitivity analysis suggested probability of curative salvage surgery was most influenced by sensitivity of carcinoembryonic antigen assay and of clinical interview/examination (i.e. scheduled provider visits). In validation, the model accurately predicted overall survival (59% predicted, 58% observed) and five-year disease-free survival (55% predicted, 53% observed), but was less accurate in predicting curative salvage surgery (10% predicted; 6% observed). CONCLUSIONS: Initial validation suggests the feasibility of this approach to modeling alternative surveillance regimens among CRC survivors. Further calibration to individual-level patient data could yield a model useful for predicting outcomes of specific surveillance strategies for risk-based subgroups or for individuals. This approach could be applied toward developing novel, tailo\u2026", "author" : [ { "dropping-particle" : "", "family" : "Rose", "given" : "J", "non-dropping-particle" : "", "parse-names" : false, "suffix" : "" }, { "dropping-particle" : "", "family" : "Augestad", "given" : "K M", "non-dropping-particle" : "", "parse-names" : false, "suffix" : "" }, { "dropping-particle" : "", "family" : "Kong", "given" : "C Y", "non-dropping-particle" : "", "parse-names" : false, "suffix" : "" }, { "dropping-particle" : "", "family" : "Meropol", "given" : "N J", "non-dropping-particle" : "", "parse-names" : false, "suffix" : "" }, { "dropping-particle" : "", "family" : "Kattan", "given" : "M W", "non-dropping-particle" : "", "parse-names" : false, "suffix" : "" }, { "dropping-particle" : "", "family" : "Hong", "given" : "Q", "non-dropping-particle" : "", "parse-names" : false, "suffix" : "" }, { "dropping-particle" : "", "family" : "An", "given" : "X", "non-dropping-particle" : "", "parse-names" : false, "suffix" : "" }, { "dropping-particle" : "", "family" : "Cooper", "given" : "G S", "non-dropping-particle" : "", "parse-names" : false, "suffix" : "" } ], "container-title" : "BMC Medical Informatics and Decision Making", "edition" : "2014/04/09", "id" : "ITEM-1", "issued" : { "date-parts" : [ [ "2014" ] ] }, "language" : "eng", "note" : "Rose, Johnie\nAugestad, Knut Magne\nKong, Chung Yin\nMeropol, Neal J\nKattan, Michael W\nHong, Qingqing\nAn, Xuebei\nCooper, Gregory S\n5P30 CA043703-21/CA/NCI NIH HHS/\nEngland\nBMC Med Inform Decis Mak. 2014 Apr 8;14:29. doi: 10.1186/1472-6947-14-29.", "page" : "29", "title" : "A simulation model of colorectal cancer surveillance and recurrence", "type" : "article-journal", "volume" : "14" }, "uris" : [ "http://www.mendeley.com/documents/?uuid=9c43f4cc-c661-4866-bc6f-da572d83c725", "http://www.mendeley.com/documents/?uuid=d66aa720-da32-49db-b668-33d756c7b978" ] } ], "mendeley" : { "formattedCitation" : "[31]", "plainTextFormattedCitation" : "[31]", "previouslyFormattedCitation" : "[31]" }, "properties" : { "noteIndex" : 0 }, "schema" : "https://github.com/citation-style-language/schema/raw/master/csl-citation.json" }</w:instrText>
      </w:r>
      <w:r w:rsidR="003D7CBE" w:rsidRPr="00C93121">
        <w:fldChar w:fldCharType="separate"/>
      </w:r>
      <w:r w:rsidR="00C82D09" w:rsidRPr="00C82D09">
        <w:rPr>
          <w:noProof/>
        </w:rPr>
        <w:t>[31]</w:t>
      </w:r>
      <w:r w:rsidR="003D7CBE" w:rsidRPr="00C93121">
        <w:fldChar w:fldCharType="end"/>
      </w:r>
      <w:r w:rsidR="00EF6A2F" w:rsidRPr="00C93121">
        <w:t xml:space="preserve">  </w:t>
      </w:r>
      <w:r w:rsidR="00BE46FB" w:rsidRPr="00C93121">
        <w:t xml:space="preserve">The model simulated the </w:t>
      </w:r>
      <w:r w:rsidRPr="00C93121">
        <w:t>inter</w:t>
      </w:r>
      <w:r>
        <w:t>play</w:t>
      </w:r>
      <w:r w:rsidRPr="00C93121">
        <w:t xml:space="preserve"> </w:t>
      </w:r>
      <w:r w:rsidR="00BE46FB" w:rsidRPr="00C93121">
        <w:t>between</w:t>
      </w:r>
      <w:r w:rsidR="007C7838">
        <w:t xml:space="preserve"> </w:t>
      </w:r>
      <w:r w:rsidR="00B21C23">
        <w:t>colorectal cancer</w:t>
      </w:r>
      <w:r w:rsidR="00BE46FB" w:rsidRPr="00C93121">
        <w:t xml:space="preserve"> recurrence </w:t>
      </w:r>
      <w:r w:rsidR="0036239F" w:rsidRPr="00C93121">
        <w:t xml:space="preserve">natural history </w:t>
      </w:r>
      <w:r w:rsidR="00BE46FB" w:rsidRPr="00C93121">
        <w:t xml:space="preserve">and early detection of recurrence through surveillance testing—an approach designed to allow the simulation of </w:t>
      </w:r>
      <w:r w:rsidR="00971529">
        <w:t>hypothetical</w:t>
      </w:r>
      <w:r w:rsidR="00BE46FB" w:rsidRPr="00C93121">
        <w:t xml:space="preserve"> surveillance strateg</w:t>
      </w:r>
      <w:r w:rsidR="00971529">
        <w:t>ies</w:t>
      </w:r>
      <w:r w:rsidR="00BE46FB" w:rsidRPr="00C93121">
        <w:t xml:space="preserve">.  </w:t>
      </w:r>
      <w:r w:rsidR="00D11216" w:rsidRPr="00C93121">
        <w:t xml:space="preserve">Here, we </w:t>
      </w:r>
      <w:r w:rsidR="00D641A9" w:rsidRPr="00C93121">
        <w:t>build</w:t>
      </w:r>
      <w:r w:rsidR="00905866" w:rsidRPr="00C93121">
        <w:t xml:space="preserve"> </w:t>
      </w:r>
      <w:r w:rsidR="00011FD0">
        <w:t>up</w:t>
      </w:r>
      <w:r w:rsidR="00905866" w:rsidRPr="00C93121">
        <w:t>on th</w:t>
      </w:r>
      <w:r w:rsidR="00C06CC9">
        <w:t>at</w:t>
      </w:r>
      <w:r w:rsidR="00905866" w:rsidRPr="00C93121">
        <w:t xml:space="preserve"> work by </w:t>
      </w:r>
      <w:r w:rsidR="005C528E" w:rsidRPr="00C93121">
        <w:t>describing</w:t>
      </w:r>
      <w:r w:rsidR="00D11216" w:rsidRPr="00C93121">
        <w:t xml:space="preserve"> </w:t>
      </w:r>
      <w:r w:rsidR="00905866" w:rsidRPr="00C93121">
        <w:t xml:space="preserve">the development </w:t>
      </w:r>
      <w:r w:rsidR="00D11216" w:rsidRPr="00C93121">
        <w:t>and validati</w:t>
      </w:r>
      <w:r w:rsidR="00905866" w:rsidRPr="00C93121">
        <w:t>on of the Colo</w:t>
      </w:r>
      <w:r w:rsidR="005A51BD">
        <w:t>n</w:t>
      </w:r>
      <w:r w:rsidR="00905866" w:rsidRPr="00C93121">
        <w:t xml:space="preserve"> Cancer Surveillance </w:t>
      </w:r>
      <w:r w:rsidR="0036239F">
        <w:t xml:space="preserve">and </w:t>
      </w:r>
      <w:r w:rsidR="00905866" w:rsidRPr="00C93121">
        <w:t>Recurrence Model (</w:t>
      </w:r>
      <w:proofErr w:type="spellStart"/>
      <w:r w:rsidR="00905866" w:rsidRPr="00C93121">
        <w:t>CCSuRe</w:t>
      </w:r>
      <w:proofErr w:type="spellEnd"/>
      <w:r w:rsidR="00905866" w:rsidRPr="00C93121">
        <w:t xml:space="preserve">).  </w:t>
      </w:r>
      <w:r w:rsidR="00D11216" w:rsidRPr="00C93121">
        <w:t xml:space="preserve"> </w:t>
      </w:r>
      <w:bookmarkStart w:id="0" w:name="_Hlk425059"/>
      <w:proofErr w:type="spellStart"/>
      <w:r w:rsidR="00535432">
        <w:t>CCSuRe</w:t>
      </w:r>
      <w:proofErr w:type="spellEnd"/>
      <w:r w:rsidR="00D11216" w:rsidRPr="00C93121">
        <w:t xml:space="preserve"> utilizes a more realistic </w:t>
      </w:r>
      <w:r w:rsidR="00905866" w:rsidRPr="00C93121">
        <w:t xml:space="preserve">representation </w:t>
      </w:r>
      <w:r w:rsidR="00D11216" w:rsidRPr="00C93121">
        <w:t xml:space="preserve">of underlying disease processes (including </w:t>
      </w:r>
      <w:r w:rsidR="00EE3AA4" w:rsidRPr="00C93121">
        <w:t>non-constant</w:t>
      </w:r>
      <w:r w:rsidR="00BE46FB" w:rsidRPr="00C93121">
        <w:t xml:space="preserve"> </w:t>
      </w:r>
      <w:r w:rsidR="00937563" w:rsidRPr="00C93121">
        <w:t xml:space="preserve">progression </w:t>
      </w:r>
      <w:r w:rsidR="00BE46FB" w:rsidRPr="00C93121">
        <w:t xml:space="preserve">risks over time and </w:t>
      </w:r>
      <w:r w:rsidR="00D11216" w:rsidRPr="00C93121">
        <w:t>the effects of age and cancer stage</w:t>
      </w:r>
      <w:r w:rsidR="00BE46FB" w:rsidRPr="00C93121">
        <w:t xml:space="preserve"> on risk</w:t>
      </w:r>
      <w:r w:rsidR="00D11216" w:rsidRPr="00C93121">
        <w:t>)</w:t>
      </w:r>
      <w:r w:rsidR="00B03879">
        <w:t xml:space="preserve"> that </w:t>
      </w:r>
      <w:r w:rsidR="00541215">
        <w:t xml:space="preserve">is fitted or “trained” based on individual-level clinical trial data.  In addition, it uses </w:t>
      </w:r>
      <w:r w:rsidR="00D11216" w:rsidRPr="00C93121">
        <w:t>a more complete model of surveillance and follow-up diagnostic testing.</w:t>
      </w:r>
      <w:r w:rsidR="00D641A9" w:rsidRPr="00C93121">
        <w:t xml:space="preserve">  </w:t>
      </w:r>
      <w:bookmarkEnd w:id="0"/>
      <w:r w:rsidR="00D641A9" w:rsidRPr="00C93121">
        <w:t>We</w:t>
      </w:r>
      <w:r w:rsidR="00B94237">
        <w:t xml:space="preserve"> validate the model by</w:t>
      </w:r>
      <w:r w:rsidR="00D641A9" w:rsidRPr="00C93121">
        <w:t xml:space="preserve"> compar</w:t>
      </w:r>
      <w:r w:rsidR="00B94237">
        <w:t>ing</w:t>
      </w:r>
      <w:r w:rsidR="00D641A9" w:rsidRPr="00C93121">
        <w:t xml:space="preserve"> observed outcomes from </w:t>
      </w:r>
      <w:r w:rsidR="00937563" w:rsidRPr="00C93121">
        <w:t>colon cancer patients in</w:t>
      </w:r>
      <w:r w:rsidR="00EC1DF0" w:rsidRPr="00C93121">
        <w:t xml:space="preserve"> each arm of</w:t>
      </w:r>
      <w:r w:rsidR="00937563" w:rsidRPr="00C93121">
        <w:t xml:space="preserve"> </w:t>
      </w:r>
      <w:r w:rsidR="00F072DD" w:rsidRPr="00C93121">
        <w:t xml:space="preserve">the recent </w:t>
      </w:r>
      <w:r w:rsidR="00277737">
        <w:t>Follow-up After Colorectal Surgery (</w:t>
      </w:r>
      <w:r w:rsidR="00F072DD" w:rsidRPr="00C93121">
        <w:t>FACS</w:t>
      </w:r>
      <w:r w:rsidR="00277737">
        <w:t>)</w:t>
      </w:r>
      <w:r w:rsidR="00F072DD" w:rsidRPr="00C93121">
        <w:t xml:space="preserve"> trial</w:t>
      </w:r>
      <w:r w:rsidR="00214D50">
        <w:fldChar w:fldCharType="begin" w:fldLock="1"/>
      </w:r>
      <w:r w:rsidR="00834959">
        <w:instrText>ADDIN CSL_CITATION { "citationItems" : [ { "id" : "ITEM-1", "itemData" : { "DOI" : "10.1001/jama.2013.285718", "ISSN" : "1538-3598", "PMID" : "24430319", "abstract" : "IMPORTANCE: Intensive follow-up after surgery for colorectal cancer is common practice but is based on limited evidence.\\n\\nOBJECTIVE: To assess the effect of scheduled blood measurement of carcinoembryonic antigen (CEA) and computed tomography (CT) as follow-up to detect recurrent colorectal cancer treatable with curative intent.\\n\\nDESIGN, SETTING, AND PARTICIPANTS: Randomized clinical trial in 39 National Health Service hospitals in the United Kingdom; 1202 eligible participants were recruited between January 2003 and August 2009 who had undergone curative surgery for primary colorectal cancer, including adjuvant treatment if indicated, with no evidence of residual disease on investigation.\\n\\nINTERVENTIONS: Participants were randomly assigned to 1 of 4 groups: CEA only (n\u2009=\u2009300), CT only (n\u2009=\u2009299), CEA+CT (n\u2009=\u2009302), or minimum follow-up (n\u2009=\u2009301). Blood CEA was measured every 3 months for 2 years, then every 6 months for 3 years; CT scans of the chest, abdomen, and pelvis were performed every 6 months for 2 years, then annually for 3 years; and the minimum follow-up group received follow-up if symptoms occurred.\\n\\nMAIN OUTCOMES AND MEASURES: The primary outcome was surgical treatment of recurrence with curative intent; secondary outcomes were mortality (total and colorectal cancer), time to detection of recurrence, and survival after treatment of recurrence with curative intent.\\n\\nRESULTS: After a mean 4.4 (SD, 0.8) years of observation, cancer recurrence was detected in 199 participants (16.6%; 95% CI, 14.5%-18.7%) overall; 71 of 1202 participants (5.9%; 95% CI, 4.6%-7.2%) were treated for recurrence with curative intent, with little difference according to Dukes staging (stage A, 5.1% [13/254]; stage B, 6.1% [34/553]; stage C, 6.2% [22/354]). Surgical treatment of recurrence with curative intent was 2.3% (7/301) in the minimum follow-up group, 6.7% (20/300) in the CEA group, 8% (24/299) in the CT group, and 6.6% (20/302) in the CEA+CT group. Compared with minimum follow-up, the absolute difference in the percentage of patients treated with curative intent in the CEA group was 4.4% (95% CI, 1.0%-7.9%; adjusted odds ratio [OR], 3.00; 95% CI, 1.23-7.33), in the CT group was 5.7% (95% CI, 2.2%-9.5%; adjusted OR, 3.63; 95% CI, 1.51-8.69), and in the CEA+CT group was 4.3% (95% CI, 1.0%-7.9%; adjusted OR, 3.10; 95% CI, 1.10-8.71). The number of deaths was not significantly different in the combined intensive monitoring groups (CEA, CT, and CEA+CT; 18.2\u2026", "author" : [ { "dropping-particle" : "", "family" : "Primrose", "given" : "John N", "non-dropping-particle" : "", "parse-names" : false, "suffix" : "" }, { "dropping-particle" : "", "family" : "Perera", "given" : "Rafael", "non-dropping-particle" : "", "parse-names" : false, "suffix" : "" }, { "dropping-particle" : "", "family" : "Gray", "given" : "Alastair", "non-dropping-particle" : "", "parse-names" : false, "suffix" : "" }, { "dropping-particle" : "", "family" : "Rose", "given" : "Peter", "non-dropping-particle" : "", "parse-names" : false, "suffix" : "" }, { "dropping-particle" : "", "family" : "Fuller", "given" : "Alice", "non-dropping-particle" : "", "parse-names" : false, "suffix" : "" }, { "dropping-particle" : "", "family" : "Corkhill", "given" : "Andrea", "non-dropping-particle" : "", "parse-names" : false, "suffix" : "" }, { "dropping-particle" : "", "family" : "George", "given" : "Steve", "non-dropping-particle" : "", "parse-names" : false, "suffix" : "" }, { "dropping-particle" : "", "family" : "Mant", "given" : "David", "non-dropping-particle" : "", "parse-names" : false, "suffix" : "" } ], "container-title" : "JAMA : the journal of the American Medical Association", "id" : "ITEM-1", "issue" : "3", "issued" : { "date-parts" : [ [ "2014" ] ] }, "page" : "263-70", "title" : "Effect of 3 to 5 years of scheduled CEA and CT follow-up to detect recurrence of colorectal cancer: the FACS randomized clinical trial.", "type" : "article-journal", "volume" : "311" }, "uris" : [ "http://www.mendeley.com/documents/?uuid=ea5f6b97-dd87-4c21-9f9f-54f0f1ca8208" ] } ], "mendeley" : { "formattedCitation" : "[2]", "plainTextFormattedCitation" : "[2]", "previouslyFormattedCitation" : "[2]" }, "properties" : { "noteIndex" : 0 }, "schema" : "https://github.com/citation-style-language/schema/raw/master/csl-citation.json" }</w:instrText>
      </w:r>
      <w:r w:rsidR="00214D50">
        <w:fldChar w:fldCharType="separate"/>
      </w:r>
      <w:r w:rsidR="00E3241D" w:rsidRPr="00E3241D">
        <w:rPr>
          <w:noProof/>
        </w:rPr>
        <w:t>[2]</w:t>
      </w:r>
      <w:r w:rsidR="00214D50">
        <w:fldChar w:fldCharType="end"/>
      </w:r>
      <w:r w:rsidR="00F072DD" w:rsidRPr="00C93121">
        <w:t xml:space="preserve"> to </w:t>
      </w:r>
      <w:proofErr w:type="spellStart"/>
      <w:r w:rsidR="00535432">
        <w:t>CCSuRe</w:t>
      </w:r>
      <w:proofErr w:type="spellEnd"/>
      <w:r w:rsidR="00EE3AA4" w:rsidRPr="00C93121">
        <w:t xml:space="preserve">-predicted outcomes for </w:t>
      </w:r>
      <w:r w:rsidR="00D641A9" w:rsidRPr="00C93121">
        <w:t xml:space="preserve">matched </w:t>
      </w:r>
      <w:r w:rsidR="005C1638">
        <w:t>groups</w:t>
      </w:r>
      <w:r w:rsidR="005C1638" w:rsidRPr="00C93121">
        <w:t xml:space="preserve"> </w:t>
      </w:r>
      <w:r w:rsidR="00EE3AA4" w:rsidRPr="00C93121">
        <w:t>of simulated patients</w:t>
      </w:r>
      <w:r w:rsidR="00D641A9" w:rsidRPr="00C93121">
        <w:t>.</w:t>
      </w:r>
      <w:r w:rsidR="00E41ED0">
        <w:t xml:space="preserve"> </w:t>
      </w:r>
      <w:r w:rsidR="00C36C54">
        <w:t xml:space="preserve"> </w:t>
      </w:r>
      <w:r w:rsidR="00264EE5">
        <w:t>This</w:t>
      </w:r>
      <w:r w:rsidR="00710117">
        <w:t xml:space="preserve"> work</w:t>
      </w:r>
      <w:r w:rsidR="00264EE5">
        <w:t xml:space="preserve"> represents</w:t>
      </w:r>
      <w:r w:rsidR="00264EE5" w:rsidRPr="00264EE5">
        <w:t xml:space="preserve"> the first independent validation of a colon cancer surveillance model against the results of a modern clinical trial</w:t>
      </w:r>
      <w:r w:rsidR="00264EE5">
        <w:t xml:space="preserve">.  </w:t>
      </w:r>
      <w:r w:rsidR="00264EE5">
        <w:lastRenderedPageBreak/>
        <w:t xml:space="preserve">It is a </w:t>
      </w:r>
      <w:r w:rsidR="00C06CC9">
        <w:t>key step toward our</w:t>
      </w:r>
      <w:r w:rsidR="00DA22C0" w:rsidRPr="00DA22C0">
        <w:t xml:space="preserve"> objective </w:t>
      </w:r>
      <w:r w:rsidR="00C06CC9">
        <w:t>of</w:t>
      </w:r>
      <w:r w:rsidR="00DA22C0" w:rsidRPr="00DA22C0">
        <w:t xml:space="preserve"> develop</w:t>
      </w:r>
      <w:r w:rsidR="00C06CC9">
        <w:t>ing</w:t>
      </w:r>
      <w:r w:rsidR="00DA22C0" w:rsidRPr="00DA22C0">
        <w:t xml:space="preserve"> a surveillance model that can inform practice recommendations and </w:t>
      </w:r>
      <w:r w:rsidR="00535432">
        <w:t>personalize</w:t>
      </w:r>
      <w:r w:rsidR="00DA22C0" w:rsidRPr="00DA22C0">
        <w:t xml:space="preserve"> surveillance strategies for individual </w:t>
      </w:r>
      <w:r w:rsidR="001A18DE">
        <w:t xml:space="preserve">CC </w:t>
      </w:r>
      <w:r w:rsidR="00DA22C0" w:rsidRPr="00DA22C0">
        <w:t>patients</w:t>
      </w:r>
      <w:r w:rsidR="001A18DE">
        <w:t xml:space="preserve"> (and, eventually, for rectal cancer patients)</w:t>
      </w:r>
      <w:r w:rsidR="00DA22C0" w:rsidRPr="00DA22C0">
        <w:t xml:space="preserve"> based on patient and disease characteristics.</w:t>
      </w:r>
      <w:r w:rsidR="00E0755A">
        <w:t xml:space="preserve">  Moving from one-size-fits-all surveillance toward a more tailored approach has the potential to </w:t>
      </w:r>
      <w:r w:rsidR="00CD455D">
        <w:t>increase the effectiveness and cost-effectiveness of surveillance while minimizing unnecessary testing.</w:t>
      </w:r>
    </w:p>
    <w:p w14:paraId="26ED3B8A" w14:textId="77777777" w:rsidR="009B3BAA" w:rsidRPr="00C93121" w:rsidRDefault="009B3BAA" w:rsidP="00B03879">
      <w:pPr>
        <w:spacing w:after="0" w:line="480" w:lineRule="auto"/>
      </w:pPr>
    </w:p>
    <w:p w14:paraId="7611EE34" w14:textId="77777777" w:rsidR="009B3BAA" w:rsidRPr="00C93121" w:rsidRDefault="009B3BAA" w:rsidP="00B03879">
      <w:pPr>
        <w:spacing w:after="0" w:line="480" w:lineRule="auto"/>
      </w:pPr>
    </w:p>
    <w:p w14:paraId="28EC2F43" w14:textId="77777777" w:rsidR="009B3BAA" w:rsidRPr="00C93121" w:rsidRDefault="009B3BAA" w:rsidP="00B03879">
      <w:pPr>
        <w:spacing w:after="0" w:line="480" w:lineRule="auto"/>
      </w:pPr>
    </w:p>
    <w:p w14:paraId="07DDE640" w14:textId="77777777" w:rsidR="009B3BAA" w:rsidRPr="00C93121" w:rsidRDefault="009B3BAA" w:rsidP="00B03879">
      <w:pPr>
        <w:spacing w:after="0" w:line="480" w:lineRule="auto"/>
      </w:pPr>
    </w:p>
    <w:p w14:paraId="66D6CE9C" w14:textId="77777777" w:rsidR="009B3BAA" w:rsidRPr="00C93121" w:rsidRDefault="009B3BAA" w:rsidP="00B03879">
      <w:pPr>
        <w:spacing w:after="0" w:line="480" w:lineRule="auto"/>
      </w:pPr>
    </w:p>
    <w:p w14:paraId="59C11AB3" w14:textId="77777777" w:rsidR="009B3BAA" w:rsidRPr="00C93121" w:rsidRDefault="009B3BAA" w:rsidP="00B03879">
      <w:pPr>
        <w:spacing w:after="0" w:line="480" w:lineRule="auto"/>
      </w:pPr>
    </w:p>
    <w:p w14:paraId="602A31AC" w14:textId="77777777" w:rsidR="009B3BAA" w:rsidRPr="00C93121" w:rsidRDefault="009B3BAA" w:rsidP="00B03879">
      <w:pPr>
        <w:spacing w:after="0" w:line="480" w:lineRule="auto"/>
      </w:pPr>
    </w:p>
    <w:p w14:paraId="4DC07BDC" w14:textId="77777777" w:rsidR="009B3BAA" w:rsidRDefault="009B3BAA" w:rsidP="00B03879">
      <w:pPr>
        <w:spacing w:after="0" w:line="480" w:lineRule="auto"/>
      </w:pPr>
    </w:p>
    <w:p w14:paraId="2308CACA" w14:textId="77777777" w:rsidR="00A523C6" w:rsidRDefault="00A523C6" w:rsidP="00B03879">
      <w:pPr>
        <w:spacing w:after="0" w:line="480" w:lineRule="auto"/>
      </w:pPr>
    </w:p>
    <w:p w14:paraId="7BA863FB" w14:textId="77777777" w:rsidR="00551941" w:rsidRDefault="00551941" w:rsidP="00B03879">
      <w:pPr>
        <w:spacing w:after="0" w:line="480" w:lineRule="auto"/>
      </w:pPr>
    </w:p>
    <w:p w14:paraId="12853A5C" w14:textId="0307DD2C" w:rsidR="006242E5" w:rsidRDefault="006242E5">
      <w:r>
        <w:br w:type="page"/>
      </w:r>
    </w:p>
    <w:p w14:paraId="55961384" w14:textId="77777777" w:rsidR="00D81F17" w:rsidRPr="00C93121" w:rsidRDefault="00D81F17" w:rsidP="00B03879">
      <w:pPr>
        <w:spacing w:after="0" w:line="480" w:lineRule="auto"/>
      </w:pPr>
      <w:r w:rsidRPr="00C93121">
        <w:lastRenderedPageBreak/>
        <w:t>METHODS</w:t>
      </w:r>
    </w:p>
    <w:p w14:paraId="7977A4AA" w14:textId="77777777" w:rsidR="008F6C13" w:rsidRPr="00C93121" w:rsidRDefault="00AC2207" w:rsidP="00B03879">
      <w:pPr>
        <w:spacing w:after="0" w:line="480" w:lineRule="auto"/>
        <w:rPr>
          <w:i/>
        </w:rPr>
      </w:pPr>
      <w:r w:rsidRPr="00C93121">
        <w:rPr>
          <w:i/>
        </w:rPr>
        <w:t>Overview of Approach</w:t>
      </w:r>
    </w:p>
    <w:p w14:paraId="7DF4F54E" w14:textId="312A7590" w:rsidR="00B61FAF" w:rsidRPr="00C93121" w:rsidRDefault="00535432" w:rsidP="00B03879">
      <w:pPr>
        <w:spacing w:after="0" w:line="480" w:lineRule="auto"/>
        <w:ind w:firstLine="720"/>
      </w:pPr>
      <w:proofErr w:type="spellStart"/>
      <w:r>
        <w:t>CCSuRe</w:t>
      </w:r>
      <w:proofErr w:type="spellEnd"/>
      <w:r w:rsidR="00B61FAF" w:rsidRPr="00C93121">
        <w:t xml:space="preserve"> consists of two interacting </w:t>
      </w:r>
      <w:proofErr w:type="spellStart"/>
      <w:r w:rsidR="00B61FAF" w:rsidRPr="00C93121">
        <w:t>submodels</w:t>
      </w:r>
      <w:proofErr w:type="spellEnd"/>
      <w:r w:rsidR="00B61FAF" w:rsidRPr="00C93121">
        <w:t xml:space="preserve">: a disease progression </w:t>
      </w:r>
      <w:proofErr w:type="spellStart"/>
      <w:r w:rsidR="00B61FAF" w:rsidRPr="00C93121">
        <w:t>submodel</w:t>
      </w:r>
      <w:proofErr w:type="spellEnd"/>
      <w:r w:rsidR="00B61FAF" w:rsidRPr="00C93121">
        <w:t xml:space="preserve"> and a utilization </w:t>
      </w:r>
      <w:proofErr w:type="spellStart"/>
      <w:r w:rsidR="00B61FAF" w:rsidRPr="00C93121">
        <w:t>submodel</w:t>
      </w:r>
      <w:proofErr w:type="spellEnd"/>
      <w:r w:rsidR="00B61FAF" w:rsidRPr="00C93121">
        <w:t>.</w:t>
      </w:r>
      <w:r w:rsidR="00916E5A" w:rsidRPr="00C93121">
        <w:t xml:space="preserve">  The former generate</w:t>
      </w:r>
      <w:r w:rsidR="00E52C0A">
        <w:t>s</w:t>
      </w:r>
      <w:r w:rsidR="00916E5A" w:rsidRPr="00C93121">
        <w:t xml:space="preserve"> natural history events for simulated patients</w:t>
      </w:r>
      <w:r w:rsidR="00275CA4" w:rsidRPr="00C93121">
        <w:t xml:space="preserve"> over time from the point of initial treatment of CC</w:t>
      </w:r>
      <w:r w:rsidR="006242E5">
        <w:t>, and the la</w:t>
      </w:r>
      <w:r w:rsidR="00EA1E6B">
        <w:t>t</w:t>
      </w:r>
      <w:r w:rsidR="006242E5">
        <w:t xml:space="preserve">ter </w:t>
      </w:r>
      <w:r w:rsidR="00B74854" w:rsidRPr="00C93121">
        <w:t xml:space="preserve">simulates scheduled surveillance testing, follow-up diagnostic testing and </w:t>
      </w:r>
      <w:r w:rsidR="00EA1E6B">
        <w:t>r</w:t>
      </w:r>
      <w:r w:rsidR="00EA1E6B" w:rsidRPr="00C93121">
        <w:t>ecurrence</w:t>
      </w:r>
      <w:r w:rsidR="00EA1E6B">
        <w:t xml:space="preserve"> </w:t>
      </w:r>
      <w:r w:rsidR="00B74854" w:rsidRPr="00C93121">
        <w:t xml:space="preserve">treatment, which may affect survival.  </w:t>
      </w:r>
      <w:r w:rsidR="005F65FD" w:rsidRPr="00C93121">
        <w:t>After c</w:t>
      </w:r>
      <w:r w:rsidR="00D3220A" w:rsidRPr="00C93121">
        <w:t>linical trial data</w:t>
      </w:r>
      <w:r w:rsidR="007B079F" w:rsidRPr="00C93121">
        <w:t xml:space="preserve"> is used to “train” the disease progression </w:t>
      </w:r>
      <w:proofErr w:type="spellStart"/>
      <w:r w:rsidR="007B079F" w:rsidRPr="00C93121">
        <w:t>submodel</w:t>
      </w:r>
      <w:proofErr w:type="spellEnd"/>
      <w:r w:rsidR="005F65FD" w:rsidRPr="00C93121">
        <w:t>, any hypothetical post-treatment surveillance regimen can be simulat</w:t>
      </w:r>
      <w:r w:rsidR="002D007B" w:rsidRPr="00C93121">
        <w:t>ed by changing the parameters of</w:t>
      </w:r>
      <w:r w:rsidR="005F65FD" w:rsidRPr="00C93121">
        <w:t xml:space="preserve"> the utilization </w:t>
      </w:r>
      <w:proofErr w:type="spellStart"/>
      <w:r w:rsidR="00397A7D" w:rsidRPr="00C93121">
        <w:t>sub</w:t>
      </w:r>
      <w:r w:rsidR="005F65FD" w:rsidRPr="00C93121">
        <w:t>model</w:t>
      </w:r>
      <w:proofErr w:type="spellEnd"/>
      <w:r w:rsidR="000C7DA0">
        <w:t xml:space="preserve"> </w:t>
      </w:r>
      <w:r w:rsidR="00A53151">
        <w:t xml:space="preserve">that </w:t>
      </w:r>
      <w:r w:rsidR="000C7DA0">
        <w:t>control surveillance testing schedules</w:t>
      </w:r>
      <w:r w:rsidR="005F65FD" w:rsidRPr="00C93121">
        <w:t>.</w:t>
      </w:r>
    </w:p>
    <w:p w14:paraId="3973B2BD" w14:textId="77777777" w:rsidR="00275CA4" w:rsidRPr="00C93121" w:rsidRDefault="00275CA4" w:rsidP="00B03879">
      <w:pPr>
        <w:spacing w:after="0" w:line="480" w:lineRule="auto"/>
      </w:pPr>
    </w:p>
    <w:p w14:paraId="269CCAD0" w14:textId="77777777" w:rsidR="00275CA4" w:rsidRPr="00C93121" w:rsidRDefault="00275CA4" w:rsidP="00B03879">
      <w:pPr>
        <w:spacing w:after="0" w:line="480" w:lineRule="auto"/>
        <w:rPr>
          <w:i/>
        </w:rPr>
      </w:pPr>
      <w:r w:rsidRPr="00C93121">
        <w:rPr>
          <w:i/>
        </w:rPr>
        <w:t xml:space="preserve">The Disease Progression </w:t>
      </w:r>
      <w:proofErr w:type="spellStart"/>
      <w:r w:rsidRPr="00C93121">
        <w:rPr>
          <w:i/>
        </w:rPr>
        <w:t>Submodel</w:t>
      </w:r>
      <w:proofErr w:type="spellEnd"/>
    </w:p>
    <w:p w14:paraId="2DA1901F" w14:textId="0679A36B" w:rsidR="00570C2F" w:rsidRDefault="00E022F5" w:rsidP="00B03879">
      <w:pPr>
        <w:spacing w:after="0" w:line="480" w:lineRule="auto"/>
        <w:ind w:firstLine="720"/>
      </w:pPr>
      <w:r w:rsidRPr="00C93121">
        <w:t>We use a multi-state</w:t>
      </w:r>
      <w:r w:rsidR="003B099D" w:rsidRPr="00C93121">
        <w:t>, non-homogenous</w:t>
      </w:r>
      <w:r w:rsidRPr="00C93121">
        <w:t xml:space="preserve"> Markov </w:t>
      </w:r>
      <w:r w:rsidR="00894F1E">
        <w:t>process</w:t>
      </w:r>
      <w:r w:rsidR="00894F1E" w:rsidRPr="00C93121">
        <w:t xml:space="preserve"> </w:t>
      </w:r>
      <w:r w:rsidRPr="00C93121">
        <w:t xml:space="preserve">to </w:t>
      </w:r>
      <w:r w:rsidR="00A85067" w:rsidRPr="00C93121">
        <w:t>represent</w:t>
      </w:r>
      <w:r w:rsidR="00A51D32" w:rsidRPr="00C93121">
        <w:t xml:space="preserve"> disease progression</w:t>
      </w:r>
      <w:r w:rsidR="00DF2D23">
        <w:t xml:space="preserve"> </w:t>
      </w:r>
      <w:r w:rsidR="009B0071">
        <w:t>in continuous time</w:t>
      </w:r>
      <w:r w:rsidR="00A51D32" w:rsidRPr="00C93121">
        <w:t>.</w:t>
      </w:r>
      <w:r w:rsidR="00C93A05">
        <w:fldChar w:fldCharType="begin" w:fldLock="1"/>
      </w:r>
      <w:r w:rsidR="00C82D09">
        <w:instrText>ADDIN CSL_CITATION { "citationItems" : [ { "id" : "ITEM-1", "itemData" : { "author" : [ { "dropping-particle" : "", "family" : "Uhry", "given" : "Z", "non-dropping-particle" : "", "parse-names" : false, "suffix" : "" }, { "dropping-particle" : "", "family" : "Hedelin", "given" : "G", "non-dropping-particle" : "", "parse-names" : false, "suffix" : "" }, { "dropping-particle" : "", "family" : "Colonna", "given" : "M", "non-dropping-particle" : "", "parse-names" : false, "suffix" : "" }, { "dropping-particle" : "", "family" : "Asselain", "given" : "B", "non-dropping-particle" : "", "parse-names" : false, "suffix" : "" }, { "dropping-particle" : "", "family" : "Arveux", "given" : "P", "non-dropping-particle" : "", "parse-names" : false, "suffix" : "" }, { "dropping-particle" : "", "family" : "Rogel", "given" : "A", "non-dropping-particle" : "", "parse-names" : false, "suffix" : "" }, { "dropping-particle" : "", "family" : "Exbrayat", "given" : "C", "non-dropping-particle" : "", "parse-names" : false, "suffix" : "" }, { "dropping-particle" : "", "family" : "Guldenfels", "given" : "C", "non-dropping-particle" : "", "parse-names" : false, "suffix" : "" }, { "dropping-particle" : "", "family" : "Courtial", "given" : "I", "non-dropping-particle" : "", "parse-names" : false, "suffix" : "" }, { "dropping-particle" : "", "family" : "Soler-Michel", "given" : "P", "non-dropping-particle" : "", "parse-names" : false, "suffix" : "" }, { "dropping-particle" : "", "family" : "Molinie", "given" : "F", "non-dropping-particle" : "", "parse-names" : false, "suffix" : "" }, { "dropping-particle" : "", "family" : "Elistein", "given" : "D", "non-dropping-particle" : "", "parse-names" : false, "suffix" : "" }, { "dropping-particle" : "", "family" : "Duffy", "given" : "SW", "non-dropping-particle" : "", "parse-names" : false, "suffix" : "" } ], "container-title" : "Statistical Methods in Medical Research", "id" : "ITEM-1", "issue" : "5", "issued" : { "date-parts" : [ [ "2010" ] ] }, "page" : "463-486", "title" : "Multi-state Markov models in cancer screening evaluation: a brief review and case study", "type" : "article-journal", "volume" : "19" }, "uris" : [ "http://www.mendeley.com/documents/?uuid=4daef2e6-7c60-42ab-9845-1e2a00731a48" ] }, { "id" : "ITEM-2", "itemData" : { "author" : [ { "dropping-particle" : "", "family" : "Jackson", "given" : "Christopher H", "non-dropping-particle" : "", "parse-names" : false, "suffix" : "" }, { "dropping-particle" : "", "family" : "Sharples", "given" : "Linda D", "non-dropping-particle" : "", "parse-names" : false, "suffix" : "" }, { "dropping-particle" : "", "family" : "Thompson", "given" : "Simon G", "non-dropping-particle" : "", "parse-names" : false, "suffix" : "" }, { "dropping-particle" : "", "family" : "Duffy", "given" : "Stephen W", "non-dropping-particle" : "", "parse-names" : false, "suffix" : "" } ], "container-title" : "The Statistician", "id" : "ITEM-2", "issue" : "2", "issued" : { "date-parts" : [ [ "2003" ] ] }, "page" : "193-209", "title" : "Multistate Markov models for disease progression with classification error", "type" : "article-journal", "volume" : "52" }, "uris" : [ "http://www.mendeley.com/documents/?uuid=e14bf853-3b9a-447e-a689-b830f5c56c05" ] }, { "id" : "ITEM-3", "itemData" : { "author" : [ { "dropping-particle" : "", "family" : "Chen", "given" : "HH", "non-dropping-particle" : "", "parse-names" : false, "suffix" : "" }, { "dropping-particle" : "", "family" : "Duffy", "given" : "SW", "non-dropping-particle" : "", "parse-names" : false, "suffix" : "" }, { "dropping-particle" : "", "family" : "Tabar", "given" : "Laszlo", "non-dropping-particle" : "", "parse-names" : false, "suffix" : "" } ], "container-title" : "The Statistician", "id" : "ITEM-3", "issue" : "3", "issued" : { "date-parts" : [ [ "1996" ] ] }, "page" : "307-317", "title" : "A Markov chain method to estimate the tumor progression rate from preclinical to clinical phase, sensitivity and postiive predictive value for mammography in breast cancer screening", "type" : "article-journal", "volume" : "45" }, "uris" : [ "http://www.mendeley.com/documents/?uuid=fb73d9e1-5221-46e5-a1c4-773490dfdc0c" ] }, { "id" : "ITEM-4", "itemData" : { "author" : [ { "dropping-particle" : "", "family" : "Putter", "given" : "Hein", "non-dropping-particle" : "", "parse-names" : false, "suffix" : "" }, { "dropping-particle" : "", "family" : "Hage", "given" : "Jos", "non-dropping-particle" : "van der", "parse-names" : false, "suffix" : "" }, { "dropping-particle" : "", "family" : "Bock", "given" : "Geertruida H.", "non-dropping-particle" : "de", "parse-names" : false, "suffix" : "" }, { "dropping-particle" : "", "family" : "Elgalta", "given" : "Rachid", "non-dropping-particle" : "", "parse-names" : false, "suffix" : "" }, { "dropping-particle" : "", "family" : "Velde", "given" : "Cornelis J. H.", "non-dropping-particle" : "van de", "parse-names" : false, "suffix" : "" } ], "container-title" : "Biometrical Journal", "id" : "ITEM-4", "issue" : "3", "issued" : { "date-parts" : [ [ "2006" ] ] }, "page" : "366-380", "title" : "Estimation and Prediction in a Multi-State Model for Breast Cancer", "type" : "article-journal", "volume" : "48" }, "uris" : [ "http://www.mendeley.com/documents/?uuid=cffd7135-22d8-4e87-bca3-7980ce12f9b5" ] }, { "id" : "ITEM-5", "itemData" : { "author" : [ { "dropping-particle" : "", "family" : "Dancourt", "given" : "V", "non-dropping-particle" : "", "parse-names" : false, "suffix" : "" }, { "dropping-particle" : "", "family" : "Quantin", "given" : "C", "non-dropping-particle" : "", "parse-names" : false, "suffix" : "" }, { "dropping-particle" : "", "family" : "Abrahamowicz", "given" : "M", "non-dropping-particle" : "", "parse-names" : false, "suffix" : "" }, { "dropping-particle" : "", "family" : "Binquet", "given" : "C", "non-dropping-particle" : "", "parse-names" : false, "suffix" : "" }, { "dropping-particle" : "", "family" : "Alioum", "given" : "A", "non-dropping-particle" : "", "parse-names" : false, "suffix" : "" }, { "dropping-particle" : "", "family" : "Faivre", "given" : "J", "non-dropping-particle" : "", "parse-names" : false, "suffix" : "" } ], "container-title" : "Journal of Clinical Epidemiology", "id" : "ITEM-5", "issued" : { "date-parts" : [ [ "2004" ] ] }, "page" : "243-251", "title" : "Modeling recurrence in colorectal cancer", "type" : "article-journal", "volume" : "57" }, "uris" : [ "http://www.mendeley.com/documents/?uuid=aca697fc-3600-4eb0-beab-7b1a09112a56" ] } ], "mendeley" : { "formattedCitation" : "[32\u201336]", "plainTextFormattedCitation" : "[32\u201336]", "previouslyFormattedCitation" : "[32\u201336]" }, "properties" : { "noteIndex" : 0 }, "schema" : "https://github.com/citation-style-language/schema/raw/master/csl-citation.json" }</w:instrText>
      </w:r>
      <w:r w:rsidR="00C93A05">
        <w:fldChar w:fldCharType="separate"/>
      </w:r>
      <w:r w:rsidR="00C82D09" w:rsidRPr="00C82D09">
        <w:rPr>
          <w:noProof/>
        </w:rPr>
        <w:t>[32–36]</w:t>
      </w:r>
      <w:r w:rsidR="00C93A05">
        <w:fldChar w:fldCharType="end"/>
      </w:r>
      <w:r w:rsidR="00C53B43">
        <w:t xml:space="preserve"> </w:t>
      </w:r>
      <w:r w:rsidRPr="00C93121">
        <w:t xml:space="preserve"> </w:t>
      </w:r>
      <w:r w:rsidR="00A85067" w:rsidRPr="00C93121">
        <w:t xml:space="preserve">There are four progressively more </w:t>
      </w:r>
      <w:r w:rsidR="00973D68" w:rsidRPr="00C93121">
        <w:t xml:space="preserve">severe </w:t>
      </w:r>
      <w:r w:rsidR="00A85067" w:rsidRPr="00C93121">
        <w:t>states</w:t>
      </w:r>
      <w:r w:rsidR="00973D68" w:rsidRPr="00C93121">
        <w:t xml:space="preserve">: 1) no known recurrence, </w:t>
      </w:r>
      <w:r w:rsidR="001C4A7E" w:rsidRPr="00C93121">
        <w:t>2</w:t>
      </w:r>
      <w:r w:rsidR="00973D68" w:rsidRPr="00C93121">
        <w:t xml:space="preserve">) detectable and </w:t>
      </w:r>
      <w:proofErr w:type="spellStart"/>
      <w:r w:rsidR="00973D68" w:rsidRPr="00C93121">
        <w:t>resectable</w:t>
      </w:r>
      <w:proofErr w:type="spellEnd"/>
      <w:r w:rsidR="00973D68" w:rsidRPr="00C93121">
        <w:t xml:space="preserve"> recurrence, 3) detectab</w:t>
      </w:r>
      <w:r w:rsidR="00236A90" w:rsidRPr="00C93121">
        <w:t xml:space="preserve">le recurrence </w:t>
      </w:r>
      <w:r w:rsidR="000407E8" w:rsidRPr="00C93121">
        <w:t>which</w:t>
      </w:r>
      <w:r w:rsidR="00236A90" w:rsidRPr="00C93121">
        <w:t xml:space="preserve"> is not </w:t>
      </w:r>
      <w:proofErr w:type="spellStart"/>
      <w:r w:rsidR="00973D68" w:rsidRPr="00C93121">
        <w:t>resectable</w:t>
      </w:r>
      <w:proofErr w:type="spellEnd"/>
      <w:r w:rsidR="00973D68" w:rsidRPr="00C93121">
        <w:t>, and 4) death</w:t>
      </w:r>
      <w:r w:rsidR="00D7052B" w:rsidRPr="00C93121">
        <w:t xml:space="preserve"> </w:t>
      </w:r>
      <w:r w:rsidR="00292A07">
        <w:t>(p</w:t>
      </w:r>
      <w:r w:rsidR="00D7052B" w:rsidRPr="00C93121">
        <w:t xml:space="preserve">ossible transitions depicted in </w:t>
      </w:r>
      <w:r w:rsidR="00D7052B" w:rsidRPr="00C93121">
        <w:rPr>
          <w:b/>
        </w:rPr>
        <w:t xml:space="preserve">Figure </w:t>
      </w:r>
      <w:r w:rsidR="00713A6D" w:rsidRPr="00C93121">
        <w:rPr>
          <w:b/>
        </w:rPr>
        <w:t>A</w:t>
      </w:r>
      <w:r w:rsidR="00D7052B" w:rsidRPr="00C93121">
        <w:rPr>
          <w:b/>
        </w:rPr>
        <w:t>1</w:t>
      </w:r>
      <w:r w:rsidR="00713A6D" w:rsidRPr="00C93121">
        <w:rPr>
          <w:b/>
        </w:rPr>
        <w:t xml:space="preserve"> </w:t>
      </w:r>
      <w:r w:rsidR="00713A6D" w:rsidRPr="00C93121">
        <w:t>of</w:t>
      </w:r>
      <w:r w:rsidR="00713A6D" w:rsidRPr="00C93121">
        <w:rPr>
          <w:b/>
        </w:rPr>
        <w:t xml:space="preserve"> Appendix 1</w:t>
      </w:r>
      <w:r w:rsidR="00292A07" w:rsidRPr="00292A07">
        <w:t>).</w:t>
      </w:r>
      <w:r w:rsidR="00F764CD" w:rsidRPr="00C93121">
        <w:t xml:space="preserve"> </w:t>
      </w:r>
      <w:r w:rsidR="00CF5ABD" w:rsidRPr="00C93121">
        <w:t xml:space="preserve"> </w:t>
      </w:r>
      <w:r w:rsidR="00A80E2C" w:rsidRPr="00C93121">
        <w:t>T</w:t>
      </w:r>
      <w:r w:rsidR="00CF5ABD" w:rsidRPr="00C93121">
        <w:t>r</w:t>
      </w:r>
      <w:r w:rsidR="00A80E2C" w:rsidRPr="00C93121">
        <w:t xml:space="preserve">ansition intensities </w:t>
      </w:r>
      <m:oMath>
        <m:sSub>
          <m:sSubPr>
            <m:ctrlPr>
              <w:rPr>
                <w:rFonts w:ascii="Cambria Math" w:hAnsi="Cambria Math"/>
                <w:i/>
              </w:rPr>
            </m:ctrlPr>
          </m:sSubPr>
          <m:e>
            <m:r>
              <w:rPr>
                <w:rFonts w:ascii="Cambria Math" w:hAnsi="Cambria Math"/>
              </w:rPr>
              <m:t>λ</m:t>
            </m:r>
          </m:e>
          <m:sub>
            <m:r>
              <w:rPr>
                <w:rFonts w:ascii="Cambria Math" w:hAnsi="Cambria Math"/>
              </w:rPr>
              <m:t>ij</m:t>
            </m:r>
          </m:sub>
        </m:sSub>
        <m:d>
          <m:dPr>
            <m:ctrlPr>
              <w:rPr>
                <w:rFonts w:ascii="Cambria Math" w:hAnsi="Cambria Math"/>
                <w:i/>
              </w:rPr>
            </m:ctrlPr>
          </m:dPr>
          <m:e>
            <m:r>
              <w:rPr>
                <w:rFonts w:ascii="Cambria Math" w:hAnsi="Cambria Math"/>
              </w:rPr>
              <m:t>t</m:t>
            </m:r>
          </m:e>
        </m:d>
      </m:oMath>
      <w:r w:rsidR="00A80E2C" w:rsidRPr="00C93121">
        <w:t xml:space="preserve"> describe the </w:t>
      </w:r>
      <w:r w:rsidR="007B550A" w:rsidRPr="00C93121">
        <w:t xml:space="preserve">hazard </w:t>
      </w:r>
      <w:r w:rsidR="00A80E2C" w:rsidRPr="00C93121">
        <w:t>rate</w:t>
      </w:r>
      <w:r w:rsidR="008111DB">
        <w:t>s</w:t>
      </w:r>
      <w:r w:rsidR="00A80E2C" w:rsidRPr="00C93121">
        <w:t xml:space="preserve"> </w:t>
      </w:r>
      <w:r w:rsidR="009236B8">
        <w:t xml:space="preserve">(may be non-constant) </w:t>
      </w:r>
      <w:r w:rsidR="00A80E2C" w:rsidRPr="00C93121">
        <w:t>at which</w:t>
      </w:r>
      <w:r w:rsidR="00CF5ABD" w:rsidRPr="00C93121">
        <w:t xml:space="preserve"> </w:t>
      </w:r>
      <w:r w:rsidR="00A80E2C" w:rsidRPr="00C93121">
        <w:t xml:space="preserve">transitions from state </w:t>
      </w:r>
      <w:r w:rsidR="00EA2C00">
        <w:rPr>
          <w:i/>
        </w:rPr>
        <w:t>i</w:t>
      </w:r>
      <w:r w:rsidR="00A80E2C" w:rsidRPr="00C93121">
        <w:t xml:space="preserve"> to state </w:t>
      </w:r>
      <w:r w:rsidR="00A80E2C" w:rsidRPr="00C93121">
        <w:rPr>
          <w:i/>
        </w:rPr>
        <w:t>j</w:t>
      </w:r>
      <w:r w:rsidR="00A80E2C" w:rsidRPr="00C93121">
        <w:t xml:space="preserve"> occur over time.</w:t>
      </w:r>
      <w:r w:rsidR="00574D74" w:rsidRPr="00C93121">
        <w:t xml:space="preserve"> </w:t>
      </w:r>
    </w:p>
    <w:p w14:paraId="4634729F" w14:textId="3781380F" w:rsidR="001F21E6" w:rsidRDefault="00662CD1" w:rsidP="00B03879">
      <w:pPr>
        <w:spacing w:after="0" w:line="480" w:lineRule="auto"/>
        <w:ind w:firstLine="720"/>
      </w:pPr>
      <w:r>
        <w:t>In practice, one</w:t>
      </w:r>
      <w:r w:rsidR="00570C2F">
        <w:t xml:space="preserve"> can only infer that </w:t>
      </w:r>
      <w:r w:rsidR="002A4752">
        <w:t>state transitions</w:t>
      </w:r>
      <w:r w:rsidR="00570C2F">
        <w:t xml:space="preserve"> have occurred after the fact through clinical observation (with error).  To infer parameters of the transition intensity functions, we used a</w:t>
      </w:r>
      <w:r w:rsidR="00AD46A8">
        <w:t xml:space="preserve"> maximum likelihood</w:t>
      </w:r>
      <w:r w:rsidR="00570C2F">
        <w:t xml:space="preserve"> estimation </w:t>
      </w:r>
      <w:r w:rsidR="00570C2F" w:rsidRPr="0059554B">
        <w:t xml:space="preserve">process </w:t>
      </w:r>
      <w:r w:rsidR="00570C2F" w:rsidRPr="00726510">
        <w:t>(</w:t>
      </w:r>
      <w:r w:rsidR="00570C2F" w:rsidRPr="00726510">
        <w:rPr>
          <w:b/>
        </w:rPr>
        <w:t>Appendix 2</w:t>
      </w:r>
      <w:r w:rsidR="00570C2F" w:rsidRPr="00726510">
        <w:t>) based</w:t>
      </w:r>
      <w:r w:rsidR="00570C2F">
        <w:t xml:space="preserve"> on real-world follow-up data</w:t>
      </w:r>
      <w:r w:rsidR="00264A81">
        <w:t xml:space="preserve"> f</w:t>
      </w:r>
      <w:r w:rsidR="00570C2F" w:rsidRPr="00C93121">
        <w:t>rom the Clinical Outcomes of Surgical Therapy (COST) trial.</w:t>
      </w:r>
      <w:r w:rsidR="00570C2F" w:rsidRPr="00C93121">
        <w:fldChar w:fldCharType="begin" w:fldLock="1"/>
      </w:r>
      <w:r w:rsidR="00C82D09">
        <w:instrText>ADDIN CSL_CITATION { "citationItems" : [ { "id" : "ITEM-1", "itemData" : { "DOI" : "10.1056/NEJMoa032651", "ISSN" : "0028-4793", "author" : [ { "dropping-particle" : "", "family" : "Clinical", "given" : "The", "non-dropping-particle" : "", "parse-names" : false, "suffix" : "" }, { "dropping-particle" : "", "family" : "Therapy", "given" : "Surgical", "non-dropping-particle" : "", "parse-names" : false, "suffix" : "" }, { "dropping-particle" : "", "family" : "Group", "given" : "Study", "non-dropping-particle" : "", "parse-names" : false, "suffix" : "" } ], "container-title" : "New England Journal of Medicine", "id" : "ITEM-1", "issue" : "20", "issued" : { "date-parts" : [ [ "2004" ] ] }, "page" : "2050-2059", "title" : "A Comparison of Laparoscopically Assisted and Open Colectomy for Colon Cancer", "type" : "article-journal", "volume" : "350" }, "uris" : [ "http://www.mendeley.com/documents/?uuid=10f3e6ca-94dc-4c9c-b55a-8d0745f77ec8", "http://www.mendeley.com/documents/?uuid=1eed17b8-4807-4384-9d0c-b3b6e7c48a6d" ] } ], "mendeley" : { "formattedCitation" : "[37]", "plainTextFormattedCitation" : "[37]", "previouslyFormattedCitation" : "[37]" }, "properties" : { "noteIndex" : 0 }, "schema" : "https://github.com/citation-style-language/schema/raw/master/csl-citation.json" }</w:instrText>
      </w:r>
      <w:r w:rsidR="00570C2F" w:rsidRPr="00C93121">
        <w:fldChar w:fldCharType="separate"/>
      </w:r>
      <w:r w:rsidR="00C82D09" w:rsidRPr="00C82D09">
        <w:rPr>
          <w:noProof/>
        </w:rPr>
        <w:t>[37]</w:t>
      </w:r>
      <w:r w:rsidR="00570C2F" w:rsidRPr="00C93121">
        <w:fldChar w:fldCharType="end"/>
      </w:r>
      <w:r w:rsidR="00570C2F" w:rsidRPr="00C93121">
        <w:t xml:space="preserve">  The COST trial enrolled 788 subjects across 48 U.S. sites with </w:t>
      </w:r>
      <w:r w:rsidR="00894F1E">
        <w:t>curatively treated</w:t>
      </w:r>
      <w:r w:rsidR="00894F1E" w:rsidRPr="00C93121">
        <w:t xml:space="preserve"> </w:t>
      </w:r>
      <w:r w:rsidR="00570C2F" w:rsidRPr="00C93121">
        <w:t xml:space="preserve">Stage I-III colon cancer from 1994 to 1999.  Participants </w:t>
      </w:r>
      <w:r w:rsidR="0017579D">
        <w:t>underwent</w:t>
      </w:r>
      <w:r w:rsidR="00D14407">
        <w:t xml:space="preserve"> either</w:t>
      </w:r>
      <w:r w:rsidR="00570C2F" w:rsidRPr="00C93121">
        <w:t xml:space="preserve"> laparoscopically-assisted or open surgical resection.  With a median follow-up </w:t>
      </w:r>
      <w:r w:rsidR="00C16630">
        <w:t xml:space="preserve">of </w:t>
      </w:r>
      <w:r w:rsidR="00570C2F" w:rsidRPr="00C93121">
        <w:t>4.4 years, the COST investigators found no difference between arms in the primary endpoint of time to tumor recurrence.</w:t>
      </w:r>
      <w:r w:rsidR="00570C2F" w:rsidRPr="00C93121">
        <w:fldChar w:fldCharType="begin" w:fldLock="1"/>
      </w:r>
      <w:r w:rsidR="00C82D09">
        <w:instrText>ADDIN CSL_CITATION { "citationItems" : [ { "id" : "ITEM-1", "itemData" : { "DOI" : "10.1056/NEJMoa032651", "ISSN" : "0028-4793", "author" : [ { "dropping-particle" : "", "family" : "Clinical", "given" : "The", "non-dropping-particle" : "", "parse-names" : false, "suffix" : "" }, { "dropping-particle" : "", "family" : "Therapy", "given" : "Surgical", "non-dropping-particle" : "", "parse-names" : false, "suffix" : "" }, { "dropping-particle" : "", "family" : "Group", "given" : "Study", "non-dropping-particle" : "", "parse-names" : false, "suffix" : "" } ], "container-title" : "New England Journal of Medicine", "id" : "ITEM-1", "issue" : "20", "issued" : { "date-parts" : [ [ "2004" ] ] }, "page" : "2050-2059", "title" : "A Comparison of Laparoscopically Assisted and Open Colectomy for Colon Cancer", "type" : "article-journal", "volume" : "350" }, "uris" : [ "http://www.mendeley.com/documents/?uuid=1eed17b8-4807-4384-9d0c-b3b6e7c48a6d", "http://www.mendeley.com/documents/?uuid=10f3e6ca-94dc-4c9c-b55a-8d0745f77ec8" ] } ], "mendeley" : { "formattedCitation" : "[37]", "plainTextFormattedCitation" : "[37]", "previouslyFormattedCitation" : "[37]" }, "properties" : { "noteIndex" : 0 }, "schema" : "https://github.com/citation-style-language/schema/raw/master/csl-citation.json" }</w:instrText>
      </w:r>
      <w:r w:rsidR="00570C2F" w:rsidRPr="00C93121">
        <w:fldChar w:fldCharType="separate"/>
      </w:r>
      <w:r w:rsidR="00C82D09" w:rsidRPr="00C82D09">
        <w:rPr>
          <w:noProof/>
        </w:rPr>
        <w:t>[37]</w:t>
      </w:r>
      <w:r w:rsidR="00570C2F" w:rsidRPr="00C93121">
        <w:fldChar w:fldCharType="end"/>
      </w:r>
      <w:r w:rsidR="00E974BA">
        <w:t xml:space="preserve"> </w:t>
      </w:r>
    </w:p>
    <w:p w14:paraId="71CDAA58" w14:textId="542E6801" w:rsidR="00576022" w:rsidRPr="00C93121" w:rsidRDefault="00576022" w:rsidP="00B03879">
      <w:pPr>
        <w:spacing w:after="0" w:line="480" w:lineRule="auto"/>
        <w:ind w:firstLine="720"/>
      </w:pPr>
      <w:r w:rsidRPr="00C93121">
        <w:lastRenderedPageBreak/>
        <w:t>The distribution of recurrence sites was also based on the COST trial</w:t>
      </w:r>
      <w:r w:rsidR="00E256D3">
        <w:t xml:space="preserve"> data</w:t>
      </w:r>
      <w:r w:rsidRPr="00C93121">
        <w:t xml:space="preserve"> using non-mutually exclusive categories of local extraluminal, intraluminal (metachronous), lung, liver, abdominal metastases, and other</w:t>
      </w:r>
      <w:r w:rsidR="0040492E">
        <w:t xml:space="preserve"> metastases</w:t>
      </w:r>
      <w:r w:rsidRPr="00C93121">
        <w:t>.</w:t>
      </w:r>
      <w:r w:rsidR="005B1BDC" w:rsidRPr="005B1BDC">
        <w:t xml:space="preserve"> </w:t>
      </w:r>
      <w:r w:rsidR="005B1BDC">
        <w:t xml:space="preserve"> </w:t>
      </w:r>
      <w:r w:rsidR="00C32645">
        <w:t>Patients with local</w:t>
      </w:r>
      <w:r w:rsidR="002E1FC8">
        <w:t xml:space="preserve"> extraluminal, intraluminal, lung, or liver </w:t>
      </w:r>
      <w:r w:rsidR="00662CD1">
        <w:t>recurrence</w:t>
      </w:r>
      <w:r w:rsidR="002E1FC8">
        <w:t xml:space="preserve"> are </w:t>
      </w:r>
      <w:r w:rsidR="00E8619F">
        <w:t>assum</w:t>
      </w:r>
      <w:r w:rsidR="002E1FC8">
        <w:t xml:space="preserve">ed to </w:t>
      </w:r>
      <w:r w:rsidR="00662CD1">
        <w:t xml:space="preserve">spend some amount of time in state 2 (detectable and </w:t>
      </w:r>
      <w:proofErr w:type="spellStart"/>
      <w:r w:rsidR="00662CD1">
        <w:t>resectable</w:t>
      </w:r>
      <w:proofErr w:type="spellEnd"/>
      <w:r w:rsidR="00662CD1">
        <w:t>)</w:t>
      </w:r>
      <w:r w:rsidR="002E1FC8">
        <w:t xml:space="preserve"> before eventually advancing to state 3.  However, patients whose recurrences manifest </w:t>
      </w:r>
      <w:r w:rsidR="00E8619F">
        <w:t xml:space="preserve">solely </w:t>
      </w:r>
      <w:r w:rsidR="002E1FC8">
        <w:t xml:space="preserve">as abdominal </w:t>
      </w:r>
      <w:r w:rsidR="00247F7B">
        <w:t xml:space="preserve">metastases </w:t>
      </w:r>
      <w:r w:rsidR="002E1FC8">
        <w:t xml:space="preserve">or “other” metastases </w:t>
      </w:r>
      <w:r w:rsidR="00353907">
        <w:t>transition from stat</w:t>
      </w:r>
      <w:r w:rsidR="005B1BDC">
        <w:t xml:space="preserve">e 1 directly </w:t>
      </w:r>
      <w:r w:rsidR="00353907">
        <w:t>to stat</w:t>
      </w:r>
      <w:r w:rsidR="005B1BDC">
        <w:t>e 3</w:t>
      </w:r>
      <w:r w:rsidR="002E1FC8">
        <w:t>;</w:t>
      </w:r>
      <w:r w:rsidR="005B1BDC">
        <w:t xml:space="preserve"> such a patient would at no point be a candidate for curative </w:t>
      </w:r>
      <w:r w:rsidR="003B4EC8">
        <w:t xml:space="preserve">treatment </w:t>
      </w:r>
      <w:r w:rsidR="008C45D2">
        <w:t>once their</w:t>
      </w:r>
      <w:r w:rsidR="003B4EC8">
        <w:t xml:space="preserve"> recurren</w:t>
      </w:r>
      <w:r w:rsidR="008C45D2">
        <w:t>t disease was detectable</w:t>
      </w:r>
      <w:r w:rsidR="005B1BDC">
        <w:t>.</w:t>
      </w:r>
    </w:p>
    <w:p w14:paraId="266E99BA" w14:textId="77777777" w:rsidR="00C84F21" w:rsidRDefault="00DC7D55" w:rsidP="00B03879">
      <w:pPr>
        <w:spacing w:after="0" w:line="480" w:lineRule="auto"/>
      </w:pPr>
      <w:r>
        <w:tab/>
      </w:r>
      <w:r w:rsidR="00570C2F">
        <w:t xml:space="preserve">For </w:t>
      </w:r>
      <w:r w:rsidR="00576022">
        <w:t>“</w:t>
      </w:r>
      <w:r w:rsidR="00570C2F">
        <w:t>recurrence transitions</w:t>
      </w:r>
      <w:r w:rsidR="00576022">
        <w:t>”</w:t>
      </w:r>
      <w:r w:rsidR="00570C2F">
        <w:t xml:space="preserve"> (</w:t>
      </w:r>
      <w:r w:rsidR="00570C2F" w:rsidRPr="00C93121">
        <w:t>from state 1 to 2 and from state 1 to 3</w:t>
      </w:r>
      <w:r w:rsidR="00570C2F">
        <w:t xml:space="preserve">), we assume </w:t>
      </w:r>
      <w:r w:rsidR="00570C2F" w:rsidRPr="00C93121">
        <w:t xml:space="preserve">that the transition intensities </w:t>
      </w:r>
      <m:oMath>
        <m:sSub>
          <m:sSubPr>
            <m:ctrlPr>
              <w:rPr>
                <w:rFonts w:ascii="Cambria Math" w:hAnsi="Cambria Math"/>
                <w:i/>
              </w:rPr>
            </m:ctrlPr>
          </m:sSubPr>
          <m:e>
            <m:r>
              <w:rPr>
                <w:rFonts w:ascii="Cambria Math" w:hAnsi="Cambria Math"/>
              </w:rPr>
              <m:t>λ</m:t>
            </m:r>
          </m:e>
          <m:sub>
            <m:r>
              <w:rPr>
                <w:rFonts w:ascii="Cambria Math" w:hAnsi="Cambria Math"/>
              </w:rPr>
              <m:t>12</m:t>
            </m:r>
          </m:sub>
        </m:sSub>
        <m:r>
          <w:rPr>
            <w:rFonts w:ascii="Cambria Math" w:hAnsi="Cambria Math"/>
          </w:rPr>
          <m:t>(t)</m:t>
        </m:r>
      </m:oMath>
      <w:r w:rsidR="00570C2F" w:rsidRPr="00C93121">
        <w:t xml:space="preserve"> and </w:t>
      </w:r>
      <m:oMath>
        <m:sSub>
          <m:sSubPr>
            <m:ctrlPr>
              <w:rPr>
                <w:rFonts w:ascii="Cambria Math" w:hAnsi="Cambria Math"/>
                <w:i/>
              </w:rPr>
            </m:ctrlPr>
          </m:sSubPr>
          <m:e>
            <m:r>
              <w:rPr>
                <w:rFonts w:ascii="Cambria Math" w:hAnsi="Cambria Math"/>
              </w:rPr>
              <m:t>λ</m:t>
            </m:r>
          </m:e>
          <m:sub>
            <m:r>
              <w:rPr>
                <w:rFonts w:ascii="Cambria Math" w:hAnsi="Cambria Math"/>
              </w:rPr>
              <m:t>13</m:t>
            </m:r>
          </m:sub>
        </m:sSub>
        <m:r>
          <w:rPr>
            <w:rFonts w:ascii="Cambria Math" w:hAnsi="Cambria Math"/>
          </w:rPr>
          <m:t>(t)</m:t>
        </m:r>
      </m:oMath>
      <w:r w:rsidR="00570C2F" w:rsidRPr="00C93121">
        <w:t xml:space="preserve"> are equal</w:t>
      </w:r>
      <w:r w:rsidR="00570C2F">
        <w:t xml:space="preserve">. </w:t>
      </w:r>
      <w:r w:rsidR="00687BC7">
        <w:t xml:space="preserve"> </w:t>
      </w:r>
      <w:r w:rsidR="00570C2F">
        <w:t xml:space="preserve">The COST trial data demonstrated that </w:t>
      </w:r>
      <w:r w:rsidR="00570C2F" w:rsidRPr="00C93121">
        <w:t>the hazard of recurrence was non-constant over time</w:t>
      </w:r>
      <w:r w:rsidR="00E974BA">
        <w:t xml:space="preserve">, so </w:t>
      </w:r>
      <w:r w:rsidR="001123EC">
        <w:t>w</w:t>
      </w:r>
      <w:r w:rsidR="00570C2F">
        <w:t xml:space="preserve">e used a </w:t>
      </w:r>
      <w:r w:rsidR="00570C2F" w:rsidRPr="00C93121">
        <w:t>piecewise</w:t>
      </w:r>
      <w:r w:rsidR="00687BC7">
        <w:t xml:space="preserve"> (first increasing, then decreasing)</w:t>
      </w:r>
      <w:r w:rsidR="00570C2F" w:rsidRPr="00C93121">
        <w:t xml:space="preserve"> Weibull hazard</w:t>
      </w:r>
      <w:r w:rsidR="00E974BA">
        <w:t xml:space="preserve">. </w:t>
      </w:r>
      <w:r w:rsidR="00D74845">
        <w:t xml:space="preserve"> </w:t>
      </w:r>
      <w:r w:rsidR="00E974BA">
        <w:t>W</w:t>
      </w:r>
      <w:r w:rsidR="001123EC">
        <w:t>e also include the covariate of stage, assuming proportional hazards, because the hazard of recurrence differs based on cancer</w:t>
      </w:r>
      <w:r w:rsidR="00100D83">
        <w:t xml:space="preserve"> stage</w:t>
      </w:r>
      <w:r w:rsidR="001123EC">
        <w:t>.</w:t>
      </w:r>
      <w:r w:rsidR="00467A5F">
        <w:t xml:space="preserve">  </w:t>
      </w:r>
      <w:r w:rsidR="008B21D0">
        <w:tab/>
      </w:r>
    </w:p>
    <w:p w14:paraId="46A9AFA2" w14:textId="4D8FC15A" w:rsidR="003832B1" w:rsidRPr="00C93121" w:rsidRDefault="001123EC" w:rsidP="004167FB">
      <w:pPr>
        <w:spacing w:after="0" w:line="480" w:lineRule="auto"/>
        <w:ind w:firstLine="720"/>
      </w:pPr>
      <w:r>
        <w:t>T</w:t>
      </w:r>
      <w:r w:rsidR="00440F1F" w:rsidRPr="00C93121">
        <w:t>he transition from state 2 to 3</w:t>
      </w:r>
      <w:r>
        <w:t xml:space="preserve"> represents progression from a detectable and </w:t>
      </w:r>
      <w:proofErr w:type="spellStart"/>
      <w:r>
        <w:t>resectable</w:t>
      </w:r>
      <w:proofErr w:type="spellEnd"/>
      <w:r>
        <w:t xml:space="preserve"> recurrence to a </w:t>
      </w:r>
      <w:r w:rsidR="00E974BA">
        <w:t>non-</w:t>
      </w:r>
      <w:proofErr w:type="spellStart"/>
      <w:r>
        <w:t>resectable</w:t>
      </w:r>
      <w:proofErr w:type="spellEnd"/>
      <w:r>
        <w:t xml:space="preserve"> one</w:t>
      </w:r>
      <w:r w:rsidR="00440F1F" w:rsidRPr="00C93121">
        <w:t xml:space="preserve">. </w:t>
      </w:r>
      <w:r w:rsidR="00636AA0">
        <w:t xml:space="preserve"> </w:t>
      </w:r>
      <w:r>
        <w:t>W</w:t>
      </w:r>
      <w:r w:rsidRPr="00C93121">
        <w:t xml:space="preserve">e model </w:t>
      </w:r>
      <m:oMath>
        <m:sSub>
          <m:sSubPr>
            <m:ctrlPr>
              <w:rPr>
                <w:rFonts w:ascii="Cambria Math" w:hAnsi="Cambria Math"/>
                <w:i/>
              </w:rPr>
            </m:ctrlPr>
          </m:sSubPr>
          <m:e>
            <m:r>
              <w:rPr>
                <w:rFonts w:ascii="Cambria Math" w:hAnsi="Cambria Math"/>
              </w:rPr>
              <m:t>λ</m:t>
            </m:r>
          </m:e>
          <m:sub>
            <m:r>
              <w:rPr>
                <w:rFonts w:ascii="Cambria Math" w:hAnsi="Cambria Math"/>
              </w:rPr>
              <m:t>23</m:t>
            </m:r>
          </m:sub>
        </m:sSub>
        <m:r>
          <w:rPr>
            <w:rFonts w:ascii="Cambria Math" w:hAnsi="Cambria Math"/>
          </w:rPr>
          <m:t>(t)</m:t>
        </m:r>
      </m:oMath>
      <w:r w:rsidRPr="00C93121">
        <w:t xml:space="preserve"> using a decreasing Weibull hazard</w:t>
      </w:r>
      <w:r>
        <w:t xml:space="preserve"> </w:t>
      </w:r>
      <w:r w:rsidR="002554FD">
        <w:t xml:space="preserve">since </w:t>
      </w:r>
      <w:r w:rsidR="00880826">
        <w:t>later recurrences tend to be more indolent</w:t>
      </w:r>
      <w:r w:rsidR="005C21E3">
        <w:t>.</w:t>
      </w:r>
      <w:r w:rsidR="00041729">
        <w:fldChar w:fldCharType="begin" w:fldLock="1"/>
      </w:r>
      <w:r w:rsidR="00C82D09">
        <w:instrText>ADDIN CSL_CITATION { "citationItems" : [ { "id" : "ITEM-1", "itemData" : { "DOI" : "10.1200/JCO.2007.15.8261", "ISBN" : "1527-7755 (Electronic)\r0732-183X (Linking)", "PMID" : "18467725", "abstract" : "PURPOSE: This study was undertaken to examine five possible prognostic factors in patients with recurrent stage II and III colon cancer: time from randomization on an adjuvant therapy clinical trial to tumor recurrence (&lt; 1 year, 1 to 2 years, 2 to 3 years, 3 to 4 years, &gt; 4 years), initial stage (II v III), initial adjuvant treatment (fluorouracil [FU]-based v surgery alone), the era in which the patient entered an adjuvant therapy clinical trial (1978 to 1985, 1986 to 1992, 1993 to 1999), and patient age at recurrence. METHODS: The Adjuvant Colon Cancer End Points (ACCENT) data set was analyzed using univariate and multivariate Cox proportional hazards models, stratified by study. RESULTS: 5,722 (32.9%) of 17,381 patients experienced recurrence. Median survival following recurrence was 13.3 months. Time from randomization to recurrence was highly prognostic of survival following recurrence (P &lt; .0001). Longer survival following recurrence was seen in patients with initial stage II versus III disease (P &lt; .0001; 14.3% 6-year overall survival after recurrence in initial stage II patients), patients entered more recently onto trials (P &lt; .0001), and patients initially treated with surgery alone versus FU adjuvant treatment (P = .0005). All relationships were maintained in multivariate models. CONCLUSION: Time from initial treatment to recurrence and initial stage are important prognostic factors in patients with recurrent colon cancer. Survival following recurrence increased modestly from 1978 to 1999. Patients who had a recurrence following adjuvant therapy had poorer prognosis than those who progressed after surgery alone. These prognostic factors may be useful for clinical trial design and treatment decisions in patients with recurrent colon cancer.", "author" : [ { "dropping-particle" : "", "family" : "O'Connell", "given" : "M J", "non-dropping-particle" : "", "parse-names" : false, "suffix" : "" }, { "dropping-particle" : "", "family" : "Campbell", "given" : "M E", "non-dropping-particle" : "", "parse-names" : false, "suffix" : "" }, { "dropping-particle" : "", "family" : "Goldberg", "given" : "R M", "non-dropping-particle" : "", "parse-names" : false, "suffix" : "" }, { "dropping-particle" : "", "family" : "Grothey", "given" : "A", "non-dropping-particle" : "", "parse-names" : false, "suffix" : "" }, { "dropping-particle" : "", "family" : "Seitz", "given" : "J F", "non-dropping-particle" : "", "parse-names" : false, "suffix" : "" }, { "dropping-particle" : "", "family" : "Benedetti", "given" : "J K", "non-dropping-particle" : "", "parse-names" : false, "suffix" : "" }, { "dropping-particle" : "", "family" : "Andre", "given" : "T", "non-dropping-particle" : "", "parse-names" : false, "suffix" : "" }, { "dropping-particle" : "", "family" : "Haller", "given" : "D G", "non-dropping-particle" : "", "parse-names" : false, "suffix" : "" }, { "dropping-particle" : "", "family" : "Sargent", "given" : "D J", "non-dropping-particle" : "", "parse-names" : false, "suffix" : "" } ], "container-title" : "Journal of Clinical Oncology", "edition" : "2008/05/10", "id" : "ITEM-1", "issue" : "14", "issued" : { "date-parts" : [ [ "2008" ] ] }, "language" : "eng", "note" : "O'Connell, Michael J\nCampbell, Megan E\nGoldberg, Richard M\nGrothey, Axel\nSeitz, Jean-Francois\nBenedetti, Jacqueline K\nAndre, Thierry\nHaller, Daniel G\nSargent, Daniel J\nU10CA-12027/CA/NCI NIH HHS/\nU10CA-37377/CA/NCI NIH HHS/\nU10CA-69651/CA/NCI NIH HHS/\nU10CA-69974/CA/NCI NIH HHS/\nJ Clin Oncol. 2008 May 10;26(14):2336-41.", "page" : "2336-2341", "title" : "Survival following recurrence in stage II and III colon cancer: findings from the ACCENT data set", "type" : "article-journal", "volume" : "26" }, "uris" : [ "http://www.mendeley.com/documents/?uuid=d2b5aba7-7c09-47e5-a672-988c88aedd3d", "http://www.mendeley.com/documents/?uuid=f0c200b5-e03f-4f1b-a407-f2b679f05a2b" ] }, { "id" : "ITEM-2", "itemData" : { "DOI" : "10.1007/BF02552560", "ISBN" : "0012-3706 (Print)\r0012-3706 (Linking)", "PMID" : "3366020", "abstract" : "In this review of a collected series of patients undergoing hepatic resection for colorectal metastases, 100 patients were found to have survived greater than five years from the time of resection. Of these 100 long-term survivors, 71 remain disease-free through the last follow-up, 19 recurred prior to five years, and ten recurred after five years. Patient characteristics that may have contributed to survival were examined. Procedures performed included five trisegmentectomies, 32 lobectomies, 16 left lateral segmentectomies, and 45 wedge resections. The margin of resection was recorded in 27 patients, one of whom had a positive margin, nine of whom had a less than or equal to 1-cm margin, and 17 of whom had a greater than 1-cm margin. Eighty-one patients had a solitary metastasis to the liver, 11 patients had two metastases, one patient had three metastases, and four patients had four metastases. Thirty patients had Stage C primary carcinoma, 40 had Stage B primary carcinoma, and one had Stage A primary carcinoma. The disease-free interval from the time of colon resection to the time of liver resection was less than one year in 65 patients, and greater than one year in 34 patients. Three patients had bilobar metastases. Four of the patients had extrahepatic disease resected simultaneously with the liver resection. Though several contraindications to hepatic resection have been proposed in the past, five-year survival has been found in patients with extrahepatic disease resected simultaneously, patients with bilobar metastases, patients with multiple metastases, and patients with positive margins. Five-year disease-free survivors are also present in each of these subsets. It is concluded that five-year survival is possible in the presence of reported contraindications to resection, and therefore that the decision to resect the liver must be individualized.", "author" : [ { "dropping-particle" : "", "family" : "Hughes", "given" : "K S", "non-dropping-particle" : "", "parse-names" : false, "suffix" : "" }, { "dropping-particle" : "", "family" : "Rosenstein", "given" : "R B", "non-dropping-particle" : "", "parse-names" : false, "suffix" : "" }, { "dropping-particle" : "", "family" : "Songhorabodi", "given" : "S", "non-dropping-particle" : "", "parse-names" : false, "suffix" : "" }, { "dropping-particle" : "", "family" : "Adson", "given" : "M A", "non-dropping-particle" : "", "parse-names" : false, "suffix" : "" }, { "dropping-particle" : "", "family" : "Ilstrup", "given" : "D M", "non-dropping-particle" : "", "parse-names" : false, "suffix" : "" }, { "dropping-particle" : "", "family" : "Fortner", "given" : "J G", "non-dropping-particle" : "", "parse-names" : false, "suffix" : "" }, { "dropping-particle" : "", "family" : "Maclean", "given" : "B J", "non-dropping-particle" : "", "parse-names" : false, "suffix" : "" }, { "dropping-particle" : "", "family" : "Foster", "given" : "J H", "non-dropping-particle" : "", "parse-names" : false, "suffix" : "" }, { "dropping-particle" : "", "family" : "Daly", "given" : "J M", "non-dropping-particle" : "", "parse-names" : false, "suffix" : "" }, { "dropping-particle" : "", "family" : "Fitzherbert", "given" : "D", "non-dropping-particle" : "", "parse-names" : false, "suffix" : "" }, { "dropping-particle" : "", "family" : "et al.", "given" : "", "non-dropping-particle" : "", "parse-names" : false, "suffix" : "" } ], "container-title" : "Diseases of the Colon and Rectum", "edition" : "1988/01/01", "id" : "ITEM-2", "issue" : "1", "issued" : { "date-parts" : [ [ "1988" ] ] }, "language" : "eng", "note" : "Hughes, K S\nRosenstein, R B\nSonghorabodi, S\nAdson, M A\nIlstrup, D M\nFortner, J G\nMaclean, B J\nFoster, J H\nDaly, J M\nFitzherbert, D\nR01 DK029961-19/DK/NIDDK NIH HHS/\nDis Colon Rectum. 1988 Jan;31(1):1-4.", "page" : "1-4", "title" : "Resection of the liver for colorectal carcinoma metastases. A multi-institutional study of long-term survivors", "type" : "article-journal", "volume" : "31" }, "uris" : [ "http://www.mendeley.com/documents/?uuid=2653c5fc-98e2-4f58-a6d3-db9171e50e75", "http://www.mendeley.com/documents/?uuid=eef01baa-ea87-42ee-85d6-f4b13a13bf3b" ] }, { "id" : "ITEM-3", "itemData" : { "ISBN" : "0008-428X (Print)\r0008-428X (Linking)", "PMID" : "3779547", "abstract" : "Hepatic resection for metastatic disease is reviewed in 30 patients (mean age 58.9 years). The primary site was the colorectum in 25; the other primary tumours were leiomyosarcoma, plasmacytoma, and adenocarcinoma (all of gastric origin), ocular melanoma and an unknown primary. Operative procedures included 7 wedge resections, 5 segmentectomies and 21 lobectomies (11 right, 4 extended right and 6 left). Major complications in seven patients included intraoperative hemorrhage in three, two of whom died, bile-duct injury in two, small-bowel infarction in one and cerebrovascular accident in one. Operative death rate was 6.7% (2 of 30). Thirteen patients were alive and free of disease a mean of 24 months after hepatic resection while 5 more were alive with disease at a mean of 36.9 months. Life-table analysis projected a 5-year survival of 50.3% for those with colorectal primaries, with no apparent difference in survival between patients with single (55.0%) and multiple (54.0%) metastases. Improved survival was projected for patients with metachronous (66.6%) versus synchronous (45.0%) tumours, primary Dukes' class A or B (66.1%) versus Dukes' class C (46.0%) tumours and those having wedge resection or segmentectomy (66.6%) versus lobectomy or extended lobectomy (48.0%). Hepatic resection for metastatic disease can be done with acceptable morbidity and mortality and the expectation of substantially prolonged survival particularly in patients with metachronous lesions or Dukes's A or B colorectal primary lesions.", "author" : [ { "dropping-particle" : "", "family" : "Olak", "given" : "J", "non-dropping-particle" : "", "parse-names" : false, "suffix" : "" }, { "dropping-particle" : "", "family" : "Wexler", "given" : "M J", "non-dropping-particle" : "", "parse-names" : false, "suffix" : "" }, { "dropping-particle" : "", "family" : "Rodriguez", "given" : "J", "non-dropping-particle" : "", "parse-names" : false, "suffix" : "" }, { "dropping-particle" : "", "family" : "McLean", "given" : "A P", "non-dropping-particle" : "", "parse-names" : false, "suffix" : "" } ], "container-title" : "Canadian Journal of Surgery", "edition" : "1986/11/01", "id" : "ITEM-3", "issue" : "6", "issued" : { "date-parts" : [ [ "1986" ] ] }, "language" : "eng", "note" : "Olak, J\nWexler, M J\nRodriguez, J\nMcLean, A P\nCANADA\nCan J Surg. 1986 Nov;29(6):435-9.", "page" : "435-439", "title" : "Hepatic resection for metastatic disease", "type" : "article-journal", "volume" : "29" }, "uris" : [ "http://www.mendeley.com/documents/?uuid=e33d0b5e-83df-45b8-8f62-a866f7f0fce8", "http://www.mendeley.com/documents/?uuid=dc5a354d-4066-49b3-9c0a-26f79221a217" ] }, { "id" : "ITEM-4", "itemData" : { "DOI" : "10.1016/S0002-9610(85)80065-9", "ISBN" : "0002-9610 (Print)\r0002-9610 (Linking)", "PMID" : "3970316", "abstract" : "Surgical results were analyzed in 36 patients who had undergone hepatic resection for metastases from colorectal carcinoma. Survival was not altered by the type of surgical resection nor in the presence of solitary compared with multiple lesions. No difference in survival from the time of liver resection was noted in patients staged as Dukes' B and Dukes' C (metachronous liver metastasis) in comparison to patients who presented with synchronous liver metastases. Overall median survival was 22 months with no 5 year survivors to date. There is a tendency for recurrence to occur in extrahepatic sites, which emphasizes the need for an effective chemotherapeutic agent.", "author" : [ { "dropping-particle" : "", "family" : "Petrelli", "given" : "N J", "non-dropping-particle" : "", "parse-names" : false, "suffix" : "" }, { "dropping-particle" : "", "family" : "Nambisan", "given" : "R N", "non-dropping-particle" : "", "parse-names" : false, "suffix" : "" }, { "dropping-particle" : "", "family" : "Herrera", "given" : "L", "non-dropping-particle" : "", "parse-names" : false, "suffix" : "" }, { "dropping-particle" : "", "family" : "Mittelman", "given" : "A", "non-dropping-particle" : "", "parse-names" : false, "suffix" : "" } ], "container-title" : "American Journal of Surgery", "edition" : "1985/02/01", "id" : "ITEM-4", "issue" : "2", "issued" : { "date-parts" : [ [ "1985" ] ] }, "language" : "eng", "note" : "Petrelli, N J\nNambisan, R N\nHerrera, L\nMittelman, A\nAm J Surg. 1985 Feb;149(2):205-9.", "page" : "205-209", "title" : "Hepatic resection for isolated metastasis from colorectal carcinoma", "type" : "article-journal", "volume" : "149" }, "uris" : [ "http://www.mendeley.com/documents/?uuid=a6968b2b-d77b-4261-a759-b005ce1c631f", "http://www.mendeley.com/documents/?uuid=99c1665d-4db0-4575-bf6b-0dd1e87ccfc8" ] } ], "mendeley" : { "formattedCitation" : "[38\u201341]", "plainTextFormattedCitation" : "[38\u201341]", "previouslyFormattedCitation" : "[38\u201341]" }, "properties" : { "noteIndex" : 0 }, "schema" : "https://github.com/citation-style-language/schema/raw/master/csl-citation.json" }</w:instrText>
      </w:r>
      <w:r w:rsidR="00041729">
        <w:fldChar w:fldCharType="separate"/>
      </w:r>
      <w:r w:rsidR="00C82D09" w:rsidRPr="00C82D09">
        <w:rPr>
          <w:noProof/>
        </w:rPr>
        <w:t>[38–41]</w:t>
      </w:r>
      <w:r w:rsidR="00041729">
        <w:fldChar w:fldCharType="end"/>
      </w:r>
      <w:r w:rsidR="00D2450C" w:rsidRPr="00C93121">
        <w:t xml:space="preserve"> </w:t>
      </w:r>
    </w:p>
    <w:p w14:paraId="4F46E2A6" w14:textId="1661DF62" w:rsidR="004158C1" w:rsidRPr="00C93121" w:rsidRDefault="00A02E79" w:rsidP="00B03879">
      <w:pPr>
        <w:spacing w:after="0" w:line="480" w:lineRule="auto"/>
      </w:pPr>
      <w:r>
        <w:tab/>
      </w:r>
      <w:r w:rsidR="00AC043F" w:rsidRPr="00C93121">
        <w:t>Transitions from states 1 and 2 to state 4</w:t>
      </w:r>
      <w:r w:rsidR="00576022">
        <w:t>, and from sta</w:t>
      </w:r>
      <w:r w:rsidR="006A0AB3">
        <w:t xml:space="preserve">te 3 to </w:t>
      </w:r>
      <w:r w:rsidR="00576022">
        <w:t xml:space="preserve">4, </w:t>
      </w:r>
      <w:r w:rsidR="00F7739E">
        <w:t>represent</w:t>
      </w:r>
      <w:r w:rsidR="00576022">
        <w:t xml:space="preserve"> death</w:t>
      </w:r>
      <w:r w:rsidR="00C1798F">
        <w:t>s</w:t>
      </w:r>
      <w:r w:rsidR="00576022">
        <w:t xml:space="preserve">. </w:t>
      </w:r>
      <w:r w:rsidR="00AC043F" w:rsidRPr="00C93121">
        <w:t xml:space="preserve"> </w:t>
      </w:r>
      <w:r w:rsidR="00576022">
        <w:t xml:space="preserve">The two former transitions </w:t>
      </w:r>
      <w:r w:rsidR="004158C1" w:rsidRPr="00C93121">
        <w:t>both represent death from other cause</w:t>
      </w:r>
      <w:r w:rsidR="00576022">
        <w:t>s</w:t>
      </w:r>
      <w:r w:rsidR="00636AA0">
        <w:t>;</w:t>
      </w:r>
      <w:r w:rsidR="00576022">
        <w:t xml:space="preserve"> </w:t>
      </w:r>
      <w:r w:rsidR="004158C1" w:rsidRPr="00C93121">
        <w:t xml:space="preserve">we assume </w:t>
      </w:r>
      <w:r w:rsidR="005C528E" w:rsidRPr="00C93121">
        <w:t>that</w:t>
      </w:r>
      <w:r w:rsidR="00244C12">
        <w:t xml:space="preserve"> </w:t>
      </w:r>
      <m:oMath>
        <m:sSub>
          <m:sSubPr>
            <m:ctrlPr>
              <w:rPr>
                <w:rFonts w:ascii="Cambria Math" w:hAnsi="Cambria Math"/>
                <w:i/>
              </w:rPr>
            </m:ctrlPr>
          </m:sSubPr>
          <m:e>
            <m:r>
              <w:rPr>
                <w:rFonts w:ascii="Cambria Math" w:hAnsi="Cambria Math"/>
              </w:rPr>
              <m:t>λ</m:t>
            </m:r>
          </m:e>
          <m:sub>
            <m:r>
              <w:rPr>
                <w:rFonts w:ascii="Cambria Math" w:hAnsi="Cambria Math"/>
              </w:rPr>
              <m:t>14</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24</m:t>
            </m:r>
          </m:sub>
        </m:sSub>
        <m:d>
          <m:dPr>
            <m:ctrlPr>
              <w:rPr>
                <w:rFonts w:ascii="Cambria Math" w:hAnsi="Cambria Math"/>
                <w:i/>
              </w:rPr>
            </m:ctrlPr>
          </m:dPr>
          <m:e>
            <m:r>
              <w:rPr>
                <w:rFonts w:ascii="Cambria Math" w:hAnsi="Cambria Math"/>
              </w:rPr>
              <m:t>t</m:t>
            </m:r>
          </m:e>
        </m:d>
      </m:oMath>
      <w:r w:rsidR="004158C1" w:rsidRPr="00C93121">
        <w:t xml:space="preserve">. </w:t>
      </w:r>
      <w:r w:rsidR="00FE78B8" w:rsidRPr="00C93121">
        <w:t xml:space="preserve"> </w:t>
      </w:r>
      <w:r w:rsidR="00576022">
        <w:t xml:space="preserve">The transition from State 3 to 4 </w:t>
      </w:r>
      <w:r w:rsidR="00576022" w:rsidRPr="00C93121">
        <w:t>represent</w:t>
      </w:r>
      <w:r w:rsidR="00576022">
        <w:t>s</w:t>
      </w:r>
      <w:r w:rsidR="00576022" w:rsidRPr="00C93121">
        <w:t xml:space="preserve"> death from cancer or other causes</w:t>
      </w:r>
      <w:r w:rsidR="00487183">
        <w:t>;</w:t>
      </w:r>
      <w:r w:rsidR="00696965">
        <w:t xml:space="preserve"> </w:t>
      </w:r>
      <m:oMath>
        <m:sSub>
          <m:sSubPr>
            <m:ctrlPr>
              <w:rPr>
                <w:rFonts w:ascii="Cambria Math" w:hAnsi="Cambria Math"/>
                <w:i/>
              </w:rPr>
            </m:ctrlPr>
          </m:sSubPr>
          <m:e>
            <m:r>
              <w:rPr>
                <w:rFonts w:ascii="Cambria Math" w:hAnsi="Cambria Math"/>
              </w:rPr>
              <m:t>λ</m:t>
            </m:r>
          </m:e>
          <m:sub>
            <m:r>
              <w:rPr>
                <w:rFonts w:ascii="Cambria Math" w:hAnsi="Cambria Math"/>
              </w:rPr>
              <m:t>34</m:t>
            </m:r>
          </m:sub>
        </m:sSub>
        <m:d>
          <m:dPr>
            <m:ctrlPr>
              <w:rPr>
                <w:rFonts w:ascii="Cambria Math" w:hAnsi="Cambria Math"/>
                <w:i/>
              </w:rPr>
            </m:ctrlPr>
          </m:dPr>
          <m:e>
            <m:r>
              <w:rPr>
                <w:rFonts w:ascii="Cambria Math" w:hAnsi="Cambria Math"/>
              </w:rPr>
              <m:t>t</m:t>
            </m:r>
          </m:e>
        </m:d>
        <m:r>
          <w:rPr>
            <w:rFonts w:ascii="Cambria Math" w:hAnsi="Cambria Math"/>
          </w:rPr>
          <m:t xml:space="preserve">&gt; </m:t>
        </m:r>
        <m:sSub>
          <m:sSubPr>
            <m:ctrlPr>
              <w:rPr>
                <w:rFonts w:ascii="Cambria Math" w:hAnsi="Cambria Math"/>
                <w:i/>
              </w:rPr>
            </m:ctrlPr>
          </m:sSubPr>
          <m:e>
            <m:r>
              <w:rPr>
                <w:rFonts w:ascii="Cambria Math" w:hAnsi="Cambria Math"/>
              </w:rPr>
              <m:t>λ</m:t>
            </m:r>
          </m:e>
          <m:sub>
            <m:r>
              <w:rPr>
                <w:rFonts w:ascii="Cambria Math" w:hAnsi="Cambria Math"/>
              </w:rPr>
              <m:t>14</m:t>
            </m:r>
          </m:sub>
        </m:sSub>
        <m:d>
          <m:dPr>
            <m:ctrlPr>
              <w:rPr>
                <w:rFonts w:ascii="Cambria Math" w:hAnsi="Cambria Math"/>
                <w:i/>
              </w:rPr>
            </m:ctrlPr>
          </m:dPr>
          <m:e>
            <m:r>
              <w:rPr>
                <w:rFonts w:ascii="Cambria Math" w:hAnsi="Cambria Math"/>
              </w:rPr>
              <m:t>t</m:t>
            </m:r>
          </m:e>
        </m:d>
      </m:oMath>
      <w:r w:rsidR="00576022">
        <w:t xml:space="preserve">. </w:t>
      </w:r>
      <w:r w:rsidR="00696965">
        <w:t xml:space="preserve">Based on empirical hazard </w:t>
      </w:r>
      <w:r w:rsidR="0013522A">
        <w:t>plot</w:t>
      </w:r>
      <w:r w:rsidR="00696965">
        <w:t>s observed in the COST data</w:t>
      </w:r>
      <w:r w:rsidR="00616D10">
        <w:t>,</w:t>
      </w:r>
      <w:r w:rsidR="00576022">
        <w:t xml:space="preserve"> we </w:t>
      </w:r>
      <w:r w:rsidR="005C2604">
        <w:t>assumed</w:t>
      </w:r>
      <w:r w:rsidR="004158C1" w:rsidRPr="00C93121">
        <w:t xml:space="preserve"> constant hazard </w:t>
      </w:r>
      <w:r w:rsidR="005C2604">
        <w:t>and included</w:t>
      </w:r>
      <w:r w:rsidR="004158C1" w:rsidRPr="00C93121">
        <w:t xml:space="preserve"> a</w:t>
      </w:r>
      <w:r w:rsidR="00636AA0">
        <w:t>n age</w:t>
      </w:r>
      <w:r w:rsidR="004158C1" w:rsidRPr="00C93121">
        <w:t xml:space="preserve"> covariate</w:t>
      </w:r>
      <w:r w:rsidR="00616D10">
        <w:t xml:space="preserve"> for all transitions</w:t>
      </w:r>
      <w:r w:rsidR="0040492E">
        <w:t xml:space="preserve"> into state 4</w:t>
      </w:r>
      <w:r w:rsidR="00576022">
        <w:t>.</w:t>
      </w:r>
      <w:r w:rsidR="00576022" w:rsidRPr="00C93121" w:rsidDel="00576022">
        <w:t xml:space="preserve"> </w:t>
      </w:r>
    </w:p>
    <w:p w14:paraId="2C7A4D37" w14:textId="3F7EB7E8" w:rsidR="005A6FB7" w:rsidRDefault="003B3E2A" w:rsidP="00B03879">
      <w:pPr>
        <w:spacing w:after="0" w:line="480" w:lineRule="auto"/>
        <w:ind w:firstLine="720"/>
      </w:pPr>
      <w:r>
        <w:t>After estimating the</w:t>
      </w:r>
      <w:r w:rsidR="00A85067" w:rsidRPr="00C93121">
        <w:t xml:space="preserve"> disease </w:t>
      </w:r>
      <w:r w:rsidR="00FE1084" w:rsidRPr="00C93121">
        <w:t xml:space="preserve">progression parameters, we </w:t>
      </w:r>
      <w:r w:rsidR="005C528E" w:rsidRPr="00C93121">
        <w:t>estimated</w:t>
      </w:r>
      <w:r w:rsidR="00A85067" w:rsidRPr="00C93121">
        <w:t xml:space="preserve"> the rate </w:t>
      </w:r>
      <w:r w:rsidR="005B3701">
        <w:t xml:space="preserve">of symptom </w:t>
      </w:r>
      <w:r w:rsidR="00ED11AB">
        <w:t>onset</w:t>
      </w:r>
      <w:r w:rsidR="005B3701">
        <w:t xml:space="preserve"> among recurring </w:t>
      </w:r>
      <w:r w:rsidR="00A85067" w:rsidRPr="00C93121">
        <w:t>patients.</w:t>
      </w:r>
      <w:r w:rsidR="00F16607">
        <w:t xml:space="preserve"> </w:t>
      </w:r>
      <w:r w:rsidR="00A85067" w:rsidRPr="00C93121">
        <w:t xml:space="preserve"> We assume </w:t>
      </w:r>
      <w:r w:rsidR="006F491A" w:rsidRPr="00C93121">
        <w:t>a constant hazard for symptom</w:t>
      </w:r>
      <w:r w:rsidR="002B3C87">
        <w:t xml:space="preserve"> onset</w:t>
      </w:r>
      <w:r w:rsidR="00DD503F">
        <w:t>;</w:t>
      </w:r>
      <w:r w:rsidR="00A85067" w:rsidRPr="00C93121">
        <w:t xml:space="preserve"> patients become eligible to develop symptoms when they </w:t>
      </w:r>
      <w:r w:rsidR="00F7739E">
        <w:t>transition</w:t>
      </w:r>
      <w:r w:rsidR="00785CD1">
        <w:t xml:space="preserve"> from state 1 to states 2 or 3</w:t>
      </w:r>
      <w:r w:rsidR="006F491A">
        <w:t xml:space="preserve">. </w:t>
      </w:r>
      <w:r w:rsidR="00384A8D">
        <w:t xml:space="preserve"> </w:t>
      </w:r>
      <w:r w:rsidR="006E3086">
        <w:t>To develop this hazard estimate, w</w:t>
      </w:r>
      <w:r w:rsidR="00D12478">
        <w:t xml:space="preserve">e used a chart review dataset of 62 </w:t>
      </w:r>
      <w:r w:rsidR="00DC428E">
        <w:t xml:space="preserve">recurring </w:t>
      </w:r>
      <w:r w:rsidR="00D12478">
        <w:t>patients</w:t>
      </w:r>
      <w:r w:rsidR="00DC428E">
        <w:t xml:space="preserve"> </w:t>
      </w:r>
      <w:r w:rsidR="00D12478">
        <w:t>at our own institution</w:t>
      </w:r>
      <w:r w:rsidR="00DC428E">
        <w:t xml:space="preserve"> (since COST trial </w:t>
      </w:r>
      <w:r w:rsidR="00DC428E">
        <w:lastRenderedPageBreak/>
        <w:t>data does not describe symptom</w:t>
      </w:r>
      <w:r w:rsidR="00BE68AA">
        <w:t>ology</w:t>
      </w:r>
      <w:r w:rsidR="00DC428E">
        <w:t xml:space="preserve"> at presentation), </w:t>
      </w:r>
      <w:r w:rsidR="00DC428E" w:rsidRPr="00C93121">
        <w:t>contain</w:t>
      </w:r>
      <w:r w:rsidR="00DC428E">
        <w:t>ing details of</w:t>
      </w:r>
      <w:r w:rsidR="00DC428E" w:rsidRPr="00C93121">
        <w:t xml:space="preserve"> all relevant healthcare encounters following initial CC treatment and symptom</w:t>
      </w:r>
      <w:r w:rsidR="00FA2ABF">
        <w:t>ology</w:t>
      </w:r>
      <w:r w:rsidR="00DC428E" w:rsidRPr="00C93121">
        <w:t xml:space="preserve"> at each</w:t>
      </w:r>
      <w:r w:rsidR="00DC428E">
        <w:t xml:space="preserve"> visit</w:t>
      </w:r>
      <w:r w:rsidR="00442ADF">
        <w:t xml:space="preserve">. </w:t>
      </w:r>
      <w:r w:rsidR="006E3086">
        <w:t xml:space="preserve"> </w:t>
      </w:r>
    </w:p>
    <w:p w14:paraId="7B622482" w14:textId="77777777" w:rsidR="004C3761" w:rsidRDefault="004C3761" w:rsidP="00B03879">
      <w:pPr>
        <w:spacing w:after="0" w:line="480" w:lineRule="auto"/>
        <w:ind w:firstLine="720"/>
      </w:pPr>
    </w:p>
    <w:p w14:paraId="1B786B57" w14:textId="77777777" w:rsidR="00CD69BD" w:rsidRPr="007C7037" w:rsidRDefault="00CD69BD" w:rsidP="00CD69BD">
      <w:pPr>
        <w:spacing w:after="0" w:line="480" w:lineRule="auto"/>
        <w:rPr>
          <w:i/>
        </w:rPr>
      </w:pPr>
      <w:r w:rsidRPr="007C7037">
        <w:rPr>
          <w:i/>
        </w:rPr>
        <w:t xml:space="preserve">Survival of recurring patients </w:t>
      </w:r>
      <w:r>
        <w:rPr>
          <w:i/>
        </w:rPr>
        <w:t>after</w:t>
      </w:r>
      <w:r w:rsidRPr="007C7037">
        <w:rPr>
          <w:i/>
        </w:rPr>
        <w:t xml:space="preserve"> curative surgery</w:t>
      </w:r>
    </w:p>
    <w:p w14:paraId="281E65CB" w14:textId="40A7D6D2" w:rsidR="00CD69BD" w:rsidRPr="00C93121" w:rsidRDefault="00CD69BD" w:rsidP="00CD69BD">
      <w:pPr>
        <w:spacing w:after="0" w:line="480" w:lineRule="auto"/>
        <w:ind w:firstLine="720"/>
      </w:pPr>
      <w:r w:rsidRPr="00C93121">
        <w:t>We fit an exponential survival model to the subset of COST patients who underwent curative surgery for recurrence using initial surgery as time 0 and death or last follow up as an event or point of censoring, respectively.  This model was used to probabilistically assign life expectancies after curative treatment of recurrence.</w:t>
      </w:r>
    </w:p>
    <w:p w14:paraId="6A654284" w14:textId="6C31C442" w:rsidR="005F68B1" w:rsidRPr="00C93121" w:rsidRDefault="004970EE" w:rsidP="00B03879">
      <w:pPr>
        <w:spacing w:after="0" w:line="480" w:lineRule="auto"/>
        <w:ind w:firstLine="720"/>
      </w:pPr>
      <w:r w:rsidRPr="00C93121">
        <w:t>Appendix 1</w:t>
      </w:r>
      <w:r>
        <w:t xml:space="preserve"> provides a</w:t>
      </w:r>
      <w:r w:rsidR="00790BB0" w:rsidRPr="00C93121">
        <w:t xml:space="preserve"> detailed description of the </w:t>
      </w:r>
      <w:r w:rsidR="00764E8D" w:rsidRPr="00C93121">
        <w:t xml:space="preserve">disease progression </w:t>
      </w:r>
      <w:proofErr w:type="spellStart"/>
      <w:r w:rsidR="00764E8D" w:rsidRPr="00C93121">
        <w:t>sub</w:t>
      </w:r>
      <w:r w:rsidR="00790BB0" w:rsidRPr="00C93121">
        <w:t>model</w:t>
      </w:r>
      <w:proofErr w:type="spellEnd"/>
      <w:r w:rsidR="00EA676B">
        <w:t>.</w:t>
      </w:r>
      <w:r w:rsidR="00790BB0" w:rsidRPr="00C93121">
        <w:rPr>
          <w:rFonts w:eastAsiaTheme="minorEastAsia"/>
        </w:rPr>
        <w:t xml:space="preserve"> </w:t>
      </w:r>
      <w:r w:rsidR="00EA676B">
        <w:rPr>
          <w:rFonts w:eastAsiaTheme="minorEastAsia"/>
        </w:rPr>
        <w:t xml:space="preserve"> </w:t>
      </w:r>
      <w:r w:rsidR="00790BB0" w:rsidRPr="00C93121">
        <w:rPr>
          <w:rFonts w:eastAsiaTheme="minorEastAsia"/>
        </w:rPr>
        <w:t xml:space="preserve">Maximum likelihood calculations for </w:t>
      </w:r>
      <w:r w:rsidR="00D83CA8">
        <w:rPr>
          <w:rFonts w:eastAsiaTheme="minorEastAsia"/>
        </w:rPr>
        <w:t>parameter estimation</w:t>
      </w:r>
      <w:r w:rsidR="00790BB0" w:rsidRPr="00C93121">
        <w:rPr>
          <w:rFonts w:eastAsiaTheme="minorEastAsia"/>
        </w:rPr>
        <w:t xml:space="preserve"> were performed using MATLAB 2015a (</w:t>
      </w:r>
      <w:r w:rsidR="005C729F" w:rsidRPr="00C93121">
        <w:rPr>
          <w:rFonts w:eastAsiaTheme="minorEastAsia"/>
        </w:rPr>
        <w:t>Natick, MA</w:t>
      </w:r>
      <w:r w:rsidR="00790BB0" w:rsidRPr="00C93121">
        <w:rPr>
          <w:rFonts w:eastAsiaTheme="minorEastAsia"/>
        </w:rPr>
        <w:t>).</w:t>
      </w:r>
      <w:r w:rsidR="007F2929" w:rsidRPr="00C93121">
        <w:t xml:space="preserve"> </w:t>
      </w:r>
    </w:p>
    <w:p w14:paraId="53E4E0E7" w14:textId="77777777" w:rsidR="00160502" w:rsidRPr="00C93121" w:rsidRDefault="00160502" w:rsidP="00B03879">
      <w:pPr>
        <w:spacing w:after="0" w:line="480" w:lineRule="auto"/>
      </w:pPr>
    </w:p>
    <w:p w14:paraId="0E94D896" w14:textId="77777777" w:rsidR="002847F6" w:rsidRPr="00C93121" w:rsidRDefault="002847F6" w:rsidP="00B03879">
      <w:pPr>
        <w:spacing w:after="0" w:line="480" w:lineRule="auto"/>
      </w:pPr>
      <w:r w:rsidRPr="00C93121">
        <w:rPr>
          <w:i/>
        </w:rPr>
        <w:t xml:space="preserve">The Utilization </w:t>
      </w:r>
      <w:proofErr w:type="spellStart"/>
      <w:r w:rsidRPr="00C93121">
        <w:rPr>
          <w:i/>
        </w:rPr>
        <w:t>Submodel</w:t>
      </w:r>
      <w:proofErr w:type="spellEnd"/>
    </w:p>
    <w:p w14:paraId="54968DD3" w14:textId="1679D209" w:rsidR="00957085" w:rsidRDefault="00222955" w:rsidP="00B03879">
      <w:pPr>
        <w:spacing w:after="0" w:line="480" w:lineRule="auto"/>
        <w:ind w:firstLine="720"/>
      </w:pPr>
      <w:r w:rsidRPr="00C93121">
        <w:t xml:space="preserve">Once the </w:t>
      </w:r>
      <w:r w:rsidR="00D0618D" w:rsidRPr="00C93121">
        <w:t xml:space="preserve">disease progression </w:t>
      </w:r>
      <w:proofErr w:type="spellStart"/>
      <w:r w:rsidR="007534D7">
        <w:t>submodel</w:t>
      </w:r>
      <w:proofErr w:type="spellEnd"/>
      <w:r w:rsidR="007534D7">
        <w:t xml:space="preserve"> </w:t>
      </w:r>
      <w:r w:rsidR="00DA391C">
        <w:t>was</w:t>
      </w:r>
      <w:r w:rsidR="007534D7">
        <w:t xml:space="preserve"> specified</w:t>
      </w:r>
      <w:r w:rsidR="00BA5926" w:rsidRPr="00C93121">
        <w:t>,</w:t>
      </w:r>
      <w:r w:rsidRPr="00C93121">
        <w:t xml:space="preserve"> </w:t>
      </w:r>
      <w:r w:rsidR="007534D7">
        <w:t xml:space="preserve">it was </w:t>
      </w:r>
      <w:r w:rsidR="00F24E76">
        <w:t>coupled with</w:t>
      </w:r>
      <w:r w:rsidRPr="00C93121">
        <w:t xml:space="preserve"> a </w:t>
      </w:r>
      <w:r w:rsidR="002259EA">
        <w:t xml:space="preserve">utilization </w:t>
      </w:r>
      <w:proofErr w:type="spellStart"/>
      <w:r w:rsidR="002259EA">
        <w:t>submodel</w:t>
      </w:r>
      <w:proofErr w:type="spellEnd"/>
      <w:r w:rsidR="002259EA">
        <w:t>.</w:t>
      </w:r>
      <w:r w:rsidR="00C032FC" w:rsidRPr="00C93121">
        <w:t xml:space="preserve">  </w:t>
      </w:r>
      <w:r w:rsidR="006C1FDC" w:rsidRPr="00C93121">
        <w:t>Th</w:t>
      </w:r>
      <w:r w:rsidR="002259EA">
        <w:t xml:space="preserve">e latter, a </w:t>
      </w:r>
      <w:r w:rsidR="002259EA" w:rsidRPr="00C93121">
        <w:t xml:space="preserve">microsimulation developed using </w:t>
      </w:r>
      <w:proofErr w:type="spellStart"/>
      <w:r w:rsidR="002259EA" w:rsidRPr="00C93121">
        <w:t>Anylogic</w:t>
      </w:r>
      <w:proofErr w:type="spellEnd"/>
      <w:r w:rsidR="002259EA" w:rsidRPr="00C93121">
        <w:t xml:space="preserve"> v7.2 (Chicago, IL)</w:t>
      </w:r>
      <w:r w:rsidR="002259EA">
        <w:t>,</w:t>
      </w:r>
      <w:r w:rsidR="006C1FDC" w:rsidRPr="00C93121">
        <w:t xml:space="preserve"> re-create</w:t>
      </w:r>
      <w:r w:rsidR="00BA5926" w:rsidRPr="00C93121">
        <w:t>s</w:t>
      </w:r>
      <w:r w:rsidR="006C1FDC" w:rsidRPr="00C93121">
        <w:t xml:space="preserve"> </w:t>
      </w:r>
      <w:r w:rsidR="00840343" w:rsidRPr="00C93121">
        <w:t xml:space="preserve">scheduled surveillance testing, follow-up diagnostic testing, and treatment of recurrence for each of a series of </w:t>
      </w:r>
      <w:r w:rsidR="00F03B31" w:rsidRPr="00C93121">
        <w:t xml:space="preserve">simulated </w:t>
      </w:r>
      <w:r w:rsidR="00963785">
        <w:t>CC</w:t>
      </w:r>
      <w:r w:rsidR="002615D4" w:rsidRPr="00C93121">
        <w:t xml:space="preserve"> survivors</w:t>
      </w:r>
      <w:r w:rsidR="008817E7" w:rsidRPr="00C93121">
        <w:t xml:space="preserve"> fo</w:t>
      </w:r>
      <w:r w:rsidR="003622D9" w:rsidRPr="00C93121">
        <w:t xml:space="preserve">r a </w:t>
      </w:r>
      <w:r w:rsidR="00244C12">
        <w:t xml:space="preserve">surveillance </w:t>
      </w:r>
      <w:r w:rsidR="003622D9" w:rsidRPr="00C93121">
        <w:t xml:space="preserve">period of up to </w:t>
      </w:r>
      <w:r w:rsidR="008817E7" w:rsidRPr="00C93121">
        <w:t>five year</w:t>
      </w:r>
      <w:r w:rsidR="003622D9" w:rsidRPr="00C93121">
        <w:t>s</w:t>
      </w:r>
      <w:r w:rsidR="008817E7" w:rsidRPr="00C93121">
        <w:t>.</w:t>
      </w:r>
      <w:r w:rsidR="00BA5926" w:rsidRPr="00C93121">
        <w:t xml:space="preserve">  A schedule for</w:t>
      </w:r>
      <w:r w:rsidR="00BD3E88">
        <w:t xml:space="preserve"> </w:t>
      </w:r>
      <w:r w:rsidR="0055157D">
        <w:t xml:space="preserve">surveillance </w:t>
      </w:r>
      <w:r w:rsidR="00BD3E88">
        <w:t>carcinoembryonic antigen</w:t>
      </w:r>
      <w:r w:rsidR="00BA5926" w:rsidRPr="00C93121">
        <w:t xml:space="preserve"> </w:t>
      </w:r>
      <w:r w:rsidR="00BD3E88">
        <w:t>(</w:t>
      </w:r>
      <w:r w:rsidR="00E54C2C" w:rsidRPr="00C93121">
        <w:t>CEA</w:t>
      </w:r>
      <w:r w:rsidR="00BD3E88">
        <w:t>)</w:t>
      </w:r>
      <w:r w:rsidR="00BA5926" w:rsidRPr="00C93121">
        <w:t xml:space="preserve"> testing, </w:t>
      </w:r>
      <w:r w:rsidR="003C392F">
        <w:t>computed tomography (</w:t>
      </w:r>
      <w:r w:rsidR="00BA5926" w:rsidRPr="00C93121">
        <w:t>CT</w:t>
      </w:r>
      <w:r w:rsidR="003C392F">
        <w:t>)</w:t>
      </w:r>
      <w:r w:rsidR="00592B6E">
        <w:t xml:space="preserve"> of chest/abdomen/pelvis</w:t>
      </w:r>
      <w:r w:rsidR="00BA5926" w:rsidRPr="00C93121">
        <w:t xml:space="preserve">, and colonoscopy can be specified.  </w:t>
      </w:r>
      <w:r w:rsidR="006F48E9" w:rsidRPr="00C93121">
        <w:t>The results of each test depend upon</w:t>
      </w:r>
      <w:r w:rsidR="00D77560" w:rsidRPr="00C93121">
        <w:t xml:space="preserve"> test s</w:t>
      </w:r>
      <w:r w:rsidR="00B30F8F" w:rsidRPr="00C93121">
        <w:t>ensitivity and specificity (</w:t>
      </w:r>
      <w:r w:rsidR="00D77560" w:rsidRPr="00C93121">
        <w:rPr>
          <w:b/>
        </w:rPr>
        <w:t>Table 1</w:t>
      </w:r>
      <w:r w:rsidR="00D77560" w:rsidRPr="00C93121">
        <w:t>)</w:t>
      </w:r>
      <w:r w:rsidR="003C775B">
        <w:t>, a</w:t>
      </w:r>
      <w:r w:rsidR="00E15816">
        <w:t>nd</w:t>
      </w:r>
      <w:r w:rsidR="003C775B">
        <w:t xml:space="preserve"> upon the true state of simulated individuals in the </w:t>
      </w:r>
      <w:r w:rsidR="00C47425">
        <w:t xml:space="preserve">disease progression </w:t>
      </w:r>
      <w:proofErr w:type="spellStart"/>
      <w:r w:rsidR="003C775B">
        <w:t>submodel</w:t>
      </w:r>
      <w:proofErr w:type="spellEnd"/>
      <w:r w:rsidR="00D77560" w:rsidRPr="00C93121">
        <w:t xml:space="preserve">.  </w:t>
      </w:r>
      <w:r w:rsidR="00C47425">
        <w:t>Since test findings may be equivocal early in the course of a recurrence,</w:t>
      </w:r>
      <w:r w:rsidR="00CD400A">
        <w:t xml:space="preserve"> </w:t>
      </w:r>
      <w:r w:rsidR="00707079">
        <w:t xml:space="preserve">causing a </w:t>
      </w:r>
      <w:r w:rsidR="001F6F91">
        <w:t>delay in</w:t>
      </w:r>
      <w:r w:rsidR="008521D4">
        <w:t xml:space="preserve"> </w:t>
      </w:r>
      <w:r w:rsidR="001F6F91">
        <w:t xml:space="preserve">diagnosis, </w:t>
      </w:r>
      <w:r w:rsidR="0092744B" w:rsidRPr="00C93121">
        <w:t>we chose</w:t>
      </w:r>
      <w:r w:rsidR="00FF7222" w:rsidRPr="00C93121">
        <w:t xml:space="preserve"> to model this</w:t>
      </w:r>
      <w:r w:rsidR="001F6F91">
        <w:t xml:space="preserve"> phenomenon</w:t>
      </w:r>
      <w:r w:rsidR="00FF7222" w:rsidRPr="00C93121">
        <w:t>.  The probabilities</w:t>
      </w:r>
      <w:r w:rsidR="0092744B" w:rsidRPr="00C93121">
        <w:t xml:space="preserve"> of equivocal results </w:t>
      </w:r>
      <w:r w:rsidR="003A68BE">
        <w:t xml:space="preserve">given the presence of disease </w:t>
      </w:r>
      <w:r w:rsidR="000B6EA8" w:rsidRPr="00C93121">
        <w:t xml:space="preserve">(Table 1) </w:t>
      </w:r>
      <w:r w:rsidR="0092744B" w:rsidRPr="00C93121">
        <w:t>w</w:t>
      </w:r>
      <w:r w:rsidR="00FF7222" w:rsidRPr="00C93121">
        <w:t>ere</w:t>
      </w:r>
      <w:r w:rsidR="0092744B" w:rsidRPr="00C93121">
        <w:t xml:space="preserve"> estimated based on the same</w:t>
      </w:r>
      <w:r w:rsidR="000B6EA8" w:rsidRPr="00C93121">
        <w:t xml:space="preserve"> dataset used to estimate symptom parameters</w:t>
      </w:r>
      <w:r w:rsidR="00FF7222" w:rsidRPr="00C93121">
        <w:t xml:space="preserve"> and were varied extensively in sensitivity analysis</w:t>
      </w:r>
      <w:r w:rsidR="000B6EA8" w:rsidRPr="00C93121">
        <w:t xml:space="preserve">.  </w:t>
      </w:r>
    </w:p>
    <w:p w14:paraId="2CC0BAFE" w14:textId="1E759777" w:rsidR="006467F5" w:rsidRPr="00C93121" w:rsidRDefault="006467F5" w:rsidP="00B03879">
      <w:pPr>
        <w:spacing w:after="0" w:line="480" w:lineRule="auto"/>
        <w:ind w:firstLine="720"/>
      </w:pPr>
      <w:r w:rsidRPr="00C93121">
        <w:lastRenderedPageBreak/>
        <w:t xml:space="preserve">Algorithms for </w:t>
      </w:r>
      <w:r w:rsidR="006627FA" w:rsidRPr="00C93121">
        <w:t xml:space="preserve">repeat or </w:t>
      </w:r>
      <w:r w:rsidRPr="00C93121">
        <w:t>follow-up</w:t>
      </w:r>
      <w:r w:rsidR="00AB0DA0" w:rsidRPr="00C93121">
        <w:t xml:space="preserve"> diagnostic</w:t>
      </w:r>
      <w:r w:rsidRPr="00C93121">
        <w:t xml:space="preserve"> testing </w:t>
      </w:r>
      <w:r w:rsidR="00566BFC">
        <w:t>triggered</w:t>
      </w:r>
      <w:r w:rsidRPr="00C93121">
        <w:t xml:space="preserve"> </w:t>
      </w:r>
      <w:r w:rsidR="00675EE7">
        <w:t xml:space="preserve">by </w:t>
      </w:r>
      <w:r w:rsidRPr="00C93121">
        <w:t>a</w:t>
      </w:r>
      <w:r w:rsidR="00566BFC">
        <w:t>n equivocal or</w:t>
      </w:r>
      <w:r w:rsidR="00957085">
        <w:t xml:space="preserve"> positive</w:t>
      </w:r>
      <w:r w:rsidRPr="00C93121">
        <w:t xml:space="preserve"> </w:t>
      </w:r>
      <w:r w:rsidR="00566BFC">
        <w:t>result</w:t>
      </w:r>
      <w:r w:rsidR="00566BFC" w:rsidRPr="00C93121">
        <w:t xml:space="preserve"> </w:t>
      </w:r>
      <w:r w:rsidRPr="00C93121">
        <w:t>were b</w:t>
      </w:r>
      <w:r w:rsidR="00D82ADF" w:rsidRPr="00C93121">
        <w:t>ased on NCCN colon cancer guidelines</w:t>
      </w:r>
      <w:r w:rsidR="00D3220A" w:rsidRPr="00C93121">
        <w:fldChar w:fldCharType="begin" w:fldLock="1"/>
      </w:r>
      <w:r w:rsidR="00834959">
        <w:instrText>ADDIN CSL_CITATION { "citationItems" : [ { "id" : "ITEM-1", "itemData" : { "URL" : "http://www.nccn.org/professionals/physician_gls/pdf/colon.pdf", "author" : [ { "dropping-particle" : "", "family" : "Network", "given" : "National Comprehensive Cancer", "non-dropping-particle" : "", "parse-names" : false, "suffix" : "" } ], "id" : "ITEM-1", "issue" : "September 26", "issued" : { "date-parts" : [ [ "2016" ] ] }, "title" : "NCCN Clinical Practice Guidelines in Oncology: Colon Cancer", "type" : "webpage", "volume" : "2016" }, "uris" : [ "http://www.mendeley.com/documents/?uuid=b08a7d31-dd57-4dbf-ae98-586e66092a4a", "http://www.mendeley.com/documents/?uuid=5004b782-8005-430b-8b86-1e5e58e38e88" ] } ], "mendeley" : { "formattedCitation" : "[20]", "plainTextFormattedCitation" : "[20]", "previouslyFormattedCitation" : "[20]" }, "properties" : { "noteIndex" : 0 }, "schema" : "https://github.com/citation-style-language/schema/raw/master/csl-citation.json" }</w:instrText>
      </w:r>
      <w:r w:rsidR="00D3220A" w:rsidRPr="00C93121">
        <w:fldChar w:fldCharType="separate"/>
      </w:r>
      <w:r w:rsidR="00E3241D" w:rsidRPr="00E3241D">
        <w:rPr>
          <w:noProof/>
        </w:rPr>
        <w:t>[20]</w:t>
      </w:r>
      <w:r w:rsidR="00D3220A" w:rsidRPr="00C93121">
        <w:fldChar w:fldCharType="end"/>
      </w:r>
      <w:r w:rsidR="00FF6427">
        <w:t>,</w:t>
      </w:r>
      <w:r w:rsidR="00417589">
        <w:t xml:space="preserve"> where </w:t>
      </w:r>
      <w:r w:rsidR="00BB2C47">
        <w:t>possible, and</w:t>
      </w:r>
      <w:r w:rsidR="00D82ADF" w:rsidRPr="00C93121">
        <w:t xml:space="preserve"> on </w:t>
      </w:r>
      <w:r w:rsidR="002531BB">
        <w:t>consensus</w:t>
      </w:r>
      <w:r w:rsidR="00D82ADF" w:rsidRPr="00C93121">
        <w:t xml:space="preserve"> from </w:t>
      </w:r>
      <w:r w:rsidR="002531BB">
        <w:t xml:space="preserve">the coauthors and </w:t>
      </w:r>
      <w:r w:rsidR="00D82ADF" w:rsidRPr="00C93121">
        <w:t>a panel of three medical oncologists</w:t>
      </w:r>
      <w:r w:rsidR="002531BB" w:rsidRPr="002531BB">
        <w:t xml:space="preserve"> with expertise in colorectal cancer prevention and treatment</w:t>
      </w:r>
      <w:r w:rsidR="002531BB">
        <w:t xml:space="preserve"> </w:t>
      </w:r>
      <w:r w:rsidR="00D82ADF" w:rsidRPr="00C93121">
        <w:t>at</w:t>
      </w:r>
      <w:r w:rsidR="00274A5E" w:rsidRPr="00C93121">
        <w:t xml:space="preserve"> </w:t>
      </w:r>
      <w:r w:rsidR="00D82ADF" w:rsidRPr="00C93121">
        <w:t>separate</w:t>
      </w:r>
      <w:r w:rsidR="002C15B8" w:rsidRPr="00C93121">
        <w:t xml:space="preserve"> academic</w:t>
      </w:r>
      <w:r w:rsidR="00D82ADF" w:rsidRPr="00C93121">
        <w:t xml:space="preserve"> institutions.</w:t>
      </w:r>
      <w:r w:rsidR="001773C7" w:rsidRPr="00C93121">
        <w:t xml:space="preserve">  </w:t>
      </w:r>
      <w:r w:rsidR="00566BFC" w:rsidRPr="00C93121">
        <w:rPr>
          <w:b/>
        </w:rPr>
        <w:t>Appendix 3</w:t>
      </w:r>
      <w:r w:rsidR="00566BFC">
        <w:rPr>
          <w:b/>
        </w:rPr>
        <w:t xml:space="preserve"> </w:t>
      </w:r>
      <w:r w:rsidR="00566BFC" w:rsidRPr="00B03879">
        <w:t>depicts a</w:t>
      </w:r>
      <w:r w:rsidR="00583CA4" w:rsidRPr="00AA09D5">
        <w:t>ll</w:t>
      </w:r>
      <w:r w:rsidR="00583CA4" w:rsidRPr="00C93121">
        <w:t xml:space="preserve"> </w:t>
      </w:r>
      <w:r w:rsidR="009715C5" w:rsidRPr="00C93121">
        <w:t>testing algorithms</w:t>
      </w:r>
      <w:r w:rsidR="00566BFC">
        <w:t>.</w:t>
      </w:r>
      <w:r w:rsidR="009715C5" w:rsidRPr="00C93121">
        <w:t xml:space="preserve"> </w:t>
      </w:r>
    </w:p>
    <w:p w14:paraId="032C8700" w14:textId="5E43B34F" w:rsidR="000C012B" w:rsidRDefault="000C012B" w:rsidP="00B03879">
      <w:pPr>
        <w:spacing w:after="0" w:line="480" w:lineRule="auto"/>
      </w:pPr>
    </w:p>
    <w:p w14:paraId="6642D343" w14:textId="57DA8033" w:rsidR="000C012B" w:rsidRPr="00C455D5" w:rsidRDefault="00860625" w:rsidP="00B03879">
      <w:pPr>
        <w:spacing w:after="0" w:line="480" w:lineRule="auto"/>
        <w:rPr>
          <w:i/>
        </w:rPr>
      </w:pPr>
      <w:r>
        <w:rPr>
          <w:i/>
        </w:rPr>
        <w:t>Base Case and Sensitivity Analysis</w:t>
      </w:r>
    </w:p>
    <w:p w14:paraId="01FF5723" w14:textId="7303A77F" w:rsidR="00293E89" w:rsidRDefault="008C09A2" w:rsidP="00293E89">
      <w:pPr>
        <w:spacing w:after="0" w:line="480" w:lineRule="auto"/>
        <w:ind w:firstLine="720"/>
        <w:rPr>
          <w:lang w:eastAsia="ko-KR"/>
        </w:rPr>
      </w:pPr>
      <w:r>
        <w:rPr>
          <w:lang w:eastAsia="ko-KR"/>
        </w:rPr>
        <w:t xml:space="preserve">We modeled a base case in which a </w:t>
      </w:r>
      <w:r w:rsidRPr="00C93121">
        <w:rPr>
          <w:lang w:eastAsia="ko-KR"/>
        </w:rPr>
        <w:t xml:space="preserve">population of </w:t>
      </w:r>
      <w:r>
        <w:rPr>
          <w:lang w:eastAsia="ko-KR"/>
        </w:rPr>
        <w:t xml:space="preserve">100,000 </w:t>
      </w:r>
      <w:r w:rsidRPr="00C93121">
        <w:t xml:space="preserve">seventy-year-old </w:t>
      </w:r>
      <w:r>
        <w:t xml:space="preserve">CC </w:t>
      </w:r>
      <w:r w:rsidRPr="00C93121">
        <w:t>surviv</w:t>
      </w:r>
      <w:r>
        <w:t>or</w:t>
      </w:r>
      <w:r w:rsidRPr="00C93121">
        <w:t xml:space="preserve">s with </w:t>
      </w:r>
      <w:r>
        <w:t xml:space="preserve">a distribution of stage I, II, and III disease representative of U.S. </w:t>
      </w:r>
      <w:r w:rsidR="00DC08C5">
        <w:t>patients</w:t>
      </w:r>
      <w:r>
        <w:t xml:space="preserve"> (31.1%, 35.0%, and 33.9%, respectively)</w:t>
      </w:r>
      <w:r>
        <w:fldChar w:fldCharType="begin" w:fldLock="1"/>
      </w:r>
      <w:r>
        <w:instrText>ADDIN CSL_CITATION { "citationItems" : [ { "id" : "ITEM-1", "itemData" : { "author" : [ { "dropping-particle" : "", "family" : "Surveillance, Epidemiology", "given" : "and End Results (SEER) Program", "non-dropping-particle" : "", "parse-names" : false, "suffix" : "" } ], "id" : "ITEM-1", "issued" : { "date-parts" : [ [ "2017" ] ] }, "title" : "SEER 18 Regs Research Data + Hurricane Katrina Impacted Louisiana Cases, Nov 2016 Sub (1973-2014 varying) - Linked To County Attributes - Total U.S., 1969-2015 Counties, National Cancer Institute, DCCPS", "type" : "article" }, "uris" : [ "http://www.mendeley.com/documents/?uuid=0f131d3f-2d9c-4e3d-aba9-3e07b00f36e5", "http://www.mendeley.com/documents/?uuid=ca91638a-af3b-4b45-ae47-9ff968ce4633" ] } ], "mendeley" : { "formattedCitation" : "[42]", "plainTextFormattedCitation" : "[42]", "previouslyFormattedCitation" : "[42]" }, "properties" : { "noteIndex" : 0 }, "schema" : "https://github.com/citation-style-language/schema/raw/master/csl-citation.json" }</w:instrText>
      </w:r>
      <w:r>
        <w:fldChar w:fldCharType="separate"/>
      </w:r>
      <w:r w:rsidRPr="00C82D09">
        <w:rPr>
          <w:noProof/>
        </w:rPr>
        <w:t>[42]</w:t>
      </w:r>
      <w:r>
        <w:fldChar w:fldCharType="end"/>
      </w:r>
      <w:r>
        <w:t xml:space="preserve"> underwent</w:t>
      </w:r>
      <w:r w:rsidRPr="00C93121">
        <w:rPr>
          <w:lang w:eastAsia="ko-KR"/>
        </w:rPr>
        <w:t xml:space="preserve"> NCCN-adherent surveillance</w:t>
      </w:r>
      <w:r w:rsidRPr="00C93121">
        <w:fldChar w:fldCharType="begin" w:fldLock="1"/>
      </w:r>
      <w:r>
        <w:instrText>ADDIN CSL_CITATION { "citationItems" : [ { "id" : "ITEM-1", "itemData" : { "URL" : "http://www.nccn.org/professionals/physician_gls/pdf/colon.pdf", "author" : [ { "dropping-particle" : "", "family" : "Network", "given" : "National Comprehensive Cancer", "non-dropping-particle" : "", "parse-names" : false, "suffix" : "" } ], "id" : "ITEM-1", "issue" : "September 26", "issued" : { "date-parts" : [ [ "2016" ] ] }, "title" : "NCCN Clinical Practice Guidelines in Oncology: Colon Cancer", "type" : "webpage", "volume" : "2016" }, "uris" : [ "http://www.mendeley.com/documents/?uuid=b08a7d31-dd57-4dbf-ae98-586e66092a4a", "http://www.mendeley.com/documents/?uuid=5004b782-8005-430b-8b86-1e5e58e38e88" ] } ], "mendeley" : { "formattedCitation" : "[20]", "plainTextFormattedCitation" : "[20]", "previouslyFormattedCitation" : "[20]" }, "properties" : { "noteIndex" : 0 }, "schema" : "https://github.com/citation-style-language/schema/raw/master/csl-citation.json" }</w:instrText>
      </w:r>
      <w:r w:rsidRPr="00C93121">
        <w:fldChar w:fldCharType="separate"/>
      </w:r>
      <w:r w:rsidRPr="00E3241D">
        <w:rPr>
          <w:noProof/>
        </w:rPr>
        <w:t>[20]</w:t>
      </w:r>
      <w:r w:rsidRPr="00C93121">
        <w:fldChar w:fldCharType="end"/>
      </w:r>
      <w:r>
        <w:rPr>
          <w:lang w:eastAsia="ko-KR"/>
        </w:rPr>
        <w:t>.</w:t>
      </w:r>
      <w:r w:rsidRPr="00C93121">
        <w:rPr>
          <w:lang w:eastAsia="ko-KR"/>
        </w:rPr>
        <w:t xml:space="preserve"> </w:t>
      </w:r>
      <w:r>
        <w:rPr>
          <w:lang w:eastAsia="ko-KR"/>
        </w:rPr>
        <w:t xml:space="preserve"> </w:t>
      </w:r>
      <w:r w:rsidR="00293E89">
        <w:rPr>
          <w:lang w:eastAsia="ko-KR"/>
        </w:rPr>
        <w:t>The regimen consisted of CEA</w:t>
      </w:r>
    </w:p>
    <w:p w14:paraId="42BAA59D" w14:textId="3730047E" w:rsidR="00EE74F0" w:rsidRPr="00C93121" w:rsidRDefault="00293E89" w:rsidP="00C455D5">
      <w:pPr>
        <w:spacing w:after="0" w:line="480" w:lineRule="auto"/>
      </w:pPr>
      <w:r>
        <w:rPr>
          <w:lang w:eastAsia="ko-KR"/>
        </w:rPr>
        <w:t>measurement every three months for the first two years following initial surgery, then every six months for the following three years; annual CT of chest, abdomen, and pelvis for five years; and colonoscopy at years one and four.</w:t>
      </w:r>
      <w:r w:rsidRPr="007C7037" w:rsidDel="00CD69BD">
        <w:rPr>
          <w:i/>
          <w:lang w:eastAsia="ko-KR"/>
        </w:rPr>
        <w:t xml:space="preserve"> </w:t>
      </w:r>
      <w:r>
        <w:rPr>
          <w:i/>
          <w:lang w:eastAsia="ko-KR"/>
        </w:rPr>
        <w:t xml:space="preserve"> </w:t>
      </w:r>
      <w:r w:rsidR="00815D77">
        <w:t>We conducted</w:t>
      </w:r>
      <w:r w:rsidR="00827871">
        <w:t xml:space="preserve"> o</w:t>
      </w:r>
      <w:r w:rsidR="00EE74F0" w:rsidRPr="00C93121">
        <w:t>ne-way sensitivity analys</w:t>
      </w:r>
      <w:r w:rsidR="0007214B" w:rsidRPr="00C93121">
        <w:t>i</w:t>
      </w:r>
      <w:r w:rsidR="00EE74F0" w:rsidRPr="00C93121">
        <w:t>s on all</w:t>
      </w:r>
      <w:r w:rsidR="003001EA">
        <w:t xml:space="preserve"> utilization </w:t>
      </w:r>
      <w:proofErr w:type="spellStart"/>
      <w:r w:rsidR="003001EA">
        <w:t>submodel</w:t>
      </w:r>
      <w:proofErr w:type="spellEnd"/>
      <w:r w:rsidR="00411575">
        <w:t xml:space="preserve"> parameters </w:t>
      </w:r>
      <w:r w:rsidR="00AB263E">
        <w:t>(</w:t>
      </w:r>
      <w:r w:rsidR="00D613D3" w:rsidRPr="00C93121">
        <w:t>Table 1</w:t>
      </w:r>
      <w:r w:rsidR="00AB263E">
        <w:t xml:space="preserve">) </w:t>
      </w:r>
      <w:r w:rsidR="00EE74F0" w:rsidRPr="00C93121">
        <w:t>accordin</w:t>
      </w:r>
      <w:r w:rsidR="00D613D3" w:rsidRPr="00C93121">
        <w:t>g to the ranges shown</w:t>
      </w:r>
      <w:r w:rsidR="00EE74F0" w:rsidRPr="00C93121">
        <w:t>.</w:t>
      </w:r>
      <w:r w:rsidR="00383A4A">
        <w:t xml:space="preserve">  We</w:t>
      </w:r>
      <w:r w:rsidR="007309EA">
        <w:t xml:space="preserve"> then</w:t>
      </w:r>
      <w:r w:rsidR="00383A4A">
        <w:t xml:space="preserve"> simultaneously varied combinations of </w:t>
      </w:r>
      <w:r w:rsidR="00B30815">
        <w:t xml:space="preserve">these </w:t>
      </w:r>
      <w:r w:rsidR="009150B4">
        <w:t xml:space="preserve">parameters </w:t>
      </w:r>
      <w:r w:rsidR="00383A4A">
        <w:t xml:space="preserve">to which the model was sensitive. </w:t>
      </w:r>
      <w:r w:rsidR="00EE74F0" w:rsidRPr="00C93121">
        <w:t xml:space="preserve"> The primary outcomes of interest</w:t>
      </w:r>
      <w:r w:rsidR="00714F51" w:rsidRPr="00C93121">
        <w:t xml:space="preserve"> in sensitivity analyses were </w:t>
      </w:r>
      <w:r w:rsidR="00360AFD" w:rsidRPr="00C93121">
        <w:t>proportion of subjects undergoing curative salvage surgery for recurrence</w:t>
      </w:r>
      <w:r w:rsidR="00E16737">
        <w:t xml:space="preserve"> </w:t>
      </w:r>
      <w:r w:rsidR="00360AFD" w:rsidRPr="00C93121">
        <w:t xml:space="preserve">and </w:t>
      </w:r>
      <w:r w:rsidR="00714F51" w:rsidRPr="00C93121">
        <w:t xml:space="preserve">overall survival at </w:t>
      </w:r>
      <w:r w:rsidR="00D51E0C" w:rsidRPr="00C93121">
        <w:t>five</w:t>
      </w:r>
      <w:r w:rsidR="00714F51" w:rsidRPr="00C93121">
        <w:t xml:space="preserve"> years</w:t>
      </w:r>
      <w:r w:rsidR="002C3115" w:rsidRPr="00C93121">
        <w:t xml:space="preserve"> from the point of recurrence diagnosis</w:t>
      </w:r>
      <w:r w:rsidR="00E955AF" w:rsidRPr="00C93121">
        <w:t xml:space="preserve"> (OS5)</w:t>
      </w:r>
      <w:r w:rsidR="00EE74F0" w:rsidRPr="00C93121">
        <w:t>.</w:t>
      </w:r>
      <w:r w:rsidR="00FB354F">
        <w:t xml:space="preserve"> </w:t>
      </w:r>
      <w:r w:rsidR="00EE74F0" w:rsidRPr="00C93121">
        <w:t xml:space="preserve"> </w:t>
      </w:r>
      <w:r w:rsidR="00F111C8">
        <w:t xml:space="preserve">Recurrence </w:t>
      </w:r>
      <w:r w:rsidR="00746FE0">
        <w:t xml:space="preserve">proportion </w:t>
      </w:r>
      <w:r w:rsidR="00192747">
        <w:t xml:space="preserve">(the proportion of subjects experiencing recurrence) </w:t>
      </w:r>
      <w:r w:rsidR="00F111C8">
        <w:t>was not examined</w:t>
      </w:r>
      <w:r w:rsidR="0048447D">
        <w:t xml:space="preserve"> as an outcome</w:t>
      </w:r>
      <w:r w:rsidR="00F111C8">
        <w:t xml:space="preserve"> in sensitivity analysis since </w:t>
      </w:r>
      <w:r w:rsidR="00DA78CC">
        <w:t>it depends on</w:t>
      </w:r>
      <w:r w:rsidR="00F111C8">
        <w:t xml:space="preserve"> disease progression parameters</w:t>
      </w:r>
      <w:r w:rsidR="00FB354F">
        <w:t xml:space="preserve"> estimated </w:t>
      </w:r>
      <w:r w:rsidR="00D068AE">
        <w:t>by fitting to trial data as described above</w:t>
      </w:r>
      <w:r w:rsidR="00F111C8">
        <w:t xml:space="preserve">.  </w:t>
      </w:r>
    </w:p>
    <w:p w14:paraId="0D7061DF" w14:textId="77777777" w:rsidR="00885413" w:rsidRPr="00C93121" w:rsidRDefault="00885413" w:rsidP="00B03879">
      <w:pPr>
        <w:spacing w:after="0" w:line="480" w:lineRule="auto"/>
      </w:pPr>
    </w:p>
    <w:p w14:paraId="2B675678" w14:textId="77777777" w:rsidR="00F06486" w:rsidRPr="00C93121" w:rsidRDefault="00B63752" w:rsidP="00B03879">
      <w:pPr>
        <w:spacing w:after="0" w:line="480" w:lineRule="auto"/>
        <w:rPr>
          <w:i/>
        </w:rPr>
      </w:pPr>
      <w:r w:rsidRPr="00C93121">
        <w:rPr>
          <w:i/>
        </w:rPr>
        <w:t xml:space="preserve">External </w:t>
      </w:r>
      <w:r w:rsidR="00F06486" w:rsidRPr="00C93121">
        <w:rPr>
          <w:i/>
        </w:rPr>
        <w:t>Validation</w:t>
      </w:r>
    </w:p>
    <w:p w14:paraId="18CE431F" w14:textId="3F465D19" w:rsidR="00E33093" w:rsidRDefault="005578AB" w:rsidP="00B03879">
      <w:pPr>
        <w:spacing w:after="0" w:line="480" w:lineRule="auto"/>
        <w:ind w:firstLine="720"/>
      </w:pPr>
      <w:r>
        <w:t xml:space="preserve">After fitting the disease progression </w:t>
      </w:r>
      <w:proofErr w:type="spellStart"/>
      <w:r>
        <w:t>submodel</w:t>
      </w:r>
      <w:proofErr w:type="spellEnd"/>
      <w:r>
        <w:t xml:space="preserve"> </w:t>
      </w:r>
      <w:r w:rsidR="0055157D">
        <w:t xml:space="preserve">to COST trial data </w:t>
      </w:r>
      <w:r>
        <w:t xml:space="preserve">and testing </w:t>
      </w:r>
      <w:proofErr w:type="spellStart"/>
      <w:r w:rsidR="00D0005A">
        <w:t>CCSuRe</w:t>
      </w:r>
      <w:r>
        <w:t>’s</w:t>
      </w:r>
      <w:proofErr w:type="spellEnd"/>
      <w:r>
        <w:t xml:space="preserve"> sensitivity to variation in utilization parameters, we</w:t>
      </w:r>
      <w:r w:rsidR="00C12470" w:rsidRPr="00C93121">
        <w:t xml:space="preserve"> examine</w:t>
      </w:r>
      <w:r>
        <w:t>d</w:t>
      </w:r>
      <w:r w:rsidR="00C12470" w:rsidRPr="00C93121">
        <w:t xml:space="preserve"> the </w:t>
      </w:r>
      <w:r w:rsidR="000B5AB8" w:rsidRPr="00C93121">
        <w:t>model</w:t>
      </w:r>
      <w:r w:rsidR="000B5AB8">
        <w:t>’s</w:t>
      </w:r>
      <w:r w:rsidR="000B5AB8" w:rsidRPr="00C93121">
        <w:t xml:space="preserve"> </w:t>
      </w:r>
      <w:r w:rsidR="00C12470" w:rsidRPr="00C93121">
        <w:t xml:space="preserve">ability </w:t>
      </w:r>
      <w:r w:rsidR="00815F46">
        <w:t>t</w:t>
      </w:r>
      <w:r w:rsidR="00C12470" w:rsidRPr="00C93121">
        <w:t xml:space="preserve">o predict cancer-related outcomes for an independent group (i.e. </w:t>
      </w:r>
      <w:r w:rsidR="00F7735D" w:rsidRPr="00C93121">
        <w:t xml:space="preserve">a group </w:t>
      </w:r>
      <w:r w:rsidR="00C12470" w:rsidRPr="00C93121">
        <w:t>whose data did not inform model development)</w:t>
      </w:r>
      <w:r w:rsidR="00D44F4B">
        <w:t>.</w:t>
      </w:r>
      <w:r w:rsidR="00D0005A">
        <w:t xml:space="preserve"> </w:t>
      </w:r>
      <w:r w:rsidR="00C12470" w:rsidRPr="00C93121">
        <w:t xml:space="preserve"> </w:t>
      </w:r>
      <w:r w:rsidR="00D0005A">
        <w:t>W</w:t>
      </w:r>
      <w:r w:rsidR="00C12470" w:rsidRPr="00C93121">
        <w:t xml:space="preserve">e compared the </w:t>
      </w:r>
      <w:r w:rsidR="003A7392" w:rsidRPr="00C93121">
        <w:t xml:space="preserve">actual </w:t>
      </w:r>
      <w:r w:rsidR="00C12470" w:rsidRPr="00C93121">
        <w:t>experience of</w:t>
      </w:r>
      <w:r w:rsidR="00C56567">
        <w:t xml:space="preserve"> CC</w:t>
      </w:r>
      <w:r w:rsidR="008D2644" w:rsidRPr="00C93121">
        <w:t xml:space="preserve"> </w:t>
      </w:r>
      <w:r w:rsidR="00C12470" w:rsidRPr="00C93121">
        <w:t xml:space="preserve">subjects in each </w:t>
      </w:r>
      <w:r w:rsidR="00F7735D" w:rsidRPr="00C93121">
        <w:t xml:space="preserve">of the four </w:t>
      </w:r>
      <w:r w:rsidR="00C12470" w:rsidRPr="00C93121">
        <w:t>arm</w:t>
      </w:r>
      <w:r w:rsidR="00F7735D" w:rsidRPr="00C93121">
        <w:t>s</w:t>
      </w:r>
      <w:r w:rsidR="00C12470" w:rsidRPr="00C93121">
        <w:t xml:space="preserve"> </w:t>
      </w:r>
      <w:r w:rsidR="00057C4C">
        <w:t xml:space="preserve">(and in all arms combined) </w:t>
      </w:r>
      <w:r w:rsidR="00C12470" w:rsidRPr="00C93121">
        <w:t xml:space="preserve">of </w:t>
      </w:r>
      <w:r w:rsidR="00C12470" w:rsidRPr="00C93121">
        <w:lastRenderedPageBreak/>
        <w:t xml:space="preserve">the </w:t>
      </w:r>
      <w:r w:rsidR="00FD1140">
        <w:t xml:space="preserve">recent </w:t>
      </w:r>
      <w:r w:rsidR="00971604">
        <w:t>FACS t</w:t>
      </w:r>
      <w:r w:rsidR="00971604" w:rsidRPr="00C93121">
        <w:t xml:space="preserve">rial </w:t>
      </w:r>
      <w:r w:rsidR="00C12470" w:rsidRPr="00C93121">
        <w:t xml:space="preserve">to the outcomes predicted by </w:t>
      </w:r>
      <w:proofErr w:type="spellStart"/>
      <w:r w:rsidR="00535432">
        <w:t>CCSuRe</w:t>
      </w:r>
      <w:proofErr w:type="spellEnd"/>
      <w:r w:rsidR="0096437E" w:rsidRPr="00C93121">
        <w:t xml:space="preserve"> for</w:t>
      </w:r>
      <w:r w:rsidR="00C12470" w:rsidRPr="00C93121">
        <w:t xml:space="preserve"> </w:t>
      </w:r>
      <w:r w:rsidR="0096437E" w:rsidRPr="00C93121">
        <w:t xml:space="preserve">corresponding </w:t>
      </w:r>
      <w:r w:rsidR="00C12470" w:rsidRPr="00C93121">
        <w:t>group</w:t>
      </w:r>
      <w:r w:rsidR="0096437E" w:rsidRPr="00C93121">
        <w:t>s</w:t>
      </w:r>
      <w:r w:rsidR="00C12470" w:rsidRPr="00C93121">
        <w:t xml:space="preserve"> </w:t>
      </w:r>
      <w:r w:rsidR="003D0072" w:rsidRPr="00C93121">
        <w:t xml:space="preserve">with the same </w:t>
      </w:r>
      <w:r w:rsidR="006B2872" w:rsidRPr="00C93121">
        <w:t xml:space="preserve">sample size, </w:t>
      </w:r>
      <w:r w:rsidR="003D0072" w:rsidRPr="00C93121">
        <w:t>mean age</w:t>
      </w:r>
      <w:r w:rsidR="006B2872" w:rsidRPr="00C93121">
        <w:t>,</w:t>
      </w:r>
      <w:r w:rsidR="003D0072" w:rsidRPr="00C93121">
        <w:t xml:space="preserve"> and</w:t>
      </w:r>
      <w:r w:rsidR="00C12470" w:rsidRPr="00C93121">
        <w:t xml:space="preserve"> stage distribution</w:t>
      </w:r>
      <w:r w:rsidR="004513D8" w:rsidRPr="00C93121">
        <w:t>.</w:t>
      </w:r>
      <w:r w:rsidR="00C12470" w:rsidRPr="00C93121">
        <w:t xml:space="preserve"> </w:t>
      </w:r>
      <w:r w:rsidR="00434CF0" w:rsidRPr="00C93121">
        <w:t xml:space="preserve"> </w:t>
      </w:r>
      <w:r w:rsidR="0016735C">
        <w:t>At</w:t>
      </w:r>
      <w:r w:rsidR="00971604" w:rsidRPr="00C93121">
        <w:t xml:space="preserve"> 39 centers in the U.K.</w:t>
      </w:r>
      <w:r w:rsidR="0016735C">
        <w:t xml:space="preserve"> between 2003 and 2009</w:t>
      </w:r>
      <w:r w:rsidR="00971604" w:rsidRPr="00C93121">
        <w:t xml:space="preserve">, </w:t>
      </w:r>
      <w:r w:rsidR="000C628D">
        <w:t>the FACS trial</w:t>
      </w:r>
      <w:r w:rsidR="000C628D" w:rsidRPr="00C93121">
        <w:t xml:space="preserve"> </w:t>
      </w:r>
      <w:r w:rsidR="00971604" w:rsidRPr="00C93121">
        <w:t>randomized</w:t>
      </w:r>
      <w:r w:rsidR="00886548">
        <w:t xml:space="preserve"> 841</w:t>
      </w:r>
      <w:r w:rsidR="00971604" w:rsidRPr="00C93121">
        <w:t xml:space="preserve"> patients surgically treated for Dukes Stage </w:t>
      </w:r>
      <w:r w:rsidR="00886548">
        <w:t>A, B, or C colon</w:t>
      </w:r>
      <w:r w:rsidR="00971604" w:rsidRPr="00C93121">
        <w:t xml:space="preserve"> cancer </w:t>
      </w:r>
      <w:r w:rsidR="00971604">
        <w:t>(corresponding to American Joint Committee on Cancer Stages I, II, and III</w:t>
      </w:r>
      <w:r w:rsidR="00971604">
        <w:fldChar w:fldCharType="begin" w:fldLock="1"/>
      </w:r>
      <w:r w:rsidR="00C82D09">
        <w:instrText>ADDIN CSL_CITATION { "citationItems" : [ { "id" : "ITEM-1", "itemData" : { "DOI" : "10.1007/978-0-387-88443-1", "ISBN" : "978-0-387-88442-4", "ISSN" : "1068-9265", "PMID" : "20180029", "abstract" : "AJCC Cancer Staging Handbook Plus EZTNM(R), Sixth Edition, is the preeminent system used by physicians and healthcare professionals worldwide to facilitate the uniform description of neoplastic diseases. Fully revised and updated, it brings together all currently available information on staging of cancer at various anatomic sites and incorporates newly acquired knowledge on the etiology and pathology of cancer. New to this edition is the revolutionary EZTNM(R) - compatible with both the Palm and Microsoft operating systems. It is the only physician-designed, professional grade cancer staging program for handhelds. At the user's fingertips are 50 different cancer types organized by anatomic region. EZTNM(R) uses a dynamic and intuitive TNM selection process. The user can see the definition for each T, N, and M parameter as he works and calculates the stage of disease once all parameters are entered. The user can also create a detailed patient information record and maintain a patient list. The AJCC Cancer Staging Handbook Plus EZTNM(R) continues to provide standardized data forms for each anatomic site, to be included as part of permanent patient records, enabling clinicians and researchers to maintain consistency in evaluating the efficacy of diagnosis and treatment. The AJCC Cancer Staging Handbook Plus EZTNM(R) is an essential and ground-breaking resource for oncologists, pathologists, surgeons, cancer registrars, and medical professionals worldwide to assure that all those taking care of cancer patients will be trained in the language of cancer staging.", "author" : [ { "dropping-particle" : "", "family" : "American Joint Committee on Cancer", "given" : "", "non-dropping-particle" : "", "parse-names" : false, "suffix" : "" } ], "container-title" : "Cancer", "id" : "ITEM-1", "issued" : { "date-parts" : [ [ "2010" ] ] }, "number-of-pages" : "52", "title" : "AJCC Cancer Staging Handbook", "type" : "book" }, "uris" : [ "http://www.mendeley.com/documents/?uuid=eb370d25-06d8-4394-818f-ef2f67cd334c", "http://www.mendeley.com/documents/?uuid=da0c77f7-4abf-4d6d-b3cf-73ec081499f3" ] } ], "mendeley" : { "formattedCitation" : "[43]", "plainTextFormattedCitation" : "[43]", "previouslyFormattedCitation" : "[43]" }, "properties" : { "noteIndex" : 0 }, "schema" : "https://github.com/citation-style-language/schema/raw/master/csl-citation.json" }</w:instrText>
      </w:r>
      <w:r w:rsidR="00971604">
        <w:fldChar w:fldCharType="separate"/>
      </w:r>
      <w:r w:rsidR="00C82D09" w:rsidRPr="00C82D09">
        <w:rPr>
          <w:noProof/>
        </w:rPr>
        <w:t>[43]</w:t>
      </w:r>
      <w:r w:rsidR="00971604">
        <w:fldChar w:fldCharType="end"/>
      </w:r>
      <w:r w:rsidR="00971604">
        <w:t xml:space="preserve">) </w:t>
      </w:r>
      <w:r w:rsidR="00971604" w:rsidRPr="00C93121">
        <w:t xml:space="preserve">to four </w:t>
      </w:r>
      <w:r w:rsidR="00897CBB">
        <w:t>arm</w:t>
      </w:r>
      <w:r w:rsidR="00897CBB" w:rsidRPr="00C93121">
        <w:t xml:space="preserve">s </w:t>
      </w:r>
      <w:r w:rsidR="00897CBB">
        <w:t xml:space="preserve">undergoing </w:t>
      </w:r>
      <w:r w:rsidR="00971604">
        <w:t xml:space="preserve">either </w:t>
      </w:r>
      <w:r w:rsidR="00971604" w:rsidRPr="00C93121">
        <w:t>CEA</w:t>
      </w:r>
      <w:r w:rsidR="00971604">
        <w:t xml:space="preserve"> based </w:t>
      </w:r>
      <w:r w:rsidR="00971604" w:rsidRPr="00C93121">
        <w:t xml:space="preserve">surveillance, CT based surveillance, </w:t>
      </w:r>
      <w:r w:rsidR="00971604">
        <w:t>combined</w:t>
      </w:r>
      <w:r w:rsidR="00971604" w:rsidRPr="00C93121">
        <w:t xml:space="preserve"> CEA and CT, or minim</w:t>
      </w:r>
      <w:r w:rsidR="00E2448B">
        <w:t>um</w:t>
      </w:r>
      <w:r w:rsidR="0002149F">
        <w:t xml:space="preserve"> </w:t>
      </w:r>
      <w:r w:rsidR="00971604" w:rsidRPr="00C93121">
        <w:t>surveillance</w:t>
      </w:r>
      <w:r w:rsidR="00784321">
        <w:t>.</w:t>
      </w:r>
      <w:r w:rsidR="00971604" w:rsidRPr="00C93121">
        <w:fldChar w:fldCharType="begin" w:fldLock="1"/>
      </w:r>
      <w:r w:rsidR="00834959">
        <w:instrText>ADDIN CSL_CITATION { "citationItems" : [ { "id" : "ITEM-1", "itemData" : { "DOI" : "10.1001/jama.2013.285718", "ISSN" : "1538-3598", "PMID" : "24430319", "abstract" : "IMPORTANCE: Intensive follow-up after surgery for colorectal cancer is common practice but is based on limited evidence.\\n\\nOBJECTIVE: To assess the effect of scheduled blood measurement of carcinoembryonic antigen (CEA) and computed tomography (CT) as follow-up to detect recurrent colorectal cancer treatable with curative intent.\\n\\nDESIGN, SETTING, AND PARTICIPANTS: Randomized clinical trial in 39 National Health Service hospitals in the United Kingdom; 1202 eligible participants were recruited between January 2003 and August 2009 who had undergone curative surgery for primary colorectal cancer, including adjuvant treatment if indicated, with no evidence of residual disease on investigation.\\n\\nINTERVENTIONS: Participants were randomly assigned to 1 of 4 groups: CEA only (n\u2009=\u2009300), CT only (n\u2009=\u2009299), CEA+CT (n\u2009=\u2009302), or minimum follow-up (n\u2009=\u2009301). Blood CEA was measured every 3 months for 2 years, then every 6 months for 3 years; CT scans of the chest, abdomen, and pelvis were performed every 6 months for 2 years, then annually for 3 years; and the minimum follow-up group received follow-up if symptoms occurred.\\n\\nMAIN OUTCOMES AND MEASURES: The primary outcome was surgical treatment of recurrence with curative intent; secondary outcomes were mortality (total and colorectal cancer), time to detection of recurrence, and survival after treatment of recurrence with curative intent.\\n\\nRESULTS: After a mean 4.4 (SD, 0.8) years of observation, cancer recurrence was detected in 199 participants (16.6%; 95% CI, 14.5%-18.7%) overall; 71 of 1202 participants (5.9%; 95% CI, 4.6%-7.2%) were treated for recurrence with curative intent, with little difference according to Dukes staging (stage A, 5.1% [13/254]; stage B, 6.1% [34/553]; stage C, 6.2% [22/354]). Surgical treatment of recurrence with curative intent was 2.3% (7/301) in the minimum follow-up group, 6.7% (20/300) in the CEA group, 8% (24/299) in the CT group, and 6.6% (20/302) in the CEA+CT group. Compared with minimum follow-up, the absolute difference in the percentage of patients treated with curative intent in the CEA group was 4.4% (95% CI, 1.0%-7.9%; adjusted odds ratio [OR], 3.00; 95% CI, 1.23-7.33), in the CT group was 5.7% (95% CI, 2.2%-9.5%; adjusted OR, 3.63; 95% CI, 1.51-8.69), and in the CEA+CT group was 4.3% (95% CI, 1.0%-7.9%; adjusted OR, 3.10; 95% CI, 1.10-8.71). The number of deaths was not significantly different in the combined intensive monitoring groups (CEA, CT, and CEA+CT; 18.2\u2026", "author" : [ { "dropping-particle" : "", "family" : "Primrose", "given" : "John N", "non-dropping-particle" : "", "parse-names" : false, "suffix" : "" }, { "dropping-particle" : "", "family" : "Perera", "given" : "Rafael", "non-dropping-particle" : "", "parse-names" : false, "suffix" : "" }, { "dropping-particle" : "", "family" : "Gray", "given" : "Alastair", "non-dropping-particle" : "", "parse-names" : false, "suffix" : "" }, { "dropping-particle" : "", "family" : "Rose", "given" : "Peter", "non-dropping-particle" : "", "parse-names" : false, "suffix" : "" }, { "dropping-particle" : "", "family" : "Fuller", "given" : "Alice", "non-dropping-particle" : "", "parse-names" : false, "suffix" : "" }, { "dropping-particle" : "", "family" : "Corkhill", "given" : "Andrea", "non-dropping-particle" : "", "parse-names" : false, "suffix" : "" }, { "dropping-particle" : "", "family" : "George", "given" : "Steve", "non-dropping-particle" : "", "parse-names" : false, "suffix" : "" }, { "dropping-particle" : "", "family" : "Mant", "given" : "David", "non-dropping-particle" : "", "parse-names" : false, "suffix" : "" } ], "container-title" : "JAMA : the journal of the American Medical Association", "id" : "ITEM-1", "issue" : "3", "issued" : { "date-parts" : [ [ "2014" ] ] }, "page" : "263-70", "title" : "Effect of 3 to 5 years of scheduled CEA and CT follow-up to detect recurrence of colorectal cancer: the FACS randomized clinical trial.", "type" : "article-journal", "volume" : "311" }, "uris" : [ "http://www.mendeley.com/documents/?uuid=a02b20fa-6abe-4e96-bb22-c91fb04e40ce", "http://www.mendeley.com/documents/?uuid=ea5f6b97-dd87-4c21-9f9f-54f0f1ca8208" ] } ], "mendeley" : { "formattedCitation" : "[2]", "plainTextFormattedCitation" : "[2]", "previouslyFormattedCitation" : "[2]" }, "properties" : { "noteIndex" : 0 }, "schema" : "https://github.com/citation-style-language/schema/raw/master/csl-citation.json" }</w:instrText>
      </w:r>
      <w:r w:rsidR="00971604" w:rsidRPr="00C93121">
        <w:fldChar w:fldCharType="separate"/>
      </w:r>
      <w:r w:rsidR="00E3241D" w:rsidRPr="00E3241D">
        <w:rPr>
          <w:noProof/>
        </w:rPr>
        <w:t>[2]</w:t>
      </w:r>
      <w:r w:rsidR="00971604" w:rsidRPr="00C93121">
        <w:fldChar w:fldCharType="end"/>
      </w:r>
      <w:r w:rsidR="00971604" w:rsidRPr="00C93121">
        <w:t xml:space="preserve">  </w:t>
      </w:r>
      <w:r w:rsidR="00517ADF">
        <w:t>Median follow-up across all g</w:t>
      </w:r>
      <w:r w:rsidR="00740561">
        <w:t>roups was</w:t>
      </w:r>
      <w:r w:rsidR="00517ADF">
        <w:t xml:space="preserve"> </w:t>
      </w:r>
      <w:r w:rsidR="00740561">
        <w:t>60</w:t>
      </w:r>
      <w:r w:rsidR="00517ADF">
        <w:t xml:space="preserve"> </w:t>
      </w:r>
      <w:r w:rsidR="00740561">
        <w:t xml:space="preserve">months; </w:t>
      </w:r>
      <w:r w:rsidR="00434CF0" w:rsidRPr="00C93121">
        <w:rPr>
          <w:b/>
        </w:rPr>
        <w:t>Table 2</w:t>
      </w:r>
      <w:r w:rsidR="00625E03" w:rsidRPr="00C93121">
        <w:t xml:space="preserve"> describes characteristics </w:t>
      </w:r>
      <w:r w:rsidR="00295F49" w:rsidRPr="00C93121">
        <w:t>and assigned surveillance regimen</w:t>
      </w:r>
      <w:r w:rsidR="00E2160A" w:rsidRPr="00C93121">
        <w:t>s</w:t>
      </w:r>
      <w:r w:rsidR="00295F49" w:rsidRPr="00C93121">
        <w:t xml:space="preserve"> for </w:t>
      </w:r>
      <w:r w:rsidR="00AC187D">
        <w:t>CC</w:t>
      </w:r>
      <w:r w:rsidR="00886548">
        <w:t xml:space="preserve"> </w:t>
      </w:r>
      <w:r w:rsidR="007E10A3" w:rsidRPr="00C93121">
        <w:t>subjects</w:t>
      </w:r>
      <w:r w:rsidR="00434CF0" w:rsidRPr="00C93121">
        <w:t xml:space="preserve"> in </w:t>
      </w:r>
      <w:r w:rsidR="00295F49" w:rsidRPr="00C93121">
        <w:t>each FACS</w:t>
      </w:r>
      <w:r w:rsidR="000D06FA">
        <w:t xml:space="preserve"> arm</w:t>
      </w:r>
      <w:r w:rsidR="00295F49" w:rsidRPr="00C93121">
        <w:t>.</w:t>
      </w:r>
      <w:r w:rsidR="00610B0C" w:rsidRPr="00C93121">
        <w:t xml:space="preserve"> </w:t>
      </w:r>
      <w:r w:rsidR="00B65146">
        <w:t xml:space="preserve"> </w:t>
      </w:r>
    </w:p>
    <w:p w14:paraId="366D04BF" w14:textId="693B08D2" w:rsidR="006322B4" w:rsidRPr="00C93121" w:rsidRDefault="00B65146" w:rsidP="00B03879">
      <w:pPr>
        <w:spacing w:after="0" w:line="480" w:lineRule="auto"/>
        <w:ind w:firstLine="720"/>
      </w:pPr>
      <w:r>
        <w:t>Outcomes examined</w:t>
      </w:r>
      <w:r w:rsidR="000D3FB1">
        <w:t xml:space="preserve"> in validation</w:t>
      </w:r>
      <w:r>
        <w:t xml:space="preserve"> were recurrence </w:t>
      </w:r>
      <w:r w:rsidR="00746FE0">
        <w:t>proportion</w:t>
      </w:r>
      <w:r>
        <w:t xml:space="preserve">, </w:t>
      </w:r>
      <w:r w:rsidRPr="00C93121">
        <w:t>proportion of</w:t>
      </w:r>
      <w:r w:rsidR="00C13FAA">
        <w:t xml:space="preserve"> recurring</w:t>
      </w:r>
      <w:r w:rsidRPr="00C93121">
        <w:t xml:space="preserve"> subjects undergoing curative salvage surgery</w:t>
      </w:r>
      <w:r w:rsidR="00C13FAA">
        <w:t>,</w:t>
      </w:r>
      <w:r w:rsidRPr="00C93121">
        <w:t xml:space="preserve"> and</w:t>
      </w:r>
      <w:r>
        <w:t xml:space="preserve"> OS5.</w:t>
      </w:r>
      <w:r w:rsidR="00F8708C">
        <w:t xml:space="preserve">  Proportion of recurrences discovered because of symptoms was not </w:t>
      </w:r>
      <w:r w:rsidR="008B5C02">
        <w:t>examined given the small number of subjects in this category</w:t>
      </w:r>
      <w:r w:rsidR="00F8708C">
        <w:t xml:space="preserve"> (</w:t>
      </w:r>
      <w:r w:rsidR="00C636F1">
        <w:t xml:space="preserve">36 </w:t>
      </w:r>
      <w:r w:rsidR="00952082">
        <w:t xml:space="preserve">CC </w:t>
      </w:r>
      <w:r w:rsidR="00C636F1">
        <w:t xml:space="preserve">subjects </w:t>
      </w:r>
      <w:r w:rsidR="00AF7D11">
        <w:t>total</w:t>
      </w:r>
      <w:r w:rsidR="00F8708C">
        <w:t>)</w:t>
      </w:r>
      <w:r w:rsidR="001837E9">
        <w:t>.</w:t>
      </w:r>
    </w:p>
    <w:p w14:paraId="0F5BF459" w14:textId="09311FEF" w:rsidR="00462EFF" w:rsidRPr="00C93121" w:rsidRDefault="00DB3556" w:rsidP="00B03879">
      <w:pPr>
        <w:spacing w:after="0" w:line="480" w:lineRule="auto"/>
        <w:ind w:firstLine="720"/>
        <w:rPr>
          <w:lang w:eastAsia="ko-KR"/>
        </w:rPr>
      </w:pPr>
      <w:r w:rsidRPr="00C93121">
        <w:t xml:space="preserve">For each of the four </w:t>
      </w:r>
      <w:r w:rsidR="00B834C5" w:rsidRPr="00C93121">
        <w:t>surveillance regimens</w:t>
      </w:r>
      <w:r w:rsidRPr="00C93121">
        <w:t xml:space="preserve">, we </w:t>
      </w:r>
      <w:r w:rsidR="00606291" w:rsidRPr="00C93121">
        <w:t xml:space="preserve">ran </w:t>
      </w:r>
      <w:proofErr w:type="spellStart"/>
      <w:r w:rsidR="00535432">
        <w:t>CCSuRe</w:t>
      </w:r>
      <w:proofErr w:type="spellEnd"/>
      <w:r w:rsidR="00606291" w:rsidRPr="00C93121">
        <w:t xml:space="preserve"> 1</w:t>
      </w:r>
      <w:r w:rsidR="00B114FF" w:rsidRPr="00C93121">
        <w:t xml:space="preserve">,000 times </w:t>
      </w:r>
      <w:r w:rsidR="00B834C5" w:rsidRPr="00C93121">
        <w:t>using</w:t>
      </w:r>
      <w:r w:rsidR="00B114FF" w:rsidRPr="00C93121">
        <w:t xml:space="preserve"> </w:t>
      </w:r>
      <w:r w:rsidR="000B3269" w:rsidRPr="00C93121">
        <w:t xml:space="preserve">the </w:t>
      </w:r>
      <w:r w:rsidR="00B114FF" w:rsidRPr="00C93121">
        <w:t xml:space="preserve">number of subjects enrolled in the corresponding FACS </w:t>
      </w:r>
      <w:r w:rsidR="009B12CC">
        <w:t>arm</w:t>
      </w:r>
      <w:r w:rsidR="0025755B" w:rsidRPr="00C93121">
        <w:t xml:space="preserve"> (Table 2)</w:t>
      </w:r>
      <w:r w:rsidR="00B114FF" w:rsidRPr="00C93121">
        <w:t>.</w:t>
      </w:r>
      <w:r w:rsidR="00F104AF" w:rsidRPr="00C93121">
        <w:t xml:space="preserve">  For each</w:t>
      </w:r>
      <w:r w:rsidR="00B834C5" w:rsidRPr="00C93121">
        <w:t xml:space="preserve"> outcome</w:t>
      </w:r>
      <w:r w:rsidR="008B624C" w:rsidRPr="00C93121">
        <w:t xml:space="preserve">, we used the range </w:t>
      </w:r>
      <w:r w:rsidR="00054F9F" w:rsidRPr="00C93121">
        <w:t xml:space="preserve">of model outputs </w:t>
      </w:r>
      <w:r w:rsidR="008B624C" w:rsidRPr="00C93121">
        <w:t>from the 2.5</w:t>
      </w:r>
      <w:r w:rsidR="008B624C" w:rsidRPr="00C93121">
        <w:rPr>
          <w:vertAlign w:val="superscript"/>
        </w:rPr>
        <w:t>th</w:t>
      </w:r>
      <w:r w:rsidR="008B624C" w:rsidRPr="00C93121">
        <w:t xml:space="preserve"> to 97.5</w:t>
      </w:r>
      <w:r w:rsidR="008B624C" w:rsidRPr="00C93121">
        <w:rPr>
          <w:vertAlign w:val="superscript"/>
        </w:rPr>
        <w:t>th</w:t>
      </w:r>
      <w:r w:rsidR="008B624C" w:rsidRPr="00C93121">
        <w:t xml:space="preserve"> percentile </w:t>
      </w:r>
      <w:r w:rsidR="00116899">
        <w:t>to define</w:t>
      </w:r>
      <w:r w:rsidR="008B624C" w:rsidRPr="00C93121">
        <w:t xml:space="preserve"> 95% </w:t>
      </w:r>
      <w:r w:rsidR="000E2561">
        <w:t>prediction intervals</w:t>
      </w:r>
      <w:r w:rsidR="008B624C" w:rsidRPr="00C93121">
        <w:t>.</w:t>
      </w:r>
      <w:r w:rsidR="002B7EE6">
        <w:fldChar w:fldCharType="begin" w:fldLock="1"/>
      </w:r>
      <w:r w:rsidR="00C82D09">
        <w:instrText>ADDIN CSL_CITATION { "citationItems" : [ { "id" : "ITEM-1", "itemData" : { "DOI" : "10.1093/biomet/92.3.529", "ISSN" : "00063444", "abstract" : "We consider parametric frameworks for the prediction of future values of a random variable Y, based on previously observed data X. Simple pivotal methods for obtaining calibrated prediction intervals are presented and illustrated. Frequentist predictive distributions are defined as confidence distributions, and their utility is demonstrated. A simple pivotal-based approach that produces prediction intervals and predictive distributions with well-calibrated frequentist probability interpretations is introduced, and efficient simulation methods for producing predictive distributions are considered. Properties related to an average Kullback-Leibler measure of goodness for predictive or estimated distributions are given. The predictive distributions here are shown to be optimal in certain settings with invariance structure, and to dominate plug-in distributions under certain conditions.", "author" : [ { "dropping-particle" : "", "family" : "Lawless", "given" : "J. F.", "non-dropping-particle" : "", "parse-names" : false, "suffix" : "" }, { "dropping-particle" : "", "family" : "Fredette", "given" : "Marc", "non-dropping-particle" : "", "parse-names" : false, "suffix" : "" } ], "container-title" : "Biometrika", "id" : "ITEM-1", "issue" : "3", "issued" : { "date-parts" : [ [ "2005" ] ] }, "page" : "529-542", "title" : "Frequentist prediction intervals and predictive distributions", "type" : "article-journal", "volume" : "92" }, "uris" : [ "http://www.mendeley.com/documents/?uuid=a1f4d478-055a-4b8a-86a5-e240392802d0", "http://www.mendeley.com/documents/?uuid=adfd9c8b-e57e-4afb-9d28-170119e2dfa2" ] } ], "mendeley" : { "formattedCitation" : "[44]", "plainTextFormattedCitation" : "[44]", "previouslyFormattedCitation" : "[44]" }, "properties" : { "noteIndex" : 0 }, "schema" : "https://github.com/citation-style-language/schema/raw/master/csl-citation.json" }</w:instrText>
      </w:r>
      <w:r w:rsidR="002B7EE6">
        <w:fldChar w:fldCharType="separate"/>
      </w:r>
      <w:r w:rsidR="00C82D09" w:rsidRPr="00C82D09">
        <w:rPr>
          <w:noProof/>
        </w:rPr>
        <w:t>[44]</w:t>
      </w:r>
      <w:r w:rsidR="002B7EE6">
        <w:fldChar w:fldCharType="end"/>
      </w:r>
      <w:r w:rsidR="00613406">
        <w:t xml:space="preserve">  </w:t>
      </w:r>
      <w:r w:rsidR="001A0A76">
        <w:t>We also</w:t>
      </w:r>
      <w:r w:rsidR="00A57EC3">
        <w:t xml:space="preserve"> </w:t>
      </w:r>
      <w:r w:rsidR="00613406">
        <w:t xml:space="preserve">constructed a calibration plot comparing observed to </w:t>
      </w:r>
      <w:r w:rsidR="002B7EE6">
        <w:t xml:space="preserve">mean </w:t>
      </w:r>
      <w:r w:rsidR="003A7DC6">
        <w:t>model-</w:t>
      </w:r>
      <w:r w:rsidR="00613406">
        <w:t xml:space="preserve">predicted survival of </w:t>
      </w:r>
      <w:r w:rsidR="002531BB">
        <w:t>patients with recurrence</w:t>
      </w:r>
      <w:r w:rsidR="002531BB" w:rsidDel="002531BB">
        <w:t xml:space="preserve"> </w:t>
      </w:r>
      <w:r w:rsidR="00613406">
        <w:t>at years one through five</w:t>
      </w:r>
      <w:r w:rsidR="0014266B">
        <w:t xml:space="preserve"> to assess model calibration and refinement</w:t>
      </w:r>
      <w:r w:rsidR="00613406">
        <w:t>.</w:t>
      </w:r>
      <w:r w:rsidR="00F66815">
        <w:fldChar w:fldCharType="begin" w:fldLock="1"/>
      </w:r>
      <w:r w:rsidR="00C82D09">
        <w:instrText>ADDIN CSL_CITATION { "citationItems" : [ { "id" : "ITEM-1", "itemData" : { "DOI" : "10.1097/EDE.0b013e3181c30fb2.Assessing", "ISBN" : "1531-5487 (Electronic) 1044-3983 (Linking)", "ISSN" : "1531-5487", "PMID" : "20010215", "abstract" : "The performance of prediction models can be assessed using a variety of different methods and metrics. Traditional measures for binary and survival outcomes include the Brier score to indicate overall model performance, the concordance (or c ) statistic for discriminative ability (or area under the receiver operating characteristic (ROC) curve), and goodness-of-fit statistics for calibration. Several new measures have recently been proposed that can be seen as refinements of discrimination measures, including variants of the c statistic for survival, reclassification tables, net reclassification improvement (NRI), and integrated discrimination improvement (IDI). Moreover, decision\u2013analytic measures have been proposed, including decision curves to plot the net benefit achieved by making decisions based on model predictions. We aimed to define the role of these relatively novel approaches in the evaluation of the performance of prediction models. For illustration we present a case study of predicting the presence of residual tumor versus benign tissue in patients with testicular cancer (n=544 for model development, n=273 for external validation). We suggest that reporting discrimination and calibration will always be important for a prediction model. Decision-analytic measures should be reported if the predictive model is to be used for making clinical decisions. Other measures of performance may be warranted in specific applications, such as reclassification metrics to gain insight into the value of adding a novel predictor", "author" : [ { "dropping-particle" : "", "family" : "Steyerberg", "given" : "Ewout W", "non-dropping-particle" : "", "parse-names" : false, "suffix" : "" }, { "dropping-particle" : "", "family" : "Vickers", "given" : "Andrew J", "non-dropping-particle" : "", "parse-names" : false, "suffix" : "" }, { "dropping-particle" : "", "family" : "Cook", "given" : "Nancy R", "non-dropping-particle" : "", "parse-names" : false, "suffix" : "" }, { "dropping-particle" : "", "family" : "Gerds", "given" : "Thomas", "non-dropping-particle" : "", "parse-names" : false, "suffix" : "" }, { "dropping-particle" : "", "family" : "Obuchowski", "given" : "Nancy", "non-dropping-particle" : "", "parse-names" : false, "suffix" : "" }, { "dropping-particle" : "", "family" : "Pencina", "given" : "Michael J", "non-dropping-particle" : "", "parse-names" : false, "suffix" : "" }, { "dropping-particle" : "", "family" : "Kattan", "given" : "Michael W", "non-dropping-particle" : "", "parse-names" : false, "suffix" : "" } ], "container-title" : "Epidemiology", "id" : "ITEM-1", "issue" : "1", "issued" : { "date-parts" : [ [ "2010" ] ] }, "page" : "128-138", "title" : "Assessing the performance of prediction models : A framework for some traditional and novel measures", "type" : "article-journal", "volume" : "21" }, "uris" : [ "http://www.mendeley.com/documents/?uuid=6e7aee20-4250-497d-9129-cced810be31f", "http://www.mendeley.com/documents/?uuid=41adb765-95d1-439a-9cab-741f06be0c20" ] }, { "id" : "ITEM-2", "itemData" : { "DOI" : "10.1177/0272989X9301300107", "ISBN" : "0272-989X (Print) 0272-989X (Linking)", "ISSN" : "0272-989X", "PMID" : "8433637", "abstract" : "Current advances in high-speed computing and increased availability of statistical software have led to widespread use of statistical methods for the development of computerized protocols predictive of binary health outcomes. If these predictive algorithms are to be used in settings other than those for which they were developed, e.g., applied in a different geographic setting or extrapolated for use in a slightly different population, then they should be carefully validated to ensure appropriate application. Miller et al. (Stat Med. 1991) provided a comprehensive methodology for external validation of logistic prediction models, and applied these methods in a temporal validation setting. In this article, the authors emphasize how these methods can be applied to general forms of probabilistic predictions and provide several SAS macros for computation of the desired statistics.", "author" : [ { "dropping-particle" : "", "family" : "Miller", "given" : "M E", "non-dropping-particle" : "", "parse-names" : false, "suffix" : "" }, { "dropping-particle" : "", "family" : "Langefeld", "given" : "C D", "non-dropping-particle" : "", "parse-names" : false, "suffix" : "" }, { "dropping-particle" : "", "family" : "Tierney", "given" : "W M", "non-dropping-particle" : "", "parse-names" : false, "suffix" : "" }, { "dropping-particle" : "", "family" : "Hui", "given" : "S L", "non-dropping-particle" : "", "parse-names" : false, "suffix" : "" }, { "dropping-particle" : "", "family" : "McDonald", "given" : "C J", "non-dropping-particle" : "", "parse-names" : false, "suffix" : "" } ], "container-title" : "Medical decision making : an international journal of the Society for Medical Decision Making", "id" : "ITEM-2", "issue" : "1", "issued" : { "date-parts" : [ [ "1993" ] ] }, "page" : "49-58", "title" : "Validation of probabilistic predictions.", "type" : "article-journal", "volume" : "13" }, "uris" : [ "http://www.mendeley.com/documents/?uuid=c05114a5-42c8-4d7b-9a7e-83bbd3695e91", "http://www.mendeley.com/documents/?uuid=d095d54f-59cb-454a-a667-18bd463d765d" ] } ], "mendeley" : { "formattedCitation" : "[45, 46]", "plainTextFormattedCitation" : "[45, 46]", "previouslyFormattedCitation" : "[45, 46]" }, "properties" : { "noteIndex" : 0 }, "schema" : "https://github.com/citation-style-language/schema/raw/master/csl-citation.json" }</w:instrText>
      </w:r>
      <w:r w:rsidR="00F66815">
        <w:fldChar w:fldCharType="separate"/>
      </w:r>
      <w:r w:rsidR="00C82D09" w:rsidRPr="00C82D09">
        <w:rPr>
          <w:noProof/>
          <w:lang w:eastAsia="ko-KR"/>
        </w:rPr>
        <w:t>[45, 46]</w:t>
      </w:r>
      <w:r w:rsidR="00F66815">
        <w:fldChar w:fldCharType="end"/>
      </w:r>
    </w:p>
    <w:p w14:paraId="55B9AF75" w14:textId="77777777" w:rsidR="0062482F" w:rsidRPr="00C93121" w:rsidRDefault="0062482F" w:rsidP="00B03879">
      <w:pPr>
        <w:spacing w:after="0" w:line="480" w:lineRule="auto"/>
        <w:rPr>
          <w:lang w:eastAsia="ko-KR"/>
        </w:rPr>
      </w:pPr>
    </w:p>
    <w:p w14:paraId="4F8CED06" w14:textId="625F681F" w:rsidR="0062482F" w:rsidRPr="00C93121" w:rsidRDefault="0062482F" w:rsidP="00B03879">
      <w:pPr>
        <w:spacing w:after="0" w:line="480" w:lineRule="auto"/>
        <w:rPr>
          <w:lang w:eastAsia="ko-KR"/>
        </w:rPr>
      </w:pPr>
      <w:r w:rsidRPr="00C93121">
        <w:rPr>
          <w:lang w:eastAsia="ko-KR"/>
        </w:rPr>
        <w:t>The funding source</w:t>
      </w:r>
      <w:r w:rsidR="00081781">
        <w:rPr>
          <w:lang w:eastAsia="ko-KR"/>
        </w:rPr>
        <w:t>s</w:t>
      </w:r>
      <w:r w:rsidRPr="00C93121">
        <w:rPr>
          <w:lang w:eastAsia="ko-KR"/>
        </w:rPr>
        <w:t xml:space="preserve"> played no role in the design of the study or preparation of this manuscript.</w:t>
      </w:r>
    </w:p>
    <w:p w14:paraId="46220762" w14:textId="77777777" w:rsidR="005F70B2" w:rsidRDefault="005F70B2" w:rsidP="00B03879">
      <w:pPr>
        <w:spacing w:after="0" w:line="480" w:lineRule="auto"/>
        <w:rPr>
          <w:lang w:eastAsia="ko-KR"/>
        </w:rPr>
      </w:pPr>
    </w:p>
    <w:p w14:paraId="644DA14F" w14:textId="77777777" w:rsidR="000D4BD9" w:rsidRDefault="000D4BD9" w:rsidP="00B03879">
      <w:pPr>
        <w:spacing w:after="0" w:line="480" w:lineRule="auto"/>
        <w:rPr>
          <w:lang w:eastAsia="ko-KR"/>
        </w:rPr>
      </w:pPr>
    </w:p>
    <w:p w14:paraId="113233C3" w14:textId="77777777" w:rsidR="000D4BD9" w:rsidRDefault="000D4BD9" w:rsidP="00B03879">
      <w:pPr>
        <w:spacing w:after="0" w:line="480" w:lineRule="auto"/>
        <w:rPr>
          <w:lang w:eastAsia="ko-KR"/>
        </w:rPr>
      </w:pPr>
    </w:p>
    <w:p w14:paraId="4DF86E12" w14:textId="77777777" w:rsidR="000D4BD9" w:rsidRDefault="000D4BD9" w:rsidP="00B03879">
      <w:pPr>
        <w:spacing w:after="0" w:line="480" w:lineRule="auto"/>
        <w:rPr>
          <w:lang w:eastAsia="ko-KR"/>
        </w:rPr>
      </w:pPr>
    </w:p>
    <w:p w14:paraId="4EA38526" w14:textId="77777777" w:rsidR="000D4BD9" w:rsidRDefault="000D4BD9" w:rsidP="00B03879">
      <w:pPr>
        <w:spacing w:after="0" w:line="480" w:lineRule="auto"/>
        <w:rPr>
          <w:lang w:eastAsia="ko-KR"/>
        </w:rPr>
      </w:pPr>
    </w:p>
    <w:p w14:paraId="7237F01F" w14:textId="77777777" w:rsidR="000D4BD9" w:rsidRDefault="000D4BD9" w:rsidP="00B03879">
      <w:pPr>
        <w:spacing w:after="0" w:line="480" w:lineRule="auto"/>
        <w:rPr>
          <w:lang w:eastAsia="ko-KR"/>
        </w:rPr>
      </w:pPr>
    </w:p>
    <w:p w14:paraId="6703D5FD" w14:textId="77777777" w:rsidR="000D4BD9" w:rsidRDefault="000D4BD9" w:rsidP="00B03879">
      <w:pPr>
        <w:spacing w:after="0" w:line="480" w:lineRule="auto"/>
        <w:rPr>
          <w:lang w:eastAsia="ko-KR"/>
        </w:rPr>
      </w:pPr>
    </w:p>
    <w:p w14:paraId="50C33D1A" w14:textId="514C4C9F" w:rsidR="00D81F17" w:rsidRPr="00C93121" w:rsidRDefault="00D81F17" w:rsidP="00B03879">
      <w:pPr>
        <w:spacing w:after="0" w:line="480" w:lineRule="auto"/>
        <w:rPr>
          <w:lang w:eastAsia="ko-KR"/>
        </w:rPr>
      </w:pPr>
      <w:r w:rsidRPr="00C93121">
        <w:rPr>
          <w:lang w:eastAsia="ko-KR"/>
        </w:rPr>
        <w:lastRenderedPageBreak/>
        <w:t>RESULTS</w:t>
      </w:r>
    </w:p>
    <w:p w14:paraId="6D0BFFF6" w14:textId="7C7AD8BF" w:rsidR="00FC0634" w:rsidRPr="00C93121" w:rsidRDefault="00FC0634" w:rsidP="00B03879">
      <w:pPr>
        <w:spacing w:after="0" w:line="480" w:lineRule="auto"/>
        <w:rPr>
          <w:i/>
          <w:lang w:eastAsia="ko-KR"/>
        </w:rPr>
      </w:pPr>
      <w:r w:rsidRPr="00C93121">
        <w:rPr>
          <w:i/>
          <w:lang w:eastAsia="ko-KR"/>
        </w:rPr>
        <w:t>Base</w:t>
      </w:r>
      <w:r w:rsidR="00331A85">
        <w:rPr>
          <w:i/>
          <w:lang w:eastAsia="ko-KR"/>
        </w:rPr>
        <w:t>line Model Outputs</w:t>
      </w:r>
    </w:p>
    <w:p w14:paraId="039C4460" w14:textId="60913359" w:rsidR="00551941" w:rsidRPr="00C93121" w:rsidRDefault="00A76CF4" w:rsidP="00B03879">
      <w:pPr>
        <w:spacing w:after="0" w:line="480" w:lineRule="auto"/>
        <w:ind w:firstLine="720"/>
        <w:rPr>
          <w:lang w:eastAsia="ko-KR"/>
        </w:rPr>
      </w:pPr>
      <w:r>
        <w:rPr>
          <w:lang w:eastAsia="ko-KR"/>
        </w:rPr>
        <w:t>In the base case scenario</w:t>
      </w:r>
      <w:r w:rsidR="001705E8">
        <w:rPr>
          <w:lang w:eastAsia="ko-KR"/>
        </w:rPr>
        <w:t xml:space="preserve"> modeling NCCN-adherent surveillance</w:t>
      </w:r>
      <w:r>
        <w:rPr>
          <w:lang w:eastAsia="ko-KR"/>
        </w:rPr>
        <w:t>, t</w:t>
      </w:r>
      <w:r w:rsidR="00764793">
        <w:rPr>
          <w:lang w:eastAsia="ko-KR"/>
        </w:rPr>
        <w:t xml:space="preserve">he model predicted that </w:t>
      </w:r>
      <w:r w:rsidR="00636BB5">
        <w:rPr>
          <w:lang w:eastAsia="ko-KR"/>
        </w:rPr>
        <w:t>16.9%</w:t>
      </w:r>
      <w:r w:rsidR="00764793">
        <w:rPr>
          <w:lang w:eastAsia="ko-KR"/>
        </w:rPr>
        <w:t xml:space="preserve"> of survivors would experience recurrence</w:t>
      </w:r>
      <w:r w:rsidR="00C80BDE">
        <w:rPr>
          <w:lang w:eastAsia="ko-KR"/>
        </w:rPr>
        <w:t xml:space="preserve"> and that</w:t>
      </w:r>
      <w:r w:rsidR="00636BB5">
        <w:rPr>
          <w:lang w:eastAsia="ko-KR"/>
        </w:rPr>
        <w:t xml:space="preserve"> </w:t>
      </w:r>
      <w:r w:rsidR="00A529A6" w:rsidRPr="00C93121">
        <w:rPr>
          <w:lang w:eastAsia="ko-KR"/>
        </w:rPr>
        <w:t xml:space="preserve">44.2% of </w:t>
      </w:r>
      <w:r w:rsidR="00612A64">
        <w:rPr>
          <w:lang w:eastAsia="ko-KR"/>
        </w:rPr>
        <w:t xml:space="preserve">recurring </w:t>
      </w:r>
      <w:r w:rsidR="00A529A6" w:rsidRPr="00C93121">
        <w:rPr>
          <w:lang w:eastAsia="ko-KR"/>
        </w:rPr>
        <w:t>patients would be expected to undergo curative-intent treatment</w:t>
      </w:r>
      <w:r w:rsidR="00C80BDE">
        <w:rPr>
          <w:lang w:eastAsia="ko-KR"/>
        </w:rPr>
        <w:t xml:space="preserve">. </w:t>
      </w:r>
      <w:r w:rsidR="00A529A6" w:rsidRPr="00C93121">
        <w:rPr>
          <w:lang w:eastAsia="ko-KR"/>
        </w:rPr>
        <w:t xml:space="preserve"> O</w:t>
      </w:r>
      <w:r w:rsidR="00A75BB7" w:rsidRPr="00C93121">
        <w:rPr>
          <w:lang w:eastAsia="ko-KR"/>
        </w:rPr>
        <w:t xml:space="preserve">S5 </w:t>
      </w:r>
      <w:r w:rsidR="000717AD">
        <w:rPr>
          <w:lang w:eastAsia="ko-KR"/>
        </w:rPr>
        <w:t>for</w:t>
      </w:r>
      <w:r w:rsidR="00A75BB7" w:rsidRPr="00C93121">
        <w:rPr>
          <w:lang w:eastAsia="ko-KR"/>
        </w:rPr>
        <w:t xml:space="preserve"> recurring patients</w:t>
      </w:r>
      <w:r w:rsidR="00A529A6" w:rsidRPr="00C93121">
        <w:rPr>
          <w:lang w:eastAsia="ko-KR"/>
        </w:rPr>
        <w:t xml:space="preserve"> </w:t>
      </w:r>
      <w:r w:rsidR="003B777B" w:rsidRPr="00C93121">
        <w:rPr>
          <w:lang w:eastAsia="ko-KR"/>
        </w:rPr>
        <w:t>was predicted to be</w:t>
      </w:r>
      <w:r w:rsidR="00A529A6" w:rsidRPr="00C93121">
        <w:rPr>
          <w:lang w:eastAsia="ko-KR"/>
        </w:rPr>
        <w:t xml:space="preserve"> 22.6%.</w:t>
      </w:r>
      <w:r w:rsidR="00EA3D71">
        <w:rPr>
          <w:lang w:eastAsia="ko-KR"/>
        </w:rPr>
        <w:t xml:space="preserve">  </w:t>
      </w:r>
    </w:p>
    <w:p w14:paraId="190D88CB" w14:textId="77777777" w:rsidR="006D10BE" w:rsidRPr="00C93121" w:rsidRDefault="006D10BE" w:rsidP="00B03879">
      <w:pPr>
        <w:spacing w:after="0" w:line="480" w:lineRule="auto"/>
        <w:ind w:firstLine="720"/>
        <w:rPr>
          <w:lang w:eastAsia="ko-KR"/>
        </w:rPr>
      </w:pPr>
    </w:p>
    <w:p w14:paraId="37458CD8" w14:textId="23EBAC1E" w:rsidR="008F6C13" w:rsidRPr="00C93121" w:rsidRDefault="00F548C2" w:rsidP="00B03879">
      <w:pPr>
        <w:spacing w:after="0" w:line="480" w:lineRule="auto"/>
        <w:rPr>
          <w:i/>
          <w:lang w:eastAsia="ko-KR"/>
        </w:rPr>
      </w:pPr>
      <w:r w:rsidRPr="00C93121">
        <w:rPr>
          <w:i/>
          <w:lang w:eastAsia="ko-KR"/>
        </w:rPr>
        <w:t xml:space="preserve">Sensitivity Analysis </w:t>
      </w:r>
    </w:p>
    <w:p w14:paraId="02390C0D" w14:textId="3D6BB5D3" w:rsidR="00332B38" w:rsidRPr="00C93121" w:rsidRDefault="00551B07" w:rsidP="00B03879">
      <w:pPr>
        <w:spacing w:after="0" w:line="480" w:lineRule="auto"/>
        <w:ind w:firstLine="720"/>
      </w:pPr>
      <w:r>
        <w:t>Using the base case as a starting point, w</w:t>
      </w:r>
      <w:r w:rsidR="00EA4AFE">
        <w:t xml:space="preserve">e conducted a sensitivity analysis in order to identify the </w:t>
      </w:r>
      <w:r w:rsidR="00D44F4B">
        <w:t xml:space="preserve">utilization </w:t>
      </w:r>
      <w:r w:rsidR="00EA4AFE">
        <w:t xml:space="preserve">inputs to which model results were most sensitive.  </w:t>
      </w:r>
      <w:r w:rsidR="006D10BE" w:rsidRPr="0072731C">
        <w:rPr>
          <w:b/>
          <w:lang w:eastAsia="ko-KR"/>
        </w:rPr>
        <w:t>Figure 1a</w:t>
      </w:r>
      <w:r w:rsidR="006D10BE" w:rsidRPr="00C93121">
        <w:rPr>
          <w:lang w:eastAsia="ko-KR"/>
        </w:rPr>
        <w:t xml:space="preserve"> depicts the </w:t>
      </w:r>
      <w:r w:rsidR="00D44F4B">
        <w:rPr>
          <w:lang w:eastAsia="ko-KR"/>
        </w:rPr>
        <w:t xml:space="preserve">utilization </w:t>
      </w:r>
      <w:r w:rsidR="006D10BE" w:rsidRPr="00C93121">
        <w:rPr>
          <w:lang w:eastAsia="ko-KR"/>
        </w:rPr>
        <w:t xml:space="preserve">parameters which, when varied </w:t>
      </w:r>
      <w:r w:rsidR="00332B38" w:rsidRPr="00C93121">
        <w:rPr>
          <w:lang w:eastAsia="ko-KR"/>
        </w:rPr>
        <w:t>individually</w:t>
      </w:r>
      <w:r w:rsidR="00C44193">
        <w:rPr>
          <w:lang w:eastAsia="ko-KR"/>
        </w:rPr>
        <w:t xml:space="preserve"> from their baseline levels</w:t>
      </w:r>
      <w:r w:rsidR="00332B38" w:rsidRPr="00C93121">
        <w:rPr>
          <w:lang w:eastAsia="ko-KR"/>
        </w:rPr>
        <w:t xml:space="preserve"> </w:t>
      </w:r>
      <w:r w:rsidR="006D10BE" w:rsidRPr="00C93121">
        <w:rPr>
          <w:lang w:eastAsia="ko-KR"/>
        </w:rPr>
        <w:t xml:space="preserve">across the ranges shown in Table 1, </w:t>
      </w:r>
      <w:r w:rsidR="00750176">
        <w:rPr>
          <w:lang w:eastAsia="ko-KR"/>
        </w:rPr>
        <w:t xml:space="preserve">most </w:t>
      </w:r>
      <w:r w:rsidR="006D10BE" w:rsidRPr="00C93121">
        <w:rPr>
          <w:lang w:eastAsia="ko-KR"/>
        </w:rPr>
        <w:t xml:space="preserve">affected the </w:t>
      </w:r>
      <w:r w:rsidR="0098665A" w:rsidRPr="00C93121">
        <w:rPr>
          <w:lang w:eastAsia="ko-KR"/>
        </w:rPr>
        <w:t xml:space="preserve">proportion undergoing </w:t>
      </w:r>
      <w:r w:rsidR="004E502B" w:rsidRPr="00C93121">
        <w:rPr>
          <w:lang w:eastAsia="ko-KR"/>
        </w:rPr>
        <w:t xml:space="preserve">potentially </w:t>
      </w:r>
      <w:r w:rsidR="0098665A" w:rsidRPr="00C93121">
        <w:rPr>
          <w:lang w:eastAsia="ko-KR"/>
        </w:rPr>
        <w:t>curati</w:t>
      </w:r>
      <w:r w:rsidR="0098665A" w:rsidRPr="00C93121">
        <w:t>ve treatment of recurrence.</w:t>
      </w:r>
      <w:r w:rsidR="00C42E5F" w:rsidRPr="00C93121">
        <w:t xml:space="preserve">  This outcome was most sensitive to</w:t>
      </w:r>
      <w:r w:rsidR="00665592">
        <w:t xml:space="preserve"> positron emission tomography (</w:t>
      </w:r>
      <w:r w:rsidR="00C42E5F" w:rsidRPr="00C93121">
        <w:t>PET</w:t>
      </w:r>
      <w:r w:rsidR="00665592">
        <w:t>)</w:t>
      </w:r>
      <w:r w:rsidR="00A85442" w:rsidRPr="00C93121">
        <w:t xml:space="preserve"> </w:t>
      </w:r>
      <w:r w:rsidR="00081781">
        <w:t xml:space="preserve">scan </w:t>
      </w:r>
      <w:r w:rsidR="00A85442" w:rsidRPr="00C93121">
        <w:t>sensitivity.  Varying PET</w:t>
      </w:r>
      <w:r w:rsidR="00C42E5F" w:rsidRPr="00C93121">
        <w:t xml:space="preserve"> sensitivity from 0.72 to 1.00 resulted in variation of the proportion treated curatively from 40.4% to 45.4%.  </w:t>
      </w:r>
      <w:r w:rsidR="00332B38" w:rsidRPr="00C93121">
        <w:rPr>
          <w:b/>
        </w:rPr>
        <w:t xml:space="preserve">Figure </w:t>
      </w:r>
      <w:r w:rsidR="00CC117A">
        <w:rPr>
          <w:b/>
        </w:rPr>
        <w:t>1</w:t>
      </w:r>
      <w:r w:rsidR="00332B38" w:rsidRPr="00C93121">
        <w:rPr>
          <w:b/>
        </w:rPr>
        <w:t>b</w:t>
      </w:r>
      <w:r w:rsidR="00332B38" w:rsidRPr="00C93121">
        <w:t xml:space="preserve"> depicts the four parameters </w:t>
      </w:r>
      <w:r w:rsidR="00D138AC" w:rsidRPr="00C93121">
        <w:t>which</w:t>
      </w:r>
      <w:r w:rsidR="00EA3AF4" w:rsidRPr="00C93121">
        <w:t xml:space="preserve"> </w:t>
      </w:r>
      <w:r w:rsidR="000865BC">
        <w:t xml:space="preserve">most </w:t>
      </w:r>
      <w:r w:rsidR="00D138AC" w:rsidRPr="00C93121">
        <w:t xml:space="preserve">affected predicted </w:t>
      </w:r>
      <w:r w:rsidR="00A85442" w:rsidRPr="00C93121">
        <w:t>OS5</w:t>
      </w:r>
      <w:r w:rsidR="00332B38" w:rsidRPr="00C93121">
        <w:t>.</w:t>
      </w:r>
      <w:r w:rsidR="00C87114" w:rsidRPr="00C93121">
        <w:t xml:space="preserve"> </w:t>
      </w:r>
      <w:r w:rsidR="00903688" w:rsidRPr="00C93121">
        <w:t xml:space="preserve"> Again, PET sensitivity was most influential, with inputs between 0.72 and 1.00 resulting in </w:t>
      </w:r>
      <w:r w:rsidR="00F4334C">
        <w:t>OS5</w:t>
      </w:r>
      <w:r w:rsidR="00903688" w:rsidRPr="00C93121">
        <w:t xml:space="preserve"> </w:t>
      </w:r>
      <w:r w:rsidR="00C823A6" w:rsidRPr="00C93121">
        <w:t xml:space="preserve">ranging </w:t>
      </w:r>
      <w:r w:rsidR="00903688" w:rsidRPr="00C93121">
        <w:t>from 21.5% to 23.0%</w:t>
      </w:r>
      <w:r w:rsidR="00A82684" w:rsidRPr="00C93121">
        <w:t>, respectively</w:t>
      </w:r>
      <w:r w:rsidR="00903688" w:rsidRPr="00C93121">
        <w:t>.</w:t>
      </w:r>
      <w:r w:rsidR="00A56625" w:rsidRPr="00C93121">
        <w:t xml:space="preserve">  </w:t>
      </w:r>
    </w:p>
    <w:p w14:paraId="619002A5" w14:textId="682B26FB" w:rsidR="00D42DCC" w:rsidRPr="00C93121" w:rsidRDefault="00956991" w:rsidP="00B03879">
      <w:pPr>
        <w:spacing w:after="0" w:line="480" w:lineRule="auto"/>
        <w:ind w:firstLine="720"/>
      </w:pPr>
      <w:r w:rsidRPr="00C93121">
        <w:t xml:space="preserve">When </w:t>
      </w:r>
      <w:r w:rsidR="00387F0C" w:rsidRPr="00C93121">
        <w:t xml:space="preserve">CT </w:t>
      </w:r>
      <w:r w:rsidR="00081781">
        <w:t xml:space="preserve">scan </w:t>
      </w:r>
      <w:r w:rsidR="00387F0C" w:rsidRPr="00C93121">
        <w:t xml:space="preserve">sensitivity for all </w:t>
      </w:r>
      <w:r w:rsidR="00EA4AFE">
        <w:t xml:space="preserve">anatomical </w:t>
      </w:r>
      <w:r w:rsidR="00387F0C" w:rsidRPr="00C93121">
        <w:t>sites was simultaneously dec</w:t>
      </w:r>
      <w:r w:rsidR="008D057C" w:rsidRPr="00C93121">
        <w:t>reased to the lowest extremes</w:t>
      </w:r>
      <w:r w:rsidR="00A517C5" w:rsidRPr="00C93121">
        <w:t>,</w:t>
      </w:r>
      <w:r w:rsidRPr="00C93121">
        <w:t xml:space="preserve"> the model predicted a decrease</w:t>
      </w:r>
      <w:r w:rsidR="0057514F" w:rsidRPr="00C93121">
        <w:t xml:space="preserve"> in curative treatment </w:t>
      </w:r>
      <w:r w:rsidR="005C528E" w:rsidRPr="00C93121">
        <w:t>proportion</w:t>
      </w:r>
      <w:r w:rsidRPr="00C93121">
        <w:t xml:space="preserve"> to 42.5</w:t>
      </w:r>
      <w:r w:rsidR="00C6029C">
        <w:t>%</w:t>
      </w:r>
      <w:r w:rsidRPr="00C93121">
        <w:t xml:space="preserve">.  </w:t>
      </w:r>
      <w:r w:rsidR="00457EC0">
        <w:t>At the</w:t>
      </w:r>
      <w:r w:rsidR="00A20F34" w:rsidRPr="00C93121">
        <w:t xml:space="preserve"> </w:t>
      </w:r>
      <w:r w:rsidR="008D057C" w:rsidRPr="00C93121">
        <w:t>highest extremes</w:t>
      </w:r>
      <w:r w:rsidR="00457EC0">
        <w:t xml:space="preserve"> of </w:t>
      </w:r>
      <w:r w:rsidR="00457EC0" w:rsidRPr="00C93121">
        <w:t>CT sensitivity</w:t>
      </w:r>
      <w:r w:rsidR="00A20F34" w:rsidRPr="00C93121">
        <w:t>, c</w:t>
      </w:r>
      <w:r w:rsidRPr="00C93121">
        <w:t xml:space="preserve">urative </w:t>
      </w:r>
      <w:r w:rsidR="00BB6A74" w:rsidRPr="00C93121">
        <w:t>treatment</w:t>
      </w:r>
      <w:r w:rsidR="0057514F" w:rsidRPr="00C93121">
        <w:t xml:space="preserve"> proportion</w:t>
      </w:r>
      <w:r w:rsidRPr="00C93121">
        <w:t xml:space="preserve"> rose to 44.3%.</w:t>
      </w:r>
      <w:r w:rsidR="00402759" w:rsidRPr="00C93121">
        <w:t xml:space="preserve">  </w:t>
      </w:r>
      <w:r w:rsidR="00106073" w:rsidRPr="00C93121">
        <w:t>OS5</w:t>
      </w:r>
      <w:r w:rsidR="007809FA" w:rsidRPr="00C93121">
        <w:t xml:space="preserve"> varied from 21.8% to 22.8%, respectively, for the low and high </w:t>
      </w:r>
      <w:r w:rsidR="007317B2" w:rsidRPr="00C93121">
        <w:t>extremes</w:t>
      </w:r>
      <w:r w:rsidR="007809FA" w:rsidRPr="00C93121">
        <w:t xml:space="preserve"> of CT sensitivity.  Since </w:t>
      </w:r>
      <w:r w:rsidR="00EB3562" w:rsidRPr="00C93121">
        <w:t xml:space="preserve">certain </w:t>
      </w:r>
      <w:r w:rsidR="007809FA" w:rsidRPr="00C93121">
        <w:t xml:space="preserve">individual </w:t>
      </w:r>
      <w:r w:rsidR="00106073" w:rsidRPr="00C93121">
        <w:t xml:space="preserve">repeat/follow-up </w:t>
      </w:r>
      <w:r w:rsidR="00AB0DA0" w:rsidRPr="00C93121">
        <w:t xml:space="preserve">diagnostic </w:t>
      </w:r>
      <w:r w:rsidR="00106073" w:rsidRPr="00C93121">
        <w:t xml:space="preserve">testing </w:t>
      </w:r>
      <w:r w:rsidR="00392576">
        <w:t>wait times</w:t>
      </w:r>
      <w:r w:rsidR="007809FA" w:rsidRPr="00C93121">
        <w:t xml:space="preserve"> were </w:t>
      </w:r>
      <w:r w:rsidR="00EB3562" w:rsidRPr="00C93121">
        <w:t xml:space="preserve">influential, we ran the model with all </w:t>
      </w:r>
      <w:r w:rsidR="00106073" w:rsidRPr="00C93121">
        <w:t>such intervals</w:t>
      </w:r>
      <w:r w:rsidR="00EB3562" w:rsidRPr="00C93121">
        <w:t xml:space="preserve"> </w:t>
      </w:r>
      <w:r w:rsidR="00CD2E43">
        <w:t>simultaneously</w:t>
      </w:r>
      <w:r w:rsidR="00CD2E43" w:rsidRPr="00C93121" w:rsidDel="0073305A">
        <w:t xml:space="preserve"> </w:t>
      </w:r>
      <w:r w:rsidR="0073305A">
        <w:t>set to their low or high extremes</w:t>
      </w:r>
      <w:r w:rsidR="00EB3562" w:rsidRPr="00C93121">
        <w:t>.</w:t>
      </w:r>
      <w:r w:rsidR="001F0886" w:rsidRPr="00C93121">
        <w:t xml:space="preserve">  With </w:t>
      </w:r>
      <w:r w:rsidR="001E5EB0" w:rsidRPr="00C93121">
        <w:t xml:space="preserve">all intervals </w:t>
      </w:r>
      <w:r w:rsidR="00132E14">
        <w:t>at their lowest extremes (</w:t>
      </w:r>
      <w:r w:rsidR="001E5EB0" w:rsidRPr="00C93121">
        <w:t>halved</w:t>
      </w:r>
      <w:r w:rsidR="00132E14">
        <w:t>)</w:t>
      </w:r>
      <w:r w:rsidR="001F0886" w:rsidRPr="00C93121">
        <w:t xml:space="preserve">, curative </w:t>
      </w:r>
      <w:r w:rsidR="00BB6A74" w:rsidRPr="00C93121">
        <w:t>treatment</w:t>
      </w:r>
      <w:r w:rsidR="0057514F" w:rsidRPr="00C93121">
        <w:t xml:space="preserve"> proportion</w:t>
      </w:r>
      <w:r w:rsidR="001F0886" w:rsidRPr="00C93121">
        <w:t xml:space="preserve"> rose to 46</w:t>
      </w:r>
      <w:r w:rsidR="00BB6A74" w:rsidRPr="00C93121">
        <w:t>.9</w:t>
      </w:r>
      <w:r w:rsidR="001F0886" w:rsidRPr="00C93121">
        <w:t xml:space="preserve">%, and </w:t>
      </w:r>
      <w:r w:rsidR="000F5E13">
        <w:t>OS5</w:t>
      </w:r>
      <w:r w:rsidR="001F0886" w:rsidRPr="00C93121">
        <w:t xml:space="preserve"> to 23.6%.</w:t>
      </w:r>
      <w:r w:rsidR="00BB6A74" w:rsidRPr="00C93121">
        <w:t xml:space="preserve">  </w:t>
      </w:r>
      <w:r w:rsidR="00132E14">
        <w:t xml:space="preserve">Increasing all intervals </w:t>
      </w:r>
      <w:r w:rsidR="009B039F">
        <w:t>to</w:t>
      </w:r>
      <w:r w:rsidR="00132E14">
        <w:t xml:space="preserve"> their highest extremes (d</w:t>
      </w:r>
      <w:r w:rsidR="00BB6A74" w:rsidRPr="00C93121">
        <w:t>oubling</w:t>
      </w:r>
      <w:r w:rsidR="00132E14">
        <w:t>)</w:t>
      </w:r>
      <w:r w:rsidR="00BB6A74" w:rsidRPr="00C93121">
        <w:t xml:space="preserve"> </w:t>
      </w:r>
      <w:r w:rsidR="000F5E13">
        <w:t>lowered</w:t>
      </w:r>
      <w:r w:rsidR="0057514F" w:rsidRPr="00C93121">
        <w:t xml:space="preserve"> curative treatment proportion</w:t>
      </w:r>
      <w:r w:rsidR="00BB6A74" w:rsidRPr="00C93121">
        <w:t xml:space="preserve"> </w:t>
      </w:r>
      <w:r w:rsidR="00F26309">
        <w:t xml:space="preserve">and OS5 </w:t>
      </w:r>
      <w:r w:rsidR="00BB6A74" w:rsidRPr="00C93121">
        <w:t xml:space="preserve">to 39.8% and </w:t>
      </w:r>
      <w:r w:rsidR="005B3AF6" w:rsidRPr="00C93121">
        <w:t>21.5%.</w:t>
      </w:r>
    </w:p>
    <w:p w14:paraId="6CC26F6C" w14:textId="77777777" w:rsidR="00D42DCC" w:rsidRPr="00C93121" w:rsidRDefault="00D42DCC" w:rsidP="00B03879">
      <w:pPr>
        <w:spacing w:after="0" w:line="480" w:lineRule="auto"/>
        <w:rPr>
          <w:i/>
        </w:rPr>
      </w:pPr>
    </w:p>
    <w:p w14:paraId="7A398043" w14:textId="383BC585" w:rsidR="00F548C2" w:rsidRPr="00C93121" w:rsidRDefault="00F548C2" w:rsidP="00B03879">
      <w:pPr>
        <w:spacing w:after="0" w:line="480" w:lineRule="auto"/>
        <w:rPr>
          <w:i/>
        </w:rPr>
      </w:pPr>
      <w:r w:rsidRPr="00C93121">
        <w:rPr>
          <w:i/>
        </w:rPr>
        <w:t>External Validation</w:t>
      </w:r>
    </w:p>
    <w:p w14:paraId="43AE8ACA" w14:textId="63F2E353" w:rsidR="00FC62E9" w:rsidRPr="00FC62E9" w:rsidRDefault="00FC62E9" w:rsidP="005C35B4">
      <w:pPr>
        <w:spacing w:after="0" w:line="480" w:lineRule="auto"/>
        <w:ind w:firstLine="720"/>
      </w:pPr>
      <w:r>
        <w:t xml:space="preserve">The observed </w:t>
      </w:r>
      <w:r w:rsidR="007B7A95">
        <w:t xml:space="preserve">proportion </w:t>
      </w:r>
      <w:r>
        <w:t>recurr</w:t>
      </w:r>
      <w:r w:rsidR="007B7A95">
        <w:t xml:space="preserve">ing </w:t>
      </w:r>
      <w:r>
        <w:t>in each FACS trial</w:t>
      </w:r>
      <w:r w:rsidR="000B7539">
        <w:t xml:space="preserve"> arm</w:t>
      </w:r>
      <w:r>
        <w:t xml:space="preserve">, and in all arms combined, is shown in </w:t>
      </w:r>
      <w:r>
        <w:rPr>
          <w:b/>
        </w:rPr>
        <w:t>Figure 2</w:t>
      </w:r>
      <w:r>
        <w:t xml:space="preserve"> alongside corresponding </w:t>
      </w:r>
      <w:r w:rsidR="007B7A95">
        <w:t xml:space="preserve">proportions </w:t>
      </w:r>
      <w:r>
        <w:t>predicted by the model.</w:t>
      </w:r>
      <w:r w:rsidR="00B47DB6">
        <w:t xml:space="preserve">  </w:t>
      </w:r>
      <w:r w:rsidR="000A4743">
        <w:t>Predicted</w:t>
      </w:r>
      <w:r w:rsidR="007B7A95">
        <w:t xml:space="preserve"> recurrence for the three intensive surveillance </w:t>
      </w:r>
      <w:r w:rsidR="00E37BF9">
        <w:t xml:space="preserve">arms </w:t>
      </w:r>
      <w:r w:rsidR="00977FF9">
        <w:t>(CEA</w:t>
      </w:r>
      <w:r w:rsidR="00FC6CEB">
        <w:t xml:space="preserve"> </w:t>
      </w:r>
      <w:r w:rsidR="00977FF9">
        <w:t>based, CT</w:t>
      </w:r>
      <w:r w:rsidR="00FC6CEB">
        <w:t xml:space="preserve"> </w:t>
      </w:r>
      <w:r w:rsidR="00977FF9">
        <w:t>based, an</w:t>
      </w:r>
      <w:r w:rsidR="000509F9">
        <w:t xml:space="preserve">d </w:t>
      </w:r>
      <w:r w:rsidR="00977FF9">
        <w:t>CEA</w:t>
      </w:r>
      <w:r w:rsidR="000509F9">
        <w:t>+CT</w:t>
      </w:r>
      <w:r w:rsidR="00FC6CEB">
        <w:t xml:space="preserve"> </w:t>
      </w:r>
      <w:r w:rsidR="00977FF9">
        <w:t>based surveillance)</w:t>
      </w:r>
      <w:r w:rsidR="007B7A95">
        <w:t xml:space="preserve"> fell within </w:t>
      </w:r>
      <w:r w:rsidR="000A4743">
        <w:t>observed</w:t>
      </w:r>
      <w:r w:rsidR="001809EA">
        <w:t xml:space="preserve"> </w:t>
      </w:r>
      <w:r w:rsidR="00D44F4B">
        <w:t xml:space="preserve">FACS </w:t>
      </w:r>
      <w:r w:rsidR="001809EA">
        <w:t xml:space="preserve">95% </w:t>
      </w:r>
      <w:r w:rsidR="000A4743">
        <w:t>confidence</w:t>
      </w:r>
      <w:r w:rsidR="007B7A95">
        <w:t xml:space="preserve"> intervals.  </w:t>
      </w:r>
      <w:r w:rsidR="003759B8">
        <w:t>Specifically, 15.2%</w:t>
      </w:r>
      <w:r w:rsidR="000A4743">
        <w:t xml:space="preserve"> (95% confidence interval </w:t>
      </w:r>
      <w:r w:rsidR="00420015">
        <w:t xml:space="preserve">[CI] </w:t>
      </w:r>
      <w:r w:rsidR="000A4743">
        <w:t>10.7%</w:t>
      </w:r>
      <w:r w:rsidR="005534A3">
        <w:t xml:space="preserve"> to 20.7%)</w:t>
      </w:r>
      <w:r w:rsidR="003759B8">
        <w:t xml:space="preserve"> of FACS subjects in the CEA arm </w:t>
      </w:r>
      <w:r w:rsidR="00F3725B">
        <w:t xml:space="preserve">were diagnosed with </w:t>
      </w:r>
      <w:r w:rsidR="003759B8">
        <w:t>recurre</w:t>
      </w:r>
      <w:r w:rsidR="00F3725B">
        <w:t>nce</w:t>
      </w:r>
      <w:r w:rsidR="003759B8">
        <w:t xml:space="preserve"> compared with a model-predicted 17.7% (95% prediction interval 12.9% to 23.0%); 2</w:t>
      </w:r>
      <w:r w:rsidR="00DA05DD">
        <w:t xml:space="preserve">0.3% </w:t>
      </w:r>
      <w:r w:rsidR="005534A3">
        <w:t xml:space="preserve">(95% </w:t>
      </w:r>
      <w:r w:rsidR="00420015">
        <w:t>CI</w:t>
      </w:r>
      <w:r w:rsidR="005534A3">
        <w:t xml:space="preserve"> 15.0% to 26.5%) </w:t>
      </w:r>
      <w:r w:rsidR="00DA05DD">
        <w:t>of FACS CT</w:t>
      </w:r>
      <w:r w:rsidR="003759B8">
        <w:t xml:space="preserve"> arm subjects </w:t>
      </w:r>
      <w:r w:rsidR="00F3725B">
        <w:t>were diagnosed with recurrence</w:t>
      </w:r>
      <w:r w:rsidR="003759B8">
        <w:t xml:space="preserve"> compared with a predicted 17.7% (95% prediction interval 12.4% to 23.3%); 13.9%</w:t>
      </w:r>
      <w:r w:rsidR="005534A3">
        <w:t xml:space="preserve"> (95% </w:t>
      </w:r>
      <w:r w:rsidR="00420015">
        <w:t>CI</w:t>
      </w:r>
      <w:r w:rsidR="005534A3">
        <w:t xml:space="preserve"> 9.5% to 19.4%) </w:t>
      </w:r>
      <w:r w:rsidR="003759B8">
        <w:t xml:space="preserve">of FACS CEA+CT subjects </w:t>
      </w:r>
      <w:r w:rsidR="00F3725B">
        <w:t>were diagnosed with recurrence</w:t>
      </w:r>
      <w:r w:rsidR="003759B8">
        <w:t xml:space="preserve"> compared with a predicted 17.7% (95% prediction interval 12.5% to 22.6%</w:t>
      </w:r>
      <w:r w:rsidR="00E63B43">
        <w:t>)</w:t>
      </w:r>
      <w:r w:rsidR="003759B8">
        <w:t xml:space="preserve">.  </w:t>
      </w:r>
      <w:r w:rsidR="00F54E11">
        <w:t xml:space="preserve">Diagnosed </w:t>
      </w:r>
      <w:r w:rsidR="00B47DB6">
        <w:t>recurrence in the</w:t>
      </w:r>
      <w:r w:rsidR="003759B8">
        <w:t xml:space="preserve"> FACS</w:t>
      </w:r>
      <w:r w:rsidR="00B47DB6">
        <w:t xml:space="preserve"> minim</w:t>
      </w:r>
      <w:r w:rsidR="007D36A9">
        <w:t>um</w:t>
      </w:r>
      <w:r w:rsidR="00B47DB6">
        <w:t xml:space="preserve"> </w:t>
      </w:r>
      <w:r w:rsidR="006D5C41">
        <w:t xml:space="preserve">surveillance </w:t>
      </w:r>
      <w:r w:rsidR="00CF043C">
        <w:t>arm</w:t>
      </w:r>
      <w:r w:rsidR="003759B8">
        <w:t xml:space="preserve"> </w:t>
      </w:r>
      <w:r w:rsidR="0087762F">
        <w:t>(10.8</w:t>
      </w:r>
      <w:r w:rsidR="003759B8">
        <w:t>%</w:t>
      </w:r>
      <w:r w:rsidR="005534A3">
        <w:t xml:space="preserve">; 95% </w:t>
      </w:r>
      <w:r w:rsidR="00420015">
        <w:t>CI</w:t>
      </w:r>
      <w:r w:rsidR="005534A3">
        <w:t xml:space="preserve"> 6.9% to 15.7%</w:t>
      </w:r>
      <w:r w:rsidR="003759B8">
        <w:t>)</w:t>
      </w:r>
      <w:r w:rsidR="00CF043C">
        <w:t xml:space="preserve"> </w:t>
      </w:r>
      <w:r w:rsidR="00B47DB6">
        <w:t xml:space="preserve">was substantially lower than that in other arms and </w:t>
      </w:r>
      <w:r w:rsidR="00962D5B">
        <w:t>was lower than</w:t>
      </w:r>
      <w:r w:rsidR="00B47DB6">
        <w:t xml:space="preserve"> the </w:t>
      </w:r>
      <w:r w:rsidR="00FF2292">
        <w:t xml:space="preserve">model’s </w:t>
      </w:r>
      <w:r w:rsidR="00B47DB6">
        <w:t xml:space="preserve">prediction </w:t>
      </w:r>
      <w:r w:rsidR="003759B8">
        <w:t>(17.0%</w:t>
      </w:r>
      <w:r w:rsidR="00F416BF">
        <w:t xml:space="preserve">; </w:t>
      </w:r>
      <w:r w:rsidR="003759B8">
        <w:t>95% prediction interval of 12.1% to 22.0%)</w:t>
      </w:r>
      <w:r w:rsidR="00FF2292">
        <w:t>.</w:t>
      </w:r>
      <w:r w:rsidR="004F379F">
        <w:t xml:space="preserve"> </w:t>
      </w:r>
      <w:r w:rsidR="00E07168">
        <w:t xml:space="preserve"> </w:t>
      </w:r>
      <w:r w:rsidR="00D153C0">
        <w:t>T</w:t>
      </w:r>
      <w:r w:rsidR="00E07168">
        <w:t>he</w:t>
      </w:r>
      <w:r w:rsidR="00C62266">
        <w:t xml:space="preserve"> </w:t>
      </w:r>
      <w:r w:rsidR="001D2C61">
        <w:t xml:space="preserve">model’s prediction for the </w:t>
      </w:r>
      <w:r w:rsidR="00E07168">
        <w:t xml:space="preserve">recurrence </w:t>
      </w:r>
      <w:r w:rsidR="007B7A95">
        <w:t xml:space="preserve">proportion </w:t>
      </w:r>
      <w:r w:rsidR="001D2C61">
        <w:t>across all arms</w:t>
      </w:r>
      <w:r w:rsidR="00B91176">
        <w:t xml:space="preserve"> combined</w:t>
      </w:r>
      <w:r w:rsidR="001D2C61">
        <w:t xml:space="preserve"> </w:t>
      </w:r>
      <w:r w:rsidR="00A22F37">
        <w:t>(</w:t>
      </w:r>
      <w:r w:rsidR="001D2C61">
        <w:t>17.4%</w:t>
      </w:r>
      <w:r w:rsidR="00A22F37">
        <w:t xml:space="preserve">; </w:t>
      </w:r>
      <w:r w:rsidR="001D2C61">
        <w:t>95% prediction interval 15.1% to 20.1%) was slightly higher than observed in FACS (15.0%; 95% CI 12.6% to 17.6%), but still fell within the corresponding FACS 95% CI.</w:t>
      </w:r>
      <w:r w:rsidR="008B4824">
        <w:t xml:space="preserve"> </w:t>
      </w:r>
    </w:p>
    <w:p w14:paraId="0AFA7843" w14:textId="52DB4186" w:rsidR="002D335D" w:rsidRPr="00C93121" w:rsidRDefault="00FC62E9" w:rsidP="00B03879">
      <w:pPr>
        <w:spacing w:after="0" w:line="480" w:lineRule="auto"/>
        <w:ind w:firstLine="720"/>
      </w:pPr>
      <w:r>
        <w:rPr>
          <w:b/>
        </w:rPr>
        <w:t xml:space="preserve">Figure 3 </w:t>
      </w:r>
      <w:r w:rsidRPr="0072731C">
        <w:t>compares</w:t>
      </w:r>
      <w:r>
        <w:t xml:space="preserve"> t</w:t>
      </w:r>
      <w:r w:rsidR="00130C08" w:rsidRPr="00C93121">
        <w:t xml:space="preserve">he observed </w:t>
      </w:r>
      <w:r w:rsidR="002D335D" w:rsidRPr="00C93121">
        <w:t xml:space="preserve">proportion of </w:t>
      </w:r>
      <w:r w:rsidR="005C528E" w:rsidRPr="00C93121">
        <w:t>patients</w:t>
      </w:r>
      <w:r w:rsidR="00130C08" w:rsidRPr="00C93121">
        <w:t xml:space="preserve"> </w:t>
      </w:r>
      <w:r w:rsidR="00F54E11">
        <w:t xml:space="preserve">diagnosed with recurrence who </w:t>
      </w:r>
      <w:r w:rsidR="00130C08" w:rsidRPr="00C93121">
        <w:t>under</w:t>
      </w:r>
      <w:r w:rsidR="00F54E11">
        <w:t>went</w:t>
      </w:r>
      <w:r w:rsidR="00130C08" w:rsidRPr="00C93121">
        <w:t xml:space="preserve"> curative-intent </w:t>
      </w:r>
      <w:r w:rsidR="00D83B7D" w:rsidRPr="00C93121">
        <w:t xml:space="preserve">treatment </w:t>
      </w:r>
      <w:r>
        <w:t xml:space="preserve">with </w:t>
      </w:r>
      <w:r w:rsidR="000B40D9" w:rsidRPr="00C93121">
        <w:t xml:space="preserve">corresponding </w:t>
      </w:r>
      <w:r w:rsidR="00C866AA">
        <w:t>predicted</w:t>
      </w:r>
      <w:r w:rsidR="00C866AA" w:rsidRPr="00C93121" w:rsidDel="001809EA">
        <w:t xml:space="preserve"> </w:t>
      </w:r>
      <w:r w:rsidR="001809EA">
        <w:t>levels</w:t>
      </w:r>
      <w:r w:rsidR="002D335D" w:rsidRPr="00C93121">
        <w:t>.</w:t>
      </w:r>
      <w:r w:rsidR="003F4E00" w:rsidRPr="00C93121">
        <w:t xml:space="preserve">  </w:t>
      </w:r>
      <w:r w:rsidR="00D83599" w:rsidRPr="00C93121">
        <w:t>For the CEA, CT, and CEA+CT arms</w:t>
      </w:r>
      <w:r w:rsidR="00DC4AEF">
        <w:t>,</w:t>
      </w:r>
      <w:r w:rsidR="00D83599" w:rsidRPr="00C93121">
        <w:t xml:space="preserve"> </w:t>
      </w:r>
      <w:proofErr w:type="spellStart"/>
      <w:r w:rsidR="00F37E3B">
        <w:t>CCSuRe</w:t>
      </w:r>
      <w:proofErr w:type="spellEnd"/>
      <w:r w:rsidR="00F37E3B">
        <w:t xml:space="preserve"> predictions </w:t>
      </w:r>
      <w:r w:rsidR="00D83599" w:rsidRPr="00C93121">
        <w:t>fell within</w:t>
      </w:r>
      <w:r w:rsidR="00F37E3B">
        <w:t xml:space="preserve"> FACS </w:t>
      </w:r>
      <w:r w:rsidR="00AF0C55">
        <w:t>95% CI’s</w:t>
      </w:r>
      <w:r w:rsidR="00D83599" w:rsidRPr="00C93121">
        <w:t>.</w:t>
      </w:r>
      <w:r w:rsidR="007F1B98" w:rsidRPr="00C93121">
        <w:t xml:space="preserve">  </w:t>
      </w:r>
      <w:r w:rsidR="00F54E11">
        <w:t xml:space="preserve">Specifically, </w:t>
      </w:r>
      <w:r w:rsidR="00BC4BD4">
        <w:t xml:space="preserve">33.3% </w:t>
      </w:r>
      <w:r w:rsidR="00993EB9">
        <w:t xml:space="preserve">(95% CI </w:t>
      </w:r>
      <w:r w:rsidR="00615CF9">
        <w:t>18</w:t>
      </w:r>
      <w:r w:rsidR="00745572">
        <w:t xml:space="preserve">.2% to 52.6%) </w:t>
      </w:r>
      <w:r w:rsidR="00BC4BD4">
        <w:t xml:space="preserve">of </w:t>
      </w:r>
      <w:r w:rsidR="00F54E11">
        <w:t>FACS CEA arm subjects</w:t>
      </w:r>
      <w:r w:rsidR="00BC4BD4">
        <w:t xml:space="preserve"> diagnosed with recurrence</w:t>
      </w:r>
      <w:r w:rsidR="00F54E11">
        <w:t xml:space="preserve"> underwent curative-intent treatment compared with a model-predicted 41.9% (95% prediction interval 26.</w:t>
      </w:r>
      <w:r w:rsidR="00BC4BD4">
        <w:t xml:space="preserve">3% to 57.9%); 46.3% </w:t>
      </w:r>
      <w:r w:rsidR="00D93244">
        <w:t xml:space="preserve">(95% CI 31.7% to 62.4%) </w:t>
      </w:r>
      <w:r w:rsidR="00BC4BD4">
        <w:t xml:space="preserve">of </w:t>
      </w:r>
      <w:r w:rsidR="00F54E11">
        <w:t xml:space="preserve">FACS CT arm subjects </w:t>
      </w:r>
      <w:r w:rsidR="00BC4BD4">
        <w:t xml:space="preserve">diagnosed with recurrence </w:t>
      </w:r>
      <w:r w:rsidR="00F54E11">
        <w:t xml:space="preserve">underwent curative-intent </w:t>
      </w:r>
      <w:r w:rsidR="006D5C41">
        <w:t>t</w:t>
      </w:r>
      <w:r w:rsidR="00F54E11">
        <w:t>reatment compared with a model-predicted 40.1% (23.3% to</w:t>
      </w:r>
      <w:r w:rsidR="00BC4BD4">
        <w:t xml:space="preserve"> 56.8%); 37.9% </w:t>
      </w:r>
      <w:r w:rsidR="00B82E63">
        <w:t xml:space="preserve">(95% CI 20.7% to 56.0%) </w:t>
      </w:r>
      <w:r w:rsidR="00BC4BD4">
        <w:t>of</w:t>
      </w:r>
      <w:r w:rsidR="009F2986">
        <w:t xml:space="preserve"> FACS</w:t>
      </w:r>
      <w:r w:rsidR="00F54E11">
        <w:t xml:space="preserve"> CEA+CT arm subjects</w:t>
      </w:r>
      <w:r w:rsidR="00BC4BD4">
        <w:t xml:space="preserve"> diagnosed with recurrence</w:t>
      </w:r>
      <w:r w:rsidR="00F54E11">
        <w:t xml:space="preserve"> underwent curative-intent treatment compared with a model-predicted </w:t>
      </w:r>
      <w:r w:rsidR="00F54E11">
        <w:lastRenderedPageBreak/>
        <w:t xml:space="preserve">46.3% (95% prediction interval 30.3% to 62.5%).  </w:t>
      </w:r>
      <w:r w:rsidR="007F1B98" w:rsidRPr="00C93121">
        <w:t>For the minim</w:t>
      </w:r>
      <w:r w:rsidR="00CF043C">
        <w:t>um</w:t>
      </w:r>
      <w:r w:rsidR="007F1B98" w:rsidRPr="00C93121">
        <w:t xml:space="preserve"> </w:t>
      </w:r>
      <w:r w:rsidR="00CF043C">
        <w:t>arm</w:t>
      </w:r>
      <w:r w:rsidR="007F1B98" w:rsidRPr="00C93121">
        <w:t xml:space="preserve">, however, the </w:t>
      </w:r>
      <w:r w:rsidR="00F54E11">
        <w:t>observed proportion undergoing curative-intent treatment (8.7%</w:t>
      </w:r>
      <w:r w:rsidR="00F106C5">
        <w:t>; 95% CI 0.0% to 28.5%</w:t>
      </w:r>
      <w:r w:rsidR="00F54E11">
        <w:t xml:space="preserve">) was </w:t>
      </w:r>
      <w:r w:rsidR="007F1B98" w:rsidRPr="00C93121">
        <w:t xml:space="preserve">significantly </w:t>
      </w:r>
      <w:r w:rsidR="00F54E11">
        <w:t>low</w:t>
      </w:r>
      <w:r w:rsidR="007F1B98" w:rsidRPr="00C93121">
        <w:t xml:space="preserve">er </w:t>
      </w:r>
      <w:r w:rsidR="00F54E11">
        <w:t>than</w:t>
      </w:r>
      <w:r w:rsidR="009F2986">
        <w:t xml:space="preserve"> predicted 29.1% (</w:t>
      </w:r>
      <w:r w:rsidR="00F54E11">
        <w:t xml:space="preserve">95% prediction interval 15.1% to 44.4%).  For all arms combined, </w:t>
      </w:r>
      <w:r w:rsidR="001A71F1">
        <w:t>the model’s prediction of 34.1% (95% prediction interval 26.5% to 41.3%) matched the observed value exactly (3</w:t>
      </w:r>
      <w:r w:rsidR="00E779FC">
        <w:t>4.1</w:t>
      </w:r>
      <w:r w:rsidR="00F54E11">
        <w:t>%</w:t>
      </w:r>
      <w:r w:rsidR="001A71F1">
        <w:t>;</w:t>
      </w:r>
      <w:r w:rsidR="006D71A9">
        <w:t xml:space="preserve"> 95% CI </w:t>
      </w:r>
      <w:r w:rsidR="007B4F5A">
        <w:t xml:space="preserve">25.4% </w:t>
      </w:r>
      <w:r w:rsidR="006D71A9">
        <w:t xml:space="preserve">to </w:t>
      </w:r>
      <w:r w:rsidR="007B4F5A">
        <w:t>43.5%</w:t>
      </w:r>
      <w:r w:rsidR="006D71A9">
        <w:t>)</w:t>
      </w:r>
      <w:r w:rsidR="001A71F1">
        <w:t>.</w:t>
      </w:r>
      <w:r w:rsidR="00F54E11">
        <w:t xml:space="preserve"> </w:t>
      </w:r>
    </w:p>
    <w:p w14:paraId="45E467CC" w14:textId="6AFC5BDE" w:rsidR="006C676A" w:rsidRDefault="006C676A" w:rsidP="00B03879">
      <w:pPr>
        <w:spacing w:after="0" w:line="480" w:lineRule="auto"/>
        <w:ind w:firstLine="720"/>
      </w:pPr>
      <w:r w:rsidRPr="00C93121">
        <w:rPr>
          <w:b/>
        </w:rPr>
        <w:t xml:space="preserve">Figure </w:t>
      </w:r>
      <w:r w:rsidR="001018C9">
        <w:rPr>
          <w:b/>
        </w:rPr>
        <w:t>4</w:t>
      </w:r>
      <w:r w:rsidR="00F317FD" w:rsidRPr="00C93121">
        <w:t xml:space="preserve"> shows</w:t>
      </w:r>
      <w:r w:rsidR="00DC4AEF">
        <w:t xml:space="preserve"> the observed and predicted</w:t>
      </w:r>
      <w:r w:rsidR="00F317FD" w:rsidRPr="00C93121">
        <w:t xml:space="preserve"> </w:t>
      </w:r>
      <w:r w:rsidR="00E747F2" w:rsidRPr="00C93121">
        <w:t xml:space="preserve">five-year </w:t>
      </w:r>
      <w:r w:rsidR="00F317FD" w:rsidRPr="00C93121">
        <w:t>overall survival curves for each FACS arm.</w:t>
      </w:r>
      <w:r w:rsidR="00777556" w:rsidRPr="00C93121">
        <w:t xml:space="preserve">  For each arm,</w:t>
      </w:r>
      <w:r w:rsidR="008B52BE">
        <w:t xml:space="preserve"> </w:t>
      </w:r>
      <w:r w:rsidR="00777556" w:rsidRPr="00C93121">
        <w:t>FACS survival</w:t>
      </w:r>
      <w:r w:rsidR="00A06615" w:rsidRPr="00C93121">
        <w:t xml:space="preserve"> curves</w:t>
      </w:r>
      <w:r w:rsidR="00777556" w:rsidRPr="00C93121">
        <w:t xml:space="preserve"> lay entirely within </w:t>
      </w:r>
      <w:r w:rsidR="00851C6D">
        <w:t>model</w:t>
      </w:r>
      <w:r w:rsidR="00777556" w:rsidRPr="00C93121">
        <w:t xml:space="preserve"> </w:t>
      </w:r>
      <w:r w:rsidR="00C11DB2">
        <w:t>prediction interval</w:t>
      </w:r>
      <w:r w:rsidR="00777556" w:rsidRPr="00C93121">
        <w:t>s</w:t>
      </w:r>
      <w:r w:rsidR="00BC4BD4">
        <w:t xml:space="preserve"> for the full five-year period</w:t>
      </w:r>
      <w:r w:rsidR="00777556" w:rsidRPr="00C93121">
        <w:t>.</w:t>
      </w:r>
      <w:r w:rsidR="004D6F91">
        <w:t xml:space="preserve">  At five years</w:t>
      </w:r>
      <w:r w:rsidR="003527F0">
        <w:t xml:space="preserve"> after detection of recurrence</w:t>
      </w:r>
      <w:r w:rsidR="004D6F91">
        <w:t>,</w:t>
      </w:r>
      <w:r w:rsidR="003527F0">
        <w:t xml:space="preserve"> 27.3% of subjects in the FACS CEA group</w:t>
      </w:r>
      <w:r w:rsidR="004D6F91">
        <w:t xml:space="preserve"> </w:t>
      </w:r>
      <w:r w:rsidR="003527F0">
        <w:t>remained alive compared with a model prediction of 21.8% (95% prediction interval of 9.5% to 35.5%); 26.8% of the CT group remained alive compared with a predicted 21.1% (95% prediction interval 8.8% to 35.3%); 34.5% of the CEA+CT group remained alive compared with a predicted 22.8% (95% prediction interval 10.5% to 35.9%)</w:t>
      </w:r>
      <w:r w:rsidR="00F358D1">
        <w:t>; 17.4%</w:t>
      </w:r>
      <w:r w:rsidR="00073DF5">
        <w:t xml:space="preserve"> of the minimum surveillance group remained alive compared with a predicted 16.8% (95% predicti</w:t>
      </w:r>
      <w:r w:rsidR="00BC4BD4">
        <w:t>o</w:t>
      </w:r>
      <w:r w:rsidR="00073DF5">
        <w:t xml:space="preserve">n interval 5.6% to 30.3%).  </w:t>
      </w:r>
      <w:r w:rsidR="001508EC">
        <w:t>For all groups combined, 27.0% of subjects were alive at five years after diagnosis of recurrence compared with a prediction of 20.6% (95% prediction interval 14.6% to 26.9%)</w:t>
      </w:r>
      <w:r w:rsidR="005561ED">
        <w:t>, reflecting slightly pessimistic survival predictions</w:t>
      </w:r>
      <w:r w:rsidR="00B215BE">
        <w:t xml:space="preserve"> by the model</w:t>
      </w:r>
      <w:r w:rsidR="005561ED">
        <w:t xml:space="preserve"> on average</w:t>
      </w:r>
      <w:r w:rsidR="001508EC">
        <w:t>.</w:t>
      </w:r>
    </w:p>
    <w:p w14:paraId="38BC2A25" w14:textId="0302F336" w:rsidR="00047F1C" w:rsidRDefault="001018C9" w:rsidP="00B03879">
      <w:pPr>
        <w:spacing w:after="0" w:line="480" w:lineRule="auto"/>
        <w:ind w:firstLine="720"/>
      </w:pPr>
      <w:r>
        <w:rPr>
          <w:b/>
        </w:rPr>
        <w:t>Figure 5</w:t>
      </w:r>
      <w:r w:rsidR="004B734C">
        <w:t xml:space="preserve"> shows a calibration plot</w:t>
      </w:r>
      <w:r w:rsidR="004B734C">
        <w:fldChar w:fldCharType="begin" w:fldLock="1"/>
      </w:r>
      <w:r w:rsidR="00C82D09">
        <w:instrText>ADDIN CSL_CITATION { "citationItems" : [ { "id" : "ITEM-1", "itemData" : { "DOI" : "10.1097/EDE.0b013e3181c30fb2.Assessing", "ISBN" : "1531-5487 (Electronic) 1044-3983 (Linking)", "ISSN" : "1531-5487", "PMID" : "20010215", "abstract" : "The performance of prediction models can be assessed using a variety of different methods and metrics. Traditional measures for binary and survival outcomes include the Brier score to indicate overall model performance, the concordance (or c ) statistic for discriminative ability (or area under the receiver operating characteristic (ROC) curve), and goodness-of-fit statistics for calibration. Several new measures have recently been proposed that can be seen as refinements of discrimination measures, including variants of the c statistic for survival, reclassification tables, net reclassification improvement (NRI), and integrated discrimination improvement (IDI). Moreover, decision\u2013analytic measures have been proposed, including decision curves to plot the net benefit achieved by making decisions based on model predictions. We aimed to define the role of these relatively novel approaches in the evaluation of the performance of prediction models. For illustration we present a case study of predicting the presence of residual tumor versus benign tissue in patients with testicular cancer (n=544 for model development, n=273 for external validation). We suggest that reporting discrimination and calibration will always be important for a prediction model. Decision-analytic measures should be reported if the predictive model is to be used for making clinical decisions. Other measures of performance may be warranted in specific applications, such as reclassification metrics to gain insight into the value of adding a novel predictor", "author" : [ { "dropping-particle" : "", "family" : "Steyerberg", "given" : "Ewout W", "non-dropping-particle" : "", "parse-names" : false, "suffix" : "" }, { "dropping-particle" : "", "family" : "Vickers", "given" : "Andrew J", "non-dropping-particle" : "", "parse-names" : false, "suffix" : "" }, { "dropping-particle" : "", "family" : "Cook", "given" : "Nancy R", "non-dropping-particle" : "", "parse-names" : false, "suffix" : "" }, { "dropping-particle" : "", "family" : "Gerds", "given" : "Thomas", "non-dropping-particle" : "", "parse-names" : false, "suffix" : "" }, { "dropping-particle" : "", "family" : "Obuchowski", "given" : "Nancy", "non-dropping-particle" : "", "parse-names" : false, "suffix" : "" }, { "dropping-particle" : "", "family" : "Pencina", "given" : "Michael J", "non-dropping-particle" : "", "parse-names" : false, "suffix" : "" }, { "dropping-particle" : "", "family" : "Kattan", "given" : "Michael W", "non-dropping-particle" : "", "parse-names" : false, "suffix" : "" } ], "container-title" : "Epidemiology", "id" : "ITEM-1", "issue" : "1", "issued" : { "date-parts" : [ [ "2010" ] ] }, "page" : "128-138", "title" : "Assessing the performance of prediction models : A framework for some traditional and novel measures", "type" : "article-journal", "volume" : "21" }, "uris" : [ "http://www.mendeley.com/documents/?uuid=41adb765-95d1-439a-9cab-741f06be0c20", "http://www.mendeley.com/documents/?uuid=6e7aee20-4250-497d-9129-cced810be31f" ] }, { "id" : "ITEM-2", "itemData" : { "DOI" : "10.1177/0272989X9301300107", "ISBN" : "0272-989X (Print) 0272-989X (Linking)", "ISSN" : "0272-989X", "PMID" : "8433637", "abstract" : "Current advances in high-speed computing and increased availability of statistical software have led to widespread use of statistical methods for the development of computerized protocols predictive of binary health outcomes. If these predictive algorithms are to be used in settings other than those for which they were developed, e.g., applied in a different geographic setting or extrapolated for use in a slightly different population, then they should be carefully validated to ensure appropriate application. Miller et al. (Stat Med. 1991) provided a comprehensive methodology for external validation of logistic prediction models, and applied these methods in a temporal validation setting. In this article, the authors emphasize how these methods can be applied to general forms of probabilistic predictions and provide several SAS macros for computation of the desired statistics.", "author" : [ { "dropping-particle" : "", "family" : "Miller", "given" : "M E", "non-dropping-particle" : "", "parse-names" : false, "suffix" : "" }, { "dropping-particle" : "", "family" : "Langefeld", "given" : "C D", "non-dropping-particle" : "", "parse-names" : false, "suffix" : "" }, { "dropping-particle" : "", "family" : "Tierney", "given" : "W M", "non-dropping-particle" : "", "parse-names" : false, "suffix" : "" }, { "dropping-particle" : "", "family" : "Hui", "given" : "S L", "non-dropping-particle" : "", "parse-names" : false, "suffix" : "" }, { "dropping-particle" : "", "family" : "McDonald", "given" : "C J", "non-dropping-particle" : "", "parse-names" : false, "suffix" : "" } ], "container-title" : "Medical decision making : an international journal of the Society for Medical Decision Making", "id" : "ITEM-2", "issue" : "1", "issued" : { "date-parts" : [ [ "1993" ] ] }, "page" : "49-58", "title" : "Validation of probabilistic predictions.", "type" : "article-journal", "volume" : "13" }, "uris" : [ "http://www.mendeley.com/documents/?uuid=d095d54f-59cb-454a-a667-18bd463d765d", "http://www.mendeley.com/documents/?uuid=c05114a5-42c8-4d7b-9a7e-83bbd3695e91", "http://www.mendeley.com/documents/?uuid=c330f700-81f0-4e3b-af4c-5d9b5f7eb1c4" ] } ], "mendeley" : { "formattedCitation" : "[45, 46]", "plainTextFormattedCitation" : "[45, 46]", "previouslyFormattedCitation" : "[45, 46]" }, "properties" : { "noteIndex" : 0 }, "schema" : "https://github.com/citation-style-language/schema/raw/master/csl-citation.json" }</w:instrText>
      </w:r>
      <w:r w:rsidR="004B734C">
        <w:fldChar w:fldCharType="separate"/>
      </w:r>
      <w:r w:rsidR="00C82D09" w:rsidRPr="00C82D09">
        <w:rPr>
          <w:noProof/>
        </w:rPr>
        <w:t>[45, 46]</w:t>
      </w:r>
      <w:r w:rsidR="004B734C">
        <w:fldChar w:fldCharType="end"/>
      </w:r>
      <w:r w:rsidR="004B734C">
        <w:t xml:space="preserve">.  </w:t>
      </w:r>
      <w:r w:rsidR="00332B17">
        <w:t xml:space="preserve">The </w:t>
      </w:r>
      <w:r w:rsidR="0064159E">
        <w:t>45-degree</w:t>
      </w:r>
      <w:r w:rsidR="00332B17">
        <w:t xml:space="preserve"> s</w:t>
      </w:r>
      <w:r w:rsidR="00767657">
        <w:t>o</w:t>
      </w:r>
      <w:r w:rsidR="00332B17">
        <w:t>lid line represents a reference standard of perfect calibration and refinement</w:t>
      </w:r>
      <w:r w:rsidR="00D67F6F">
        <w:t xml:space="preserve">.  The fitted line connecting the data points has </w:t>
      </w:r>
      <w:r w:rsidR="000E05ED">
        <w:t>y-</w:t>
      </w:r>
      <w:r w:rsidR="00D67F6F">
        <w:t xml:space="preserve">intercept of 0.08, </w:t>
      </w:r>
      <w:r w:rsidR="00943FC4">
        <w:t>indica</w:t>
      </w:r>
      <w:r w:rsidR="00D67F6F">
        <w:t>ting that predicted</w:t>
      </w:r>
      <w:r w:rsidR="00943FC4">
        <w:t xml:space="preserve"> proportions alive at each time point</w:t>
      </w:r>
      <w:r w:rsidR="00592F69">
        <w:t xml:space="preserve"> we</w:t>
      </w:r>
      <w:r w:rsidR="00D67F6F">
        <w:t xml:space="preserve">re slightly </w:t>
      </w:r>
      <w:r w:rsidR="00256EBC">
        <w:t xml:space="preserve">lower </w:t>
      </w:r>
      <w:r w:rsidR="00D67F6F">
        <w:t>tha</w:t>
      </w:r>
      <w:r w:rsidR="00943FC4">
        <w:t>n observed on average.</w:t>
      </w:r>
      <w:r w:rsidR="00D67F6F">
        <w:t xml:space="preserve"> </w:t>
      </w:r>
      <w:r w:rsidR="00943FC4">
        <w:t xml:space="preserve"> A</w:t>
      </w:r>
      <w:r w:rsidR="00D67F6F">
        <w:t xml:space="preserve"> slope of approximately 0.86 reflect</w:t>
      </w:r>
      <w:r w:rsidR="00943FC4">
        <w:t>s</w:t>
      </w:r>
      <w:r w:rsidR="00D67F6F">
        <w:t xml:space="preserve"> </w:t>
      </w:r>
      <w:r w:rsidR="005543FC">
        <w:t>the fact that predicted change in the proportion of subjects alive between years 1 and 5 was slightly greater than observed.</w:t>
      </w:r>
    </w:p>
    <w:p w14:paraId="1A54950B" w14:textId="1266BB1C" w:rsidR="00551941" w:rsidRDefault="00551941" w:rsidP="00B03879">
      <w:pPr>
        <w:spacing w:after="0" w:line="480" w:lineRule="auto"/>
        <w:ind w:firstLine="720"/>
      </w:pPr>
    </w:p>
    <w:p w14:paraId="0A24CD3C" w14:textId="77777777" w:rsidR="007A38E3" w:rsidRDefault="007A38E3" w:rsidP="00B03879">
      <w:pPr>
        <w:spacing w:after="0" w:line="480" w:lineRule="auto"/>
        <w:ind w:firstLine="720"/>
      </w:pPr>
    </w:p>
    <w:p w14:paraId="362D2FA3" w14:textId="7E89618B" w:rsidR="009401BE" w:rsidRDefault="009401BE" w:rsidP="00B03879">
      <w:pPr>
        <w:spacing w:after="0" w:line="480" w:lineRule="auto"/>
      </w:pPr>
    </w:p>
    <w:p w14:paraId="77700FD2" w14:textId="77777777" w:rsidR="009401BE" w:rsidRDefault="009401BE" w:rsidP="00B03879">
      <w:pPr>
        <w:spacing w:after="0" w:line="480" w:lineRule="auto"/>
      </w:pPr>
    </w:p>
    <w:p w14:paraId="2F8BD3DD" w14:textId="44F1F896" w:rsidR="00D81F17" w:rsidRPr="00C93121" w:rsidRDefault="00D81F17" w:rsidP="00B03879">
      <w:pPr>
        <w:spacing w:after="0" w:line="480" w:lineRule="auto"/>
      </w:pPr>
      <w:r w:rsidRPr="00C93121">
        <w:lastRenderedPageBreak/>
        <w:t>DISCUSSION</w:t>
      </w:r>
      <w:r w:rsidR="000C1E51">
        <w:t xml:space="preserve"> </w:t>
      </w:r>
    </w:p>
    <w:p w14:paraId="254AC699" w14:textId="7E11AD4C" w:rsidR="00062CC4" w:rsidRDefault="001F310A" w:rsidP="00B03879">
      <w:pPr>
        <w:spacing w:after="0" w:line="480" w:lineRule="auto"/>
        <w:ind w:firstLine="720"/>
      </w:pPr>
      <w:r>
        <w:t xml:space="preserve">The </w:t>
      </w:r>
      <w:r w:rsidR="008139C0">
        <w:t>long-term objective</w:t>
      </w:r>
      <w:r>
        <w:t xml:space="preserve"> of this</w:t>
      </w:r>
      <w:r w:rsidR="00E16DBF">
        <w:t xml:space="preserve"> research </w:t>
      </w:r>
      <w:r>
        <w:t>is to create a</w:t>
      </w:r>
      <w:r w:rsidR="00753562">
        <w:t xml:space="preserve"> model-based</w:t>
      </w:r>
      <w:r>
        <w:t xml:space="preserve"> tool</w:t>
      </w:r>
      <w:r w:rsidR="008139C0">
        <w:t xml:space="preserve"> </w:t>
      </w:r>
      <w:r w:rsidR="0010783C">
        <w:t xml:space="preserve">which leverages the best available clinical evidence </w:t>
      </w:r>
      <w:r w:rsidR="00B176D7">
        <w:t xml:space="preserve">to </w:t>
      </w:r>
      <w:r w:rsidR="0010783C">
        <w:t xml:space="preserve">assist </w:t>
      </w:r>
      <w:r w:rsidR="00A94FC5">
        <w:t xml:space="preserve">colon </w:t>
      </w:r>
      <w:r w:rsidR="0010783C">
        <w:t xml:space="preserve">cancer </w:t>
      </w:r>
      <w:r>
        <w:t xml:space="preserve">patients and </w:t>
      </w:r>
      <w:r w:rsidR="0010783C">
        <w:t>providers in p</w:t>
      </w:r>
      <w:r w:rsidR="00E16DBF">
        <w:t>ersonaliz</w:t>
      </w:r>
      <w:r w:rsidR="0010783C">
        <w:t>ing post-treatment surveillance</w:t>
      </w:r>
      <w:r w:rsidR="00E16DBF">
        <w:t xml:space="preserve"> based on </w:t>
      </w:r>
      <w:r>
        <w:t>patient and disease c</w:t>
      </w:r>
      <w:r w:rsidR="007E3222">
        <w:t>haracterist</w:t>
      </w:r>
      <w:r>
        <w:t xml:space="preserve">ics.  </w:t>
      </w:r>
      <w:r w:rsidR="008F25C9">
        <w:t>The precision survivorship care t</w:t>
      </w:r>
      <w:r w:rsidR="005A4CE7">
        <w:t>hat such a model can enable has</w:t>
      </w:r>
      <w:r w:rsidR="008F25C9">
        <w:t xml:space="preserve"> the potential to improve the effectiveness of post-treatment </w:t>
      </w:r>
      <w:r w:rsidR="00660527">
        <w:t>surveillance, and in turn to improve</w:t>
      </w:r>
      <w:r w:rsidR="008F25C9">
        <w:t xml:space="preserve"> the </w:t>
      </w:r>
      <w:r w:rsidR="00810759">
        <w:t xml:space="preserve">long-term </w:t>
      </w:r>
      <w:r w:rsidR="008F25C9">
        <w:t xml:space="preserve">survival of those treated for colon cancer.  </w:t>
      </w:r>
      <w:r>
        <w:t xml:space="preserve">Here, we have introduced the </w:t>
      </w:r>
      <w:proofErr w:type="spellStart"/>
      <w:r w:rsidR="00C04BD7">
        <w:t>CCSuRe</w:t>
      </w:r>
      <w:proofErr w:type="spellEnd"/>
      <w:r w:rsidR="00C04BD7">
        <w:t xml:space="preserve"> </w:t>
      </w:r>
      <w:r>
        <w:t>model and presented an external validation against i</w:t>
      </w:r>
      <w:r w:rsidR="007E3222">
        <w:t>ndepende</w:t>
      </w:r>
      <w:r>
        <w:t>nt</w:t>
      </w:r>
      <w:r w:rsidR="008A26F5">
        <w:t xml:space="preserve"> data from a recent </w:t>
      </w:r>
      <w:r w:rsidR="006A3AF2">
        <w:t>large multi</w:t>
      </w:r>
      <w:r w:rsidR="001B7D0A">
        <w:t>-</w:t>
      </w:r>
      <w:r w:rsidR="006A3AF2">
        <w:t>cente</w:t>
      </w:r>
      <w:r w:rsidR="00A94FC5">
        <w:t>r</w:t>
      </w:r>
      <w:r w:rsidR="006A3AF2">
        <w:t xml:space="preserve"> randomized trial of </w:t>
      </w:r>
      <w:r w:rsidR="009A57A1">
        <w:t>surveillance</w:t>
      </w:r>
      <w:r>
        <w:t>.</w:t>
      </w:r>
      <w:r w:rsidR="00F26544">
        <w:fldChar w:fldCharType="begin" w:fldLock="1"/>
      </w:r>
      <w:r w:rsidR="00834959">
        <w:instrText>ADDIN CSL_CITATION { "citationItems" : [ { "id" : "ITEM-1", "itemData" : { "DOI" : "10.1001/jama.2013.285718", "ISSN" : "1538-3598", "PMID" : "24430319", "abstract" : "IMPORTANCE: Intensive follow-up after surgery for colorectal cancer is common practice but is based on limited evidence.\\n\\nOBJECTIVE: To assess the effect of scheduled blood measurement of carcinoembryonic antigen (CEA) and computed tomography (CT) as follow-up to detect recurrent colorectal cancer treatable with curative intent.\\n\\nDESIGN, SETTING, AND PARTICIPANTS: Randomized clinical trial in 39 National Health Service hospitals in the United Kingdom; 1202 eligible participants were recruited between January 2003 and August 2009 who had undergone curative surgery for primary colorectal cancer, including adjuvant treatment if indicated, with no evidence of residual disease on investigation.\\n\\nINTERVENTIONS: Participants were randomly assigned to 1 of 4 groups: CEA only (n\u2009=\u2009300), CT only (n\u2009=\u2009299), CEA+CT (n\u2009=\u2009302), or minimum follow-up (n\u2009=\u2009301). Blood CEA was measured every 3 months for 2 years, then every 6 months for 3 years; CT scans of the chest, abdomen, and pelvis were performed every 6 months for 2 years, then annually for 3 years; and the minimum follow-up group received follow-up if symptoms occurred.\\n\\nMAIN OUTCOMES AND MEASURES: The primary outcome was surgical treatment of recurrence with curative intent; secondary outcomes were mortality (total and colorectal cancer), time to detection of recurrence, and survival after treatment of recurrence with curative intent.\\n\\nRESULTS: After a mean 4.4 (SD, 0.8) years of observation, cancer recurrence was detected in 199 participants (16.6%; 95% CI, 14.5%-18.7%) overall; 71 of 1202 participants (5.9%; 95% CI, 4.6%-7.2%) were treated for recurrence with curative intent, with little difference according to Dukes staging (stage A, 5.1% [13/254]; stage B, 6.1% [34/553]; stage C, 6.2% [22/354]). Surgical treatment of recurrence with curative intent was 2.3% (7/301) in the minimum follow-up group, 6.7% (20/300) in the CEA group, 8% (24/299) in the CT group, and 6.6% (20/302) in the CEA+CT group. Compared with minimum follow-up, the absolute difference in the percentage of patients treated with curative intent in the CEA group was 4.4% (95% CI, 1.0%-7.9%; adjusted odds ratio [OR], 3.00; 95% CI, 1.23-7.33), in the CT group was 5.7% (95% CI, 2.2%-9.5%; adjusted OR, 3.63; 95% CI, 1.51-8.69), and in the CEA+CT group was 4.3% (95% CI, 1.0%-7.9%; adjusted OR, 3.10; 95% CI, 1.10-8.71). The number of deaths was not significantly different in the combined intensive monitoring groups (CEA, CT, and CEA+CT; 18.2\u2026", "author" : [ { "dropping-particle" : "", "family" : "Primrose", "given" : "John N", "non-dropping-particle" : "", "parse-names" : false, "suffix" : "" }, { "dropping-particle" : "", "family" : "Perera", "given" : "Rafael", "non-dropping-particle" : "", "parse-names" : false, "suffix" : "" }, { "dropping-particle" : "", "family" : "Gray", "given" : "Alastair", "non-dropping-particle" : "", "parse-names" : false, "suffix" : "" }, { "dropping-particle" : "", "family" : "Rose", "given" : "Peter", "non-dropping-particle" : "", "parse-names" : false, "suffix" : "" }, { "dropping-particle" : "", "family" : "Fuller", "given" : "Alice", "non-dropping-particle" : "", "parse-names" : false, "suffix" : "" }, { "dropping-particle" : "", "family" : "Corkhill", "given" : "Andrea", "non-dropping-particle" : "", "parse-names" : false, "suffix" : "" }, { "dropping-particle" : "", "family" : "George", "given" : "Steve", "non-dropping-particle" : "", "parse-names" : false, "suffix" : "" }, { "dropping-particle" : "", "family" : "Mant", "given" : "David", "non-dropping-particle" : "", "parse-names" : false, "suffix" : "" } ], "container-title" : "JAMA : the journal of the American Medical Association", "id" : "ITEM-1", "issue" : "3", "issued" : { "date-parts" : [ [ "2014" ] ] }, "page" : "263-70", "title" : "Effect of 3 to 5 years of scheduled CEA and CT follow-up to detect recurrence of colorectal cancer: the FACS randomized clinical trial.", "type" : "article-journal", "volume" : "311" }, "uris" : [ "http://www.mendeley.com/documents/?uuid=ea5f6b97-dd87-4c21-9f9f-54f0f1ca8208" ] } ], "mendeley" : { "formattedCitation" : "[2]", "plainTextFormattedCitation" : "[2]", "previouslyFormattedCitation" : "[2]" }, "properties" : { "noteIndex" : 0 }, "schema" : "https://github.com/citation-style-language/schema/raw/master/csl-citation.json" }</w:instrText>
      </w:r>
      <w:r w:rsidR="00F26544">
        <w:fldChar w:fldCharType="separate"/>
      </w:r>
      <w:r w:rsidR="00E3241D" w:rsidRPr="00E3241D">
        <w:rPr>
          <w:noProof/>
        </w:rPr>
        <w:t>[2]</w:t>
      </w:r>
      <w:r w:rsidR="00F26544">
        <w:fldChar w:fldCharType="end"/>
      </w:r>
      <w:r>
        <w:t xml:space="preserve">  </w:t>
      </w:r>
      <w:r w:rsidR="00C42C39" w:rsidRPr="00C93121">
        <w:t xml:space="preserve">The model’s natural history behavior is </w:t>
      </w:r>
      <w:r w:rsidR="007C398E" w:rsidRPr="00C93121">
        <w:t xml:space="preserve">based on patient-level data from a </w:t>
      </w:r>
      <w:r w:rsidR="00170D5C">
        <w:t xml:space="preserve">multi-center </w:t>
      </w:r>
      <w:r w:rsidR="007C398E" w:rsidRPr="00C93121">
        <w:t>trial involving U.S. colon cancer survivors</w:t>
      </w:r>
      <w:r w:rsidR="0046419E" w:rsidRPr="00C93121">
        <w:t>.</w:t>
      </w:r>
      <w:r w:rsidR="00F26544">
        <w:fldChar w:fldCharType="begin" w:fldLock="1"/>
      </w:r>
      <w:r w:rsidR="00C82D09">
        <w:instrText>ADDIN CSL_CITATION { "citationItems" : [ { "id" : "ITEM-1", "itemData" : { "DOI" : "10.1007/s11725-012-0360-7", "ISBN" : "1533-4406", "ISSN" : "1951-6371", "PMID" : "15141043", "abstract" : "BACKGROUND: Minimally invasive, laparoscopically assisted surgery was first considered in 1990 for patients undergoing colectomy for cancer. Concern that this approach would compromise survival by failing to achieve a proper oncologic resection or adequate staging or by altering patterns of recurrence (based on frequent reports of tumor recurrences within surgical wounds) prompted a controlled trial evaluation. METHODS: We conducted a noninferiority trial at 48 institutions and randomly assigned 872 patients with adenocarcinoma of the colon to undergo open or laparoscopically assisted colectomy performed by credentialed surgeons. The median follow-up was 4.4 years. The primary end point was the time to tumor recurrence. RESULTS: At three years, the rates of recurrence were similar in the two groups--16 percent among patients in the group that underwent laparoscopically assisted surgery and 18 percent among patients in the open-colectomy group (two-sided P=0.32; hazard ratio for recurrence, 0.86; 95 percent confidence interval, 0.63 to 1.17). Recurrence rates in surgical wounds were less than 1 percent in both groups (P=0.50). The overall survival rate at three years was also very similar in the two groups (86 percent in the laparoscopic-surgery group and 85 percent in the open-colectomy group; P=0.51; hazard ratio for death in the laparoscopic-surgery group, 0.91; 95 percent confidence interval, 0.68 to 1.21), with no significant difference between groups in the time to recurrence or overall survival for patients with any stage of cancer. Perioperative recovery was faster in the laparoscopic-surgery group than in the open-colectomy group, as reflected by a shorter median hospital stay (five days vs. six days, P&lt;0.001) and briefer use of parenteral narcotics (three days vs. four days, P&lt;0.001) and oral analgesics (one day vs. two days, P=0.02). The rates of intraoperative complications, 30-day postoperative mortality, complications at discharge and 60 days, hospital readmission, and reoperation were very similar between groups. CONCLUSIONS: In this multi-institutional study, the rates of recurrent cancer were similar after laparoscopically assisted colectomy and open colectomy, suggesting that the laparoscopic approach is an acceptable alternative to open surgery for colon cancer.", "author" : [ { "dropping-particle" : "", "family" : "Outcomes", "given" : "The Clinical", "non-dropping-particle" : "", "parse-names" : false, "suffix" : "" }, { "dropping-particle" : "", "family" : "Therapy", "given" : "Surgical", "non-dropping-particle" : "", "parse-names" : false, "suffix" : "" }, { "dropping-particle" : "", "family" : "Group", "given" : "Study", "non-dropping-particle" : "", "parse-names" : false, "suffix" : "" } ], "container-title" : "The New England journal of medicine", "id" : "ITEM-1", "issue" : "20", "issued" : { "date-parts" : [ [ "2004" ] ] }, "page" : "2050-2059", "title" : "A comparison of laparoscopically assisted and open colectomy for colon cancer.", "type" : "article-journal", "volume" : "350" }, "uris" : [ "http://www.mendeley.com/documents/?uuid=a0086625-b30b-49df-bc2e-9844574a65ae" ] } ], "mendeley" : { "formattedCitation" : "[47]", "plainTextFormattedCitation" : "[47]", "previouslyFormattedCitation" : "[47]" }, "properties" : { "noteIndex" : 0 }, "schema" : "https://github.com/citation-style-language/schema/raw/master/csl-citation.json" }</w:instrText>
      </w:r>
      <w:r w:rsidR="00F26544">
        <w:fldChar w:fldCharType="separate"/>
      </w:r>
      <w:r w:rsidR="00C82D09" w:rsidRPr="00C82D09">
        <w:rPr>
          <w:noProof/>
        </w:rPr>
        <w:t>[47]</w:t>
      </w:r>
      <w:r w:rsidR="00F26544">
        <w:fldChar w:fldCharType="end"/>
      </w:r>
      <w:r w:rsidR="00AC2310" w:rsidRPr="00C93121">
        <w:t xml:space="preserve">  </w:t>
      </w:r>
      <w:bookmarkStart w:id="1" w:name="_Hlk421104"/>
      <w:r w:rsidR="008F25C9">
        <w:t xml:space="preserve">This work represents the first independent validation of a colon cancer surveillance model against the results of a modern clinical trial.  </w:t>
      </w:r>
    </w:p>
    <w:bookmarkEnd w:id="1"/>
    <w:p w14:paraId="7977AA22" w14:textId="1D8AD128" w:rsidR="00815542" w:rsidRDefault="004C41BD" w:rsidP="00815542">
      <w:pPr>
        <w:spacing w:after="0" w:line="480" w:lineRule="auto"/>
        <w:ind w:firstLine="720"/>
      </w:pPr>
      <w:r w:rsidRPr="00C93121">
        <w:t xml:space="preserve">The model performed well in external validation </w:t>
      </w:r>
      <w:r w:rsidR="006C0068">
        <w:t>(the most robust form of validation</w:t>
      </w:r>
      <w:r w:rsidR="006C0068">
        <w:fldChar w:fldCharType="begin" w:fldLock="1"/>
      </w:r>
      <w:r w:rsidR="00C82D09">
        <w:instrText>ADDIN CSL_CITATION { "citationItems" : [ { "id" : "ITEM-1", "itemData" : { "DOI" : "10.1177/0272989X9301300107", "ISBN" : "0272-989X (Print) 0272-989X (Linking)", "ISSN" : "0272-989X", "PMID" : "8433637", "abstract" : "Current advances in high-speed computing and increased availability of statistical software have led to widespread use of statistical methods for the development of computerized protocols predictive of binary health outcomes. If these predictive algorithms are to be used in settings other than those for which they were developed, e.g., applied in a different geographic setting or extrapolated for use in a slightly different population, then they should be carefully validated to ensure appropriate application. Miller et al. (Stat Med. 1991) provided a comprehensive methodology for external validation of logistic prediction models, and applied these methods in a temporal validation setting. In this article, the authors emphasize how these methods can be applied to general forms of probabilistic predictions and provide several SAS macros for computation of the desired statistics.", "author" : [ { "dropping-particle" : "", "family" : "Miller", "given" : "M E", "non-dropping-particle" : "", "parse-names" : false, "suffix" : "" }, { "dropping-particle" : "", "family" : "Langefeld", "given" : "C D", "non-dropping-particle" : "", "parse-names" : false, "suffix" : "" }, { "dropping-particle" : "", "family" : "Tierney", "given" : "W M", "non-dropping-particle" : "", "parse-names" : false, "suffix" : "" }, { "dropping-particle" : "", "family" : "Hui", "given" : "S L", "non-dropping-particle" : "", "parse-names" : false, "suffix" : "" }, { "dropping-particle" : "", "family" : "McDonald", "given" : "C J", "non-dropping-particle" : "", "parse-names" : false, "suffix" : "" } ], "container-title" : "Medical decision making : an international journal of the Society for Medical Decision Making", "id" : "ITEM-1", "issue" : "1", "issued" : { "date-parts" : [ [ "1993" ] ] }, "page" : "49-58", "title" : "Validation of probabilistic predictions.", "type" : "article-journal", "volume" : "13" }, "uris" : [ "http://www.mendeley.com/documents/?uuid=d095d54f-59cb-454a-a667-18bd463d765d", "http://www.mendeley.com/documents/?uuid=c05114a5-42c8-4d7b-9a7e-83bbd3695e91" ] } ], "mendeley" : { "formattedCitation" : "[46]", "plainTextFormattedCitation" : "[46]", "previouslyFormattedCitation" : "[46]" }, "properties" : { "noteIndex" : 0 }, "schema" : "https://github.com/citation-style-language/schema/raw/master/csl-citation.json" }</w:instrText>
      </w:r>
      <w:r w:rsidR="006C0068">
        <w:fldChar w:fldCharType="separate"/>
      </w:r>
      <w:r w:rsidR="00C82D09" w:rsidRPr="00C82D09">
        <w:rPr>
          <w:noProof/>
        </w:rPr>
        <w:t>[46]</w:t>
      </w:r>
      <w:r w:rsidR="006C0068">
        <w:fldChar w:fldCharType="end"/>
      </w:r>
      <w:r w:rsidR="006C0068">
        <w:t xml:space="preserve">) </w:t>
      </w:r>
      <w:r w:rsidRPr="00C93121">
        <w:t xml:space="preserve">against </w:t>
      </w:r>
      <w:r w:rsidR="002611DA">
        <w:t>data obtained from</w:t>
      </w:r>
      <w:r w:rsidR="00170D5C">
        <w:t xml:space="preserve"> colon cancer patients </w:t>
      </w:r>
      <w:r w:rsidR="002611DA">
        <w:t>in</w:t>
      </w:r>
      <w:r w:rsidR="00170D5C">
        <w:t xml:space="preserve"> </w:t>
      </w:r>
      <w:r w:rsidR="00B009F3">
        <w:t>the</w:t>
      </w:r>
      <w:r w:rsidR="00170D5C">
        <w:t xml:space="preserve"> recent</w:t>
      </w:r>
      <w:r w:rsidRPr="00C93121">
        <w:t xml:space="preserve"> </w:t>
      </w:r>
      <w:r w:rsidR="00B009F3">
        <w:t>FACS</w:t>
      </w:r>
      <w:r w:rsidRPr="00C93121">
        <w:t xml:space="preserve"> trial.  </w:t>
      </w:r>
      <w:r w:rsidR="00EE556B">
        <w:t xml:space="preserve">Predicted </w:t>
      </w:r>
      <w:r w:rsidR="00080880">
        <w:t xml:space="preserve">recurrence </w:t>
      </w:r>
      <w:r w:rsidR="004E564B">
        <w:t xml:space="preserve">proportion </w:t>
      </w:r>
      <w:r w:rsidR="00147FE9">
        <w:t xml:space="preserve">fell within </w:t>
      </w:r>
      <w:r w:rsidR="00EE556B">
        <w:t>FACS</w:t>
      </w:r>
      <w:r w:rsidR="00147FE9">
        <w:t xml:space="preserve"> 95% </w:t>
      </w:r>
      <w:r w:rsidR="00EE556B">
        <w:t>confidence</w:t>
      </w:r>
      <w:r w:rsidR="00147FE9">
        <w:t xml:space="preserve"> intervals</w:t>
      </w:r>
      <w:r w:rsidR="00B7070C" w:rsidRPr="00B7070C">
        <w:t xml:space="preserve"> </w:t>
      </w:r>
      <w:r w:rsidR="00B7070C">
        <w:t>for</w:t>
      </w:r>
      <w:r w:rsidR="00B7070C" w:rsidRPr="00C93121">
        <w:t xml:space="preserve"> the CT, CEA, CT+CEA arms</w:t>
      </w:r>
      <w:r w:rsidR="00A470D7" w:rsidRPr="00C93121">
        <w:t>,</w:t>
      </w:r>
      <w:r w:rsidR="00D4522F">
        <w:t xml:space="preserve"> and for all arms combined,</w:t>
      </w:r>
      <w:r w:rsidR="00A470D7" w:rsidRPr="00C93121">
        <w:t xml:space="preserve"> but</w:t>
      </w:r>
      <w:r w:rsidR="00B7070C">
        <w:t xml:space="preserve"> not</w:t>
      </w:r>
      <w:r w:rsidR="00044A67">
        <w:t xml:space="preserve"> for the minim</w:t>
      </w:r>
      <w:r w:rsidR="007D36A9">
        <w:t>um</w:t>
      </w:r>
      <w:r w:rsidR="00044A67">
        <w:t xml:space="preserve"> arm</w:t>
      </w:r>
      <w:r w:rsidR="00147FE9" w:rsidRPr="00C93121">
        <w:t xml:space="preserve">. </w:t>
      </w:r>
      <w:r w:rsidR="002E2F88">
        <w:t xml:space="preserve"> The model predicted</w:t>
      </w:r>
      <w:r w:rsidR="007B2214">
        <w:t xml:space="preserve"> that incidence of recurrence would be</w:t>
      </w:r>
      <w:r w:rsidR="002E2F88">
        <w:t xml:space="preserve"> similar </w:t>
      </w:r>
      <w:r w:rsidR="007B2214">
        <w:t xml:space="preserve">in each of the follow-up arms since the </w:t>
      </w:r>
      <w:r w:rsidR="00217280">
        <w:t>stage distribution was similar</w:t>
      </w:r>
      <w:r w:rsidR="00084D2A">
        <w:t xml:space="preserve"> across arms</w:t>
      </w:r>
      <w:r w:rsidR="00CB7D65">
        <w:t>;</w:t>
      </w:r>
      <w:r w:rsidR="00217280">
        <w:t xml:space="preserve"> the </w:t>
      </w:r>
      <w:r w:rsidR="007B2214">
        <w:t xml:space="preserve">mode of surveillance should not </w:t>
      </w:r>
      <w:r w:rsidR="00084D2A">
        <w:t xml:space="preserve">in theory </w:t>
      </w:r>
      <w:r w:rsidR="007B2214">
        <w:t xml:space="preserve">affect the </w:t>
      </w:r>
      <w:r w:rsidR="002611DA">
        <w:t>probability of recurrence</w:t>
      </w:r>
      <w:r w:rsidR="007B2214">
        <w:t>.</w:t>
      </w:r>
      <w:r w:rsidR="00CB7D65">
        <w:t xml:space="preserve"> </w:t>
      </w:r>
      <w:r w:rsidR="00217280">
        <w:t xml:space="preserve"> </w:t>
      </w:r>
      <w:r w:rsidR="00873BBA">
        <w:t xml:space="preserve">By contrast the observed number of recurrences differed between arms in the FACS trial, with </w:t>
      </w:r>
      <w:r w:rsidR="009B4707">
        <w:t xml:space="preserve">the </w:t>
      </w:r>
      <w:r w:rsidR="00873BBA">
        <w:t>fewe</w:t>
      </w:r>
      <w:r w:rsidR="009B4707">
        <w:t>st</w:t>
      </w:r>
      <w:r w:rsidR="00873BBA">
        <w:t xml:space="preserve"> being detected in the minimum follow-up </w:t>
      </w:r>
      <w:r w:rsidR="00CF043C">
        <w:t>arm</w:t>
      </w:r>
      <w:r w:rsidR="00873BBA">
        <w:t>.</w:t>
      </w:r>
      <w:r w:rsidR="00815542">
        <w:t xml:space="preserve"> </w:t>
      </w:r>
      <w:r w:rsidR="00873BBA">
        <w:t xml:space="preserve"> </w:t>
      </w:r>
      <w:r w:rsidR="00815542">
        <w:t xml:space="preserve">This may reflect under-reporting of recurrence in the </w:t>
      </w:r>
      <w:r w:rsidR="00E60FFA">
        <w:t>minimum</w:t>
      </w:r>
      <w:r w:rsidR="007D36A9">
        <w:t xml:space="preserve"> arm</w:t>
      </w:r>
      <w:r w:rsidR="00815542">
        <w:t xml:space="preserve"> due to less intense follow-up.  </w:t>
      </w:r>
    </w:p>
    <w:p w14:paraId="5FC2B4BF" w14:textId="3EEA33E9" w:rsidR="00AC21EB" w:rsidRDefault="00D60CDC" w:rsidP="00B03879">
      <w:pPr>
        <w:spacing w:after="0" w:line="480" w:lineRule="auto"/>
        <w:ind w:firstLine="720"/>
      </w:pPr>
      <w:r>
        <w:t>T</w:t>
      </w:r>
      <w:r w:rsidR="00C1247A" w:rsidRPr="00C93121">
        <w:t xml:space="preserve">he proportions of recurring patients </w:t>
      </w:r>
      <w:r w:rsidR="00E44BB3">
        <w:t xml:space="preserve">predicted by </w:t>
      </w:r>
      <w:proofErr w:type="spellStart"/>
      <w:r w:rsidR="00E44BB3">
        <w:t>CCSuRe</w:t>
      </w:r>
      <w:proofErr w:type="spellEnd"/>
      <w:r w:rsidR="00E44BB3">
        <w:t xml:space="preserve"> to </w:t>
      </w:r>
      <w:r w:rsidR="00C1247A" w:rsidRPr="00C93121">
        <w:t xml:space="preserve">undergo curative-intent treatment fell within </w:t>
      </w:r>
      <w:r w:rsidR="00DE30C1">
        <w:t xml:space="preserve">FACS </w:t>
      </w:r>
      <w:r w:rsidR="00C1247A" w:rsidRPr="00C93121">
        <w:t xml:space="preserve">95% </w:t>
      </w:r>
      <w:r w:rsidR="00E44BB3">
        <w:t>confidence intervals</w:t>
      </w:r>
      <w:r w:rsidR="00C1247A" w:rsidRPr="00C93121">
        <w:t xml:space="preserve"> for the CT, CEA, and CT+CEA arms</w:t>
      </w:r>
      <w:r>
        <w:t>, and for all arms combined</w:t>
      </w:r>
      <w:r w:rsidR="00C1247A" w:rsidRPr="00C93121">
        <w:t>, but</w:t>
      </w:r>
      <w:r w:rsidR="00D53874">
        <w:t xml:space="preserve"> again</w:t>
      </w:r>
      <w:r w:rsidR="00C1247A" w:rsidRPr="00C93121">
        <w:t xml:space="preserve"> not for the minim</w:t>
      </w:r>
      <w:r w:rsidR="007D36A9">
        <w:t>um</w:t>
      </w:r>
      <w:r w:rsidR="00C1247A" w:rsidRPr="00C93121">
        <w:t xml:space="preserve"> surveillance arm.  </w:t>
      </w:r>
      <w:r w:rsidR="00FE3839" w:rsidRPr="00C93121">
        <w:t>In the trial, only two</w:t>
      </w:r>
      <w:r w:rsidR="00AE3B96" w:rsidRPr="00C93121">
        <w:t xml:space="preserve"> patients in th</w:t>
      </w:r>
      <w:r w:rsidR="008471F5" w:rsidRPr="00C93121">
        <w:t>e minim</w:t>
      </w:r>
      <w:r w:rsidR="007D36A9">
        <w:t>um</w:t>
      </w:r>
      <w:r w:rsidR="008471F5" w:rsidRPr="00C93121">
        <w:t xml:space="preserve"> surveillance arm</w:t>
      </w:r>
      <w:r w:rsidR="00AE3B96" w:rsidRPr="00C93121">
        <w:t xml:space="preserve"> </w:t>
      </w:r>
      <w:r w:rsidR="00E839EF">
        <w:t xml:space="preserve">are known to have undergone </w:t>
      </w:r>
      <w:r w:rsidR="00AE3B96" w:rsidRPr="00C93121">
        <w:t>curative-intent treatment</w:t>
      </w:r>
      <w:r w:rsidR="00C651C1">
        <w:t xml:space="preserve"> based on available follow-up </w:t>
      </w:r>
      <w:r w:rsidR="00C651C1">
        <w:lastRenderedPageBreak/>
        <w:t>data</w:t>
      </w:r>
      <w:r w:rsidR="00AE3B96" w:rsidRPr="00C93121">
        <w:t>.</w:t>
      </w:r>
      <w:r w:rsidR="004240DB" w:rsidRPr="00C93121">
        <w:t xml:space="preserve">  </w:t>
      </w:r>
      <w:r w:rsidR="005F3535">
        <w:t>Accordingly</w:t>
      </w:r>
      <w:r w:rsidR="00762723">
        <w:t xml:space="preserve">, it is difficult to assess model performance </w:t>
      </w:r>
      <w:r w:rsidR="009D01B7">
        <w:t>against</w:t>
      </w:r>
      <w:r w:rsidR="00762723">
        <w:t xml:space="preserve"> </w:t>
      </w:r>
      <w:r w:rsidR="00D80008">
        <w:t xml:space="preserve">data from the </w:t>
      </w:r>
      <w:r w:rsidR="009D01B7">
        <w:t xml:space="preserve">FACS </w:t>
      </w:r>
      <w:r w:rsidR="00762723">
        <w:t>mi</w:t>
      </w:r>
      <w:r w:rsidR="00704E0E">
        <w:t>ni</w:t>
      </w:r>
      <w:r w:rsidR="00762723">
        <w:t>m</w:t>
      </w:r>
      <w:r w:rsidR="007D36A9">
        <w:t>um</w:t>
      </w:r>
      <w:r w:rsidR="00762723">
        <w:t xml:space="preserve"> follow-up </w:t>
      </w:r>
      <w:r w:rsidR="00D80008">
        <w:t>arm</w:t>
      </w:r>
      <w:r w:rsidR="00762723">
        <w:t xml:space="preserve">.  </w:t>
      </w:r>
    </w:p>
    <w:p w14:paraId="224B9CF4" w14:textId="45C8EDC0" w:rsidR="00C822F0" w:rsidRPr="00C93121" w:rsidRDefault="00922F0E" w:rsidP="00B03879">
      <w:pPr>
        <w:spacing w:after="0" w:line="480" w:lineRule="auto"/>
        <w:ind w:firstLine="720"/>
      </w:pPr>
      <w:r w:rsidRPr="00C93121">
        <w:t xml:space="preserve">Five-year </w:t>
      </w:r>
      <w:r w:rsidR="00484401" w:rsidRPr="00C93121">
        <w:t xml:space="preserve">overall </w:t>
      </w:r>
      <w:r w:rsidRPr="00C93121">
        <w:t>survival for FACS subjects</w:t>
      </w:r>
      <w:r w:rsidR="004020AE">
        <w:t xml:space="preserve"> with recurrence</w:t>
      </w:r>
      <w:r w:rsidRPr="00C93121">
        <w:t xml:space="preserve"> </w:t>
      </w:r>
      <w:r w:rsidR="004672BF" w:rsidRPr="00C93121">
        <w:t xml:space="preserve">in all four arms </w:t>
      </w:r>
      <w:r w:rsidRPr="00C93121">
        <w:t>fell within</w:t>
      </w:r>
      <w:r w:rsidR="004672BF" w:rsidRPr="00C93121">
        <w:t xml:space="preserve"> corresponding</w:t>
      </w:r>
      <w:r w:rsidRPr="00C93121">
        <w:t xml:space="preserve"> model-projected 95% </w:t>
      </w:r>
      <w:r w:rsidR="002C071A">
        <w:t>prediction intervals</w:t>
      </w:r>
      <w:r w:rsidRPr="00C93121">
        <w:t>.</w:t>
      </w:r>
      <w:r w:rsidR="00112173" w:rsidRPr="00C93121">
        <w:t xml:space="preserve">  </w:t>
      </w:r>
      <w:r w:rsidR="001106B2">
        <w:t xml:space="preserve">To assess the </w:t>
      </w:r>
      <w:r w:rsidR="0051026B">
        <w:t>calibration and refinement</w:t>
      </w:r>
      <w:r w:rsidR="001106B2">
        <w:t xml:space="preserve"> of the model, we created a calibration plot.  </w:t>
      </w:r>
      <w:r w:rsidR="0051026B">
        <w:t xml:space="preserve">A slightly positive y-intercept suggests that the model is </w:t>
      </w:r>
      <w:r w:rsidR="000A1F64">
        <w:t xml:space="preserve">mildly </w:t>
      </w:r>
      <w:r w:rsidR="003A5B42">
        <w:t xml:space="preserve">pessimistic </w:t>
      </w:r>
      <w:r w:rsidR="0051026B">
        <w:t>in its survival predictions generally.</w:t>
      </w:r>
      <w:r w:rsidR="008C56E4">
        <w:fldChar w:fldCharType="begin" w:fldLock="1"/>
      </w:r>
      <w:r w:rsidR="00C82D09">
        <w:instrText>ADDIN CSL_CITATION { "citationItems" : [ { "id" : "ITEM-1", "itemData" : { "DOI" : "1741-7015-8-21 [pii] 10.1186/1741-7015-8-21", "ISBN" : "1741-7015 (Electronic) 1741-7015 (Linking)", "ISSN" : "1741-7015", "PMID" : "20353579", "abstract" : "BACKGROUND: Appropriate choice and use of prognostic models in clinical practice require the use of good methods for both model development, and for developing prognostic indices and risk groups from the models. In order to assess reliability and generalizability for use, models need to have been validated and measures of model performance reported. We reviewed published articles to assess the methods and reporting used to develop and evaluate performance of prognostic indices and risk groups from prognostic models. METHODS: We developed a systematic search string and identified articles from PubMed. Forty-seven articles were included that satisfied the following inclusion criteria: published in 2005; aiming to predict patient outcome; presenting new prognostic models in cancer with outcome time to an event and including a combination of at least two separate variables; and analysing data using multivariable analysis suitable for time to event data. RESULTS: In 47 studies, Cox models were used in 94% (44), but the coefficients or hazard ratios for the variables in the final model were reported in only 72% (34). The reproducibility of the derived model was assessed in only 11% (5) of the articles. A prognostic index was developed from the model in 81% (38) of the articles, but researchers derived the prognostic index from the final prognostic model in only 34% (13) of the studies; different coefficients or variables from those in the final model were used in 50% (19) of models and the methods used were unclear in 16% (6) of the articles. Methods used to derive prognostic groups were also poor, with researchers not reporting the methods used in 39% (14 of 36) of the studies and data derived methods likely to bias estimates of differences between risk groups being used in 28% (10) of the studies. Validation of their models was reported in only 34% (16) of the studies. In 15 studies validation used data from the same population and in five studies from a different population. Including reports of validation with external data from publications up to four years following model development, external validation was attempted for only 21% (10) of models. Insufficient information was provided on the performance of models in terms of discrimination and calibration. CONCLUSIONS: Many published prognostic models have been developed using poor methods and many with poor reporting, both of which compromise the reliability and clinical relevance of models, prognostic \u2026", "author" : [ { "dropping-particle" : "", "family" : "Mallett", "given" : "S", "non-dropping-particle" : "", "parse-names" : false, "suffix" : "" }, { "dropping-particle" : "", "family" : "Royston", "given" : "P", "non-dropping-particle" : "", "parse-names" : false, "suffix" : "" }, { "dropping-particle" : "", "family" : "Waters", "given" : "R", "non-dropping-particle" : "", "parse-names" : false, "suffix" : "" }, { "dropping-particle" : "", "family" : "Dutton", "given" : "S", "non-dropping-particle" : "", "parse-names" : false, "suffix" : "" }, { "dropping-particle" : "", "family" : "Altman", "given" : "D G", "non-dropping-particle" : "", "parse-names" : false, "suffix" : "" } ], "container-title" : "BMC Med", "id" : "ITEM-1", "issued" : { "date-parts" : [ [ "2010" ] ] }, "page" : "21", "title" : "Reporting performance of prognostic models in cancer: a review", "type" : "article-journal", "volume" : "8" }, "uris" : [ "http://www.mendeley.com/documents/?uuid=be565fe8-004f-431f-842f-fceb973528ba", "http://www.mendeley.com/documents/?uuid=32ca5423-5eac-4261-b60a-e8e91fb9f9eb" ] }, { "id" : "ITEM-2", "itemData" : { "DOI" : "10.1177/0272989X9301300107", "ISBN" : "0272-989X (Print) 0272-989X (Linking)", "ISSN" : "0272-989X", "PMID" : "8433637", "abstract" : "Current advances in high-speed computing and increased availability of statistical software have led to widespread use of statistical methods for the development of computerized protocols predictive of binary health outcomes. If these predictive algorithms are to be used in settings other than those for which they were developed, e.g., applied in a different geographic setting or extrapolated for use in a slightly different population, then they should be carefully validated to ensure appropriate application. Miller et al. (Stat Med. 1991) provided a comprehensive methodology for external validation of logistic prediction models, and applied these methods in a temporal validation setting. In this article, the authors emphasize how these methods can be applied to general forms of probabilistic predictions and provide several SAS macros for computation of the desired statistics.", "author" : [ { "dropping-particle" : "", "family" : "Miller", "given" : "M E", "non-dropping-particle" : "", "parse-names" : false, "suffix" : "" }, { "dropping-particle" : "", "family" : "Langefeld", "given" : "C D", "non-dropping-particle" : "", "parse-names" : false, "suffix" : "" }, { "dropping-particle" : "", "family" : "Tierney", "given" : "W M", "non-dropping-particle" : "", "parse-names" : false, "suffix" : "" }, { "dropping-particle" : "", "family" : "Hui", "given" : "S L", "non-dropping-particle" : "", "parse-names" : false, "suffix" : "" }, { "dropping-particle" : "", "family" : "McDonald", "given" : "C J", "non-dropping-particle" : "", "parse-names" : false, "suffix" : "" } ], "container-title" : "Medical decision making : an international journal of the Society for Medical Decision Making", "id" : "ITEM-2", "issue" : "1", "issued" : { "date-parts" : [ [ "1993" ] ] }, "page" : "49-58", "title" : "Validation of probabilistic predictions.", "type" : "article-journal", "volume" : "13" }, "uris" : [ "http://www.mendeley.com/documents/?uuid=d095d54f-59cb-454a-a667-18bd463d765d", "http://www.mendeley.com/documents/?uuid=c05114a5-42c8-4d7b-9a7e-83bbd3695e91" ] } ], "mendeley" : { "formattedCitation" : "[46, 48]", "plainTextFormattedCitation" : "[46, 48]", "previouslyFormattedCitation" : "[46, 48]" }, "properties" : { "noteIndex" : 0 }, "schema" : "https://github.com/citation-style-language/schema/raw/master/csl-citation.json" }</w:instrText>
      </w:r>
      <w:r w:rsidR="008C56E4">
        <w:fldChar w:fldCharType="separate"/>
      </w:r>
      <w:r w:rsidR="00C82D09" w:rsidRPr="00C82D09">
        <w:rPr>
          <w:noProof/>
        </w:rPr>
        <w:t>[46, 48]</w:t>
      </w:r>
      <w:r w:rsidR="008C56E4">
        <w:fldChar w:fldCharType="end"/>
      </w:r>
      <w:r w:rsidR="00FF7281">
        <w:t xml:space="preserve">  This may be attributable to improvements in colon cancer </w:t>
      </w:r>
      <w:r w:rsidR="002001F3">
        <w:t xml:space="preserve">treatment and </w:t>
      </w:r>
      <w:r w:rsidR="00FF7281">
        <w:t xml:space="preserve">survival </w:t>
      </w:r>
      <w:r w:rsidR="005C35B4">
        <w:t xml:space="preserve">in </w:t>
      </w:r>
      <w:r w:rsidR="00B00103">
        <w:t xml:space="preserve">the </w:t>
      </w:r>
      <w:r w:rsidR="005C35B4">
        <w:t xml:space="preserve">period between recruitment for </w:t>
      </w:r>
      <w:r w:rsidR="00FF7281">
        <w:t>the COST Trial</w:t>
      </w:r>
      <w:r w:rsidR="005C35B4">
        <w:t xml:space="preserve"> (1994 to 1999</w:t>
      </w:r>
      <w:r w:rsidR="005C35B4">
        <w:fldChar w:fldCharType="begin" w:fldLock="1"/>
      </w:r>
      <w:r w:rsidR="00C82D09">
        <w:instrText>ADDIN CSL_CITATION { "citationItems" : [ { "id" : "ITEM-1", "itemData" : { "DOI" : "10.1056/NEJMoa032651", "ISSN" : "0028-4793", "author" : [ { "dropping-particle" : "", "family" : "Clinical", "given" : "The", "non-dropping-particle" : "", "parse-names" : false, "suffix" : "" }, { "dropping-particle" : "", "family" : "Therapy", "given" : "Surgical", "non-dropping-particle" : "", "parse-names" : false, "suffix" : "" }, { "dropping-particle" : "", "family" : "Group", "given" : "Study", "non-dropping-particle" : "", "parse-names" : false, "suffix" : "" } ], "container-title" : "New England Journal of Medicine", "id" : "ITEM-1", "issue" : "20", "issued" : { "date-parts" : [ [ "2004" ] ] }, "page" : "2050-2059", "title" : "A Comparison of Laparoscopically Assisted and Open Colectomy for Colon Cancer", "type" : "article-journal", "volume" : "350" }, "uris" : [ "http://www.mendeley.com/documents/?uuid=10f3e6ca-94dc-4c9c-b55a-8d0745f77ec8" ] } ], "mendeley" : { "formattedCitation" : "[37]", "plainTextFormattedCitation" : "[37]", "previouslyFormattedCitation" : "[37]" }, "properties" : { "noteIndex" : 0 }, "schema" : "https://github.com/citation-style-language/schema/raw/master/csl-citation.json" }</w:instrText>
      </w:r>
      <w:r w:rsidR="005C35B4">
        <w:fldChar w:fldCharType="separate"/>
      </w:r>
      <w:r w:rsidR="00C82D09" w:rsidRPr="00C82D09">
        <w:rPr>
          <w:noProof/>
        </w:rPr>
        <w:t>[37]</w:t>
      </w:r>
      <w:r w:rsidR="005C35B4">
        <w:fldChar w:fldCharType="end"/>
      </w:r>
      <w:r w:rsidR="005C35B4">
        <w:t>)</w:t>
      </w:r>
      <w:r w:rsidR="00A26795">
        <w:t>, whose data was</w:t>
      </w:r>
      <w:r w:rsidR="00FF7281">
        <w:t xml:space="preserve"> used for model training</w:t>
      </w:r>
      <w:r w:rsidR="00A26795">
        <w:t>,</w:t>
      </w:r>
      <w:r w:rsidR="00FF7281">
        <w:t xml:space="preserve"> and the FACS Trial</w:t>
      </w:r>
      <w:r w:rsidR="00B10656">
        <w:t xml:space="preserve"> (2003 to 2009</w:t>
      </w:r>
      <w:r w:rsidR="00B10656">
        <w:fldChar w:fldCharType="begin" w:fldLock="1"/>
      </w:r>
      <w:r w:rsidR="00834959">
        <w:instrText>ADDIN CSL_CITATION { "citationItems" : [ { "id" : "ITEM-1", "itemData" : { "DOI" : "10.1001/jama.2013.285718", "ISSN" : "1538-3598", "PMID" : "24430319", "abstract" : "IMPORTANCE: Intensive follow-up after surgery for colorectal cancer is common practice but is based on limited evidence.\\n\\nOBJECTIVE: To assess the effect of scheduled blood measurement of carcinoembryonic antigen (CEA) and computed tomography (CT) as follow-up to detect recurrent colorectal cancer treatable with curative intent.\\n\\nDESIGN, SETTING, AND PARTICIPANTS: Randomized clinical trial in 39 National Health Service hospitals in the United Kingdom; 1202 eligible participants were recruited between January 2003 and August 2009 who had undergone curative surgery for primary colorectal cancer, including adjuvant treatment if indicated, with no evidence of residual disease on investigation.\\n\\nINTERVENTIONS: Participants were randomly assigned to 1 of 4 groups: CEA only (n\u2009=\u2009300), CT only (n\u2009=\u2009299), CEA+CT (n\u2009=\u2009302), or minimum follow-up (n\u2009=\u2009301). Blood CEA was measured every 3 months for 2 years, then every 6 months for 3 years; CT scans of the chest, abdomen, and pelvis were performed every 6 months for 2 years, then annually for 3 years; and the minimum follow-up group received follow-up if symptoms occurred.\\n\\nMAIN OUTCOMES AND MEASURES: The primary outcome was surgical treatment of recurrence with curative intent; secondary outcomes were mortality (total and colorectal cancer), time to detection of recurrence, and survival after treatment of recurrence with curative intent.\\n\\nRESULTS: After a mean 4.4 (SD, 0.8) years of observation, cancer recurrence was detected in 199 participants (16.6%; 95% CI, 14.5%-18.7%) overall; 71 of 1202 participants (5.9%; 95% CI, 4.6%-7.2%) were treated for recurrence with curative intent, with little difference according to Dukes staging (stage A, 5.1% [13/254]; stage B, 6.1% [34/553]; stage C, 6.2% [22/354]). Surgical treatment of recurrence with curative intent was 2.3% (7/301) in the minimum follow-up group, 6.7% (20/300) in the CEA group, 8% (24/299) in the CT group, and 6.6% (20/302) in the CEA+CT group. Compared with minimum follow-up, the absolute difference in the percentage of patients treated with curative intent in the CEA group was 4.4% (95% CI, 1.0%-7.9%; adjusted odds ratio [OR], 3.00; 95% CI, 1.23-7.33), in the CT group was 5.7% (95% CI, 2.2%-9.5%; adjusted OR, 3.63; 95% CI, 1.51-8.69), and in the CEA+CT group was 4.3% (95% CI, 1.0%-7.9%; adjusted OR, 3.10; 95% CI, 1.10-8.71). The number of deaths was not significantly different in the combined intensive monitoring groups (CEA, CT, and CEA+CT; 18.2\u2026", "author" : [ { "dropping-particle" : "", "family" : "Primrose", "given" : "John N", "non-dropping-particle" : "", "parse-names" : false, "suffix" : "" }, { "dropping-particle" : "", "family" : "Perera", "given" : "Rafael", "non-dropping-particle" : "", "parse-names" : false, "suffix" : "" }, { "dropping-particle" : "", "family" : "Gray", "given" : "Alastair", "non-dropping-particle" : "", "parse-names" : false, "suffix" : "" }, { "dropping-particle" : "", "family" : "Rose", "given" : "Peter", "non-dropping-particle" : "", "parse-names" : false, "suffix" : "" }, { "dropping-particle" : "", "family" : "Fuller", "given" : "Alice", "non-dropping-particle" : "", "parse-names" : false, "suffix" : "" }, { "dropping-particle" : "", "family" : "Corkhill", "given" : "Andrea", "non-dropping-particle" : "", "parse-names" : false, "suffix" : "" }, { "dropping-particle" : "", "family" : "George", "given" : "Steve", "non-dropping-particle" : "", "parse-names" : false, "suffix" : "" }, { "dropping-particle" : "", "family" : "Mant", "given" : "David", "non-dropping-particle" : "", "parse-names" : false, "suffix" : "" } ], "container-title" : "JAMA : the journal of the American Medical Association", "id" : "ITEM-1", "issue" : "3", "issued" : { "date-parts" : [ [ "2014" ] ] }, "page" : "263-70", "title" : "Effect of 3 to 5 years of scheduled CEA and CT follow-up to detect recurrence of colorectal cancer: the FACS randomized clinical trial.", "type" : "article-journal", "volume" : "311" }, "uris" : [ "http://www.mendeley.com/documents/?uuid=ea5f6b97-dd87-4c21-9f9f-54f0f1ca8208" ] } ], "mendeley" : { "formattedCitation" : "[2]", "plainTextFormattedCitation" : "[2]", "previouslyFormattedCitation" : "[2]" }, "properties" : { "noteIndex" : 0 }, "schema" : "https://github.com/citation-style-language/schema/raw/master/csl-citation.json" }</w:instrText>
      </w:r>
      <w:r w:rsidR="00B10656">
        <w:fldChar w:fldCharType="separate"/>
      </w:r>
      <w:r w:rsidR="00E3241D" w:rsidRPr="00E3241D">
        <w:rPr>
          <w:noProof/>
        </w:rPr>
        <w:t>[2]</w:t>
      </w:r>
      <w:r w:rsidR="00B10656">
        <w:fldChar w:fldCharType="end"/>
      </w:r>
      <w:r w:rsidR="00B10656">
        <w:t>)</w:t>
      </w:r>
      <w:r w:rsidR="00A26795">
        <w:t xml:space="preserve">, whose data was </w:t>
      </w:r>
      <w:r w:rsidR="00FF7281">
        <w:t xml:space="preserve">used </w:t>
      </w:r>
      <w:r w:rsidR="00A26795">
        <w:t>in validation</w:t>
      </w:r>
      <w:r w:rsidR="00FF7281">
        <w:t>.</w:t>
      </w:r>
      <w:r w:rsidR="00256EBC">
        <w:t xml:space="preserve">  Overall, the model</w:t>
      </w:r>
      <w:r w:rsidR="005C35B4">
        <w:t xml:space="preserve"> predicted 5-year survival among subjects with recurrence that was 6.4 percentage points lower than </w:t>
      </w:r>
      <w:r w:rsidR="00256EBC">
        <w:t>what was reported</w:t>
      </w:r>
      <w:r w:rsidR="00B00103">
        <w:t xml:space="preserve"> in the combined FACS trial colon cancer subjects</w:t>
      </w:r>
      <w:r w:rsidR="005C35B4">
        <w:t xml:space="preserve">.  </w:t>
      </w:r>
      <w:r w:rsidR="00B00103">
        <w:t xml:space="preserve">Over approximately the same timespan (1995-2005) </w:t>
      </w:r>
      <w:r w:rsidR="005C35B4">
        <w:t xml:space="preserve">In the U.S., 5-year </w:t>
      </w:r>
      <w:r w:rsidR="00B00103">
        <w:t xml:space="preserve">relative </w:t>
      </w:r>
      <w:r w:rsidR="005C35B4">
        <w:t>survival for colorectal cancer patient</w:t>
      </w:r>
      <w:r w:rsidR="00B10656">
        <w:t>s</w:t>
      </w:r>
      <w:r w:rsidR="005C35B4">
        <w:t xml:space="preserve"> </w:t>
      </w:r>
      <w:r w:rsidR="004D4223">
        <w:t>in general</w:t>
      </w:r>
      <w:r w:rsidR="005C35B4">
        <w:t xml:space="preserve"> </w:t>
      </w:r>
      <w:r w:rsidR="00386E14">
        <w:t>improved</w:t>
      </w:r>
      <w:r w:rsidR="005C35B4">
        <w:t xml:space="preserve"> </w:t>
      </w:r>
      <w:r w:rsidR="00256EBC">
        <w:t xml:space="preserve">by </w:t>
      </w:r>
      <w:r w:rsidR="005C35B4">
        <w:t>6.5 percentage points.</w:t>
      </w:r>
      <w:r w:rsidR="00B10656">
        <w:fldChar w:fldCharType="begin" w:fldLock="1"/>
      </w:r>
      <w:r w:rsidR="00C82D09">
        <w:instrText>ADDIN CSL_CITATION { "citationItems" : [ { "id" : "ITEM-1", "itemData" : { "URL" : "https://seer.cancer.gov/statfacts/html/colorect.html", "abstract" : "5-yr OS for CRC pts in the U.S. improved from 59.7% in 1995 to 66.2% in 2005.", "accessed" : { "date-parts" : [ [ "2018", "3", "17" ] ] }, "author" : [ { "dropping-particle" : "", "family" : "Surveillance, Epidemiology", "given" : "and End Results Data", "non-dropping-particle" : "", "parse-names" : false, "suffix" : "" } ], "id" : "ITEM-1", "issued" : { "date-parts" : [ [ "2017" ] ] }, "title" : "Cancer Stat Facts: Colorectal Cancer", "type" : "webpage" }, "uris" : [ "http://www.mendeley.com/documents/?uuid=201f10f0-eb2f-4b0b-a0d9-783052955e30" ] } ], "mendeley" : { "formattedCitation" : "[49]", "plainTextFormattedCitation" : "[49]", "previouslyFormattedCitation" : "[49]" }, "properties" : { "noteIndex" : 0 }, "schema" : "https://github.com/citation-style-language/schema/raw/master/csl-citation.json" }</w:instrText>
      </w:r>
      <w:r w:rsidR="00B10656">
        <w:fldChar w:fldCharType="separate"/>
      </w:r>
      <w:r w:rsidR="00C82D09" w:rsidRPr="00C82D09">
        <w:rPr>
          <w:noProof/>
        </w:rPr>
        <w:t>[49]</w:t>
      </w:r>
      <w:r w:rsidR="00B10656">
        <w:fldChar w:fldCharType="end"/>
      </w:r>
      <w:r w:rsidR="00EA6621">
        <w:t xml:space="preserve">  </w:t>
      </w:r>
      <w:r w:rsidR="004D4223">
        <w:t>Finally, a</w:t>
      </w:r>
      <w:r w:rsidR="00FA1DB8">
        <w:t xml:space="preserve"> calibration plot</w:t>
      </w:r>
      <w:r w:rsidR="00B71456">
        <w:t xml:space="preserve"> slope less than </w:t>
      </w:r>
      <w:r w:rsidR="001C6787">
        <w:t>1.0 reflects the fact that predicted change in the proportion of subjects alive between years 1 and 5 was slightly greater than observed in the FACS trial</w:t>
      </w:r>
      <w:r w:rsidR="008C56E4">
        <w:t>.</w:t>
      </w:r>
      <w:r w:rsidR="008C56E4">
        <w:fldChar w:fldCharType="begin" w:fldLock="1"/>
      </w:r>
      <w:r w:rsidR="00C82D09">
        <w:instrText>ADDIN CSL_CITATION { "citationItems" : [ { "id" : "ITEM-1", "itemData" : { "DOI" : "10.1136/bmj.b605", "ISBN" : "1468-5833", "ISSN" : "0959-8138", "PMID" : "19477892", "abstract" : "Prognostic models are of little clinical value unless they are shown to work in other samples. douglas altman and colleagues describe how to validate models and discuss some of the problems", "author" : [ { "dropping-particle" : "", "family" : "Altman", "given" : "Douglas G", "non-dropping-particle" : "", "parse-names" : false, "suffix" : "" }, { "dropping-particle" : "", "family" : "Vergouwe", "given" : "Yvonne", "non-dropping-particle" : "", "parse-names" : false, "suffix" : "" }, { "dropping-particle" : "", "family" : "Royston", "given" : "Patrick", "non-dropping-particle" : "", "parse-names" : false, "suffix" : "" }, { "dropping-particle" : "", "family" : "Moons", "given" : "Karel G M", "non-dropping-particle" : "", "parse-names" : false, "suffix" : "" } ], "container-title" : "BMJ", "id" : "ITEM-1", "issue" : "june", "issued" : { "date-parts" : [ [ "2009" ] ] }, "page" : "b605", "title" : "Prognosis and prognostic research: validating a prognostic model.", "type" : "article-journal", "volume" : "338" }, "uris" : [ "http://www.mendeley.com/documents/?uuid=a1cfac1f-4a65-41df-aea0-c20450aaf3d8", "http://www.mendeley.com/documents/?uuid=9e4ae46e-014b-4dac-a3ba-0f4d34b73cab" ] }, { "id" : "ITEM-2", "itemData" : { "DOI" : "10.1177/0272989X9301300107", "ISBN" : "0272-989X (Print) 0272-989X (Linking)", "ISSN" : "0272-989X", "PMID" : "8433637", "abstract" : "Current advances in high-speed computing and increased availability of statistical software have led to widespread use of statistical methods for the development of computerized protocols predictive of binary health outcomes. If these predictive algorithms are to be used in settings other than those for which they were developed, e.g., applied in a different geographic setting or extrapolated for use in a slightly different population, then they should be carefully validated to ensure appropriate application. Miller et al. (Stat Med. 1991) provided a comprehensive methodology for external validation of logistic prediction models, and applied these methods in a temporal validation setting. In this article, the authors emphasize how these methods can be applied to general forms of probabilistic predictions and provide several SAS macros for computation of the desired statistics.", "author" : [ { "dropping-particle" : "", "family" : "Miller", "given" : "M E", "non-dropping-particle" : "", "parse-names" : false, "suffix" : "" }, { "dropping-particle" : "", "family" : "Langefeld", "given" : "C D", "non-dropping-particle" : "", "parse-names" : false, "suffix" : "" }, { "dropping-particle" : "", "family" : "Tierney", "given" : "W M", "non-dropping-particle" : "", "parse-names" : false, "suffix" : "" }, { "dropping-particle" : "", "family" : "Hui", "given" : "S L", "non-dropping-particle" : "", "parse-names" : false, "suffix" : "" }, { "dropping-particle" : "", "family" : "McDonald", "given" : "C J", "non-dropping-particle" : "", "parse-names" : false, "suffix" : "" } ], "container-title" : "Medical decision making : an international journal of the Society for Medical Decision Making", "id" : "ITEM-2", "issue" : "1", "issued" : { "date-parts" : [ [ "1993" ] ] }, "page" : "49-58", "title" : "Validation of probabilistic predictions.", "type" : "article-journal", "volume" : "13" }, "uris" : [ "http://www.mendeley.com/documents/?uuid=d095d54f-59cb-454a-a667-18bd463d765d", "http://www.mendeley.com/documents/?uuid=c05114a5-42c8-4d7b-9a7e-83bbd3695e91" ] } ], "mendeley" : { "formattedCitation" : "[46, 50]", "plainTextFormattedCitation" : "[46, 50]", "previouslyFormattedCitation" : "[46, 50]" }, "properties" : { "noteIndex" : 0 }, "schema" : "https://github.com/citation-style-language/schema/raw/master/csl-citation.json" }</w:instrText>
      </w:r>
      <w:r w:rsidR="008C56E4">
        <w:fldChar w:fldCharType="separate"/>
      </w:r>
      <w:r w:rsidR="00C82D09" w:rsidRPr="00C82D09">
        <w:rPr>
          <w:noProof/>
        </w:rPr>
        <w:t>[46, 50]</w:t>
      </w:r>
      <w:r w:rsidR="008C56E4">
        <w:fldChar w:fldCharType="end"/>
      </w:r>
      <w:r w:rsidR="00B71456">
        <w:t xml:space="preserve">  The</w:t>
      </w:r>
      <w:r w:rsidR="000F4E94">
        <w:t xml:space="preserve"> slope of 0.86</w:t>
      </w:r>
      <w:r w:rsidR="008C56E4">
        <w:t xml:space="preserve"> compares favorably with calibration plot slopes from other external model validations.</w:t>
      </w:r>
      <w:r w:rsidR="008C56E4">
        <w:fldChar w:fldCharType="begin" w:fldLock="1"/>
      </w:r>
      <w:r w:rsidR="00C82D09">
        <w:instrText>ADDIN CSL_CITATION { "citationItems" : [ { "id" : "ITEM-1", "itemData" : { "DOI" : "10.1097/EDE.0b013e3181c30fb2.Assessing", "ISBN" : "1531-5487 (Electronic) 1044-3983 (Linking)", "ISSN" : "1531-5487", "PMID" : "20010215", "abstract" : "The performance of prediction models can be assessed using a variety of different methods and metrics. Traditional measures for binary and survival outcomes include the Brier score to indicate overall model performance, the concordance (or c ) statistic for discriminative ability (or area under the receiver operating characteristic (ROC) curve), and goodness-of-fit statistics for calibration. Several new measures have recently been proposed that can be seen as refinements of discrimination measures, including variants of the c statistic for survival, reclassification tables, net reclassification improvement (NRI), and integrated discrimination improvement (IDI). Moreover, decision\u2013analytic measures have been proposed, including decision curves to plot the net benefit achieved by making decisions based on model predictions. We aimed to define the role of these relatively novel approaches in the evaluation of the performance of prediction models. For illustration we present a case study of predicting the presence of residual tumor versus benign tissue in patients with testicular cancer (n=544 for model development, n=273 for external validation). We suggest that reporting discrimination and calibration will always be important for a prediction model. Decision-analytic measures should be reported if the predictive model is to be used for making clinical decisions. Other measures of performance may be warranted in specific applications, such as reclassification metrics to gain insight into the value of adding a novel predictor", "author" : [ { "dropping-particle" : "", "family" : "Steyerberg", "given" : "Ewout W", "non-dropping-particle" : "", "parse-names" : false, "suffix" : "" }, { "dropping-particle" : "", "family" : "Vickers", "given" : "Andrew J", "non-dropping-particle" : "", "parse-names" : false, "suffix" : "" }, { "dropping-particle" : "", "family" : "Cook", "given" : "Nancy R", "non-dropping-particle" : "", "parse-names" : false, "suffix" : "" }, { "dropping-particle" : "", "family" : "Gerds", "given" : "Thomas", "non-dropping-particle" : "", "parse-names" : false, "suffix" : "" }, { "dropping-particle" : "", "family" : "Obuchowski", "given" : "Nancy", "non-dropping-particle" : "", "parse-names" : false, "suffix" : "" }, { "dropping-particle" : "", "family" : "Pencina", "given" : "Michael J", "non-dropping-particle" : "", "parse-names" : false, "suffix" : "" }, { "dropping-particle" : "", "family" : "Kattan", "given" : "Michael W", "non-dropping-particle" : "", "parse-names" : false, "suffix" : "" } ], "container-title" : "Epidemiology", "id" : "ITEM-1", "issue" : "1", "issued" : { "date-parts" : [ [ "2010" ] ] }, "page" : "128-138", "title" : "Assessing the performance of prediction models : A framework for some traditional and novel measures", "type" : "article-journal", "volume" : "21" }, "uris" : [ "http://www.mendeley.com/documents/?uuid=41adb765-95d1-439a-9cab-741f06be0c20", "http://www.mendeley.com/documents/?uuid=6e7aee20-4250-497d-9129-cced810be31f" ] }, { "id" : "ITEM-2", "itemData" : { "DOI" : "10.1136/bmj.b605", "ISBN" : "1468-5833", "ISSN" : "0959-8138", "PMID" : "19477892", "abstract" : "Prognostic models are of little clinical value unless they are shown to work in other samples. douglas altman and colleagues describe how to validate models and discuss some of the problems", "author" : [ { "dropping-particle" : "", "family" : "Altman", "given" : "Douglas G", "non-dropping-particle" : "", "parse-names" : false, "suffix" : "" }, { "dropping-particle" : "", "family" : "Vergouwe", "given" : "Yvonne", "non-dropping-particle" : "", "parse-names" : false, "suffix" : "" }, { "dropping-particle" : "", "family" : "Royston", "given" : "Patrick", "non-dropping-particle" : "", "parse-names" : false, "suffix" : "" }, { "dropping-particle" : "", "family" : "Moons", "given" : "Karel G M", "non-dropping-particle" : "", "parse-names" : false, "suffix" : "" } ], "container-title" : "BMJ", "id" : "ITEM-2", "issue" : "june", "issued" : { "date-parts" : [ [ "2009" ] ] }, "page" : "b605", "title" : "Prognosis and prognostic research: validating a prognostic model.", "type" : "article-journal", "volume" : "338" }, "uris" : [ "http://www.mendeley.com/documents/?uuid=9e4ae46e-014b-4dac-a3ba-0f4d34b73cab", "http://www.mendeley.com/documents/?uuid=a1cfac1f-4a65-41df-aea0-c20450aaf3d8", "http://www.mendeley.com/documents/?uuid=cf9f856c-d75a-4840-b778-51f6ff77a073" ] } ], "mendeley" : { "formattedCitation" : "[45, 50]", "plainTextFormattedCitation" : "[45, 50]", "previouslyFormattedCitation" : "[45, 50]" }, "properties" : { "noteIndex" : 0 }, "schema" : "https://github.com/citation-style-language/schema/raw/master/csl-citation.json" }</w:instrText>
      </w:r>
      <w:r w:rsidR="008C56E4">
        <w:fldChar w:fldCharType="separate"/>
      </w:r>
      <w:r w:rsidR="00C82D09" w:rsidRPr="00C82D09">
        <w:rPr>
          <w:noProof/>
        </w:rPr>
        <w:t>[45, 50]</w:t>
      </w:r>
      <w:r w:rsidR="008C56E4">
        <w:fldChar w:fldCharType="end"/>
      </w:r>
      <w:r w:rsidR="008C56E4">
        <w:t xml:space="preserve">  </w:t>
      </w:r>
    </w:p>
    <w:p w14:paraId="49D1040C" w14:textId="332AAC2C" w:rsidR="00407CDE" w:rsidRPr="00C93121" w:rsidRDefault="00E728C6" w:rsidP="00B03879">
      <w:pPr>
        <w:spacing w:after="0" w:line="480" w:lineRule="auto"/>
        <w:ind w:firstLine="720"/>
      </w:pPr>
      <w:bookmarkStart w:id="2" w:name="_Hlk424971"/>
      <w:r>
        <w:t xml:space="preserve">We </w:t>
      </w:r>
      <w:r w:rsidRPr="00D3522C">
        <w:t>previously developed a simple proof-of-concept model</w:t>
      </w:r>
      <w:r>
        <w:t xml:space="preserve"> </w:t>
      </w:r>
      <w:r w:rsidRPr="00D3522C">
        <w:t>simulat</w:t>
      </w:r>
      <w:r>
        <w:t>ing</w:t>
      </w:r>
      <w:r w:rsidRPr="00D3522C">
        <w:t xml:space="preserve"> the interactio</w:t>
      </w:r>
      <w:r>
        <w:t xml:space="preserve">n between </w:t>
      </w:r>
      <w:r w:rsidR="00A12F2B" w:rsidRPr="00D3522C">
        <w:t xml:space="preserve">recurrence </w:t>
      </w:r>
      <w:r>
        <w:t>natural history</w:t>
      </w:r>
      <w:r w:rsidRPr="00D3522C">
        <w:t xml:space="preserve"> and early detection through surveillance</w:t>
      </w:r>
      <w:r>
        <w:t>.</w:t>
      </w:r>
      <w:r>
        <w:fldChar w:fldCharType="begin" w:fldLock="1"/>
      </w:r>
      <w:r w:rsidR="00C82D09">
        <w:instrText>ADDIN CSL_CITATION { "citationItems" : [ { "id" : "ITEM-1", "itemData" : { "DOI" : "10.1186/1472-6947-14-29", "ISBN" : "1472-6947 (Electronic) 1472-6947 (Linking)", "PMID" : "24708517", "abstract" : "BACKGROUND: Approximately one-third of those treated curatively for colorectal cancer (CRC) will experience recurrence. No evidence-based consensus exists on how best to follow patients after initial treatment to detect asymptomatic recurrence. Here, a new approach for simulating surveillance and recurrence among CRC survivors is outlined, and development and calibration of a simple model applying this approach is described. The model's ability to predict outcomes for a group of patients under a specified surveillance strategy is validated. METHODS: We developed an individual-based simulation model consisting of two interacting submodels: a continuous-time disease-progression submodel overlain by a discrete-time Markov submodel of surveillance and re-treatment. In the former, some patients develops recurrent disease which probabilistically progresses from detectability to unresectability, and which may produce early symptoms leading to detection independent of surveillance testing. In the latter submodel, patients undergo user-specified surveillance testing regimens. Parameters describing disease progression were preliminarily estimated through calibration to match five-year disease-free survival, overall survival at years 1-5, and proportion of recurring patients undergoing curative salvage surgery from one arm of a published randomized trial. The calibrated model was validated by examining its ability to predict these same outcomes for patients in a different arm of the same trial undergoing less aggressive surveillance. RESULTS: Calibrated parameter values were consistent with generally observed recurrence patterns. Sensitivity analysis suggested probability of curative salvage surgery was most influenced by sensitivity of carcinoembryonic antigen assay and of clinical interview/examination (i.e. scheduled provider visits). In validation, the model accurately predicted overall survival (59% predicted, 58% observed) and five-year disease-free survival (55% predicted, 53% observed), but was less accurate in predicting curative salvage surgery (10% predicted; 6% observed). CONCLUSIONS: Initial validation suggests the feasibility of this approach to modeling alternative surveillance regimens among CRC survivors. Further calibration to individual-level patient data could yield a model useful for predicting outcomes of specific surveillance strategies for risk-based subgroups or for individuals. This approach could be applied toward developing novel, tailo\u2026", "author" : [ { "dropping-particle" : "", "family" : "Rose", "given" : "J", "non-dropping-particle" : "", "parse-names" : false, "suffix" : "" }, { "dropping-particle" : "", "family" : "Augestad", "given" : "K M", "non-dropping-particle" : "", "parse-names" : false, "suffix" : "" }, { "dropping-particle" : "", "family" : "Kong", "given" : "C Y", "non-dropping-particle" : "", "parse-names" : false, "suffix" : "" }, { "dropping-particle" : "", "family" : "Meropol", "given" : "N J", "non-dropping-particle" : "", "parse-names" : false, "suffix" : "" }, { "dropping-particle" : "", "family" : "Kattan", "given" : "M W", "non-dropping-particle" : "", "parse-names" : false, "suffix" : "" }, { "dropping-particle" : "", "family" : "Hong", "given" : "Q", "non-dropping-particle" : "", "parse-names" : false, "suffix" : "" }, { "dropping-particle" : "", "family" : "An", "given" : "X", "non-dropping-particle" : "", "parse-names" : false, "suffix" : "" }, { "dropping-particle" : "", "family" : "Cooper", "given" : "G S", "non-dropping-particle" : "", "parse-names" : false, "suffix" : "" } ], "container-title" : "BMC Medical Informatics and Decision Making", "edition" : "2014/04/09", "id" : "ITEM-1", "issued" : { "date-parts" : [ [ "2014" ] ] }, "language" : "eng", "note" : "Rose, Johnie\nAugestad, Knut Magne\nKong, Chung Yin\nMeropol, Neal J\nKattan, Michael W\nHong, Qingqing\nAn, Xuebei\nCooper, Gregory S\n5P30 CA043703-21/CA/NCI NIH HHS/\nEngland\nBMC Med Inform Decis Mak. 2014 Apr 8;14:29. doi: 10.1186/1472-6947-14-29.", "page" : "29", "title" : "A simulation model of colorectal cancer surveillance and recurrence", "type" : "article-journal", "volume" : "14" }, "uris" : [ "http://www.mendeley.com/documents/?uuid=d66aa720-da32-49db-b668-33d756c7b978", "http://www.mendeley.com/documents/?uuid=9c43f4cc-c661-4866-bc6f-da572d83c725" ] } ], "mendeley" : { "formattedCitation" : "[31]", "plainTextFormattedCitation" : "[31]", "previouslyFormattedCitation" : "[31]" }, "properties" : { "noteIndex" : 0 }, "schema" : "https://github.com/citation-style-language/schema/raw/master/csl-citation.json" }</w:instrText>
      </w:r>
      <w:r>
        <w:fldChar w:fldCharType="separate"/>
      </w:r>
      <w:r w:rsidR="00C82D09" w:rsidRPr="00C82D09">
        <w:rPr>
          <w:noProof/>
        </w:rPr>
        <w:t>[31]</w:t>
      </w:r>
      <w:r>
        <w:fldChar w:fldCharType="end"/>
      </w:r>
      <w:r>
        <w:t xml:space="preserve">  It was the first published model to account</w:t>
      </w:r>
      <w:r w:rsidRPr="00DF64E6">
        <w:t xml:space="preserve"> for progression</w:t>
      </w:r>
      <w:r w:rsidR="002136E2">
        <w:t xml:space="preserve"> of recurrent disease</w:t>
      </w:r>
      <w:r w:rsidRPr="00DF64E6">
        <w:t xml:space="preserve"> during diagnostic delay and that consider</w:t>
      </w:r>
      <w:r>
        <w:t>ed</w:t>
      </w:r>
      <w:r w:rsidRPr="00DF64E6">
        <w:t xml:space="preserve"> the full range of possible metastatic sites.</w:t>
      </w:r>
      <w:r>
        <w:fldChar w:fldCharType="begin" w:fldLock="1"/>
      </w:r>
      <w:r w:rsidR="00C82D09">
        <w:instrText>ADDIN CSL_CITATION { "citationItems" : [ { "id" : "ITEM-1", "itemData" : { "DOI" : "10.1097/01.SLA.0000059989.55280.33", "ISBN" : "0003-4932 (Print)\r0003-4932 (Linking)", "PMID" : "12677152", "abstract" : "OBJECTIVE: To evaluate the cost-effectiveness of hepatic resection (\"metastasectomy\") in patients with metachronous liver metastases from colorectal carcinoma (CRC), and to investigate the impact of operative and follow-up strategies on outcomes, cost, and cost-effectiveness. SUMMARY BACKGROUND DATA: There is substantial evidence that resection of CRC liver metastases can result in long-term survival in some patients. However, several unresolved issues are difficult to address using currently available clinical data. These include the appropriate threshold for resection, whether to perform repeat resection, and the relative cost-effectiveness of the procedure(s). METHODS: The authors developed a state-transition Monte Carlo decision model to evaluate the (societal) cost-effectiveness of hepatic metastasectomy in patients with metachronous CRC liver metastases. The model tracks the presence, number, size, location, growth, detection, and removal of up to 15 individual metastases in each patient. Survival, quality of life, and cost are predicted on the basis of disease extent. Imaging and surgery affect outcomes via detection and removal of individual metastases. Several patient management strategies were developed and compared with respect to cost, effectiveness, and incremental cost-effectiveness ($/quality-adjusted life year [QALY]). A reference strategy in which metastasectomy is not offered and imaging is not performed for the purpose of assessing resectability or operative planning (\"no-surgery\" strategy) was included for comparison. Extensive sensitivity analysis was performed to evaluate the impact of alternative model assumptions on results. RESULTS: A strategy permitting resection of up to six metastases and one repeat resection, with CT follow-up every 6 months, resulted in a gain of 2.63 QALYs relative to the no-test/no-treat strategy, at an incremental cost of 18,100 US dollars/QALY. When additional surgical strategies were considered, the incremental cost-effectiveness ratio (ICER; relative to the next least effective strategy) of the six metastases, one repeat, 6-month strategy was 31,700 US dollars/QALY. Across a range of model assumptions, more aggressive treatment strategies (i.e., resection of more metastases, resection of recurrent metastases) were superior to less aggressive strategies and had ICERs below 35,000 US dollars/QALY. Findings were insensitive to changes in most model parameters but somewhat sensitive to changes in surgery \u2026", "author" : [ { "dropping-particle" : "", "family" : "Gazelle", "given" : "G S", "non-dropping-particle" : "", "parse-names" : false, "suffix" : "" }, { "dropping-particle" : "", "family" : "Hunink", "given" : "M G", "non-dropping-particle" : "", "parse-names" : false, "suffix" : "" }, { "dropping-particle" : "", "family" : "Kuntz", "given" : "K M", "non-dropping-particle" : "", "parse-names" : false, "suffix" : "" }, { "dropping-particle" : "", "family" : "McMahon", "given" : "P M", "non-dropping-particle" : "", "parse-names" : false, "suffix" : "" }, { "dropping-particle" : "", "family" : "Halpern", "given" : "E F", "non-dropping-particle" : "", "parse-names" : false, "suffix" : "" }, { "dropping-particle" : "", "family" : "Beinfeld", "given" : "M", "non-dropping-particle" : "", "parse-names" : false, "suffix" : "" }, { "dropping-particle" : "", "family" : "Lester", "given" : "J S", "non-dropping-particle" : "", "parse-names" : false, "suffix" : "" }, { "dropping-particle" : "", "family" : "Tanabe", "given" : "K K", "non-dropping-particle" : "", "parse-names" : false, "suffix" : "" }, { "dropping-particle" : "", "family" : "Weinstein", "given" : "M C", "non-dropping-particle" : "", "parse-names" : false, "suffix" : "" } ], "container-title" : "Annals of Surgery", "edition" : "2003/04/05", "id" : "ITEM-1", "issue" : "4", "issued" : { "date-parts" : [ [ "2003" ] ] }, "language" : "eng", "note" : "Gazelle, G Scott\nHunink, M G Myriam\nKuntz, Karen M\nMcMahon, Pamela M\nHalpern, Elkan F\nBeinfeld, Molly\nLester, Jessica S\nTanabe, Kenneth K\nWeinstein, Milton C\nR01 CA/HS 83960/CA/NCI NIH HHS/United States\nResearch Support, U.S. Gov't, Non-P.H.S.\nResearch Support, U.S. Gov't, P.H.S.\nReview\nUnited States\nAnnals of surgery\nAnn Surg. 2003 Apr;237(4):544-55.", "page" : "544-555", "title" : "Cost-effectiveness of hepatic metastasectomy in patients with metastatic colorectal carcinoma: a state-transition Monte Carlo decision analysis", "type" : "article-journal", "volume" : "237" }, "uris" : [ "http://www.mendeley.com/documents/?uuid=292462ff-176f-4600-879a-b5935143cb40", "http://www.mendeley.com/documents/?uuid=a7c3c667-126f-4365-b432-3f494ee1aa93" ] }, { "id" : "ITEM-2", "itemData" : { "DOI" : "10.1007/s00268-004-7256-0", "ISBN" : "0364-2313 (Print)\r0364-2313 (Linking)", "PMID" : "15366746", "abstract" : "The follow-up of patients with curative resection of colorectal cancer is still controversial. The means mobilized for postoperative monitoring come at a high cost. However, the modalities are neither formalized nor validated with regard to an improved 5-year survival rate. To compare the cost-effectiveness of both strategies for patient follow-up during the 7 years following curative resection of colorectal cancer, we performed a costeffectiveness analysis adjusted for quality of life. Using data from the literature and a population study, a simulation of follow-up on patients who had undergone curative resection of colorectal cancer was carried out over a 7-year period using a Markov model. Two Markov processes were modeled to compare the cost-effectiveness ratio adjusted for quality of life in patients with a follow-up in accordance with the recommendations of the 1998 French Consensus Conference (standard follow-up) with the carcinoembryonic antigen (CEA) assay and a simplified follow-up. The influence of standard follow-up on the quality-adjusted life expectancy of patients who had Duke's stage A and B colorectal cancer appears to be modest, with increases of 2.5 months and 1.3 months, respectively; it is more acceptable for patients who had had Duke's stage C, with an increase of 11 months. The high variability of cost-effectiveness ratios (&gt; 7 years) of +/- 44,830 and 180,195 Euro per quality-adjusted life-years (QALY), respectively) did not favor the standard follow-up. The cost-effectiveness ratio (&gt; 7 years) of patients having had Duke's stage C colorectal cancer was 1,058 (sd: 2746) Euro per QALY and could favor the standard follow-up. This study showed that standard follow-up with CEA assay tended to preferentially improve the survival of Duke's stage C patients. The type of examination needed and the frequency with which it has to be carried out should take account of the stage, treatment for the initial illness, and the patient's age.", "author" : [ { "dropping-particle" : "", "family" : "Borie", "given" : "F", "non-dropping-particle" : "", "parse-names" : false, "suffix" : "" }, { "dropping-particle" : "", "family" : "Combescure", "given" : "C", "non-dropping-particle" : "", "parse-names" : false, "suffix" : "" }, { "dropping-particle" : "", "family" : "Daures", "given" : "J P", "non-dropping-particle" : "", "parse-names" : false, "suffix" : "" }, { "dropping-particle" : "", "family" : "Tretarre", "given" : "B", "non-dropping-particle" : "", "parse-names" : false, "suffix" : "" }, { "dropping-particle" : "", "family" : "Millat", "given" : "B", "non-dropping-particle" : "", "parse-names" : false, "suffix" : "" } ], "container-title" : "World Journal of Surgery", "edition" : "2004/09/16", "id" : "ITEM-2", "issue" : "6", "issued" : { "date-parts" : [ [ "2004" ] ] }, "language" : "eng", "note" : "Borie, Frederic\nCombescure, Christophe\nDaures, Jean-Pierre\nTretarre, Brigitte\nMillat, Bertrand\nComparative Study\nUnited States\nWorld journal of surgery\nWorld J Surg. 2004 Jun;28(6):563-9.", "page" : "563-569", "title" : "Cost-effectiveness of two follow-up strategies for curative resection of colorectal cancer: comparative study using a Markov model", "type" : "article-journal", "volume" : "28" }, "uris" : [ "http://www.mendeley.com/documents/?uuid=7975441e-d3ba-4ad0-9d18-cad4dd19fa88", "http://www.mendeley.com/documents/?uuid=8097450a-8797-4a02-956b-0e7c5f9f8658" ] }, { "id" : "ITEM-3", "itemData" : { "DOI" : "10.1002/cncr.30091", "ISSN" : "10970142", "author" : [ { "dropping-particle" : "", "family" : "Erenay", "given" : "Fatih Safa", "non-dropping-particle" : "", "parse-names" : false, "suffix" : "" }, { "dropping-particle" : "", "family" : "Alagoz", "given" : "Oguzhan", "non-dropping-particle" : "", "parse-names" : false, "suffix" : "" }, { "dropping-particle" : "", "family" : "Banerjee", "given" : "Ritesh", "non-dropping-particle" : "", "parse-names" : false, "suffix" : "" }, { "dropping-particle" : "", "family" : "Said", "given" : "Adnan", "non-dropping-particle" : "", "parse-names" : false, "suffix" : "" }, { "dropping-particle" : "", "family" : "Cima", "given" : "Robert R.", "non-dropping-particle" : "", "parse-names" : false, "suffix" : "" } ], "container-title" : "Cancer", "id" : "ITEM-3", "issue" : "16", "issued" : { "date-parts" : [ [ "2016" ] ] }, "page" : "2560-2570", "title" : "Cost-effectiveness of alternative colonoscopy surveillance strategies to mitigate metachronous colorectal cancer incidence", "type" : "article-journal", "volume" : "122" }, "uris" : [ "http://www.mendeley.com/documents/?uuid=4ad835a3-e664-4bb9-a317-5b20e4186601", "http://www.mendeley.com/documents/?uuid=8fc72d4d-dfed-4346-84b6-27ba98a45ba7" ] }, { "id" : "ITEM-4", "itemData" : { "DOI" : "10.1136/bmj.328.7431.81", "ISBN" : "1468-5833 (Electronic)\r0959-535X (Linking)", "PMID" : "14715603", "abstract" : "OBJECTIVE: To determine the cost effectiveness of intensive follow up compared with conventional follow up in patients with colorectal cancer. DESIGN: Incremental cost effectiveness analysis recognising differences in follow up strategies, based on effectiveness data from a meta-analysis of five randomised trials. SETTING: United Kingdom. MAIN OUTCOME MEASURES: Taking a health service perspective, estimated incremental costs effectiveness ratios for each life year gained for five trials and four trials designed for early detection of extramural recurrences (targeted surveillance). RESULTS: Based on five year follow up, the numbers of life years gained by intensive follow up were 0.73 for the five trial model and 0.82 for the four trial model. For the five trials, the adjusted net (extra) cost for each patient was 2479 pounds sterling (3550 euros; 4288 dollars) and for each life year gained was 3402 pounds sterling, substantially lower than the current threshold of NHS cost acceptability (30 000 pounds sterling). The corresponding values for the four trial model were 2529 pounds sterling and 3077 pounds sterling, suggesting that targeted surveillance is more cost effective. The main predictor of incremental cost effectiveness ratios was surveillance costs rather than treatment costs. Judged against the NHS threshold of cost acceptability, the predicted incremental cost threshold was ninefold and the effectiveness threshold was 3%. CONCLUSIONS: Based on the available data and current costs, intensive follow up after curative resection for colorectal cancer is economically justified and should be normal practice. There is a continuing need to evaluate the efficacy of specific surveillance tools: this study forms the basis for economic evaluations in such trials.", "author" : [ { "dropping-particle" : "", "family" : "Renehan", "given" : "A G", "non-dropping-particle" : "", "parse-names" : false, "suffix" : "" }, { "dropping-particle" : "", "family" : "O'Dwyer", "given" : "S T", "non-dropping-particle" : "", "parse-names" : false, "suffix" : "" }, { "dropping-particle" : "", "family" : "Whynes", "given" : "D K", "non-dropping-particle" : "", "parse-names" : false, "suffix" : "" } ], "container-title" : "BMJ (Clinical Research Ed.)", "edition" : "2004/01/13", "id" : "ITEM-4", "issue" : "7431", "issued" : { "date-parts" : [ [ "2004" ] ] }, "language" : "eng", "note" : "Renehan, Andrew G\nO'Dwyer, Sarah T\nWhynes, David K\nMulticenter Study\nEngland\nBMJ (Clinical research ed.)\nBMJ. 2004 Jan 10;328(7431):81.", "page" : "81", "title" : "Cost effectiveness analysis of intensive versus conventional follow up after curative resection for colorectal cancer", "type" : "article-journal", "volume" : "328" }, "uris" : [ "http://www.mendeley.com/documents/?uuid=7b4e64be-428c-4642-869c-6324f01e2fae", "http://www.mendeley.com/documents/?uuid=e8dda73d-1c9b-4919-a424-8180ae7534da" ] } ], "mendeley" : { "formattedCitation" : "[51\u201354]", "plainTextFormattedCitation" : "[51\u201354]", "previouslyFormattedCitation" : "[51\u201354]" }, "properties" : { "noteIndex" : 0 }, "schema" : "https://github.com/citation-style-language/schema/raw/master/csl-citation.json" }</w:instrText>
      </w:r>
      <w:r>
        <w:fldChar w:fldCharType="separate"/>
      </w:r>
      <w:r w:rsidR="00C82D09" w:rsidRPr="00C82D09">
        <w:rPr>
          <w:noProof/>
        </w:rPr>
        <w:t>[51–54]</w:t>
      </w:r>
      <w:r>
        <w:fldChar w:fldCharType="end"/>
      </w:r>
      <w:r>
        <w:t xml:space="preserve">  </w:t>
      </w:r>
      <w:bookmarkEnd w:id="2"/>
      <w:proofErr w:type="spellStart"/>
      <w:r w:rsidR="00535432">
        <w:t>CCSuRe</w:t>
      </w:r>
      <w:proofErr w:type="spellEnd"/>
      <w:r w:rsidR="00C67AC8" w:rsidRPr="00C93121">
        <w:t xml:space="preserve"> builds upon </w:t>
      </w:r>
      <w:r w:rsidR="00A314FE">
        <w:t>our previous model</w:t>
      </w:r>
      <w:r w:rsidR="00AD6015" w:rsidRPr="00C93121">
        <w:t xml:space="preserve"> </w:t>
      </w:r>
      <w:r w:rsidR="000838E0" w:rsidRPr="00C93121">
        <w:t>by using</w:t>
      </w:r>
      <w:r w:rsidR="00AD6015" w:rsidRPr="00C93121">
        <w:t xml:space="preserve"> indi</w:t>
      </w:r>
      <w:r w:rsidR="00AE44FB" w:rsidRPr="00C93121">
        <w:t>vidual-level patient data to param</w:t>
      </w:r>
      <w:r w:rsidR="007A6144" w:rsidRPr="00C93121">
        <w:t>eterize functions describing</w:t>
      </w:r>
      <w:r w:rsidR="00AE44FB" w:rsidRPr="00C93121">
        <w:t xml:space="preserve"> </w:t>
      </w:r>
      <w:r w:rsidR="00AD764C" w:rsidRPr="00C93121">
        <w:t>non-</w:t>
      </w:r>
      <w:r w:rsidR="00E86C1F" w:rsidRPr="00C93121">
        <w:t>constant</w:t>
      </w:r>
      <w:r w:rsidR="00AD764C" w:rsidRPr="00C93121">
        <w:t xml:space="preserve"> </w:t>
      </w:r>
      <w:r w:rsidR="00AE44FB" w:rsidRPr="00C93121">
        <w:t>hazard</w:t>
      </w:r>
      <w:r w:rsidR="00A06ED6" w:rsidRPr="00C93121">
        <w:t>s</w:t>
      </w:r>
      <w:r w:rsidR="00AE44FB" w:rsidRPr="00C93121">
        <w:t xml:space="preserve"> of sta</w:t>
      </w:r>
      <w:r w:rsidR="00B6424E">
        <w:t>t</w:t>
      </w:r>
      <w:r w:rsidR="00AE44FB" w:rsidRPr="00C93121">
        <w:t>e transitions over time</w:t>
      </w:r>
      <w:r w:rsidR="00D20E58" w:rsidRPr="00C93121">
        <w:t>.</w:t>
      </w:r>
      <w:r w:rsidR="00CC5FEB" w:rsidRPr="00C93121">
        <w:t xml:space="preserve">  </w:t>
      </w:r>
      <w:r w:rsidR="00BB0BAC">
        <w:t>T</w:t>
      </w:r>
      <w:r w:rsidR="00CC5FEB" w:rsidRPr="00C93121">
        <w:t>he new model</w:t>
      </w:r>
      <w:r w:rsidR="00407CDE" w:rsidRPr="00C93121">
        <w:t xml:space="preserve"> also</w:t>
      </w:r>
      <w:r w:rsidR="00CC5FEB" w:rsidRPr="00C93121">
        <w:t xml:space="preserve"> incorporates covariates account</w:t>
      </w:r>
      <w:r w:rsidR="00FC5275">
        <w:t>ing</w:t>
      </w:r>
      <w:r w:rsidR="00CC5FEB" w:rsidRPr="00C93121">
        <w:t xml:space="preserve"> for the effect of cancer stage on progression risk and for the effect of age on mortality.</w:t>
      </w:r>
      <w:r w:rsidR="00407CDE" w:rsidRPr="00C93121">
        <w:t xml:space="preserve">  </w:t>
      </w:r>
      <w:proofErr w:type="spellStart"/>
      <w:r w:rsidR="00535432">
        <w:t>CCSuRe</w:t>
      </w:r>
      <w:proofErr w:type="spellEnd"/>
      <w:r w:rsidR="007038E2" w:rsidRPr="00C93121">
        <w:t xml:space="preserve"> employs m</w:t>
      </w:r>
      <w:r w:rsidR="00407CDE" w:rsidRPr="00C93121">
        <w:t xml:space="preserve">ore realistic </w:t>
      </w:r>
      <w:r w:rsidR="007038E2" w:rsidRPr="00C93121">
        <w:t xml:space="preserve">algorithms based on empirical data to simulate </w:t>
      </w:r>
      <w:r w:rsidR="00407CDE" w:rsidRPr="00C93121">
        <w:t>diagnostic testing following positive surveillance findings</w:t>
      </w:r>
      <w:r w:rsidR="000A1F64">
        <w:t xml:space="preserve">—a </w:t>
      </w:r>
      <w:r w:rsidR="0081090C" w:rsidRPr="00C93121">
        <w:t xml:space="preserve">feature </w:t>
      </w:r>
      <w:r w:rsidR="000F7ECF">
        <w:t xml:space="preserve">that </w:t>
      </w:r>
      <w:r w:rsidR="0081090C" w:rsidRPr="00C93121">
        <w:t>will enable</w:t>
      </w:r>
      <w:r w:rsidR="00E86C1F" w:rsidRPr="00C93121">
        <w:t xml:space="preserve"> future</w:t>
      </w:r>
      <w:r w:rsidR="0081090C" w:rsidRPr="00C93121">
        <w:t xml:space="preserve"> cost comparisons between proposed surveillance regimens.</w:t>
      </w:r>
    </w:p>
    <w:p w14:paraId="5DB34158" w14:textId="4127F2BF" w:rsidR="0072271D" w:rsidRPr="00C93121" w:rsidRDefault="00151060" w:rsidP="00B03879">
      <w:pPr>
        <w:spacing w:after="0" w:line="480" w:lineRule="auto"/>
        <w:ind w:firstLine="720"/>
      </w:pPr>
      <w:r w:rsidRPr="00C93121">
        <w:lastRenderedPageBreak/>
        <w:t>In sensitivity analysis,</w:t>
      </w:r>
      <w:r w:rsidR="00032619" w:rsidRPr="00C93121">
        <w:t xml:space="preserve"> PET sensitivity was the most influential single parameter on both the likelihood of curative surgery and overall survival.  When varied across a </w:t>
      </w:r>
      <w:proofErr w:type="gramStart"/>
      <w:r w:rsidR="00032619" w:rsidRPr="00C93121">
        <w:t>30 percentage</w:t>
      </w:r>
      <w:proofErr w:type="gramEnd"/>
      <w:r w:rsidR="00032619" w:rsidRPr="00C93121">
        <w:t xml:space="preserve"> point range, the proportion of patients </w:t>
      </w:r>
      <w:r w:rsidR="005810BE">
        <w:t xml:space="preserve">with recurrence who underwent </w:t>
      </w:r>
      <w:r w:rsidR="00032619" w:rsidRPr="00C93121">
        <w:t>curative treat</w:t>
      </w:r>
      <w:r w:rsidR="005810BE">
        <w:t>ment</w:t>
      </w:r>
      <w:r w:rsidR="00032619" w:rsidRPr="00C93121">
        <w:t xml:space="preserve"> in the model varied by 5.0</w:t>
      </w:r>
      <w:r w:rsidR="009D6372">
        <w:t xml:space="preserve"> percentage points</w:t>
      </w:r>
      <w:r w:rsidR="0011396F">
        <w:t>, and OS5</w:t>
      </w:r>
      <w:r w:rsidR="00032619" w:rsidRPr="00C93121">
        <w:t xml:space="preserve"> varied by 1.5 percentage points.</w:t>
      </w:r>
      <w:r w:rsidRPr="00C93121">
        <w:t xml:space="preserve">  This is not surprising </w:t>
      </w:r>
      <w:r w:rsidR="00396111">
        <w:t>since</w:t>
      </w:r>
      <w:r w:rsidRPr="00C93121">
        <w:t xml:space="preserve"> PET is </w:t>
      </w:r>
      <w:r w:rsidR="00AB0DA0" w:rsidRPr="00C93121">
        <w:t xml:space="preserve">frequently </w:t>
      </w:r>
      <w:r w:rsidRPr="00C93121">
        <w:t xml:space="preserve">used </w:t>
      </w:r>
      <w:r w:rsidR="00442504">
        <w:t xml:space="preserve">in the setting of serially elevated CEA without localized findings </w:t>
      </w:r>
      <w:r w:rsidR="002001F3">
        <w:t>as well as</w:t>
      </w:r>
      <w:r w:rsidR="003612DA">
        <w:t xml:space="preserve"> to assess </w:t>
      </w:r>
      <w:proofErr w:type="spellStart"/>
      <w:r w:rsidR="003612DA">
        <w:t>resectability</w:t>
      </w:r>
      <w:proofErr w:type="spellEnd"/>
      <w:r w:rsidR="00442504">
        <w:t xml:space="preserve"> when recurrent disease </w:t>
      </w:r>
      <w:r w:rsidR="003612DA">
        <w:t>is detected</w:t>
      </w:r>
      <w:r w:rsidRPr="00C93121">
        <w:t>.</w:t>
      </w:r>
      <w:r w:rsidR="00E458B4">
        <w:fldChar w:fldCharType="begin" w:fldLock="1"/>
      </w:r>
      <w:r w:rsidR="00834959">
        <w:instrText>ADDIN CSL_CITATION { "citationItems" : [ { "id" : "ITEM-1", "itemData" : { "URL" : "http://www.nccn.org/professionals/physician_gls/pdf/colon.pdf", "author" : [ { "dropping-particle" : "", "family" : "Network", "given" : "National Comprehensive Cancer", "non-dropping-particle" : "", "parse-names" : false, "suffix" : "" } ], "id" : "ITEM-1", "issue" : "September 26", "issued" : { "date-parts" : [ [ "2016" ] ] }, "title" : "NCCN Clinical Practice Guidelines in Oncology: Colon Cancer", "type" : "webpage", "volume" : "2016" }, "uris" : [ "http://www.mendeley.com/documents/?uuid=5004b782-8005-430b-8b86-1e5e58e38e88" ] } ], "mendeley" : { "formattedCitation" : "[20]", "plainTextFormattedCitation" : "[20]", "previouslyFormattedCitation" : "[20]" }, "properties" : { "noteIndex" : 0 }, "schema" : "https://github.com/citation-style-language/schema/raw/master/csl-citation.json" }</w:instrText>
      </w:r>
      <w:r w:rsidR="00E458B4">
        <w:fldChar w:fldCharType="separate"/>
      </w:r>
      <w:r w:rsidR="00E3241D" w:rsidRPr="00E3241D">
        <w:rPr>
          <w:noProof/>
        </w:rPr>
        <w:t>[20]</w:t>
      </w:r>
      <w:r w:rsidR="00E458B4">
        <w:fldChar w:fldCharType="end"/>
      </w:r>
      <w:r w:rsidR="009D6372">
        <w:t xml:space="preserve">  Model outcomes were also somewhat sensitive to wait times for repeat or follow-up diagnostic tests.</w:t>
      </w:r>
      <w:r w:rsidR="00827EBA">
        <w:t xml:space="preserve">  </w:t>
      </w:r>
      <w:r w:rsidR="00396111">
        <w:t>T</w:t>
      </w:r>
      <w:r w:rsidR="007F0FAF" w:rsidRPr="00C93121">
        <w:t xml:space="preserve">his finding suggests that </w:t>
      </w:r>
      <w:r w:rsidR="006241B9" w:rsidRPr="00C93121">
        <w:t xml:space="preserve">minimizing delays in definitively diagnosing recurrence </w:t>
      </w:r>
      <w:r w:rsidR="00F10219" w:rsidRPr="00C93121">
        <w:t xml:space="preserve">by minimizing unnecessary wait times for </w:t>
      </w:r>
      <w:r w:rsidR="00A32D94">
        <w:t>subsequent</w:t>
      </w:r>
      <w:r w:rsidR="008431E6" w:rsidRPr="00C93121">
        <w:t xml:space="preserve"> </w:t>
      </w:r>
      <w:r w:rsidR="00F10219" w:rsidRPr="00C93121">
        <w:t xml:space="preserve">testing </w:t>
      </w:r>
      <w:r w:rsidR="006241B9" w:rsidRPr="00C93121">
        <w:t xml:space="preserve">could improve </w:t>
      </w:r>
      <w:r w:rsidR="00E63B43">
        <w:t xml:space="preserve">patient </w:t>
      </w:r>
      <w:r w:rsidR="006241B9" w:rsidRPr="00C93121">
        <w:t xml:space="preserve">outcomes.  </w:t>
      </w:r>
      <w:r w:rsidR="007352C5" w:rsidRPr="00C93121">
        <w:t xml:space="preserve">It also </w:t>
      </w:r>
      <w:r w:rsidR="001B547D" w:rsidRPr="00C93121">
        <w:t xml:space="preserve">underscores the value that improved testing methodologies </w:t>
      </w:r>
      <w:r w:rsidR="00E310DA" w:rsidRPr="00C93121">
        <w:t>le</w:t>
      </w:r>
      <w:r w:rsidR="00AB081B">
        <w:t>a</w:t>
      </w:r>
      <w:r w:rsidR="00E310DA" w:rsidRPr="00C93121">
        <w:t>d</w:t>
      </w:r>
      <w:r w:rsidR="00A32D94">
        <w:t>ing</w:t>
      </w:r>
      <w:r w:rsidR="00E310DA" w:rsidRPr="00C93121">
        <w:t xml:space="preserve"> to</w:t>
      </w:r>
      <w:r w:rsidR="001B547D" w:rsidRPr="00C93121">
        <w:t xml:space="preserve"> fewer equivocal results (e.g. </w:t>
      </w:r>
      <w:r w:rsidR="003B5B73">
        <w:t>an improved</w:t>
      </w:r>
      <w:r w:rsidR="001B547D" w:rsidRPr="00C93121">
        <w:t xml:space="preserve"> biomarker for </w:t>
      </w:r>
      <w:r w:rsidR="00B21C23">
        <w:t>CC</w:t>
      </w:r>
      <w:r w:rsidR="001B547D" w:rsidRPr="00C93121">
        <w:t>)</w:t>
      </w:r>
      <w:r w:rsidR="00DE400A" w:rsidRPr="00C93121">
        <w:t xml:space="preserve"> could bring.</w:t>
      </w:r>
    </w:p>
    <w:p w14:paraId="40DEB232" w14:textId="77777777" w:rsidR="004E4432" w:rsidRPr="00C93121" w:rsidRDefault="004E4432" w:rsidP="00B03879">
      <w:pPr>
        <w:spacing w:after="0" w:line="480" w:lineRule="auto"/>
      </w:pPr>
    </w:p>
    <w:p w14:paraId="3A671137" w14:textId="77777777" w:rsidR="004E4432" w:rsidRPr="00B03879" w:rsidRDefault="004E4432" w:rsidP="00B03879">
      <w:pPr>
        <w:spacing w:after="0" w:line="480" w:lineRule="auto"/>
        <w:rPr>
          <w:i/>
        </w:rPr>
      </w:pPr>
      <w:r w:rsidRPr="00B03879">
        <w:rPr>
          <w:i/>
        </w:rPr>
        <w:t>Limitations</w:t>
      </w:r>
    </w:p>
    <w:p w14:paraId="1F0C37C9" w14:textId="5748810A" w:rsidR="00FF3682" w:rsidRPr="00C93121" w:rsidRDefault="00615229" w:rsidP="00B03879">
      <w:pPr>
        <w:spacing w:after="0" w:line="480" w:lineRule="auto"/>
        <w:ind w:firstLine="720"/>
      </w:pPr>
      <w:r>
        <w:t>As with many modeling studies,</w:t>
      </w:r>
      <w:r w:rsidR="0024363A">
        <w:t xml:space="preserve"> some</w:t>
      </w:r>
      <w:r>
        <w:t xml:space="preserve"> parameters are derived from disparate sources</w:t>
      </w:r>
      <w:r w:rsidR="0024363A">
        <w:t xml:space="preserve"> in the scientific literature</w:t>
      </w:r>
      <w:r>
        <w:t xml:space="preserve">.  </w:t>
      </w:r>
      <w:r w:rsidR="00E31B4F" w:rsidRPr="00C93121">
        <w:t xml:space="preserve">We have examined the implications of </w:t>
      </w:r>
      <w:r w:rsidR="0024363A">
        <w:t xml:space="preserve">mis-specification </w:t>
      </w:r>
      <w:r w:rsidR="003B3F57">
        <w:t>of</w:t>
      </w:r>
      <w:r w:rsidR="0024363A">
        <w:t xml:space="preserve"> </w:t>
      </w:r>
      <w:r w:rsidR="00B95D5D">
        <w:t>such</w:t>
      </w:r>
      <w:r w:rsidR="0024363A">
        <w:t xml:space="preserve"> parameters</w:t>
      </w:r>
      <w:r w:rsidR="00E31B4F" w:rsidRPr="00C93121">
        <w:t xml:space="preserve"> using one-way and multi-way sensitivity analysis.</w:t>
      </w:r>
      <w:r w:rsidR="008741FF" w:rsidRPr="00C93121">
        <w:t xml:space="preserve">  </w:t>
      </w:r>
      <w:r w:rsidR="00693F5B">
        <w:t>F</w:t>
      </w:r>
      <w:r w:rsidR="008741FF" w:rsidRPr="00C93121">
        <w:t xml:space="preserve">ew </w:t>
      </w:r>
      <w:r w:rsidR="007908C7" w:rsidRPr="00C93121">
        <w:t xml:space="preserve">inputs </w:t>
      </w:r>
      <w:r w:rsidR="008741FF" w:rsidRPr="00C93121">
        <w:t xml:space="preserve">changed predicted outcomes </w:t>
      </w:r>
      <w:r w:rsidR="007908C7" w:rsidRPr="00C93121">
        <w:t>to a</w:t>
      </w:r>
      <w:r w:rsidR="001E74FB">
        <w:t xml:space="preserve"> clinically relevant</w:t>
      </w:r>
      <w:r w:rsidR="007908C7" w:rsidRPr="00C93121">
        <w:t xml:space="preserve"> extent</w:t>
      </w:r>
      <w:r w:rsidR="00827EBA">
        <w:t>.</w:t>
      </w:r>
      <w:r w:rsidR="00B02721">
        <w:t xml:space="preserve">  </w:t>
      </w:r>
      <w:r w:rsidR="003B3F57">
        <w:t>It should also be noted that</w:t>
      </w:r>
      <w:r w:rsidR="00B02721">
        <w:t xml:space="preserve"> </w:t>
      </w:r>
      <w:r w:rsidR="004A2607">
        <w:t xml:space="preserve">morbidity stemming from testing itself </w:t>
      </w:r>
      <w:r w:rsidR="00211FC5">
        <w:t>(most notably, morbidity stemming from colonoscopy com</w:t>
      </w:r>
      <w:r w:rsidR="00044BA5">
        <w:t>p</w:t>
      </w:r>
      <w:r w:rsidR="00211FC5">
        <w:t xml:space="preserve">lications) </w:t>
      </w:r>
      <w:r w:rsidR="004A2607">
        <w:t>is not included in the model.</w:t>
      </w:r>
    </w:p>
    <w:p w14:paraId="32C4D477" w14:textId="138B4888" w:rsidR="001F4457" w:rsidRPr="00C93121" w:rsidRDefault="00F23B0E" w:rsidP="00B03879">
      <w:pPr>
        <w:spacing w:after="0" w:line="480" w:lineRule="auto"/>
        <w:ind w:firstLine="720"/>
      </w:pPr>
      <w:r w:rsidRPr="00C93121">
        <w:t xml:space="preserve">The COST trial was the data source used to “train” the disease progression </w:t>
      </w:r>
      <w:proofErr w:type="spellStart"/>
      <w:r w:rsidRPr="00C93121">
        <w:t>submodel</w:t>
      </w:r>
      <w:proofErr w:type="spellEnd"/>
      <w:r w:rsidRPr="00C93121">
        <w:t xml:space="preserve">.  </w:t>
      </w:r>
      <w:r w:rsidR="00B26A2F">
        <w:t>COST subjects</w:t>
      </w:r>
      <w:r w:rsidR="008C68AA">
        <w:t xml:space="preserve"> were </w:t>
      </w:r>
      <w:r w:rsidRPr="00C93121">
        <w:t>followed into the early 2000’s.</w:t>
      </w:r>
      <w:r w:rsidR="00F521A0" w:rsidRPr="00C93121">
        <w:t xml:space="preserve">  </w:t>
      </w:r>
      <w:r w:rsidR="001E74FB">
        <w:t>A</w:t>
      </w:r>
      <w:r w:rsidR="008532D4" w:rsidRPr="00C93121">
        <w:t xml:space="preserve">side from FACS, only one large study which prospectively followed </w:t>
      </w:r>
      <w:r w:rsidR="00C73DE3">
        <w:t xml:space="preserve">CC </w:t>
      </w:r>
      <w:r w:rsidR="008532D4" w:rsidRPr="00C93121">
        <w:t xml:space="preserve">survivors undergoing </w:t>
      </w:r>
      <w:r w:rsidR="008139C0">
        <w:t xml:space="preserve">multi-modality </w:t>
      </w:r>
      <w:r w:rsidR="008532D4" w:rsidRPr="00C93121">
        <w:t>post-treatment surveillance has been published</w:t>
      </w:r>
      <w:r w:rsidR="001B42AF" w:rsidRPr="00C93121">
        <w:t xml:space="preserve"> since COST</w:t>
      </w:r>
      <w:r w:rsidR="008532D4" w:rsidRPr="00C93121">
        <w:t>.</w:t>
      </w:r>
      <w:r w:rsidR="008139C0">
        <w:fldChar w:fldCharType="begin" w:fldLock="1"/>
      </w:r>
      <w:r w:rsidR="00834959">
        <w:instrText>ADDIN CSL_CITATION { "citationItems" : [ { "id" : "ITEM-1", "itemData" : { "DOI" : "10.1093/annonc/mdv541", "ISBN" : "0923-7534", "ISSN" : "15698041", "PMID" : "26578734", "abstract" : "BACKGROUND: Colorectal cancer is the third most common and the third most lethal  cancer in both men and women in developed countries. About 75% of cases are first diagnosed when the disease is classified as localized or regional, undergo potentially curative treatment and enter a post-treatment surveillance program. Although such programs drain significant resources from health systems, empirical evidence of their efficacy is scanty. PATIENTS AND METHODS: Dukes B2-C colorectal cancer patients who had no evidence of disease at the end of their front-line treatment (surgery and adjuvant radiochemotherapy, if indicated) were eligible for the trial and randomized to two different surveillance programs. These programs differed greatly in the frequency of diagnostic imaging. They had similar schedules of physical examinations and carcinoembryonic antigen (CEA) assessments. Patients received baseline and yearly health-related quality-of-life (HR-QoL) questionnaires. Primary outcomes were overall survival (OS) and QoL. RESULTS: From 1998 to 2006, 1228 assessable patients were randomized, 933 with colon cancer and 295 with rectal cancer. More than 90% of patients had the expected number of diagnostic procedures. Median follow-up duration was 62 months [interquartile range (IQR) 51-86] in the minimal surveillance group and 62 months (IQR 50-85) in the intensive group. At primary analysis, 250 patients had recurred and 218 had died. Intensive surveillance anticipated recurrence, as shown by a significant difference in mean disease-free survival of 5.9 months. Comparison of OS curves of the whole intention-to-treat population showed no statistically significant differences. HR-QoL of life scores did not differ between regimens. CONCLUSION: Our findings support the conclusions of other randomized clinical trials, which show that early diagnosis of cancer recurrence is not associated with OS benefit. CLINICALTRIALSGOV: NCT02409472.", "author" : [ { "dropping-particle" : "", "family" : "Rosati", "given" : "G.", "non-dropping-particle" : "", "parse-names" : false, "suffix" : "" }, { "dropping-particle" : "", "family" : "Ambrosini", "given" : "G.", "non-dropping-particle" : "", "parse-names" : false, "suffix" : "" }, { "dropping-particle" : "", "family" : "Barni", "given" : "S.", "non-dropping-particle" : "", "parse-names" : false, "suffix" : "" }, { "dropping-particle" : "", "family" : "Andreoni", "given" : "B.", "non-dropping-particle" : "", "parse-names" : false, "suffix" : "" }, { "dropping-particle" : "", "family" : "Corradini", "given" : "G.", "non-dropping-particle" : "", "parse-names" : false, "suffix" : "" }, { "dropping-particle" : "", "family" : "Luchena", "given" : "G.", "non-dropping-particle" : "", "parse-names" : false, "suffix" : "" }, { "dropping-particle" : "", "family" : "Daniele", "given" : "B.", "non-dropping-particle" : "", "parse-names" : false, "suffix" : "" }, { "dropping-particle" : "", "family" : "Gaion", "given" : "F.", "non-dropping-particle" : "", "parse-names" : false, "suffix" : "" }, { "dropping-particle" : "", "family" : "Oliverio", "given" : "G.", "non-dropping-particle" : "", "parse-names" : false, "suffix" : "" }, { "dropping-particle" : "", "family" : "Duro", "given" : "M.", "non-dropping-particle" : "", "parse-names" : false, "suffix" : "" }, { "dropping-particle" : "", "family" : "Martignoni", "given" : "G.", "non-dropping-particle" : "", "parse-names" : false, "suffix" : "" }, { "dropping-particle" : "", "family" : "Pinna", "given" : "N.", "non-dropping-particle" : "", "parse-names" : false, "suffix" : "" }, { "dropping-particle" : "", "family" : "Sozzi", "given" : "P.", "non-dropping-particle" : "", "parse-names" : false, "suffix" : "" }, { "dropping-particle" : "", "family" : "Pancera", "given" : "G.", "non-dropping-particle" : "", "parse-names" : false, "suffix" : "" }, { "dropping-particle" : "", "family" : "Solina", "given" : "G.", "non-dropping-particle" : "", "parse-names" : false, "suffix" : "" }, { "dropping-particle" : "", "family" : "Pavia", "given" : "G.", "non-dropping-particle" : "", "parse-names" : false, "suffix" : "" }, { "dropping-particle" : "", "family" : "Pignata", "given" : "S.", "non-dropping-particle" : "", "parse-names" : false, "suffix" : "" }, { "dropping-particle" : "", "family" : "Johnson", "given" : "F.", "non-dropping-particle" : "", "parse-names" : false, "suffix" : "" }, { "dropping-particle" : "", "family" : "Labianca", "given" : "R.", "non-dropping-particle" : "", "parse-names" : false, "suffix" : "" }, { "dropping-particle" : "", "family" : "Apolone", "given" : "G.", "non-dropping-particle" : "", "parse-names" : false, "suffix" : "" }, { "dropping-particle" : "", "family" : "Zaniboni", "given" : "A.", "non-dropping-particle" : "", "parse-names" : false, "suffix" : "" }, { "dropping-particle" : "", "family" : "Monteforte", "given" : "M.", "non-dropping-particle" : "", "parse-names" : false, "suffix" : "" }, { "dropping-particle" : "", "family" : "Negri", "given" : "E.", "non-dropping-particle" : "", "parse-names" : false, "suffix" : "" }, { "dropping-particle" : "", "family" : "Torri", "given" : "V.", "non-dropping-particle" : "", "parse-names" : false, "suffix" : "" }, { "dropping-particle" : "", "family" : "Mosconi", "given" : "P.", "non-dropping-particle" : "", "parse-names" : false, "suffix" : "" }, { "dropping-particle" : "", "family" : "Fossati", "given" : "Roldano", "non-dropping-particle" : "", "parse-names" : false, "suffix" : "" } ], "container-title" : "Annals of Oncology", "id" : "ITEM-1", "issue" : "2", "issued" : { "date-parts" : [ [ "2016" ] ] }, "page" : "274-280", "title" : "A randomized trial of intensive versus minimal surveillance of patients with resected Dukes B2-C colorectal carcinoma", "type" : "article-journal", "volume" : "27" }, "uris" : [ "http://www.mendeley.com/documents/?uuid=55d953a7-e809-40e1-900a-e3b8b97d7045", "http://www.mendeley.com/documents/?uuid=5265080a-a301-44c9-8713-9122d0bc07ff" ] } ], "mendeley" : { "formattedCitation" : "[9]", "plainTextFormattedCitation" : "[9]", "previouslyFormattedCitation" : "[9]" }, "properties" : { "noteIndex" : 0 }, "schema" : "https://github.com/citation-style-language/schema/raw/master/csl-citation.json" }</w:instrText>
      </w:r>
      <w:r w:rsidR="008139C0">
        <w:fldChar w:fldCharType="separate"/>
      </w:r>
      <w:r w:rsidR="00E3241D" w:rsidRPr="00E3241D">
        <w:rPr>
          <w:noProof/>
        </w:rPr>
        <w:t>[9]</w:t>
      </w:r>
      <w:r w:rsidR="008139C0">
        <w:fldChar w:fldCharType="end"/>
      </w:r>
      <w:r w:rsidR="00287C24" w:rsidRPr="00C93121">
        <w:t xml:space="preserve">  </w:t>
      </w:r>
      <w:r w:rsidR="007C6B03" w:rsidRPr="00C93121">
        <w:t xml:space="preserve">Despite some differences in treatment norms between the COST </w:t>
      </w:r>
      <w:r w:rsidR="0019088A">
        <w:t xml:space="preserve">trial era </w:t>
      </w:r>
      <w:r w:rsidR="007C6B03" w:rsidRPr="00C93121">
        <w:t>and today</w:t>
      </w:r>
      <w:r w:rsidR="00D66AFC">
        <w:t>, and despite the differences in settings</w:t>
      </w:r>
      <w:r w:rsidR="007C6B03" w:rsidRPr="00C93121">
        <w:t xml:space="preserve">, it is reassuring </w:t>
      </w:r>
      <w:r w:rsidR="00C6303E">
        <w:t>from a generaliza</w:t>
      </w:r>
      <w:r w:rsidR="00B72A49">
        <w:t xml:space="preserve">bility perspective </w:t>
      </w:r>
      <w:r w:rsidR="007C6B03" w:rsidRPr="00C93121">
        <w:t>that the model project</w:t>
      </w:r>
      <w:r w:rsidR="00824B4F">
        <w:t>ed</w:t>
      </w:r>
      <w:r w:rsidR="007C6B03" w:rsidRPr="00C93121">
        <w:t xml:space="preserve"> outcomes which</w:t>
      </w:r>
      <w:r w:rsidR="00033A7E">
        <w:t xml:space="preserve"> largely </w:t>
      </w:r>
      <w:r w:rsidR="002001F3">
        <w:t>approximated</w:t>
      </w:r>
      <w:r w:rsidR="002001F3" w:rsidRPr="00C93121">
        <w:t xml:space="preserve"> </w:t>
      </w:r>
      <w:r w:rsidR="007C6B03" w:rsidRPr="00C93121">
        <w:t xml:space="preserve">what was observed </w:t>
      </w:r>
      <w:r w:rsidR="00827EBA">
        <w:t xml:space="preserve">recently </w:t>
      </w:r>
      <w:r w:rsidR="007C6B03" w:rsidRPr="00C93121">
        <w:t xml:space="preserve">among FACS trial colon cancer </w:t>
      </w:r>
      <w:r w:rsidR="003D35FB" w:rsidRPr="00C93121">
        <w:t>su</w:t>
      </w:r>
      <w:r w:rsidR="003D35FB">
        <w:t>bjects</w:t>
      </w:r>
      <w:r w:rsidR="002001F3">
        <w:t>—albeit with slightly low survival projections across the board</w:t>
      </w:r>
      <w:r w:rsidR="007C6B03" w:rsidRPr="00C93121">
        <w:t>.</w:t>
      </w:r>
      <w:r w:rsidR="004A0B69">
        <w:t xml:space="preserve">  </w:t>
      </w:r>
      <w:r w:rsidR="00CF1BCE">
        <w:t>T</w:t>
      </w:r>
      <w:r w:rsidR="008737C5">
        <w:t>herapeutic</w:t>
      </w:r>
      <w:r w:rsidR="00CF1BCE">
        <w:t xml:space="preserve"> advances </w:t>
      </w:r>
      <w:r w:rsidR="00CF1BCE">
        <w:lastRenderedPageBreak/>
        <w:t xml:space="preserve">which </w:t>
      </w:r>
      <w:r w:rsidR="004900A1">
        <w:t xml:space="preserve">generally </w:t>
      </w:r>
      <w:r w:rsidR="00CF1BCE">
        <w:t>lower recurrence probability</w:t>
      </w:r>
      <w:r w:rsidR="008737C5">
        <w:t xml:space="preserve"> after initial treatment</w:t>
      </w:r>
      <w:r w:rsidR="00CF1BCE">
        <w:t xml:space="preserve"> should not significantly impact the generalizability of the model for compari</w:t>
      </w:r>
      <w:r w:rsidR="004474F0">
        <w:t>ng</w:t>
      </w:r>
      <w:r w:rsidR="00CF1BCE">
        <w:t xml:space="preserve"> </w:t>
      </w:r>
      <w:r w:rsidR="004474F0">
        <w:t>relative</w:t>
      </w:r>
      <w:r w:rsidR="008737C5">
        <w:t xml:space="preserve"> benefits of alternative</w:t>
      </w:r>
      <w:r w:rsidR="00CF1BCE">
        <w:t xml:space="preserve"> surveillance regimens</w:t>
      </w:r>
      <w:r w:rsidR="00812FA2">
        <w:t xml:space="preserve"> to patients whose disease recurs</w:t>
      </w:r>
      <w:r w:rsidR="00CF1BCE">
        <w:t xml:space="preserve">.  More likely to impact </w:t>
      </w:r>
      <w:proofErr w:type="spellStart"/>
      <w:r w:rsidR="00A13F46">
        <w:t>CCSuRe’s</w:t>
      </w:r>
      <w:proofErr w:type="spellEnd"/>
      <w:r w:rsidR="00A13F46">
        <w:t xml:space="preserve"> </w:t>
      </w:r>
      <w:r w:rsidR="00CF1BCE">
        <w:t xml:space="preserve">generalizability would be </w:t>
      </w:r>
      <w:r w:rsidR="008800A9">
        <w:t xml:space="preserve">1) </w:t>
      </w:r>
      <w:r w:rsidR="00CF1BCE">
        <w:t xml:space="preserve">advances </w:t>
      </w:r>
      <w:r w:rsidR="00A13F46">
        <w:t xml:space="preserve">in primary treatment </w:t>
      </w:r>
      <w:r w:rsidR="0091439E">
        <w:t xml:space="preserve">(e.g. surgical technique) </w:t>
      </w:r>
      <w:r w:rsidR="00A13F46">
        <w:t xml:space="preserve">which substantially change the anatomic distribution of recurrences, </w:t>
      </w:r>
      <w:r w:rsidR="008800A9">
        <w:t xml:space="preserve">2) </w:t>
      </w:r>
      <w:r w:rsidR="00D0361F">
        <w:t xml:space="preserve">introduction of </w:t>
      </w:r>
      <w:r w:rsidR="00CF1BCE">
        <w:t xml:space="preserve">diagnostic </w:t>
      </w:r>
      <w:r w:rsidR="00D0361F">
        <w:t>tests with improved</w:t>
      </w:r>
      <w:r w:rsidR="00CF1BCE">
        <w:t xml:space="preserve"> performance characteristics</w:t>
      </w:r>
      <w:r w:rsidR="00A13F46">
        <w:t>,</w:t>
      </w:r>
      <w:r w:rsidR="008737C5">
        <w:t xml:space="preserve"> or</w:t>
      </w:r>
      <w:r w:rsidR="00A13F46">
        <w:t xml:space="preserve"> </w:t>
      </w:r>
      <w:r w:rsidR="008800A9">
        <w:t xml:space="preserve">3) </w:t>
      </w:r>
      <w:r w:rsidR="00A13F46">
        <w:t>therapeutic</w:t>
      </w:r>
      <w:r w:rsidR="008737C5">
        <w:t xml:space="preserve"> improvements which </w:t>
      </w:r>
      <w:r w:rsidR="004900A1">
        <w:t xml:space="preserve">allow curative </w:t>
      </w:r>
      <w:r w:rsidR="008737C5">
        <w:t>treatment of more advanced recurrent disease.</w:t>
      </w:r>
    </w:p>
    <w:p w14:paraId="4417A6C8" w14:textId="77777777" w:rsidR="007568BB" w:rsidRPr="00C93121" w:rsidRDefault="007568BB" w:rsidP="00B03879">
      <w:pPr>
        <w:spacing w:after="0" w:line="480" w:lineRule="auto"/>
      </w:pPr>
    </w:p>
    <w:p w14:paraId="5A66206B" w14:textId="77777777" w:rsidR="008D2644" w:rsidRPr="00B03879" w:rsidRDefault="008D2644" w:rsidP="00B03879">
      <w:pPr>
        <w:spacing w:after="0" w:line="480" w:lineRule="auto"/>
        <w:rPr>
          <w:i/>
        </w:rPr>
      </w:pPr>
      <w:r w:rsidRPr="00B03879">
        <w:rPr>
          <w:i/>
        </w:rPr>
        <w:t>Future Directions</w:t>
      </w:r>
    </w:p>
    <w:p w14:paraId="1AF699F1" w14:textId="616A5276" w:rsidR="00BB77DC" w:rsidRPr="00C93121" w:rsidRDefault="0051032A" w:rsidP="00B03879">
      <w:pPr>
        <w:spacing w:after="0" w:line="480" w:lineRule="auto"/>
        <w:ind w:firstLine="720"/>
      </w:pPr>
      <w:r w:rsidRPr="0051032A">
        <w:t>While more intens</w:t>
      </w:r>
      <w:r w:rsidR="008139C0">
        <w:t>iv</w:t>
      </w:r>
      <w:r w:rsidRPr="0051032A">
        <w:t xml:space="preserve">e surveillance may </w:t>
      </w:r>
      <w:r w:rsidR="00930A68">
        <w:t xml:space="preserve">somewhat </w:t>
      </w:r>
      <w:r w:rsidRPr="0051032A">
        <w:t xml:space="preserve">improve clinical outcomes, surveillance testing is associated with cost, inconvenience, and </w:t>
      </w:r>
      <w:r w:rsidR="0019088A">
        <w:t xml:space="preserve">potential physical and </w:t>
      </w:r>
      <w:r w:rsidRPr="0051032A">
        <w:t xml:space="preserve">psychological </w:t>
      </w:r>
      <w:r w:rsidR="0019088A">
        <w:t>morbidity</w:t>
      </w:r>
      <w:r w:rsidRPr="0051032A">
        <w:t>.</w:t>
      </w:r>
      <w:r>
        <w:t xml:space="preserve"> </w:t>
      </w:r>
      <w:r w:rsidRPr="0051032A">
        <w:t xml:space="preserve"> </w:t>
      </w:r>
      <w:r w:rsidR="00E10F54" w:rsidRPr="0051032A">
        <w:t xml:space="preserve">The ability to </w:t>
      </w:r>
      <w:r w:rsidR="00E10F54">
        <w:t xml:space="preserve">identify patients who are most likely to benefit from surveillance </w:t>
      </w:r>
      <w:r w:rsidR="002001F3">
        <w:t>after</w:t>
      </w:r>
      <w:r w:rsidR="00E10F54">
        <w:t xml:space="preserve"> surgical cure, and to </w:t>
      </w:r>
      <w:r w:rsidR="00E10F54" w:rsidRPr="0051032A">
        <w:t xml:space="preserve">tailor </w:t>
      </w:r>
      <w:r w:rsidR="00E10F54">
        <w:t>surveillance</w:t>
      </w:r>
      <w:r w:rsidR="00E10F54" w:rsidRPr="0051032A">
        <w:t xml:space="preserve"> to clinical characteristics and pre</w:t>
      </w:r>
      <w:r w:rsidR="00E10F54">
        <w:t>ferences of individual patients,</w:t>
      </w:r>
      <w:r w:rsidR="00E10F54" w:rsidRPr="0051032A">
        <w:t xml:space="preserve"> promise</w:t>
      </w:r>
      <w:r w:rsidR="00E10F54">
        <w:t>s</w:t>
      </w:r>
      <w:r w:rsidR="00E10F54" w:rsidRPr="0051032A">
        <w:t xml:space="preserve"> </w:t>
      </w:r>
      <w:r w:rsidR="00E10F54">
        <w:t>to</w:t>
      </w:r>
      <w:r w:rsidR="00E10F54" w:rsidRPr="0051032A">
        <w:t xml:space="preserve"> increas</w:t>
      </w:r>
      <w:r w:rsidR="00E10F54">
        <w:t>e</w:t>
      </w:r>
      <w:r w:rsidR="00E10F54" w:rsidRPr="0051032A">
        <w:t xml:space="preserve"> value from </w:t>
      </w:r>
      <w:r w:rsidR="00E10F54">
        <w:t>both patient and system</w:t>
      </w:r>
      <w:r w:rsidR="00E10F54" w:rsidRPr="0051032A">
        <w:t xml:space="preserve"> perspective</w:t>
      </w:r>
      <w:r w:rsidR="00E10F54">
        <w:t>s.</w:t>
      </w:r>
      <w:r w:rsidR="00E10F54" w:rsidRPr="00C93121">
        <w:t xml:space="preserve">  </w:t>
      </w:r>
      <w:r w:rsidR="000D182F">
        <w:t xml:space="preserve">More extensive </w:t>
      </w:r>
      <w:r w:rsidR="002611DA">
        <w:t xml:space="preserve">and recent </w:t>
      </w:r>
      <w:r w:rsidR="00C33329" w:rsidRPr="00C93121">
        <w:t>longitudinal data describing surv</w:t>
      </w:r>
      <w:r w:rsidR="00456F10">
        <w:t xml:space="preserve">eillance testing and outcomes </w:t>
      </w:r>
      <w:r w:rsidR="000D182F">
        <w:t>will</w:t>
      </w:r>
      <w:r w:rsidR="000D5D99" w:rsidRPr="00C93121">
        <w:t xml:space="preserve"> </w:t>
      </w:r>
      <w:r w:rsidR="00674D70" w:rsidRPr="00C93121">
        <w:t>p</w:t>
      </w:r>
      <w:r w:rsidR="000D5D99" w:rsidRPr="00C93121">
        <w:t xml:space="preserve">ermit further </w:t>
      </w:r>
      <w:r w:rsidR="00840B22" w:rsidRPr="00C93121">
        <w:t xml:space="preserve">estimation of existing model parameters </w:t>
      </w:r>
      <w:r w:rsidR="00E5396D" w:rsidRPr="00C93121">
        <w:t xml:space="preserve">for both colon and rectal cancer </w:t>
      </w:r>
      <w:r w:rsidR="0091139B">
        <w:t xml:space="preserve">in the context of more contemporary treatment and diagnostic norms.  </w:t>
      </w:r>
      <w:r w:rsidR="00A1274A">
        <w:t>Further</w:t>
      </w:r>
      <w:r w:rsidR="0091139B">
        <w:t xml:space="preserve"> data will also allow</w:t>
      </w:r>
      <w:r w:rsidR="00840B22" w:rsidRPr="00C93121">
        <w:t xml:space="preserve"> </w:t>
      </w:r>
      <w:r w:rsidR="00391041" w:rsidRPr="00C93121">
        <w:t xml:space="preserve">estimation of additional </w:t>
      </w:r>
      <w:r w:rsidR="002B3332">
        <w:t xml:space="preserve">risk-modifying </w:t>
      </w:r>
      <w:r w:rsidR="00391041" w:rsidRPr="00C93121">
        <w:t>covariates</w:t>
      </w:r>
      <w:r w:rsidR="00AA5B1B">
        <w:t>.  Such cov</w:t>
      </w:r>
      <w:r w:rsidR="007A0C59">
        <w:t>ariates</w:t>
      </w:r>
      <w:r w:rsidR="008252FB">
        <w:t xml:space="preserve"> could</w:t>
      </w:r>
      <w:r w:rsidR="007A0C59">
        <w:t xml:space="preserve"> include </w:t>
      </w:r>
      <w:r w:rsidR="008252FB">
        <w:t xml:space="preserve">traditional </w:t>
      </w:r>
      <w:r w:rsidR="000D182F">
        <w:t>clinicopathologic risk factors</w:t>
      </w:r>
      <w:r w:rsidR="007A0C59">
        <w:t xml:space="preserve"> </w:t>
      </w:r>
      <w:r w:rsidR="005B271B">
        <w:t>and</w:t>
      </w:r>
      <w:r w:rsidR="007A0C59">
        <w:t xml:space="preserve"> </w:t>
      </w:r>
      <w:r w:rsidR="00456F10">
        <w:t xml:space="preserve">prognostic </w:t>
      </w:r>
      <w:r w:rsidR="005B271B">
        <w:t>or</w:t>
      </w:r>
      <w:r w:rsidR="00456F10">
        <w:t xml:space="preserve"> predictive </w:t>
      </w:r>
      <w:r w:rsidR="00A75A1A" w:rsidRPr="00A75A1A">
        <w:t>molecular characteristics.</w:t>
      </w:r>
      <w:r w:rsidR="008528DD" w:rsidRPr="00C93121">
        <w:t xml:space="preserve"> </w:t>
      </w:r>
      <w:r w:rsidR="004706EB">
        <w:t xml:space="preserve"> </w:t>
      </w:r>
      <w:r w:rsidR="008528DD" w:rsidRPr="00C93121">
        <w:t xml:space="preserve">The insights gained </w:t>
      </w:r>
      <w:r w:rsidR="000D5D99" w:rsidRPr="00C93121">
        <w:t xml:space="preserve">from this work </w:t>
      </w:r>
      <w:r w:rsidR="00C362A8" w:rsidRPr="00C93121">
        <w:t>c</w:t>
      </w:r>
      <w:r w:rsidR="00C362A8">
        <w:t>an</w:t>
      </w:r>
      <w:r w:rsidR="00C362A8" w:rsidRPr="00C93121">
        <w:t xml:space="preserve"> </w:t>
      </w:r>
      <w:r w:rsidR="008528DD" w:rsidRPr="00C93121">
        <w:t xml:space="preserve">inform future risk-stratified surveillance guidelines </w:t>
      </w:r>
      <w:r w:rsidR="00CD69B6">
        <w:t>and</w:t>
      </w:r>
      <w:r w:rsidR="008528DD" w:rsidRPr="00C93121">
        <w:t xml:space="preserve"> clinical decision aids.</w:t>
      </w:r>
      <w:r w:rsidR="000F13E0" w:rsidRPr="00C93121">
        <w:t xml:space="preserve">  </w:t>
      </w:r>
    </w:p>
    <w:p w14:paraId="6EEF547B" w14:textId="77777777" w:rsidR="00C62810" w:rsidRDefault="00C62810" w:rsidP="00B03879">
      <w:pPr>
        <w:spacing w:after="0" w:line="480" w:lineRule="auto"/>
      </w:pPr>
    </w:p>
    <w:p w14:paraId="1AB1172D" w14:textId="77777777" w:rsidR="0069135B" w:rsidRPr="00C93121" w:rsidRDefault="0069135B" w:rsidP="00B03879">
      <w:pPr>
        <w:spacing w:after="0" w:line="480" w:lineRule="auto"/>
      </w:pPr>
    </w:p>
    <w:p w14:paraId="6493C02B" w14:textId="77777777" w:rsidR="00F043CC" w:rsidRDefault="00F043CC" w:rsidP="00F043CC">
      <w:pPr>
        <w:spacing w:after="0"/>
      </w:pPr>
      <w:r>
        <w:t>Conflict of Interest: The authors declare that they have no conflict of interest.</w:t>
      </w:r>
    </w:p>
    <w:p w14:paraId="3518CB1D" w14:textId="77777777" w:rsidR="005D6421" w:rsidRDefault="005D6421" w:rsidP="00B03879">
      <w:pPr>
        <w:spacing w:after="0" w:line="480" w:lineRule="auto"/>
      </w:pPr>
    </w:p>
    <w:p w14:paraId="33024A0E" w14:textId="41B51FF8" w:rsidR="005E58E0" w:rsidRDefault="00F51CED" w:rsidP="00B03879">
      <w:pPr>
        <w:spacing w:after="0" w:line="480" w:lineRule="auto"/>
      </w:pPr>
      <w:r>
        <w:t>Dedication</w:t>
      </w:r>
    </w:p>
    <w:p w14:paraId="00185D04" w14:textId="0F917362" w:rsidR="00F51CED" w:rsidRDefault="00F51CED" w:rsidP="00B03879">
      <w:pPr>
        <w:spacing w:after="0" w:line="480" w:lineRule="auto"/>
      </w:pPr>
      <w:r w:rsidRPr="00F51CED">
        <w:lastRenderedPageBreak/>
        <w:t xml:space="preserve">The authors wish to dedicate this manuscript to </w:t>
      </w:r>
      <w:r w:rsidR="00DE4ADA">
        <w:t xml:space="preserve">the memory of </w:t>
      </w:r>
      <w:r w:rsidR="00E13656">
        <w:t xml:space="preserve">Dr. </w:t>
      </w:r>
      <w:r w:rsidR="00DE4ADA">
        <w:t>Dan</w:t>
      </w:r>
      <w:r w:rsidR="00E13656">
        <w:t>iel J.</w:t>
      </w:r>
      <w:r w:rsidR="00DE4ADA">
        <w:t xml:space="preserve"> Sargent, whose</w:t>
      </w:r>
      <w:r w:rsidRPr="00F51CED">
        <w:t xml:space="preserve"> friendship, collegiality, and contributions to colon cancer research have touched us deeply.</w:t>
      </w:r>
    </w:p>
    <w:p w14:paraId="12BD37F5" w14:textId="1EA079A6" w:rsidR="00F51CED" w:rsidRDefault="00F51CED" w:rsidP="00B03879">
      <w:pPr>
        <w:spacing w:after="0" w:line="480" w:lineRule="auto"/>
      </w:pPr>
    </w:p>
    <w:p w14:paraId="0D679718" w14:textId="5A1C39A0" w:rsidR="001815BF" w:rsidRDefault="001815BF" w:rsidP="00B03879">
      <w:pPr>
        <w:spacing w:after="0" w:line="480" w:lineRule="auto"/>
      </w:pPr>
    </w:p>
    <w:p w14:paraId="07DB9B07" w14:textId="0ED6FE3D" w:rsidR="001815BF" w:rsidRDefault="001815BF" w:rsidP="00B03879">
      <w:pPr>
        <w:spacing w:after="0" w:line="480" w:lineRule="auto"/>
      </w:pPr>
    </w:p>
    <w:p w14:paraId="68E42174" w14:textId="12E4614B" w:rsidR="001815BF" w:rsidRDefault="001815BF" w:rsidP="00B03879">
      <w:pPr>
        <w:spacing w:after="0" w:line="480" w:lineRule="auto"/>
      </w:pPr>
    </w:p>
    <w:p w14:paraId="5E754147" w14:textId="53562220" w:rsidR="001815BF" w:rsidRDefault="001815BF" w:rsidP="00B03879">
      <w:pPr>
        <w:spacing w:after="0" w:line="480" w:lineRule="auto"/>
      </w:pPr>
    </w:p>
    <w:p w14:paraId="2A67FD98" w14:textId="72786D22" w:rsidR="001815BF" w:rsidRDefault="001815BF" w:rsidP="00B03879">
      <w:pPr>
        <w:spacing w:after="0" w:line="480" w:lineRule="auto"/>
      </w:pPr>
    </w:p>
    <w:p w14:paraId="10FFA50B" w14:textId="3A6B5BDB" w:rsidR="001815BF" w:rsidRDefault="001815BF" w:rsidP="00B03879">
      <w:pPr>
        <w:spacing w:after="0" w:line="480" w:lineRule="auto"/>
      </w:pPr>
    </w:p>
    <w:p w14:paraId="43AFB7A0" w14:textId="77777777" w:rsidR="001815BF" w:rsidRPr="00C93121" w:rsidRDefault="001815BF" w:rsidP="00B03879">
      <w:pPr>
        <w:spacing w:after="0" w:line="480" w:lineRule="auto"/>
      </w:pPr>
    </w:p>
    <w:p w14:paraId="57E933CE" w14:textId="77777777" w:rsidR="00787EC5" w:rsidRDefault="00787EC5" w:rsidP="009B3BAA">
      <w:pPr>
        <w:spacing w:line="276" w:lineRule="auto"/>
      </w:pPr>
    </w:p>
    <w:p w14:paraId="287551A9" w14:textId="77777777" w:rsidR="00787EC5" w:rsidRDefault="00787EC5" w:rsidP="009B3BAA">
      <w:pPr>
        <w:spacing w:line="276" w:lineRule="auto"/>
      </w:pPr>
    </w:p>
    <w:p w14:paraId="75DF5FA7" w14:textId="77777777" w:rsidR="002F4CFD" w:rsidRDefault="002F4CFD" w:rsidP="009B3BAA">
      <w:pPr>
        <w:spacing w:line="276" w:lineRule="auto"/>
      </w:pPr>
    </w:p>
    <w:p w14:paraId="7E1F1070" w14:textId="77777777" w:rsidR="000D4BD9" w:rsidRDefault="000D4BD9" w:rsidP="009B3BAA">
      <w:pPr>
        <w:spacing w:line="276" w:lineRule="auto"/>
      </w:pPr>
    </w:p>
    <w:p w14:paraId="08C68AF5" w14:textId="77777777" w:rsidR="000D4BD9" w:rsidRDefault="000D4BD9" w:rsidP="009B3BAA">
      <w:pPr>
        <w:spacing w:line="276" w:lineRule="auto"/>
      </w:pPr>
    </w:p>
    <w:p w14:paraId="43CD8CA1" w14:textId="77777777" w:rsidR="000D4BD9" w:rsidRDefault="000D4BD9" w:rsidP="009B3BAA">
      <w:pPr>
        <w:spacing w:line="276" w:lineRule="auto"/>
      </w:pPr>
    </w:p>
    <w:p w14:paraId="5757E701" w14:textId="77777777" w:rsidR="001815BF" w:rsidRDefault="001815BF" w:rsidP="00B03879">
      <w:pPr>
        <w:spacing w:line="276" w:lineRule="auto"/>
      </w:pPr>
    </w:p>
    <w:p w14:paraId="314B6552" w14:textId="77777777" w:rsidR="001815BF" w:rsidRDefault="001815BF" w:rsidP="00B03879">
      <w:pPr>
        <w:spacing w:line="276" w:lineRule="auto"/>
      </w:pPr>
    </w:p>
    <w:p w14:paraId="646D567D" w14:textId="77777777" w:rsidR="001815BF" w:rsidRDefault="001815BF" w:rsidP="00B03879">
      <w:pPr>
        <w:spacing w:line="276" w:lineRule="auto"/>
      </w:pPr>
    </w:p>
    <w:p w14:paraId="66DDD80D" w14:textId="77777777" w:rsidR="001815BF" w:rsidRDefault="001815BF" w:rsidP="00B03879">
      <w:pPr>
        <w:spacing w:line="276" w:lineRule="auto"/>
      </w:pPr>
    </w:p>
    <w:p w14:paraId="59C9B372" w14:textId="77777777" w:rsidR="001815BF" w:rsidRDefault="001815BF" w:rsidP="00B03879">
      <w:pPr>
        <w:spacing w:line="276" w:lineRule="auto"/>
      </w:pPr>
    </w:p>
    <w:p w14:paraId="5BD26ED6" w14:textId="77777777" w:rsidR="001815BF" w:rsidRDefault="001815BF" w:rsidP="00B03879">
      <w:pPr>
        <w:spacing w:line="276" w:lineRule="auto"/>
      </w:pPr>
    </w:p>
    <w:p w14:paraId="2C5D1070" w14:textId="77777777" w:rsidR="001815BF" w:rsidRDefault="001815BF" w:rsidP="00B03879">
      <w:pPr>
        <w:spacing w:line="276" w:lineRule="auto"/>
      </w:pPr>
    </w:p>
    <w:p w14:paraId="534B884D" w14:textId="77777777" w:rsidR="001815BF" w:rsidRDefault="001815BF" w:rsidP="00B03879">
      <w:pPr>
        <w:spacing w:line="276" w:lineRule="auto"/>
      </w:pPr>
    </w:p>
    <w:p w14:paraId="36DF54A9" w14:textId="77777777" w:rsidR="001815BF" w:rsidRDefault="001815BF" w:rsidP="00B03879">
      <w:pPr>
        <w:spacing w:line="276" w:lineRule="auto"/>
      </w:pPr>
    </w:p>
    <w:p w14:paraId="45AB94B6" w14:textId="77777777" w:rsidR="001815BF" w:rsidRDefault="001815BF" w:rsidP="00B03879">
      <w:pPr>
        <w:spacing w:line="276" w:lineRule="auto"/>
      </w:pPr>
    </w:p>
    <w:p w14:paraId="1C987209" w14:textId="30BFB5BB" w:rsidR="00987D79" w:rsidRPr="0072731C" w:rsidRDefault="00987D79" w:rsidP="00B03879">
      <w:pPr>
        <w:spacing w:line="276" w:lineRule="auto"/>
        <w:rPr>
          <w:b/>
        </w:rPr>
      </w:pPr>
      <w:r w:rsidRPr="00C93121">
        <w:lastRenderedPageBreak/>
        <w:t>FIGURE LEGENDS</w:t>
      </w:r>
      <w:r w:rsidR="00B43615">
        <w:t xml:space="preserve"> </w:t>
      </w:r>
    </w:p>
    <w:p w14:paraId="1F5B94A5" w14:textId="035A8659" w:rsidR="00987D79" w:rsidRDefault="00987D79" w:rsidP="009B3BAA">
      <w:pPr>
        <w:spacing w:line="360" w:lineRule="auto"/>
      </w:pPr>
      <w:r w:rsidRPr="00C93121">
        <w:rPr>
          <w:b/>
        </w:rPr>
        <w:t>Figure 1 – Sensitivity analysis results</w:t>
      </w:r>
      <w:r w:rsidRPr="00C93121">
        <w:t xml:space="preserve"> – The “tornado diagram</w:t>
      </w:r>
      <w:r w:rsidR="00766809" w:rsidRPr="00C93121">
        <w:t>s</w:t>
      </w:r>
      <w:r w:rsidRPr="00C93121">
        <w:t>” show the parameters which, when varied acro</w:t>
      </w:r>
      <w:r w:rsidR="00536DD9" w:rsidRPr="00C93121">
        <w:t xml:space="preserve">ss the ranges shown in Table </w:t>
      </w:r>
      <w:r w:rsidR="003C1282">
        <w:t>1,</w:t>
      </w:r>
      <w:r w:rsidRPr="00C93121">
        <w:t xml:space="preserve"> had the greatest impact on the values of a) proportion of recurring patients undergoing curative-intent surgery and b) 5-year overall survival</w:t>
      </w:r>
      <w:r w:rsidR="00536DD9" w:rsidRPr="00C93121">
        <w:t xml:space="preserve"> of recurring patients (OS5)</w:t>
      </w:r>
      <w:r w:rsidRPr="00C93121">
        <w:t>.</w:t>
      </w:r>
      <w:r w:rsidR="007B671F">
        <w:t xml:space="preserve">  PET = positron emission tomography; CEA = carcinoembryonic antigen; CT = computed tomography</w:t>
      </w:r>
    </w:p>
    <w:p w14:paraId="52DD5CA5" w14:textId="270654D5" w:rsidR="00823269" w:rsidRDefault="00857558" w:rsidP="00823269">
      <w:pPr>
        <w:spacing w:line="360" w:lineRule="auto"/>
      </w:pPr>
      <w:r>
        <w:rPr>
          <w:b/>
        </w:rPr>
        <w:t xml:space="preserve">Figure 2 </w:t>
      </w:r>
      <w:r w:rsidR="00CC117A">
        <w:rPr>
          <w:b/>
        </w:rPr>
        <w:t xml:space="preserve"> </w:t>
      </w:r>
      <w:r w:rsidR="00967F23">
        <w:rPr>
          <w:b/>
        </w:rPr>
        <w:t>-</w:t>
      </w:r>
      <w:r w:rsidR="00CC117A">
        <w:rPr>
          <w:b/>
        </w:rPr>
        <w:t xml:space="preserve"> Proportion of patients recurring: model-predicted versus </w:t>
      </w:r>
      <w:r w:rsidR="00967F23">
        <w:rPr>
          <w:b/>
        </w:rPr>
        <w:t>observed</w:t>
      </w:r>
      <w:r w:rsidR="00CC117A">
        <w:rPr>
          <w:b/>
        </w:rPr>
        <w:t xml:space="preserve"> in FACS </w:t>
      </w:r>
      <w:r w:rsidR="00967F23">
        <w:rPr>
          <w:b/>
        </w:rPr>
        <w:t>trial</w:t>
      </w:r>
      <w:r w:rsidR="00CC117A">
        <w:rPr>
          <w:b/>
        </w:rPr>
        <w:t>.</w:t>
      </w:r>
      <w:r w:rsidR="00CC117A">
        <w:t xml:space="preserve">  </w:t>
      </w:r>
      <w:r w:rsidR="00CC117A" w:rsidRPr="00C93121">
        <w:t xml:space="preserve">The first of each pair of solid bars represents the mean of 1,000 model runs.  </w:t>
      </w:r>
      <w:r w:rsidR="009B125E">
        <w:t>Error bars</w:t>
      </w:r>
      <w:r w:rsidR="00CC117A" w:rsidRPr="00C93121">
        <w:t xml:space="preserve"> represent 95% </w:t>
      </w:r>
      <w:r w:rsidR="00CC117A">
        <w:t>prediction intervals</w:t>
      </w:r>
      <w:r w:rsidR="009F5C4C">
        <w:t xml:space="preserve"> for model-predicted outcomes and 95% confidence intervals for observed FACS trial outcomes</w:t>
      </w:r>
      <w:r w:rsidR="00CC117A" w:rsidRPr="00C93121">
        <w:t>.</w:t>
      </w:r>
      <w:r w:rsidR="00823269">
        <w:t xml:space="preserve">  CEA = carcinoembryonic antigen; CT = computed tomography; </w:t>
      </w:r>
      <w:proofErr w:type="spellStart"/>
      <w:r w:rsidR="00823269">
        <w:t>CCSuRe</w:t>
      </w:r>
      <w:proofErr w:type="spellEnd"/>
      <w:r w:rsidR="00823269">
        <w:t xml:space="preserve"> = Colon Cancer Surveillance and Recurrence Model; FACS = Follow-up After Colorectal Surgery Trial</w:t>
      </w:r>
    </w:p>
    <w:p w14:paraId="09754007" w14:textId="2D9BF39B" w:rsidR="00857558" w:rsidRPr="00CC117A" w:rsidRDefault="00857558" w:rsidP="009B3BAA">
      <w:pPr>
        <w:spacing w:line="360" w:lineRule="auto"/>
      </w:pPr>
    </w:p>
    <w:p w14:paraId="1A4AFC5C" w14:textId="77777777" w:rsidR="00103403" w:rsidRDefault="00987D79" w:rsidP="00103403">
      <w:pPr>
        <w:spacing w:line="360" w:lineRule="auto"/>
      </w:pPr>
      <w:r w:rsidRPr="00C93121">
        <w:rPr>
          <w:b/>
        </w:rPr>
        <w:t xml:space="preserve">Figure </w:t>
      </w:r>
      <w:r w:rsidR="00493D69">
        <w:rPr>
          <w:b/>
        </w:rPr>
        <w:t>3</w:t>
      </w:r>
      <w:r w:rsidRPr="00C93121">
        <w:rPr>
          <w:b/>
        </w:rPr>
        <w:t xml:space="preserve"> – Proportion of recurring patients who were treated with curative intent: model-predicted versus observed in FACS trial.</w:t>
      </w:r>
      <w:r w:rsidRPr="00C93121">
        <w:t xml:space="preserve">  </w:t>
      </w:r>
      <w:r w:rsidR="00540AFD" w:rsidRPr="00C93121">
        <w:t xml:space="preserve">The first of each pair of </w:t>
      </w:r>
      <w:r w:rsidR="003448DC" w:rsidRPr="00C93121">
        <w:t xml:space="preserve">solid </w:t>
      </w:r>
      <w:r w:rsidR="00540AFD" w:rsidRPr="00C93121">
        <w:t xml:space="preserve">bars represents the mean of 1,000 model runs.  </w:t>
      </w:r>
      <w:r w:rsidR="000D5051">
        <w:t>Error bars</w:t>
      </w:r>
      <w:r w:rsidR="000D5051" w:rsidRPr="00C93121">
        <w:t xml:space="preserve"> represent 95% </w:t>
      </w:r>
      <w:r w:rsidR="000D5051">
        <w:t>prediction intervals for model-predicted outcomes and 95% confidence intervals for observed FACS trial outcomes</w:t>
      </w:r>
      <w:r w:rsidR="000D5051" w:rsidRPr="00C93121">
        <w:t>.</w:t>
      </w:r>
      <w:r w:rsidR="00103403">
        <w:t xml:space="preserve">  CEA = carcinoembryonic antigen; CT = computed tomography; </w:t>
      </w:r>
      <w:proofErr w:type="spellStart"/>
      <w:r w:rsidR="00103403">
        <w:t>CCSuRe</w:t>
      </w:r>
      <w:proofErr w:type="spellEnd"/>
      <w:r w:rsidR="00103403">
        <w:t xml:space="preserve"> = Colon Cancer Surveillance and Recurrence Model; FACS = Follow-up After Colorectal Surgery Trial</w:t>
      </w:r>
    </w:p>
    <w:p w14:paraId="17623B76" w14:textId="43A047F2" w:rsidR="00987D79" w:rsidRPr="00C93121" w:rsidRDefault="00987D79" w:rsidP="009B3BAA">
      <w:pPr>
        <w:spacing w:line="360" w:lineRule="auto"/>
      </w:pPr>
    </w:p>
    <w:p w14:paraId="7C90E103" w14:textId="77777777" w:rsidR="00103403" w:rsidRDefault="00536DD9" w:rsidP="00103403">
      <w:pPr>
        <w:spacing w:line="360" w:lineRule="auto"/>
      </w:pPr>
      <w:r w:rsidRPr="00C93121">
        <w:rPr>
          <w:b/>
        </w:rPr>
        <w:t xml:space="preserve">Figure </w:t>
      </w:r>
      <w:r w:rsidR="001F13F7">
        <w:rPr>
          <w:b/>
        </w:rPr>
        <w:t>4</w:t>
      </w:r>
      <w:r w:rsidR="00987D79" w:rsidRPr="00C93121">
        <w:rPr>
          <w:b/>
        </w:rPr>
        <w:t xml:space="preserve"> (a-d) – Overall survival following recurrence diagnosis: model-predicted versus observed in FACS trial.  </w:t>
      </w:r>
      <w:r w:rsidR="004D6F91">
        <w:t>a) CEA arm, b) CT arm, c) CEA+CT arm, d) minimum arm – T</w:t>
      </w:r>
      <w:r w:rsidR="00987D79" w:rsidRPr="00C93121">
        <w:t>he</w:t>
      </w:r>
      <w:r w:rsidR="00EA6E63" w:rsidRPr="00C93121">
        <w:t xml:space="preserve"> solid line in each graph represents the mean of 1,000 model runs.  </w:t>
      </w:r>
      <w:r w:rsidR="005C528E" w:rsidRPr="00C93121">
        <w:t>The</w:t>
      </w:r>
      <w:r w:rsidR="00EA6E63" w:rsidRPr="00C93121">
        <w:t xml:space="preserve"> s</w:t>
      </w:r>
      <w:r w:rsidR="00987D79" w:rsidRPr="00C93121">
        <w:t xml:space="preserve">haded regions represent 95% </w:t>
      </w:r>
      <w:r w:rsidR="004C59D9">
        <w:t>predictions intervals.</w:t>
      </w:r>
      <w:r w:rsidR="00103403">
        <w:t xml:space="preserve">  </w:t>
      </w:r>
      <w:proofErr w:type="spellStart"/>
      <w:r w:rsidR="00103403">
        <w:t>CCSuRe</w:t>
      </w:r>
      <w:proofErr w:type="spellEnd"/>
      <w:r w:rsidR="00103403">
        <w:t xml:space="preserve"> = Colon Cancer Surveillance and Recurrence Model; FACS = Follow-up After Colorectal Surgery Trial</w:t>
      </w:r>
    </w:p>
    <w:p w14:paraId="2E8FD637" w14:textId="19E18AA7" w:rsidR="00987D79" w:rsidRPr="00C93121" w:rsidRDefault="00987D79" w:rsidP="009B3BAA">
      <w:pPr>
        <w:spacing w:line="360" w:lineRule="auto"/>
      </w:pPr>
    </w:p>
    <w:p w14:paraId="41B490B8" w14:textId="356EC4B3" w:rsidR="000D4ACA" w:rsidRPr="00C93121" w:rsidRDefault="00C943D3" w:rsidP="000D4ACA">
      <w:pPr>
        <w:spacing w:line="360" w:lineRule="auto"/>
      </w:pPr>
      <w:r>
        <w:rPr>
          <w:b/>
        </w:rPr>
        <w:t>Figure 5 – Calibration plot</w:t>
      </w:r>
      <w:r w:rsidRPr="0072731C">
        <w:rPr>
          <w:b/>
        </w:rPr>
        <w:t xml:space="preserve"> </w:t>
      </w:r>
      <w:r w:rsidR="000D4ACA" w:rsidRPr="0072731C">
        <w:rPr>
          <w:b/>
        </w:rPr>
        <w:t xml:space="preserve">comparing </w:t>
      </w:r>
      <w:r w:rsidR="001D28F7">
        <w:rPr>
          <w:b/>
        </w:rPr>
        <w:t xml:space="preserve">overall survival </w:t>
      </w:r>
      <w:r w:rsidR="001D28F7" w:rsidRPr="001C3E34">
        <w:rPr>
          <w:b/>
        </w:rPr>
        <w:t xml:space="preserve">of </w:t>
      </w:r>
      <w:r w:rsidR="00EC1E0A">
        <w:rPr>
          <w:b/>
        </w:rPr>
        <w:t>FACS trial</w:t>
      </w:r>
      <w:r w:rsidR="00EC1E0A" w:rsidRPr="001C3E34">
        <w:rPr>
          <w:b/>
        </w:rPr>
        <w:t xml:space="preserve"> </w:t>
      </w:r>
      <w:proofErr w:type="spellStart"/>
      <w:r w:rsidR="001D28F7" w:rsidRPr="001C3E34">
        <w:rPr>
          <w:b/>
        </w:rPr>
        <w:t>recurrers</w:t>
      </w:r>
      <w:proofErr w:type="spellEnd"/>
      <w:r w:rsidR="001D28F7" w:rsidRPr="001C3E34">
        <w:rPr>
          <w:b/>
        </w:rPr>
        <w:t xml:space="preserve"> </w:t>
      </w:r>
      <w:r w:rsidR="000D4ACA" w:rsidRPr="0072731C">
        <w:rPr>
          <w:b/>
        </w:rPr>
        <w:t xml:space="preserve">to mean model-predicted </w:t>
      </w:r>
      <w:r w:rsidR="001D28F7">
        <w:rPr>
          <w:b/>
        </w:rPr>
        <w:t xml:space="preserve">overall </w:t>
      </w:r>
      <w:r w:rsidR="000D4ACA" w:rsidRPr="0072731C">
        <w:rPr>
          <w:b/>
        </w:rPr>
        <w:t>survival at years one through five</w:t>
      </w:r>
      <w:r w:rsidR="000D4ACA">
        <w:t xml:space="preserve"> </w:t>
      </w:r>
      <w:r w:rsidR="00342D94">
        <w:t>– The y-</w:t>
      </w:r>
      <w:r w:rsidR="000D4ACA">
        <w:t xml:space="preserve">intercept and slope of the line fitted to these points were used to assess model calibration (i.e. correspondence between the overall levels of predicted and observed values) and refinement (i.e. degree to which model estimates span a range similar to that </w:t>
      </w:r>
      <w:r w:rsidR="000D4ACA">
        <w:lastRenderedPageBreak/>
        <w:t>spanned by actual observations) , respectively.</w:t>
      </w:r>
      <w:r w:rsidR="000D4ACA">
        <w:fldChar w:fldCharType="begin" w:fldLock="1"/>
      </w:r>
      <w:r w:rsidR="00C82D09">
        <w:instrText>ADDIN CSL_CITATION { "citationItems" : [ { "id" : "ITEM-1", "itemData" : { "DOI" : "10.1097/EDE.0b013e3181c30fb2.Assessing", "ISBN" : "1531-5487 (Electronic) 1044-3983 (Linking)", "ISSN" : "1531-5487", "PMID" : "20010215", "abstract" : "The performance of prediction models can be assessed using a variety of different methods and metrics. Traditional measures for binary and survival outcomes include the Brier score to indicate overall model performance, the concordance (or c ) statistic for discriminative ability (or area under the receiver operating characteristic (ROC) curve), and goodness-of-fit statistics for calibration. Several new measures have recently been proposed that can be seen as refinements of discrimination measures, including variants of the c statistic for survival, reclassification tables, net reclassification improvement (NRI), and integrated discrimination improvement (IDI). Moreover, decision\u2013analytic measures have been proposed, including decision curves to plot the net benefit achieved by making decisions based on model predictions. We aimed to define the role of these relatively novel approaches in the evaluation of the performance of prediction models. For illustration we present a case study of predicting the presence of residual tumor versus benign tissue in patients with testicular cancer (n=544 for model development, n=273 for external validation). We suggest that reporting discrimination and calibration will always be important for a prediction model. Decision-analytic measures should be reported if the predictive model is to be used for making clinical decisions. Other measures of performance may be warranted in specific applications, such as reclassification metrics to gain insight into the value of adding a novel predictor", "author" : [ { "dropping-particle" : "", "family" : "Steyerberg", "given" : "Ewout W", "non-dropping-particle" : "", "parse-names" : false, "suffix" : "" }, { "dropping-particle" : "", "family" : "Vickers", "given" : "Andrew J", "non-dropping-particle" : "", "parse-names" : false, "suffix" : "" }, { "dropping-particle" : "", "family" : "Cook", "given" : "Nancy R", "non-dropping-particle" : "", "parse-names" : false, "suffix" : "" }, { "dropping-particle" : "", "family" : "Gerds", "given" : "Thomas", "non-dropping-particle" : "", "parse-names" : false, "suffix" : "" }, { "dropping-particle" : "", "family" : "Obuchowski", "given" : "Nancy", "non-dropping-particle" : "", "parse-names" : false, "suffix" : "" }, { "dropping-particle" : "", "family" : "Pencina", "given" : "Michael J", "non-dropping-particle" : "", "parse-names" : false, "suffix" : "" }, { "dropping-particle" : "", "family" : "Kattan", "given" : "Michael W", "non-dropping-particle" : "", "parse-names" : false, "suffix" : "" } ], "container-title" : "Epidemiology", "id" : "ITEM-1", "issue" : "1", "issued" : { "date-parts" : [ [ "2010" ] ] }, "page" : "128-138", "title" : "Assessing the performance of prediction models : A framework for some traditional and novel measures", "type" : "article-journal", "volume" : "21" }, "uris" : [ "http://www.mendeley.com/documents/?uuid=41adb765-95d1-439a-9cab-741f06be0c20", "http://www.mendeley.com/documents/?uuid=6e7aee20-4250-497d-9129-cced810be31f" ] }, { "id" : "ITEM-2", "itemData" : { "DOI" : "10.1177/0272989X9301300107", "ISBN" : "0272-989X (Print) 0272-989X (Linking)", "ISSN" : "0272-989X", "PMID" : "8433637", "abstract" : "Current advances in high-speed computing and increased availability of statistical software have led to widespread use of statistical methods for the development of computerized protocols predictive of binary health outcomes. If these predictive algorithms are to be used in settings other than those for which they were developed, e.g., applied in a different geographic setting or extrapolated for use in a slightly different population, then they should be carefully validated to ensure appropriate application. Miller et al. (Stat Med. 1991) provided a comprehensive methodology for external validation of logistic prediction models, and applied these methods in a temporal validation setting. In this article, the authors emphasize how these methods can be applied to general forms of probabilistic predictions and provide several SAS macros for computation of the desired statistics.", "author" : [ { "dropping-particle" : "", "family" : "Miller", "given" : "M E", "non-dropping-particle" : "", "parse-names" : false, "suffix" : "" }, { "dropping-particle" : "", "family" : "Langefeld", "given" : "C D", "non-dropping-particle" : "", "parse-names" : false, "suffix" : "" }, { "dropping-particle" : "", "family" : "Tierney", "given" : "W M", "non-dropping-particle" : "", "parse-names" : false, "suffix" : "" }, { "dropping-particle" : "", "family" : "Hui", "given" : "S L", "non-dropping-particle" : "", "parse-names" : false, "suffix" : "" }, { "dropping-particle" : "", "family" : "McDonald", "given" : "C J", "non-dropping-particle" : "", "parse-names" : false, "suffix" : "" } ], "container-title" : "Medical decision making : an international journal of the Society for Medical Decision Making", "id" : "ITEM-2", "issue" : "1", "issued" : { "date-parts" : [ [ "1993" ] ] }, "page" : "49-58", "title" : "Validation of probabilistic predictions.", "type" : "article-journal", "volume" : "13" }, "uris" : [ "http://www.mendeley.com/documents/?uuid=d095d54f-59cb-454a-a667-18bd463d765d", "http://www.mendeley.com/documents/?uuid=c05114a5-42c8-4d7b-9a7e-83bbd3695e91", "http://www.mendeley.com/documents/?uuid=b6bb5618-575c-424b-8c51-8442c088c4dd" ] } ], "mendeley" : { "formattedCitation" : "[45, 46]", "plainTextFormattedCitation" : "[45, 46]", "previouslyFormattedCitation" : "[45, 46]" }, "properties" : { "noteIndex" : 0 }, "schema" : "https://github.com/citation-style-language/schema/raw/master/csl-citation.json" }</w:instrText>
      </w:r>
      <w:r w:rsidR="000D4ACA">
        <w:fldChar w:fldCharType="separate"/>
      </w:r>
      <w:r w:rsidR="00C82D09" w:rsidRPr="00C82D09">
        <w:rPr>
          <w:noProof/>
        </w:rPr>
        <w:t>[45, 46]</w:t>
      </w:r>
      <w:r w:rsidR="000D4ACA">
        <w:fldChar w:fldCharType="end"/>
      </w:r>
      <w:r w:rsidR="000D4ACA" w:rsidRPr="000D4ACA">
        <w:t xml:space="preserve"> </w:t>
      </w:r>
      <w:r w:rsidR="000D4ACA">
        <w:t xml:space="preserve"> The 45</w:t>
      </w:r>
      <w:r w:rsidR="006337AA">
        <w:t>-</w:t>
      </w:r>
      <w:r w:rsidR="000D4ACA">
        <w:t xml:space="preserve">degree solid line represents a reference standard of perfect calibration and refinement.  </w:t>
      </w:r>
    </w:p>
    <w:p w14:paraId="5F19C63C" w14:textId="2D894790" w:rsidR="00987D79" w:rsidRDefault="00987D79" w:rsidP="009B3BAA">
      <w:pPr>
        <w:spacing w:line="360" w:lineRule="auto"/>
        <w:rPr>
          <w:b/>
        </w:rPr>
      </w:pPr>
    </w:p>
    <w:p w14:paraId="068B2C31" w14:textId="242B1537" w:rsidR="00663BEA" w:rsidRDefault="00663BEA" w:rsidP="009B3BAA">
      <w:pPr>
        <w:spacing w:line="360" w:lineRule="auto"/>
        <w:rPr>
          <w:b/>
        </w:rPr>
      </w:pPr>
    </w:p>
    <w:p w14:paraId="23D9A86A" w14:textId="701E9E48" w:rsidR="00663BEA" w:rsidRDefault="00663BEA" w:rsidP="009B3BAA">
      <w:pPr>
        <w:spacing w:line="360" w:lineRule="auto"/>
        <w:rPr>
          <w:b/>
        </w:rPr>
      </w:pPr>
    </w:p>
    <w:p w14:paraId="61AB1DB3" w14:textId="7C9F4B71" w:rsidR="00663BEA" w:rsidRDefault="00663BEA" w:rsidP="009B3BAA">
      <w:pPr>
        <w:spacing w:line="360" w:lineRule="auto"/>
        <w:rPr>
          <w:b/>
        </w:rPr>
      </w:pPr>
    </w:p>
    <w:p w14:paraId="061E3214" w14:textId="4F73DED7" w:rsidR="00663BEA" w:rsidRDefault="00663BEA" w:rsidP="009B3BAA">
      <w:pPr>
        <w:spacing w:line="360" w:lineRule="auto"/>
        <w:rPr>
          <w:b/>
        </w:rPr>
      </w:pPr>
    </w:p>
    <w:p w14:paraId="2B38B313" w14:textId="393AB8FE" w:rsidR="00663BEA" w:rsidRDefault="00663BEA" w:rsidP="009B3BAA">
      <w:pPr>
        <w:spacing w:line="360" w:lineRule="auto"/>
        <w:rPr>
          <w:b/>
        </w:rPr>
      </w:pPr>
    </w:p>
    <w:p w14:paraId="1CD7C0FE" w14:textId="1C138626" w:rsidR="00663BEA" w:rsidRDefault="00663BEA" w:rsidP="009B3BAA">
      <w:pPr>
        <w:spacing w:line="360" w:lineRule="auto"/>
        <w:rPr>
          <w:b/>
        </w:rPr>
      </w:pPr>
    </w:p>
    <w:p w14:paraId="340E2A49" w14:textId="1E78FB21" w:rsidR="00663BEA" w:rsidRDefault="00663BEA" w:rsidP="009B3BAA">
      <w:pPr>
        <w:spacing w:line="360" w:lineRule="auto"/>
        <w:rPr>
          <w:b/>
        </w:rPr>
      </w:pPr>
    </w:p>
    <w:p w14:paraId="2246D4D7" w14:textId="12600A42" w:rsidR="00663BEA" w:rsidRDefault="00663BEA" w:rsidP="009B3BAA">
      <w:pPr>
        <w:spacing w:line="360" w:lineRule="auto"/>
        <w:rPr>
          <w:b/>
        </w:rPr>
      </w:pPr>
    </w:p>
    <w:p w14:paraId="09764AC4" w14:textId="1A1EEAF1" w:rsidR="00663BEA" w:rsidRDefault="00663BEA" w:rsidP="009B3BAA">
      <w:pPr>
        <w:spacing w:line="360" w:lineRule="auto"/>
        <w:rPr>
          <w:b/>
        </w:rPr>
      </w:pPr>
    </w:p>
    <w:p w14:paraId="2F27D9B2" w14:textId="26D759B5" w:rsidR="00663BEA" w:rsidRDefault="00663BEA" w:rsidP="009B3BAA">
      <w:pPr>
        <w:spacing w:line="360" w:lineRule="auto"/>
        <w:rPr>
          <w:b/>
        </w:rPr>
      </w:pPr>
    </w:p>
    <w:p w14:paraId="2E9938A4" w14:textId="471EB4C8" w:rsidR="00663BEA" w:rsidRDefault="00663BEA" w:rsidP="009B3BAA">
      <w:pPr>
        <w:spacing w:line="360" w:lineRule="auto"/>
        <w:rPr>
          <w:b/>
        </w:rPr>
      </w:pPr>
    </w:p>
    <w:p w14:paraId="000A4842" w14:textId="2582B929" w:rsidR="00663BEA" w:rsidRDefault="00663BEA" w:rsidP="009B3BAA">
      <w:pPr>
        <w:spacing w:line="360" w:lineRule="auto"/>
        <w:rPr>
          <w:b/>
        </w:rPr>
      </w:pPr>
    </w:p>
    <w:p w14:paraId="230621AE" w14:textId="3D46D1C6" w:rsidR="00663BEA" w:rsidRDefault="00663BEA" w:rsidP="009B3BAA">
      <w:pPr>
        <w:spacing w:line="360" w:lineRule="auto"/>
        <w:rPr>
          <w:b/>
        </w:rPr>
      </w:pPr>
    </w:p>
    <w:p w14:paraId="60EA704B" w14:textId="1CE2E582" w:rsidR="00663BEA" w:rsidRDefault="00663BEA" w:rsidP="009B3BAA">
      <w:pPr>
        <w:spacing w:line="360" w:lineRule="auto"/>
        <w:rPr>
          <w:b/>
        </w:rPr>
      </w:pPr>
    </w:p>
    <w:p w14:paraId="478B7428" w14:textId="77777777" w:rsidR="00663BEA" w:rsidRPr="0072731C" w:rsidRDefault="00663BEA" w:rsidP="009B3BAA">
      <w:pPr>
        <w:spacing w:line="360" w:lineRule="auto"/>
        <w:rPr>
          <w:b/>
        </w:rPr>
      </w:pPr>
    </w:p>
    <w:p w14:paraId="1C716F80" w14:textId="77777777" w:rsidR="009B3BAA" w:rsidRDefault="009B3BAA" w:rsidP="009B3BAA">
      <w:pPr>
        <w:spacing w:line="360" w:lineRule="auto"/>
      </w:pPr>
    </w:p>
    <w:p w14:paraId="44DF0991" w14:textId="77777777" w:rsidR="00730E0C" w:rsidRPr="00C93121" w:rsidRDefault="00730E0C" w:rsidP="009B3BAA">
      <w:pPr>
        <w:spacing w:line="360" w:lineRule="auto"/>
      </w:pPr>
    </w:p>
    <w:p w14:paraId="46CF4E9A" w14:textId="77777777" w:rsidR="009B3BAA" w:rsidRPr="00C93121" w:rsidRDefault="009B3BAA" w:rsidP="009B3BAA">
      <w:pPr>
        <w:spacing w:line="360" w:lineRule="auto"/>
      </w:pPr>
    </w:p>
    <w:p w14:paraId="1A074044" w14:textId="77777777" w:rsidR="009B3BAA" w:rsidRDefault="009B3BAA" w:rsidP="009B3BAA">
      <w:pPr>
        <w:spacing w:line="360" w:lineRule="auto"/>
      </w:pPr>
    </w:p>
    <w:p w14:paraId="1565939D" w14:textId="77777777" w:rsidR="002F4CFD" w:rsidRPr="00C93121" w:rsidRDefault="002F4CFD" w:rsidP="009B3BAA">
      <w:pPr>
        <w:spacing w:line="360" w:lineRule="auto"/>
      </w:pPr>
    </w:p>
    <w:p w14:paraId="2C91488A" w14:textId="77777777" w:rsidR="005F70B2" w:rsidRPr="00C93121" w:rsidRDefault="005F70B2" w:rsidP="005F70B2">
      <w:pPr>
        <w:spacing w:line="276" w:lineRule="auto"/>
      </w:pPr>
      <w:r>
        <w:lastRenderedPageBreak/>
        <w:t>TABLES</w:t>
      </w:r>
    </w:p>
    <w:tbl>
      <w:tblPr>
        <w:tblStyle w:val="TableGrid"/>
        <w:tblW w:w="0" w:type="auto"/>
        <w:tblLook w:val="04A0" w:firstRow="1" w:lastRow="0" w:firstColumn="1" w:lastColumn="0" w:noHBand="0" w:noVBand="1"/>
      </w:tblPr>
      <w:tblGrid>
        <w:gridCol w:w="265"/>
        <w:gridCol w:w="4649"/>
        <w:gridCol w:w="1400"/>
        <w:gridCol w:w="1564"/>
        <w:gridCol w:w="1472"/>
      </w:tblGrid>
      <w:tr w:rsidR="005F70B2" w:rsidRPr="00C93121" w14:paraId="7EAB7AEE" w14:textId="77777777" w:rsidTr="0061572F">
        <w:tc>
          <w:tcPr>
            <w:tcW w:w="265" w:type="dxa"/>
          </w:tcPr>
          <w:p w14:paraId="5C98A46E" w14:textId="77777777" w:rsidR="005F70B2" w:rsidRPr="00C93121" w:rsidRDefault="005F70B2" w:rsidP="0061572F">
            <w:pPr>
              <w:spacing w:line="276" w:lineRule="auto"/>
            </w:pPr>
          </w:p>
        </w:tc>
        <w:tc>
          <w:tcPr>
            <w:tcW w:w="4649" w:type="dxa"/>
          </w:tcPr>
          <w:p w14:paraId="66E9090B" w14:textId="77777777" w:rsidR="005F70B2" w:rsidRPr="00C93121" w:rsidRDefault="005F70B2" w:rsidP="0061572F">
            <w:pPr>
              <w:spacing w:line="276" w:lineRule="auto"/>
            </w:pPr>
          </w:p>
        </w:tc>
        <w:tc>
          <w:tcPr>
            <w:tcW w:w="1400" w:type="dxa"/>
          </w:tcPr>
          <w:p w14:paraId="150CD938" w14:textId="77777777" w:rsidR="005F70B2" w:rsidRPr="00C93121" w:rsidRDefault="005F70B2" w:rsidP="0061572F">
            <w:pPr>
              <w:spacing w:line="276" w:lineRule="auto"/>
            </w:pPr>
            <w:r w:rsidRPr="00C93121">
              <w:t>Parameter estimate</w:t>
            </w:r>
          </w:p>
        </w:tc>
        <w:tc>
          <w:tcPr>
            <w:tcW w:w="1564" w:type="dxa"/>
          </w:tcPr>
          <w:p w14:paraId="28F5F43D" w14:textId="77777777" w:rsidR="005F70B2" w:rsidRPr="00C93121" w:rsidRDefault="005F70B2" w:rsidP="0061572F">
            <w:pPr>
              <w:spacing w:line="276" w:lineRule="auto"/>
            </w:pPr>
            <w:r w:rsidRPr="00C93121">
              <w:t>Range used in sensitivity analysis</w:t>
            </w:r>
          </w:p>
        </w:tc>
        <w:tc>
          <w:tcPr>
            <w:tcW w:w="1472" w:type="dxa"/>
          </w:tcPr>
          <w:p w14:paraId="7EA79927" w14:textId="77777777" w:rsidR="005F70B2" w:rsidRPr="00C93121" w:rsidRDefault="005F70B2" w:rsidP="0061572F">
            <w:pPr>
              <w:spacing w:line="276" w:lineRule="auto"/>
            </w:pPr>
            <w:r w:rsidRPr="00C93121">
              <w:t>Source</w:t>
            </w:r>
          </w:p>
        </w:tc>
      </w:tr>
      <w:tr w:rsidR="005F70B2" w:rsidRPr="00C93121" w14:paraId="46D66DC0" w14:textId="77777777" w:rsidTr="0061572F">
        <w:tc>
          <w:tcPr>
            <w:tcW w:w="9350" w:type="dxa"/>
            <w:gridSpan w:val="5"/>
          </w:tcPr>
          <w:p w14:paraId="1397EFC7" w14:textId="77777777" w:rsidR="005F70B2" w:rsidRPr="00C93121" w:rsidRDefault="005F70B2" w:rsidP="0061572F">
            <w:pPr>
              <w:spacing w:line="276" w:lineRule="auto"/>
            </w:pPr>
            <w:r w:rsidRPr="00C93121">
              <w:t>Surveillance and diagnostic test characteristics</w:t>
            </w:r>
          </w:p>
        </w:tc>
      </w:tr>
      <w:tr w:rsidR="005F70B2" w:rsidRPr="00C93121" w14:paraId="77ECEEBB" w14:textId="77777777" w:rsidTr="0061572F">
        <w:tc>
          <w:tcPr>
            <w:tcW w:w="265" w:type="dxa"/>
          </w:tcPr>
          <w:p w14:paraId="2B3D2B07" w14:textId="77777777" w:rsidR="005F70B2" w:rsidRPr="00C93121" w:rsidRDefault="005F70B2" w:rsidP="0061572F">
            <w:pPr>
              <w:spacing w:line="276" w:lineRule="auto"/>
            </w:pPr>
          </w:p>
        </w:tc>
        <w:tc>
          <w:tcPr>
            <w:tcW w:w="4649" w:type="dxa"/>
          </w:tcPr>
          <w:p w14:paraId="64A881EF" w14:textId="77777777" w:rsidR="005F70B2" w:rsidRPr="00C93121" w:rsidRDefault="005F70B2" w:rsidP="0061572F">
            <w:pPr>
              <w:spacing w:line="276" w:lineRule="auto"/>
            </w:pPr>
            <w:r w:rsidRPr="00C93121">
              <w:t>CEA sensitivity</w:t>
            </w:r>
          </w:p>
        </w:tc>
        <w:tc>
          <w:tcPr>
            <w:tcW w:w="1400" w:type="dxa"/>
          </w:tcPr>
          <w:p w14:paraId="2F8D9839" w14:textId="77777777" w:rsidR="005F70B2" w:rsidRPr="00C93121" w:rsidRDefault="005F70B2" w:rsidP="0061572F">
            <w:pPr>
              <w:spacing w:line="276" w:lineRule="auto"/>
            </w:pPr>
            <w:r w:rsidRPr="00C93121">
              <w:t>0.64</w:t>
            </w:r>
          </w:p>
        </w:tc>
        <w:tc>
          <w:tcPr>
            <w:tcW w:w="1564" w:type="dxa"/>
          </w:tcPr>
          <w:p w14:paraId="661599D9" w14:textId="77777777" w:rsidR="005F70B2" w:rsidRPr="00C93121" w:rsidRDefault="005F70B2" w:rsidP="0061572F">
            <w:pPr>
              <w:spacing w:line="276" w:lineRule="auto"/>
            </w:pPr>
            <w:r w:rsidRPr="00C93121">
              <w:t>0.49 to 0.79</w:t>
            </w:r>
          </w:p>
        </w:tc>
        <w:tc>
          <w:tcPr>
            <w:tcW w:w="1472" w:type="dxa"/>
          </w:tcPr>
          <w:p w14:paraId="65BBFD2F" w14:textId="41FCFAF8" w:rsidR="005F70B2" w:rsidRPr="00C93121" w:rsidRDefault="005F70B2" w:rsidP="0061572F">
            <w:pPr>
              <w:spacing w:line="276" w:lineRule="auto"/>
              <w:jc w:val="center"/>
            </w:pPr>
            <w:r w:rsidRPr="00C93121">
              <w:fldChar w:fldCharType="begin" w:fldLock="1"/>
            </w:r>
            <w:r w:rsidR="00C82D09">
              <w:instrText>ADDIN CSL_CITATION { "citationItems" : [ { "id" : "ITEM-1", "itemData" : { "DOI" : "S0960-7404(08)00049-2 [pii]\r10.1016/j.suronc.2008.05.008", "ISBN" : "0960-7404 (Print)\r0960-7404 (Linking)", "PMID" : "18619834", "abstract" : "INTRODUCTION: The aim of the study was to evaluate the diagnostic precision of serum carcinoembryonic antigen (CEA) in the detection of local or distant recurrence following resectional surgery for colon and rectal cancer. METHODS: Quantitative meta-analysis was performed on 20 studies, comparing serum CEA with radiological imaging and/or pathology in detecting colorectal cancer (CRC) recurrence in 4285 patients. The cut-off for a 'positive' CEA ranged from 3 to 15 ng/ml between the various studies. Sensitivity, specificity and diagnostic odds ratio (DOR) were calculated for each study. Summary receiver operating characteristic curves (SROC) and sub-group analysis were undertaken. RESULTS: The overall sensitivity and specificity of CEA for detecting CRC recurrence was 0.64 (95% CI: 0.61-0.67) and 0.90 (95% CI: 0.89-0.91), respectively. The area under the SROC curve was 0.75 (SE=0.04) and the diagnostic odds ratio was 18.44 (95% CI: 11.94-28.49). A CEA cut-off of 5 ng/ml yielded a higher diagnostic odds ratio than a cut-off of 3 ng/ml (15.5 vs. 11.1). Using meta-regression analysis the optimum CEA cut-off point for the best combination of sensitivity and specificity was 2.2 ng/ml. On sub-group analysis high quality studies, and those involving &gt; or =100 patients yielded a marginal improvement in the sensitivity and specificity with minimal change to the SROC. CONCLUSION: Serum CEA is a test with high specificity but insufficient sensitivity for detecting CRC recurrence in isolation. A cut-off of 2.2 ng/ml may provide an ideal balance of sensitivity and specificity. It may be useful as a first-line surveillance investigation in patients during surgical follow-up based on serial CEA measurements using temporal trends in conjunction with clinical, radiological and/or histological confirmation.", "author" : [ { "dropping-particle" : "", "family" : "Tan", "given" : "E", "non-dropping-particle" : "", "parse-names" : false, "suffix" : "" }, { "dropping-particle" : "", "family" : "Gouvas", "given" : "N", "non-dropping-particle" : "", "parse-names" : false, "suffix" : "" }, { "dropping-particle" : "", "family" : "Nicholls", "given" : "R J", "non-dropping-particle" : "", "parse-names" : false, "suffix" : "" }, { "dropping-particle" : "", "family" : "Ziprin", "given" : "P", "non-dropping-particle" : "", "parse-names" : false, "suffix" : "" }, { "dropping-particle" : "", "family" : "Xynos", "given" : "E", "non-dropping-particle" : "", "parse-names" : false, "suffix" : "" }, { "dropping-particle" : "", "family" : "Tekkis", "given" : "P P", "non-dropping-particle" : "", "parse-names" : false, "suffix" : "" } ], "container-title" : "Surgical Oncology", "edition" : "2008/07/16", "id" : "ITEM-1", "issue" : "1", "issued" : { "date-parts" : [ [ "2009" ] ] }, "language" : "eng", "note" : "Tan, Emile\nGouvas, Nikos\nNicholls, R John\nZiprin, Paul\nXynos, Evaghelos\nTekkis, Paris P\nMeta-Analysis\nReview\nNetherlands\nSurgical oncology\nSurg Oncol. 2009 Mar;18(1):15-24. Epub 2008 Jul 10.", "page" : "15-24", "title" : "Diagnostic precision of carcinoembryonic antigen in the detection of recurrence of colorectal cancer", "type" : "article-journal", "volume" : "18" }, "uris" : [ "http://www.mendeley.com/documents/?uuid=c88502f7-eaa0-499a-8001-a926e3b01b70", "http://www.mendeley.com/documents/?uuid=8c3eda42-ede7-4866-acac-2f8acfa760b2" ] } ], "mendeley" : { "formattedCitation" : "[55]", "plainTextFormattedCitation" : "[55]", "previouslyFormattedCitation" : "[55]" }, "properties" : { "noteIndex" : 0 }, "schema" : "https://github.com/citation-style-language/schema/raw/master/csl-citation.json" }</w:instrText>
            </w:r>
            <w:r w:rsidRPr="00C93121">
              <w:fldChar w:fldCharType="separate"/>
            </w:r>
            <w:r w:rsidR="00C82D09" w:rsidRPr="00C82D09">
              <w:rPr>
                <w:noProof/>
              </w:rPr>
              <w:t>[55]</w:t>
            </w:r>
            <w:r w:rsidRPr="00C93121">
              <w:fldChar w:fldCharType="end"/>
            </w:r>
          </w:p>
        </w:tc>
      </w:tr>
      <w:tr w:rsidR="005F70B2" w:rsidRPr="00C93121" w14:paraId="51541EC0" w14:textId="77777777" w:rsidTr="0061572F">
        <w:tc>
          <w:tcPr>
            <w:tcW w:w="265" w:type="dxa"/>
          </w:tcPr>
          <w:p w14:paraId="578F6309" w14:textId="77777777" w:rsidR="005F70B2" w:rsidRPr="00C93121" w:rsidRDefault="005F70B2" w:rsidP="0061572F">
            <w:pPr>
              <w:spacing w:line="276" w:lineRule="auto"/>
            </w:pPr>
          </w:p>
        </w:tc>
        <w:tc>
          <w:tcPr>
            <w:tcW w:w="4649" w:type="dxa"/>
          </w:tcPr>
          <w:p w14:paraId="32D727B6" w14:textId="77777777" w:rsidR="005F70B2" w:rsidRPr="00C93121" w:rsidRDefault="005F70B2" w:rsidP="0061572F">
            <w:pPr>
              <w:spacing w:line="276" w:lineRule="auto"/>
            </w:pPr>
            <w:r w:rsidRPr="00C93121">
              <w:t>CEA specificity</w:t>
            </w:r>
          </w:p>
        </w:tc>
        <w:tc>
          <w:tcPr>
            <w:tcW w:w="1400" w:type="dxa"/>
          </w:tcPr>
          <w:p w14:paraId="031B49FC" w14:textId="77777777" w:rsidR="005F70B2" w:rsidRPr="00C93121" w:rsidRDefault="005F70B2" w:rsidP="0061572F">
            <w:pPr>
              <w:spacing w:line="276" w:lineRule="auto"/>
            </w:pPr>
            <w:r w:rsidRPr="00C93121">
              <w:t>0.90</w:t>
            </w:r>
          </w:p>
        </w:tc>
        <w:tc>
          <w:tcPr>
            <w:tcW w:w="1564" w:type="dxa"/>
          </w:tcPr>
          <w:p w14:paraId="48F20C5B" w14:textId="77777777" w:rsidR="005F70B2" w:rsidRPr="00C93121" w:rsidRDefault="005F70B2" w:rsidP="0061572F">
            <w:pPr>
              <w:spacing w:line="276" w:lineRule="auto"/>
            </w:pPr>
            <w:r w:rsidRPr="00C93121">
              <w:t>0.75 to 1.00</w:t>
            </w:r>
          </w:p>
        </w:tc>
        <w:tc>
          <w:tcPr>
            <w:tcW w:w="1472" w:type="dxa"/>
          </w:tcPr>
          <w:p w14:paraId="08D0E7AA" w14:textId="33367097" w:rsidR="005F70B2" w:rsidRPr="00C93121" w:rsidRDefault="005F70B2" w:rsidP="0061572F">
            <w:pPr>
              <w:spacing w:line="276" w:lineRule="auto"/>
              <w:jc w:val="center"/>
            </w:pPr>
            <w:r w:rsidRPr="00C93121">
              <w:fldChar w:fldCharType="begin" w:fldLock="1"/>
            </w:r>
            <w:r w:rsidR="00C82D09">
              <w:instrText>ADDIN CSL_CITATION { "citationItems" : [ { "id" : "ITEM-1", "itemData" : { "DOI" : "S0960-7404(08)00049-2 [pii]\r10.1016/j.suronc.2008.05.008", "ISBN" : "0960-7404 (Print)\r0960-7404 (Linking)", "PMID" : "18619834", "abstract" : "INTRODUCTION: The aim of the study was to evaluate the diagnostic precision of serum carcinoembryonic antigen (CEA) in the detection of local or distant recurrence following resectional surgery for colon and rectal cancer. METHODS: Quantitative meta-analysis was performed on 20 studies, comparing serum CEA with radiological imaging and/or pathology in detecting colorectal cancer (CRC) recurrence in 4285 patients. The cut-off for a 'positive' CEA ranged from 3 to 15 ng/ml between the various studies. Sensitivity, specificity and diagnostic odds ratio (DOR) were calculated for each study. Summary receiver operating characteristic curves (SROC) and sub-group analysis were undertaken. RESULTS: The overall sensitivity and specificity of CEA for detecting CRC recurrence was 0.64 (95% CI: 0.61-0.67) and 0.90 (95% CI: 0.89-0.91), respectively. The area under the SROC curve was 0.75 (SE=0.04) and the diagnostic odds ratio was 18.44 (95% CI: 11.94-28.49). A CEA cut-off of 5 ng/ml yielded a higher diagnostic odds ratio than a cut-off of 3 ng/ml (15.5 vs. 11.1). Using meta-regression analysis the optimum CEA cut-off point for the best combination of sensitivity and specificity was 2.2 ng/ml. On sub-group analysis high quality studies, and those involving &gt; or =100 patients yielded a marginal improvement in the sensitivity and specificity with minimal change to the SROC. CONCLUSION: Serum CEA is a test with high specificity but insufficient sensitivity for detecting CRC recurrence in isolation. A cut-off of 2.2 ng/ml may provide an ideal balance of sensitivity and specificity. It may be useful as a first-line surveillance investigation in patients during surgical follow-up based on serial CEA measurements using temporal trends in conjunction with clinical, radiological and/or histological confirmation.", "author" : [ { "dropping-particle" : "", "family" : "Tan", "given" : "E", "non-dropping-particle" : "", "parse-names" : false, "suffix" : "" }, { "dropping-particle" : "", "family" : "Gouvas", "given" : "N", "non-dropping-particle" : "", "parse-names" : false, "suffix" : "" }, { "dropping-particle" : "", "family" : "Nicholls", "given" : "R J", "non-dropping-particle" : "", "parse-names" : false, "suffix" : "" }, { "dropping-particle" : "", "family" : "Ziprin", "given" : "P", "non-dropping-particle" : "", "parse-names" : false, "suffix" : "" }, { "dropping-particle" : "", "family" : "Xynos", "given" : "E", "non-dropping-particle" : "", "parse-names" : false, "suffix" : "" }, { "dropping-particle" : "", "family" : "Tekkis", "given" : "P P", "non-dropping-particle" : "", "parse-names" : false, "suffix" : "" } ], "container-title" : "Surgical Oncology", "edition" : "2008/07/16", "id" : "ITEM-1", "issue" : "1", "issued" : { "date-parts" : [ [ "2009" ] ] }, "language" : "eng", "note" : "Tan, Emile\nGouvas, Nikos\nNicholls, R John\nZiprin, Paul\nXynos, Evaghelos\nTekkis, Paris P\nMeta-Analysis\nReview\nNetherlands\nSurgical oncology\nSurg Oncol. 2009 Mar;18(1):15-24. Epub 2008 Jul 10.", "page" : "15-24", "title" : "Diagnostic precision of carcinoembryonic antigen in the detection of recurrence of colorectal cancer", "type" : "article-journal", "volume" : "18" }, "uris" : [ "http://www.mendeley.com/documents/?uuid=8c3eda42-ede7-4866-acac-2f8acfa760b2", "http://www.mendeley.com/documents/?uuid=c88502f7-eaa0-499a-8001-a926e3b01b70" ] } ], "mendeley" : { "formattedCitation" : "[55]", "plainTextFormattedCitation" : "[55]", "previouslyFormattedCitation" : "[55]" }, "properties" : { "noteIndex" : 0 }, "schema" : "https://github.com/citation-style-language/schema/raw/master/csl-citation.json" }</w:instrText>
            </w:r>
            <w:r w:rsidRPr="00C93121">
              <w:fldChar w:fldCharType="separate"/>
            </w:r>
            <w:r w:rsidR="00C82D09" w:rsidRPr="00C82D09">
              <w:rPr>
                <w:noProof/>
              </w:rPr>
              <w:t>[55]</w:t>
            </w:r>
            <w:r w:rsidRPr="00C93121">
              <w:fldChar w:fldCharType="end"/>
            </w:r>
          </w:p>
        </w:tc>
      </w:tr>
      <w:tr w:rsidR="005F70B2" w:rsidRPr="00C93121" w14:paraId="2DACAFBB" w14:textId="77777777" w:rsidTr="0061572F">
        <w:tc>
          <w:tcPr>
            <w:tcW w:w="265" w:type="dxa"/>
          </w:tcPr>
          <w:p w14:paraId="232C9C38" w14:textId="77777777" w:rsidR="005F70B2" w:rsidRPr="00C93121" w:rsidRDefault="005F70B2" w:rsidP="0061572F">
            <w:pPr>
              <w:spacing w:line="276" w:lineRule="auto"/>
            </w:pPr>
          </w:p>
        </w:tc>
        <w:tc>
          <w:tcPr>
            <w:tcW w:w="4649" w:type="dxa"/>
          </w:tcPr>
          <w:p w14:paraId="0171DC7A" w14:textId="77777777" w:rsidR="005F70B2" w:rsidRPr="00C93121" w:rsidRDefault="005F70B2" w:rsidP="0061572F">
            <w:pPr>
              <w:spacing w:line="276" w:lineRule="auto"/>
            </w:pPr>
            <w:r w:rsidRPr="00C93121">
              <w:t>CT sensitivity – chest</w:t>
            </w:r>
          </w:p>
        </w:tc>
        <w:tc>
          <w:tcPr>
            <w:tcW w:w="1400" w:type="dxa"/>
          </w:tcPr>
          <w:p w14:paraId="0823D66B" w14:textId="77777777" w:rsidR="005F70B2" w:rsidRPr="00C93121" w:rsidRDefault="005F70B2" w:rsidP="0061572F">
            <w:pPr>
              <w:spacing w:line="276" w:lineRule="auto"/>
            </w:pPr>
            <w:r w:rsidRPr="00C93121">
              <w:t>0.94</w:t>
            </w:r>
          </w:p>
        </w:tc>
        <w:tc>
          <w:tcPr>
            <w:tcW w:w="1564" w:type="dxa"/>
          </w:tcPr>
          <w:p w14:paraId="61E56CC9" w14:textId="77777777" w:rsidR="005F70B2" w:rsidRPr="00C93121" w:rsidRDefault="005F70B2" w:rsidP="0061572F">
            <w:pPr>
              <w:spacing w:line="276" w:lineRule="auto"/>
            </w:pPr>
            <w:r w:rsidRPr="00C93121">
              <w:t>0.79 to 1.00</w:t>
            </w:r>
          </w:p>
        </w:tc>
        <w:tc>
          <w:tcPr>
            <w:tcW w:w="1472" w:type="dxa"/>
          </w:tcPr>
          <w:p w14:paraId="398B3CEA" w14:textId="2CFD7787" w:rsidR="005F70B2" w:rsidRPr="00C93121" w:rsidRDefault="005F70B2" w:rsidP="0061572F">
            <w:pPr>
              <w:spacing w:line="276" w:lineRule="auto"/>
              <w:jc w:val="center"/>
            </w:pPr>
            <w:r w:rsidRPr="00C93121">
              <w:fldChar w:fldCharType="begin" w:fldLock="1"/>
            </w:r>
            <w:r w:rsidR="00C82D09">
              <w:instrText>ADDIN CSL_CITATION { "citationItems" : [ { "id" : "ITEM-1", "itemData" : { "ISBN" : "0004-0010 (Print)\r0004-0010 (Linking)", "PMID" : "10323422", "abstract" : "HYPOTHESIS: Metabolic imaging by positron emission tomography (PET) using [18F]fluorodeoxyglucose will be more accurate than anatomic imaging by computed tomography (CT) for detection of recurrent colorectal cancer. More accurate staging of recurrent tumor by PET will lead to more appropriate management decisions. DESIGN: Prospective blinded study comparing PET with CT, using histologic diagnosis, serial CT imaging, and clinical follow-up as criterion standards, with a fully blinded, retrospective reinterpretation of PET studies. Changes in diagnosis resulting from PET findings were correlated with subsequent treatment and surgical findings. Potential cost savings resulting from use of PET for preoperative staging were calculated. SETTING: Private practice in an outpatient tertiary referral center. PATIENTS: A group of 155 consecutive patients with imaging for diagnosis or staging of recurrent colorectal cancer. Twenty-one patient (14%) were excluded due to lack of a criterion standard. Computed tomographic scans were available for comparison for 115 patients. RESULTS: Positron emission tomographic scan sensitivity and specificity were 93% and 98%, respectively, compared with 69% and 96% for CT. Ninety-five percent confidence intervals for the differences between the modalities were 16% to 32% for sensitivity and 1% to 5% for specificity. The sensitivity of both modalities varied with anatomic site of recurrence. Positron emission tomographic scans were true positive in 12 (67%) of 18 patients with elevated serum carcinoembryonic antigen levels and negative CT findings. In 23 (29%) of 78 preoperative studies in which CT showed a single site of recurrence, PET showed tumor at additional sites. At surgery, nonresectable, PET-negative tumor was found in 7 (17%) of 42 patients who had PET evidence of localized recurrence only. Potential savings resulting from demonstration of nonresectable tumor by PET were calculated at $3003 per preoperative study. CONCLUSIONS: Positron emission tomography was more sensitive and specific than CT for detection of recurrent colorectal cancer. Preoperative detection of nonresectable tumor by PET may avoid unnecessary surgery, and thereby reduce the cost of patient treatment.", "author" : [ { "dropping-particle" : "", "family" : "Valk", "given" : "P E", "non-dropping-particle" : "", "parse-names" : false, "suffix" : "" }, { "dropping-particle" : "", "family" : "Abella-Columna", "given" : "E", "non-dropping-particle" : "", "parse-names" : false, "suffix" : "" }, { "dropping-particle" : "", "family" : "Haseman", "given" : "M K", "non-dropping-particle" : "", "parse-names" : false, "suffix" : "" }, { "dropping-particle" : "", "family" : "Pounds", "given" : "T R", "non-dropping-particle" : "", "parse-names" : false, "suffix" : "" }, { "dropping-particle" : "", "family" : "Tesar", "given" : "R D", "non-dropping-particle" : "", "parse-names" : false, "suffix" : "" }, { "dropping-particle" : "", "family" : "Myers", "given" : "R W", "non-dropping-particle" : "", "parse-names" : false, "suffix" : "" }, { "dropping-particle" : "", "family" : "Greiss", "given" : "H B", "non-dropping-particle" : "", "parse-names" : false, "suffix" : "" }, { "dropping-particle" : "", "family" : "Hofer", "given" : "G A", "non-dropping-particle" : "", "parse-names" : false, "suffix" : "" } ], "container-title" : "Archives of Surgery", "edition" : "1999/05/14", "id" : "ITEM-1", "issue" : "5", "issued" : { "date-parts" : [ [ "1999" ] ] }, "language" : "eng", "note" : "Valk, P E\nAbella-Columna, E\nHaseman, M K\nPounds, T R\nTesar, R D\nMyers, R W\nGreiss, H B\nHofer, G A\nChicago, Ill. : 1960\nArch Surg. 1999 May;134(5):503-11; discussion 511-3.", "page" : "503", "title" : "Whole-body PET imaging with [18F]fluorodeoxyglucose in management of recurrent colorectal cancer", "type" : "article-journal", "volume" : "134" }, "uris" : [ "http://www.mendeley.com/documents/?uuid=c995334a-74e0-4225-9c93-1781e39613d6", "http://www.mendeley.com/documents/?uuid=64ea7786-06d9-44f8-a026-c7f7f86d0803" ] } ], "mendeley" : { "formattedCitation" : "[56]", "plainTextFormattedCitation" : "[56]", "previouslyFormattedCitation" : "[56]" }, "properties" : { "noteIndex" : 0 }, "schema" : "https://github.com/citation-style-language/schema/raw/master/csl-citation.json" }</w:instrText>
            </w:r>
            <w:r w:rsidRPr="00C93121">
              <w:fldChar w:fldCharType="separate"/>
            </w:r>
            <w:r w:rsidR="00C82D09" w:rsidRPr="00C82D09">
              <w:rPr>
                <w:noProof/>
              </w:rPr>
              <w:t>[56]</w:t>
            </w:r>
            <w:r w:rsidRPr="00C93121">
              <w:fldChar w:fldCharType="end"/>
            </w:r>
          </w:p>
        </w:tc>
      </w:tr>
      <w:tr w:rsidR="005F70B2" w:rsidRPr="00C93121" w14:paraId="22914EA8" w14:textId="77777777" w:rsidTr="0061572F">
        <w:tc>
          <w:tcPr>
            <w:tcW w:w="265" w:type="dxa"/>
          </w:tcPr>
          <w:p w14:paraId="54DE60CA" w14:textId="77777777" w:rsidR="005F70B2" w:rsidRPr="00C93121" w:rsidRDefault="005F70B2" w:rsidP="0061572F">
            <w:pPr>
              <w:spacing w:line="276" w:lineRule="auto"/>
            </w:pPr>
          </w:p>
        </w:tc>
        <w:tc>
          <w:tcPr>
            <w:tcW w:w="4649" w:type="dxa"/>
          </w:tcPr>
          <w:p w14:paraId="723406A3" w14:textId="77777777" w:rsidR="005F70B2" w:rsidRPr="00C93121" w:rsidRDefault="005F70B2" w:rsidP="0061572F">
            <w:pPr>
              <w:spacing w:line="276" w:lineRule="auto"/>
            </w:pPr>
            <w:r w:rsidRPr="00C93121">
              <w:t xml:space="preserve">CT specificity – chest </w:t>
            </w:r>
          </w:p>
        </w:tc>
        <w:tc>
          <w:tcPr>
            <w:tcW w:w="1400" w:type="dxa"/>
          </w:tcPr>
          <w:p w14:paraId="50EF9293" w14:textId="77777777" w:rsidR="005F70B2" w:rsidRPr="00C93121" w:rsidRDefault="005F70B2" w:rsidP="0061572F">
            <w:pPr>
              <w:spacing w:line="276" w:lineRule="auto"/>
            </w:pPr>
            <w:r w:rsidRPr="00C93121">
              <w:t>0.96</w:t>
            </w:r>
          </w:p>
        </w:tc>
        <w:tc>
          <w:tcPr>
            <w:tcW w:w="1564" w:type="dxa"/>
          </w:tcPr>
          <w:p w14:paraId="11D6F8E2" w14:textId="77777777" w:rsidR="005F70B2" w:rsidRPr="00C93121" w:rsidRDefault="005F70B2" w:rsidP="0061572F">
            <w:pPr>
              <w:spacing w:line="276" w:lineRule="auto"/>
            </w:pPr>
            <w:r w:rsidRPr="00C93121">
              <w:t>0.81 to 1.00</w:t>
            </w:r>
          </w:p>
        </w:tc>
        <w:tc>
          <w:tcPr>
            <w:tcW w:w="1472" w:type="dxa"/>
          </w:tcPr>
          <w:p w14:paraId="7F16A3A8" w14:textId="130B348F" w:rsidR="005F70B2" w:rsidRPr="00C93121" w:rsidRDefault="005F70B2" w:rsidP="0061572F">
            <w:pPr>
              <w:spacing w:line="276" w:lineRule="auto"/>
              <w:jc w:val="center"/>
            </w:pPr>
            <w:r w:rsidRPr="00C93121">
              <w:fldChar w:fldCharType="begin" w:fldLock="1"/>
            </w:r>
            <w:r w:rsidR="00C82D09">
              <w:instrText>ADDIN CSL_CITATION { "citationItems" : [ { "id" : "ITEM-1", "itemData" : { "ISBN" : "0004-0010 (Print)\r0004-0010 (Linking)", "PMID" : "10323422", "abstract" : "HYPOTHESIS: Metabolic imaging by positron emission tomography (PET) using [18F]fluorodeoxyglucose will be more accurate than anatomic imaging by computed tomography (CT) for detection of recurrent colorectal cancer. More accurate staging of recurrent tumor by PET will lead to more appropriate management decisions. DESIGN: Prospective blinded study comparing PET with CT, using histologic diagnosis, serial CT imaging, and clinical follow-up as criterion standards, with a fully blinded, retrospective reinterpretation of PET studies. Changes in diagnosis resulting from PET findings were correlated with subsequent treatment and surgical findings. Potential cost savings resulting from use of PET for preoperative staging were calculated. SETTING: Private practice in an outpatient tertiary referral center. PATIENTS: A group of 155 consecutive patients with imaging for diagnosis or staging of recurrent colorectal cancer. Twenty-one patient (14%) were excluded due to lack of a criterion standard. Computed tomographic scans were available for comparison for 115 patients. RESULTS: Positron emission tomographic scan sensitivity and specificity were 93% and 98%, respectively, compared with 69% and 96% for CT. Ninety-five percent confidence intervals for the differences between the modalities were 16% to 32% for sensitivity and 1% to 5% for specificity. The sensitivity of both modalities varied with anatomic site of recurrence. Positron emission tomographic scans were true positive in 12 (67%) of 18 patients with elevated serum carcinoembryonic antigen levels and negative CT findings. In 23 (29%) of 78 preoperative studies in which CT showed a single site of recurrence, PET showed tumor at additional sites. At surgery, nonresectable, PET-negative tumor was found in 7 (17%) of 42 patients who had PET evidence of localized recurrence only. Potential savings resulting from demonstration of nonresectable tumor by PET were calculated at $3003 per preoperative study. CONCLUSIONS: Positron emission tomography was more sensitive and specific than CT for detection of recurrent colorectal cancer. Preoperative detection of nonresectable tumor by PET may avoid unnecessary surgery, and thereby reduce the cost of patient treatment.", "author" : [ { "dropping-particle" : "", "family" : "Valk", "given" : "P E", "non-dropping-particle" : "", "parse-names" : false, "suffix" : "" }, { "dropping-particle" : "", "family" : "Abella-Columna", "given" : "E", "non-dropping-particle" : "", "parse-names" : false, "suffix" : "" }, { "dropping-particle" : "", "family" : "Haseman", "given" : "M K", "non-dropping-particle" : "", "parse-names" : false, "suffix" : "" }, { "dropping-particle" : "", "family" : "Pounds", "given" : "T R", "non-dropping-particle" : "", "parse-names" : false, "suffix" : "" }, { "dropping-particle" : "", "family" : "Tesar", "given" : "R D", "non-dropping-particle" : "", "parse-names" : false, "suffix" : "" }, { "dropping-particle" : "", "family" : "Myers", "given" : "R W", "non-dropping-particle" : "", "parse-names" : false, "suffix" : "" }, { "dropping-particle" : "", "family" : "Greiss", "given" : "H B", "non-dropping-particle" : "", "parse-names" : false, "suffix" : "" }, { "dropping-particle" : "", "family" : "Hofer", "given" : "G A", "non-dropping-particle" : "", "parse-names" : false, "suffix" : "" } ], "container-title" : "Archives of Surgery", "edition" : "1999/05/14", "id" : "ITEM-1", "issue" : "5", "issued" : { "date-parts" : [ [ "1999" ] ] }, "language" : "eng", "note" : "Valk, P E\nAbella-Columna, E\nHaseman, M K\nPounds, T R\nTesar, R D\nMyers, R W\nGreiss, H B\nHofer, G A\nChicago, Ill. : 1960\nArch Surg. 1999 May;134(5):503-11; discussion 511-3.", "page" : "503", "title" : "Whole-body PET imaging with [18F]fluorodeoxyglucose in management of recurrent colorectal cancer", "type" : "article-journal", "volume" : "134" }, "uris" : [ "http://www.mendeley.com/documents/?uuid=64ea7786-06d9-44f8-a026-c7f7f86d0803", "http://www.mendeley.com/documents/?uuid=c995334a-74e0-4225-9c93-1781e39613d6" ] } ], "mendeley" : { "formattedCitation" : "[56]", "plainTextFormattedCitation" : "[56]", "previouslyFormattedCitation" : "[56]" }, "properties" : { "noteIndex" : 0 }, "schema" : "https://github.com/citation-style-language/schema/raw/master/csl-citation.json" }</w:instrText>
            </w:r>
            <w:r w:rsidRPr="00C93121">
              <w:fldChar w:fldCharType="separate"/>
            </w:r>
            <w:r w:rsidR="00C82D09" w:rsidRPr="00C82D09">
              <w:rPr>
                <w:noProof/>
              </w:rPr>
              <w:t>[56]</w:t>
            </w:r>
            <w:r w:rsidRPr="00C93121">
              <w:fldChar w:fldCharType="end"/>
            </w:r>
          </w:p>
        </w:tc>
      </w:tr>
      <w:tr w:rsidR="005F70B2" w:rsidRPr="00C93121" w14:paraId="61B0A887" w14:textId="77777777" w:rsidTr="0061572F">
        <w:tc>
          <w:tcPr>
            <w:tcW w:w="265" w:type="dxa"/>
          </w:tcPr>
          <w:p w14:paraId="3B8348CA" w14:textId="77777777" w:rsidR="005F70B2" w:rsidRPr="00C93121" w:rsidRDefault="005F70B2" w:rsidP="0061572F">
            <w:pPr>
              <w:spacing w:line="276" w:lineRule="auto"/>
            </w:pPr>
          </w:p>
        </w:tc>
        <w:tc>
          <w:tcPr>
            <w:tcW w:w="4649" w:type="dxa"/>
          </w:tcPr>
          <w:p w14:paraId="368C4B58" w14:textId="77777777" w:rsidR="005F70B2" w:rsidRPr="00C93121" w:rsidRDefault="005F70B2" w:rsidP="0061572F">
            <w:pPr>
              <w:spacing w:line="276" w:lineRule="auto"/>
            </w:pPr>
            <w:r w:rsidRPr="00C93121">
              <w:t>Ct sensitivity – liver</w:t>
            </w:r>
          </w:p>
        </w:tc>
        <w:tc>
          <w:tcPr>
            <w:tcW w:w="1400" w:type="dxa"/>
          </w:tcPr>
          <w:p w14:paraId="3F334044" w14:textId="77777777" w:rsidR="005F70B2" w:rsidRPr="00C93121" w:rsidRDefault="005F70B2" w:rsidP="0061572F">
            <w:pPr>
              <w:spacing w:line="276" w:lineRule="auto"/>
            </w:pPr>
            <w:r w:rsidRPr="00C93121">
              <w:t>0.83</w:t>
            </w:r>
          </w:p>
        </w:tc>
        <w:tc>
          <w:tcPr>
            <w:tcW w:w="1564" w:type="dxa"/>
          </w:tcPr>
          <w:p w14:paraId="2C354D9E" w14:textId="77777777" w:rsidR="005F70B2" w:rsidRPr="00C93121" w:rsidRDefault="005F70B2" w:rsidP="0061572F">
            <w:pPr>
              <w:spacing w:line="276" w:lineRule="auto"/>
            </w:pPr>
            <w:r w:rsidRPr="00C93121">
              <w:t>0.68 to 0.98</w:t>
            </w:r>
          </w:p>
        </w:tc>
        <w:tc>
          <w:tcPr>
            <w:tcW w:w="1472" w:type="dxa"/>
          </w:tcPr>
          <w:p w14:paraId="13EF62DE" w14:textId="5DEB216A" w:rsidR="005F70B2" w:rsidRPr="00C93121" w:rsidRDefault="005F70B2" w:rsidP="0061572F">
            <w:pPr>
              <w:spacing w:line="276" w:lineRule="auto"/>
              <w:jc w:val="center"/>
            </w:pPr>
            <w:r w:rsidRPr="00C93121">
              <w:fldChar w:fldCharType="begin" w:fldLock="1"/>
            </w:r>
            <w:r w:rsidR="00C82D09">
              <w:instrText>ADDIN CSL_CITATION { "citationItems" : [ { "id" : "ITEM-1", "itemData" : { "DOI" : "10.1002/jmri.22010", "ISSN" : "10531807", "author" : [ { "dropping-particle" : "", "family" : "Floriani", "given" : "Irene", "non-dropping-particle" : "", "parse-names" : false, "suffix" : "" }, { "dropping-particle" : "", "family" : "Torri", "given" : "Valter", "non-dropping-particle" : "", "parse-names" : false, "suffix" : "" }, { "dropping-particle" : "", "family" : "Rulli", "given" : "Eliana", "non-dropping-particle" : "", "parse-names" : false, "suffix" : "" }, { "dropping-particle" : "", "family" : "Garavaglia", "given" : "Daniela", "non-dropping-particle" : "", "parse-names" : false, "suffix" : "" }, { "dropping-particle" : "", "family" : "Compagnoni", "given" : "Anna", "non-dropping-particle" : "", "parse-names" : false, "suffix" : "" }, { "dropping-particle" : "", "family" : "Salvolini", "given" : "Luca", "non-dropping-particle" : "", "parse-names" : false, "suffix" : "" }, { "dropping-particle" : "", "family" : "Giovagnoni", "given" : "Andrea", "non-dropping-particle" : "", "parse-names" : false, "suffix" : "" } ], "container-title" : "Journal of Magnetic Resonance Imaging", "id" : "ITEM-1", "issue" : "1", "issued" : { "date-parts" : [ [ "2010", "1" ] ] }, "page" : "19-31", "publisher" : "Wiley Subscription Services, Inc., A Wiley Company", "title" : "Performance of imaging modalities in diagnosis of liver metastases from colorectal cancer: A systematic review and meta-analysis", "type" : "article-journal", "volume" : "31" }, "uris" : [ "http://www.mendeley.com/documents/?uuid=aa1a0434-91a7-3d78-838b-141841a11b32", "http://www.mendeley.com/documents/?uuid=bd6a8396-de3a-4d5a-8373-6c12cd3a2869" ] } ], "mendeley" : { "formattedCitation" : "[57]", "plainTextFormattedCitation" : "[57]", "previouslyFormattedCitation" : "[57]" }, "properties" : { "noteIndex" : 0 }, "schema" : "https://github.com/citation-style-language/schema/raw/master/csl-citation.json" }</w:instrText>
            </w:r>
            <w:r w:rsidRPr="00C93121">
              <w:fldChar w:fldCharType="separate"/>
            </w:r>
            <w:r w:rsidR="00C82D09" w:rsidRPr="00C82D09">
              <w:rPr>
                <w:noProof/>
              </w:rPr>
              <w:t>[57]</w:t>
            </w:r>
            <w:r w:rsidRPr="00C93121">
              <w:fldChar w:fldCharType="end"/>
            </w:r>
          </w:p>
        </w:tc>
      </w:tr>
      <w:tr w:rsidR="005F70B2" w:rsidRPr="00C93121" w14:paraId="58AD7B5E" w14:textId="77777777" w:rsidTr="0061572F">
        <w:tc>
          <w:tcPr>
            <w:tcW w:w="265" w:type="dxa"/>
          </w:tcPr>
          <w:p w14:paraId="513E20A1" w14:textId="77777777" w:rsidR="005F70B2" w:rsidRPr="00C93121" w:rsidRDefault="005F70B2" w:rsidP="0061572F">
            <w:pPr>
              <w:spacing w:line="276" w:lineRule="auto"/>
            </w:pPr>
          </w:p>
        </w:tc>
        <w:tc>
          <w:tcPr>
            <w:tcW w:w="4649" w:type="dxa"/>
          </w:tcPr>
          <w:p w14:paraId="5776954E" w14:textId="77777777" w:rsidR="005F70B2" w:rsidRPr="00C93121" w:rsidRDefault="005F70B2" w:rsidP="0061572F">
            <w:pPr>
              <w:spacing w:line="276" w:lineRule="auto"/>
            </w:pPr>
            <w:r w:rsidRPr="00C93121">
              <w:t>CT specificity – liver</w:t>
            </w:r>
          </w:p>
        </w:tc>
        <w:tc>
          <w:tcPr>
            <w:tcW w:w="1400" w:type="dxa"/>
          </w:tcPr>
          <w:p w14:paraId="7B4AC2D9" w14:textId="77777777" w:rsidR="005F70B2" w:rsidRPr="00C93121" w:rsidRDefault="005F70B2" w:rsidP="0061572F">
            <w:pPr>
              <w:spacing w:line="276" w:lineRule="auto"/>
            </w:pPr>
            <w:r w:rsidRPr="00C93121">
              <w:t>0.59</w:t>
            </w:r>
          </w:p>
        </w:tc>
        <w:tc>
          <w:tcPr>
            <w:tcW w:w="1564" w:type="dxa"/>
          </w:tcPr>
          <w:p w14:paraId="7E220626" w14:textId="77777777" w:rsidR="005F70B2" w:rsidRPr="00C93121" w:rsidRDefault="005F70B2" w:rsidP="0061572F">
            <w:pPr>
              <w:spacing w:line="276" w:lineRule="auto"/>
            </w:pPr>
            <w:r w:rsidRPr="00C93121">
              <w:t>0.44 to 0.74</w:t>
            </w:r>
          </w:p>
        </w:tc>
        <w:tc>
          <w:tcPr>
            <w:tcW w:w="1472" w:type="dxa"/>
          </w:tcPr>
          <w:p w14:paraId="7A52E1CD" w14:textId="41F8E67B" w:rsidR="005F70B2" w:rsidRPr="00C93121" w:rsidRDefault="005F70B2" w:rsidP="0061572F">
            <w:pPr>
              <w:spacing w:line="276" w:lineRule="auto"/>
              <w:jc w:val="center"/>
            </w:pPr>
            <w:r w:rsidRPr="00C93121">
              <w:fldChar w:fldCharType="begin" w:fldLock="1"/>
            </w:r>
            <w:r w:rsidR="00C82D09">
              <w:instrText>ADDIN CSL_CITATION { "citationItems" : [ { "id" : "ITEM-1", "itemData" : { "DOI" : "10.1002/jmri.22010", "ISSN" : "10531807", "author" : [ { "dropping-particle" : "", "family" : "Floriani", "given" : "Irene", "non-dropping-particle" : "", "parse-names" : false, "suffix" : "" }, { "dropping-particle" : "", "family" : "Torri", "given" : "Valter", "non-dropping-particle" : "", "parse-names" : false, "suffix" : "" }, { "dropping-particle" : "", "family" : "Rulli", "given" : "Eliana", "non-dropping-particle" : "", "parse-names" : false, "suffix" : "" }, { "dropping-particle" : "", "family" : "Garavaglia", "given" : "Daniela", "non-dropping-particle" : "", "parse-names" : false, "suffix" : "" }, { "dropping-particle" : "", "family" : "Compagnoni", "given" : "Anna", "non-dropping-particle" : "", "parse-names" : false, "suffix" : "" }, { "dropping-particle" : "", "family" : "Salvolini", "given" : "Luca", "non-dropping-particle" : "", "parse-names" : false, "suffix" : "" }, { "dropping-particle" : "", "family" : "Giovagnoni", "given" : "Andrea", "non-dropping-particle" : "", "parse-names" : false, "suffix" : "" } ], "container-title" : "Journal of Magnetic Resonance Imaging", "id" : "ITEM-1", "issue" : "1", "issued" : { "date-parts" : [ [ "2010", "1" ] ] }, "page" : "19-31", "publisher" : "Wiley Subscription Services, Inc., A Wiley Company", "title" : "Performance of imaging modalities in diagnosis of liver metastases from colorectal cancer: A systematic review and meta-analysis", "type" : "article-journal", "volume" : "31" }, "uris" : [ "http://www.mendeley.com/documents/?uuid=bd6a8396-de3a-4d5a-8373-6c12cd3a2869", "http://www.mendeley.com/documents/?uuid=aa1a0434-91a7-3d78-838b-141841a11b32" ] } ], "mendeley" : { "formattedCitation" : "[57]", "plainTextFormattedCitation" : "[57]", "previouslyFormattedCitation" : "[57]" }, "properties" : { "noteIndex" : 0 }, "schema" : "https://github.com/citation-style-language/schema/raw/master/csl-citation.json" }</w:instrText>
            </w:r>
            <w:r w:rsidRPr="00C93121">
              <w:fldChar w:fldCharType="separate"/>
            </w:r>
            <w:r w:rsidR="00C82D09" w:rsidRPr="00C82D09">
              <w:rPr>
                <w:noProof/>
              </w:rPr>
              <w:t>[57]</w:t>
            </w:r>
            <w:r w:rsidRPr="00C93121">
              <w:fldChar w:fldCharType="end"/>
            </w:r>
          </w:p>
        </w:tc>
      </w:tr>
      <w:tr w:rsidR="005F70B2" w:rsidRPr="00C93121" w14:paraId="0416CEAE" w14:textId="77777777" w:rsidTr="0061572F">
        <w:tc>
          <w:tcPr>
            <w:tcW w:w="265" w:type="dxa"/>
          </w:tcPr>
          <w:p w14:paraId="1262B5C5" w14:textId="77777777" w:rsidR="005F70B2" w:rsidRPr="00C93121" w:rsidRDefault="005F70B2" w:rsidP="0061572F">
            <w:pPr>
              <w:spacing w:line="276" w:lineRule="auto"/>
            </w:pPr>
          </w:p>
        </w:tc>
        <w:tc>
          <w:tcPr>
            <w:tcW w:w="4649" w:type="dxa"/>
          </w:tcPr>
          <w:p w14:paraId="6FE3FA44" w14:textId="77777777" w:rsidR="005F70B2" w:rsidRPr="00C93121" w:rsidRDefault="005F70B2" w:rsidP="0061572F">
            <w:pPr>
              <w:spacing w:line="276" w:lineRule="auto"/>
            </w:pPr>
            <w:r w:rsidRPr="00C93121">
              <w:t>CT sensitivity – abdomen</w:t>
            </w:r>
          </w:p>
        </w:tc>
        <w:tc>
          <w:tcPr>
            <w:tcW w:w="1400" w:type="dxa"/>
          </w:tcPr>
          <w:p w14:paraId="1804E948" w14:textId="77777777" w:rsidR="005F70B2" w:rsidRPr="00C93121" w:rsidRDefault="005F70B2" w:rsidP="0061572F">
            <w:pPr>
              <w:spacing w:line="276" w:lineRule="auto"/>
            </w:pPr>
            <w:r w:rsidRPr="00C93121">
              <w:t>0.73</w:t>
            </w:r>
          </w:p>
        </w:tc>
        <w:tc>
          <w:tcPr>
            <w:tcW w:w="1564" w:type="dxa"/>
          </w:tcPr>
          <w:p w14:paraId="0F763C43" w14:textId="77777777" w:rsidR="005F70B2" w:rsidRPr="00C93121" w:rsidRDefault="005F70B2" w:rsidP="0061572F">
            <w:pPr>
              <w:spacing w:line="276" w:lineRule="auto"/>
            </w:pPr>
            <w:r w:rsidRPr="00C93121">
              <w:t>0.58 to 0.88</w:t>
            </w:r>
          </w:p>
        </w:tc>
        <w:tc>
          <w:tcPr>
            <w:tcW w:w="1472" w:type="dxa"/>
          </w:tcPr>
          <w:p w14:paraId="45F2864B" w14:textId="465084F8" w:rsidR="005F70B2" w:rsidRPr="00C93121" w:rsidRDefault="005F70B2" w:rsidP="0061572F">
            <w:pPr>
              <w:spacing w:line="276" w:lineRule="auto"/>
              <w:jc w:val="center"/>
            </w:pPr>
            <w:r w:rsidRPr="00C93121">
              <w:fldChar w:fldCharType="begin" w:fldLock="1"/>
            </w:r>
            <w:r w:rsidR="00C82D09">
              <w:instrText>ADDIN CSL_CITATION { "citationItems" : [ { "id" : "ITEM-1", "itemData" : { "DOI" : "10.7150/jca.7988", "ISBN" : "2539682200", "ISSN" : "18379664", "PMID" : "24790654", "abstract" : "Despite advances in neoadjuvant and adjuvant therapy, attention to proper surgical technique, and improved pathological staging for both the primary and metastatic lesions, almost half of all colorectal cancer patients will develop recurrent disease. More concerning, this includes ~25% of patients with theoretically curable node-negative, non-metastatic Stage I and II disease. Given the annual incidence of colorectal cancer, approximately 150,000 new patients are candidates each year for follow-up surveillance. When combined with the greater population already enrolled in a surveillance protocol, this translates to a tremendous number of patients at risk for recurrence. It is therefore imperative that strategies aim for detection of recurrence as early as possible to allow initiation of treatment that may still result in cure. Yet, controversy exists regarding the optimal surveillance strategy (high-intensity vs. traditional), ideal testing regimen, and overall effectiveness. While benefits may involve earlier detection of recurrence, psychological welfare improvement, and greater overall survival, this must be weighed against the potential disadvantages including more invasive tests, higher rates of reoperation, and increased costs. In this review, we will examine the current options available and challenges surrounding colorectal cancer surveillance and early detection of recurrence.", "author" : [ { "dropping-particle" : "", "family" : "Young", "given" : "Patrick E.", "non-dropping-particle" : "", "parse-names" : false, "suffix" : "" }, { "dropping-particle" : "", "family" : "Womeldorph", "given" : "Craig M.", "non-dropping-particle" : "", "parse-names" : false, "suffix" : "" }, { "dropping-particle" : "", "family" : "Johnson", "given" : "Eric K.", "non-dropping-particle" : "", "parse-names" : false, "suffix" : "" }, { "dropping-particle" : "", "family" : "Maykel", "given" : "Justin a.", "non-dropping-particle" : "", "parse-names" : false, "suffix" : "" }, { "dropping-particle" : "", "family" : "Brucher", "given" : "Bjorn", "non-dropping-particle" : "", "parse-names" : false, "suffix" : "" }, { "dropping-particle" : "", "family" : "Stojadinovic", "given" : "Alex", "non-dropping-particle" : "", "parse-names" : false, "suffix" : "" }, { "dropping-particle" : "", "family" : "Avital", "given" : "Itzhak", "non-dropping-particle" : "", "parse-names" : false, "suffix" : "" }, { "dropping-particle" : "", "family" : "Nissan", "given" : "Aviram", "non-dropping-particle" : "", "parse-names" : false, "suffix" : "" }, { "dropping-particle" : "", "family" : "Steele", "given" : "Scott R.", "non-dropping-particle" : "", "parse-names" : false, "suffix" : "" } ], "container-title" : "Journal of Cancer", "id" : "ITEM-1", "issue" : "4", "issued" : { "date-parts" : [ [ "2014" ] ] }, "page" : "262-271", "title" : "Early detection of colorectal cancer recurrence in patients undergoing surgery with curative intent: Current status and challenges", "type" : "article-journal", "volume" : "5" }, "uris" : [ "http://www.mendeley.com/documents/?uuid=2837e297-1054-49f0-affc-507c66ebdd1b", "http://www.mendeley.com/documents/?uuid=14395a58-a995-44f9-a2f4-949225f156da" ] } ], "mendeley" : { "formattedCitation" : "[58]", "plainTextFormattedCitation" : "[58]", "previouslyFormattedCitation" : "[58]" }, "properties" : { "noteIndex" : 0 }, "schema" : "https://github.com/citation-style-language/schema/raw/master/csl-citation.json" }</w:instrText>
            </w:r>
            <w:r w:rsidRPr="00C93121">
              <w:fldChar w:fldCharType="separate"/>
            </w:r>
            <w:r w:rsidR="00C82D09" w:rsidRPr="00C82D09">
              <w:rPr>
                <w:noProof/>
              </w:rPr>
              <w:t>[58]</w:t>
            </w:r>
            <w:r w:rsidRPr="00C93121">
              <w:fldChar w:fldCharType="end"/>
            </w:r>
            <w:r w:rsidRPr="00C93121">
              <w:t xml:space="preserve"> </w:t>
            </w:r>
            <w:r w:rsidRPr="00C93121">
              <w:fldChar w:fldCharType="begin" w:fldLock="1"/>
            </w:r>
            <w:r w:rsidR="00C82D09">
              <w:instrText>ADDIN CSL_CITATION { "citationItems" : [ { "id" : "ITEM-1", "itemData" : { "ISBN" : "0004-0010 (Print)\r0004-0010 (Linking)", "PMID" : "10323422", "abstract" : "HYPOTHESIS: Metabolic imaging by positron emission tomography (PET) using [18F]fluorodeoxyglucose will be more accurate than anatomic imaging by computed tomography (CT) for detection of recurrent colorectal cancer. More accurate staging of recurrent tumor by PET will lead to more appropriate management decisions. DESIGN: Prospective blinded study comparing PET with CT, using histologic diagnosis, serial CT imaging, and clinical follow-up as criterion standards, with a fully blinded, retrospective reinterpretation of PET studies. Changes in diagnosis resulting from PET findings were correlated with subsequent treatment and surgical findings. Potential cost savings resulting from use of PET for preoperative staging were calculated. SETTING: Private practice in an outpatient tertiary referral center. PATIENTS: A group of 155 consecutive patients with imaging for diagnosis or staging of recurrent colorectal cancer. Twenty-one patient (14%) were excluded due to lack of a criterion standard. Computed tomographic scans were available for comparison for 115 patients. RESULTS: Positron emission tomographic scan sensitivity and specificity were 93% and 98%, respectively, compared with 69% and 96% for CT. Ninety-five percent confidence intervals for the differences between the modalities were 16% to 32% for sensitivity and 1% to 5% for specificity. The sensitivity of both modalities varied with anatomic site of recurrence. Positron emission tomographic scans were true positive in 12 (67%) of 18 patients with elevated serum carcinoembryonic antigen levels and negative CT findings. In 23 (29%) of 78 preoperative studies in which CT showed a single site of recurrence, PET showed tumor at additional sites. At surgery, nonresectable, PET-negative tumor was found in 7 (17%) of 42 patients who had PET evidence of localized recurrence only. Potential savings resulting from demonstration of nonresectable tumor by PET were calculated at $3003 per preoperative study. CONCLUSIONS: Positron emission tomography was more sensitive and specific than CT for detection of recurrent colorectal cancer. Preoperative detection of nonresectable tumor by PET may avoid unnecessary surgery, and thereby reduce the cost of patient treatment.", "author" : [ { "dropping-particle" : "", "family" : "Valk", "given" : "P E", "non-dropping-particle" : "", "parse-names" : false, "suffix" : "" }, { "dropping-particle" : "", "family" : "Abella-Columna", "given" : "E", "non-dropping-particle" : "", "parse-names" : false, "suffix" : "" }, { "dropping-particle" : "", "family" : "Haseman", "given" : "M K", "non-dropping-particle" : "", "parse-names" : false, "suffix" : "" }, { "dropping-particle" : "", "family" : "Pounds", "given" : "T R", "non-dropping-particle" : "", "parse-names" : false, "suffix" : "" }, { "dropping-particle" : "", "family" : "Tesar", "given" : "R D", "non-dropping-particle" : "", "parse-names" : false, "suffix" : "" }, { "dropping-particle" : "", "family" : "Myers", "given" : "R W", "non-dropping-particle" : "", "parse-names" : false, "suffix" : "" }, { "dropping-particle" : "", "family" : "Greiss", "given" : "H B", "non-dropping-particle" : "", "parse-names" : false, "suffix" : "" }, { "dropping-particle" : "", "family" : "Hofer", "given" : "G A", "non-dropping-particle" : "", "parse-names" : false, "suffix" : "" } ], "container-title" : "Archives of Surgery", "edition" : "1999/05/14", "id" : "ITEM-1", "issue" : "5", "issued" : { "date-parts" : [ [ "1999" ] ] }, "language" : "eng", "note" : "Valk, P E\nAbella-Columna, E\nHaseman, M K\nPounds, T R\nTesar, R D\nMyers, R W\nGreiss, H B\nHofer, G A\nChicago, Ill. : 1960\nArch Surg. 1999 May;134(5):503-11; discussion 511-3.", "page" : "503", "title" : "Whole-body PET imaging with [18F]fluorodeoxyglucose in management of recurrent colorectal cancer", "type" : "article-journal", "volume" : "134" }, "uris" : [ "http://www.mendeley.com/documents/?uuid=64ea7786-06d9-44f8-a026-c7f7f86d0803", "http://www.mendeley.com/documents/?uuid=c995334a-74e0-4225-9c93-1781e39613d6" ] } ], "mendeley" : { "formattedCitation" : "[56]", "plainTextFormattedCitation" : "[56]", "previouslyFormattedCitation" : "[56]" }, "properties" : { "noteIndex" : 0 }, "schema" : "https://github.com/citation-style-language/schema/raw/master/csl-citation.json" }</w:instrText>
            </w:r>
            <w:r w:rsidRPr="00C93121">
              <w:fldChar w:fldCharType="separate"/>
            </w:r>
            <w:r w:rsidR="00C82D09" w:rsidRPr="00C82D09">
              <w:rPr>
                <w:noProof/>
              </w:rPr>
              <w:t>[56]</w:t>
            </w:r>
            <w:r w:rsidRPr="00C93121">
              <w:fldChar w:fldCharType="end"/>
            </w:r>
            <w:r w:rsidRPr="00C93121">
              <w:t xml:space="preserve"> </w:t>
            </w:r>
            <w:r w:rsidRPr="00C93121">
              <w:fldChar w:fldCharType="begin" w:fldLock="1"/>
            </w:r>
            <w:r w:rsidR="00C82D09">
              <w:instrText>ADDIN CSL_CITATION { "citationItems" : [ { "id" : "ITEM-1", "itemData" : { "URL" : "http://pubs.rsna.org/doi/pdf/10.1148/radiographics.20.2.g00mc14419", "accessed" : { "date-parts" : [ [ "2016", "1", "10" ] ] }, "author" : [ { "dropping-particle" : "", "family" : "Horton", "given" : "KM", "non-dropping-particle" : "", "parse-names" : false, "suffix" : "" }, { "dropping-particle" : "", "family" : "Ross", "given" : "AA", "non-dropping-particle" : "", "parse-names" : false, "suffix" : "" }, { "dropping-particle" : "", "family" : "Fishman", "given" : "EK", "non-dropping-particle" : "", "parse-names" : false, "suffix" : "" } ], "container-title" : "Radiographics", "id" : "ITEM-1", "issued" : { "date-parts" : [ [ "2000" ] ] }, "page" : "419-430", "title" : "Spiral CT of Colon Cancer: Imaging Features and Role in Management", "type" : "webpage" }, "uris" : [ "http://www.mendeley.com/documents/?uuid=d18df105-377b-4350-9086-457753640605", "http://www.mendeley.com/documents/?uuid=3442d1b6-f9fa-4fcd-90b5-7de83a7cf5fe" ] } ], "mendeley" : { "formattedCitation" : "[59]", "plainTextFormattedCitation" : "[59]", "previouslyFormattedCitation" : "[59]" }, "properties" : { "noteIndex" : 0 }, "schema" : "https://github.com/citation-style-language/schema/raw/master/csl-citation.json" }</w:instrText>
            </w:r>
            <w:r w:rsidRPr="00C93121">
              <w:fldChar w:fldCharType="separate"/>
            </w:r>
            <w:r w:rsidR="00C82D09" w:rsidRPr="00C82D09">
              <w:rPr>
                <w:noProof/>
              </w:rPr>
              <w:t>[59]</w:t>
            </w:r>
            <w:r w:rsidRPr="00C93121">
              <w:fldChar w:fldCharType="end"/>
            </w:r>
          </w:p>
        </w:tc>
      </w:tr>
      <w:tr w:rsidR="005F70B2" w:rsidRPr="00C93121" w14:paraId="7A8EF541" w14:textId="77777777" w:rsidTr="0061572F">
        <w:tc>
          <w:tcPr>
            <w:tcW w:w="265" w:type="dxa"/>
          </w:tcPr>
          <w:p w14:paraId="7A039E1B" w14:textId="77777777" w:rsidR="005F70B2" w:rsidRPr="00C93121" w:rsidRDefault="005F70B2" w:rsidP="0061572F">
            <w:pPr>
              <w:spacing w:line="276" w:lineRule="auto"/>
            </w:pPr>
          </w:p>
        </w:tc>
        <w:tc>
          <w:tcPr>
            <w:tcW w:w="4649" w:type="dxa"/>
          </w:tcPr>
          <w:p w14:paraId="77D57B26" w14:textId="77777777" w:rsidR="005F70B2" w:rsidRPr="00C93121" w:rsidRDefault="005F70B2" w:rsidP="0061572F">
            <w:pPr>
              <w:spacing w:line="276" w:lineRule="auto"/>
            </w:pPr>
            <w:r w:rsidRPr="00C93121">
              <w:t>CT specificity - abdomen</w:t>
            </w:r>
          </w:p>
        </w:tc>
        <w:tc>
          <w:tcPr>
            <w:tcW w:w="1400" w:type="dxa"/>
          </w:tcPr>
          <w:p w14:paraId="53E25F0F" w14:textId="77777777" w:rsidR="005F70B2" w:rsidRPr="00C93121" w:rsidRDefault="005F70B2" w:rsidP="0061572F">
            <w:pPr>
              <w:spacing w:line="276" w:lineRule="auto"/>
            </w:pPr>
            <w:r w:rsidRPr="00C93121">
              <w:t>0.98</w:t>
            </w:r>
          </w:p>
        </w:tc>
        <w:tc>
          <w:tcPr>
            <w:tcW w:w="1564" w:type="dxa"/>
          </w:tcPr>
          <w:p w14:paraId="2E659ED6" w14:textId="77777777" w:rsidR="005F70B2" w:rsidRPr="00C93121" w:rsidRDefault="005F70B2" w:rsidP="0061572F">
            <w:pPr>
              <w:spacing w:line="276" w:lineRule="auto"/>
            </w:pPr>
            <w:r w:rsidRPr="00C93121">
              <w:t>0.83 to 1.00</w:t>
            </w:r>
          </w:p>
        </w:tc>
        <w:tc>
          <w:tcPr>
            <w:tcW w:w="1472" w:type="dxa"/>
          </w:tcPr>
          <w:p w14:paraId="0B8B5029" w14:textId="271256F3" w:rsidR="005F70B2" w:rsidRPr="00C93121" w:rsidRDefault="005F70B2" w:rsidP="0061572F">
            <w:pPr>
              <w:spacing w:line="276" w:lineRule="auto"/>
              <w:jc w:val="center"/>
            </w:pPr>
            <w:r w:rsidRPr="00C93121">
              <w:fldChar w:fldCharType="begin" w:fldLock="1"/>
            </w:r>
            <w:r w:rsidR="00C82D09">
              <w:instrText>ADDIN CSL_CITATION { "citationItems" : [ { "id" : "ITEM-1", "itemData" : { "ISBN" : "0004-0010 (Print)\r0004-0010 (Linking)", "PMID" : "10323422", "abstract" : "HYPOTHESIS: Metabolic imaging by positron emission tomography (PET) using [18F]fluorodeoxyglucose will be more accurate than anatomic imaging by computed tomography (CT) for detection of recurrent colorectal cancer. More accurate staging of recurrent tumor by PET will lead to more appropriate management decisions. DESIGN: Prospective blinded study comparing PET with CT, using histologic diagnosis, serial CT imaging, and clinical follow-up as criterion standards, with a fully blinded, retrospective reinterpretation of PET studies. Changes in diagnosis resulting from PET findings were correlated with subsequent treatment and surgical findings. Potential cost savings resulting from use of PET for preoperative staging were calculated. SETTING: Private practice in an outpatient tertiary referral center. PATIENTS: A group of 155 consecutive patients with imaging for diagnosis or staging of recurrent colorectal cancer. Twenty-one patient (14%) were excluded due to lack of a criterion standard. Computed tomographic scans were available for comparison for 115 patients. RESULTS: Positron emission tomographic scan sensitivity and specificity were 93% and 98%, respectively, compared with 69% and 96% for CT. Ninety-five percent confidence intervals for the differences between the modalities were 16% to 32% for sensitivity and 1% to 5% for specificity. The sensitivity of both modalities varied with anatomic site of recurrence. Positron emission tomographic scans were true positive in 12 (67%) of 18 patients with elevated serum carcinoembryonic antigen levels and negative CT findings. In 23 (29%) of 78 preoperative studies in which CT showed a single site of recurrence, PET showed tumor at additional sites. At surgery, nonresectable, PET-negative tumor was found in 7 (17%) of 42 patients who had PET evidence of localized recurrence only. Potential savings resulting from demonstration of nonresectable tumor by PET were calculated at $3003 per preoperative study. CONCLUSIONS: Positron emission tomography was more sensitive and specific than CT for detection of recurrent colorectal cancer. Preoperative detection of nonresectable tumor by PET may avoid unnecessary surgery, and thereby reduce the cost of patient treatment.", "author" : [ { "dropping-particle" : "", "family" : "Valk", "given" : "P E", "non-dropping-particle" : "", "parse-names" : false, "suffix" : "" }, { "dropping-particle" : "", "family" : "Abella-Columna", "given" : "E", "non-dropping-particle" : "", "parse-names" : false, "suffix" : "" }, { "dropping-particle" : "", "family" : "Haseman", "given" : "M K", "non-dropping-particle" : "", "parse-names" : false, "suffix" : "" }, { "dropping-particle" : "", "family" : "Pounds", "given" : "T R", "non-dropping-particle" : "", "parse-names" : false, "suffix" : "" }, { "dropping-particle" : "", "family" : "Tesar", "given" : "R D", "non-dropping-particle" : "", "parse-names" : false, "suffix" : "" }, { "dropping-particle" : "", "family" : "Myers", "given" : "R W", "non-dropping-particle" : "", "parse-names" : false, "suffix" : "" }, { "dropping-particle" : "", "family" : "Greiss", "given" : "H B", "non-dropping-particle" : "", "parse-names" : false, "suffix" : "" }, { "dropping-particle" : "", "family" : "Hofer", "given" : "G A", "non-dropping-particle" : "", "parse-names" : false, "suffix" : "" } ], "container-title" : "Archives of Surgery", "edition" : "1999/05/14", "id" : "ITEM-1", "issue" : "5", "issued" : { "date-parts" : [ [ "1999" ] ] }, "language" : "eng", "note" : "Valk, P E\nAbella-Columna, E\nHaseman, M K\nPounds, T R\nTesar, R D\nMyers, R W\nGreiss, H B\nHofer, G A\nChicago, Ill. : 1960\nArch Surg. 1999 May;134(5):503-11; discussion 511-3.", "page" : "503", "title" : "Whole-body PET imaging with [18F]fluorodeoxyglucose in management of recurrent colorectal cancer", "type" : "article-journal", "volume" : "134" }, "uris" : [ "http://www.mendeley.com/documents/?uuid=64ea7786-06d9-44f8-a026-c7f7f86d0803", "http://www.mendeley.com/documents/?uuid=c995334a-74e0-4225-9c93-1781e39613d6" ] } ], "mendeley" : { "formattedCitation" : "[56]", "plainTextFormattedCitation" : "[56]", "previouslyFormattedCitation" : "[56]" }, "properties" : { "noteIndex" : 0 }, "schema" : "https://github.com/citation-style-language/schema/raw/master/csl-citation.json" }</w:instrText>
            </w:r>
            <w:r w:rsidRPr="00C93121">
              <w:fldChar w:fldCharType="separate"/>
            </w:r>
            <w:r w:rsidR="00C82D09" w:rsidRPr="00C82D09">
              <w:rPr>
                <w:noProof/>
              </w:rPr>
              <w:t>[56]</w:t>
            </w:r>
            <w:r w:rsidRPr="00C93121">
              <w:fldChar w:fldCharType="end"/>
            </w:r>
          </w:p>
        </w:tc>
      </w:tr>
      <w:tr w:rsidR="005F70B2" w:rsidRPr="00C93121" w14:paraId="6D22B2D3" w14:textId="77777777" w:rsidTr="0061572F">
        <w:tc>
          <w:tcPr>
            <w:tcW w:w="265" w:type="dxa"/>
          </w:tcPr>
          <w:p w14:paraId="5963BFF0" w14:textId="77777777" w:rsidR="005F70B2" w:rsidRPr="00C93121" w:rsidRDefault="005F70B2" w:rsidP="0061572F">
            <w:pPr>
              <w:spacing w:line="276" w:lineRule="auto"/>
            </w:pPr>
          </w:p>
        </w:tc>
        <w:tc>
          <w:tcPr>
            <w:tcW w:w="4649" w:type="dxa"/>
          </w:tcPr>
          <w:p w14:paraId="62C747CE" w14:textId="77777777" w:rsidR="005F70B2" w:rsidRPr="00C93121" w:rsidRDefault="005F70B2" w:rsidP="0061572F">
            <w:pPr>
              <w:spacing w:line="276" w:lineRule="auto"/>
            </w:pPr>
            <w:r w:rsidRPr="00C93121">
              <w:t>Colonoscopy sensitivity</w:t>
            </w:r>
          </w:p>
        </w:tc>
        <w:tc>
          <w:tcPr>
            <w:tcW w:w="1400" w:type="dxa"/>
          </w:tcPr>
          <w:p w14:paraId="121AA013" w14:textId="77777777" w:rsidR="005F70B2" w:rsidRPr="00C93121" w:rsidRDefault="005F70B2" w:rsidP="0061572F">
            <w:pPr>
              <w:spacing w:line="276" w:lineRule="auto"/>
            </w:pPr>
            <w:r w:rsidRPr="00C93121">
              <w:t>0.95</w:t>
            </w:r>
          </w:p>
        </w:tc>
        <w:tc>
          <w:tcPr>
            <w:tcW w:w="1564" w:type="dxa"/>
          </w:tcPr>
          <w:p w14:paraId="227BC482" w14:textId="76F4EB4C" w:rsidR="005F70B2" w:rsidRPr="00C93121" w:rsidRDefault="005F70B2" w:rsidP="0061572F">
            <w:pPr>
              <w:spacing w:line="276" w:lineRule="auto"/>
            </w:pPr>
            <w:r w:rsidRPr="00C93121">
              <w:t>0.</w:t>
            </w:r>
            <w:r w:rsidR="00F85D33">
              <w:t>78</w:t>
            </w:r>
            <w:r w:rsidRPr="00C93121">
              <w:t xml:space="preserve"> to 1.00</w:t>
            </w:r>
          </w:p>
        </w:tc>
        <w:tc>
          <w:tcPr>
            <w:tcW w:w="1472" w:type="dxa"/>
          </w:tcPr>
          <w:p w14:paraId="012E6D45" w14:textId="0DB5370D" w:rsidR="005F70B2" w:rsidRPr="00C93121" w:rsidRDefault="005F70B2" w:rsidP="0061572F">
            <w:pPr>
              <w:spacing w:line="276" w:lineRule="auto"/>
              <w:jc w:val="center"/>
            </w:pPr>
            <w:r w:rsidRPr="00C93121">
              <w:fldChar w:fldCharType="begin" w:fldLock="1"/>
            </w:r>
            <w:r w:rsidR="00C82D09">
              <w:instrText>ADDIN CSL_CITATION { "citationItems" : [ { "id" : "ITEM-1", "itemData" : { "DOI" : "10.1001/jama.284.15.1954", "ISBN" : "0098-7484 (Print)\r0098-7484 (Linking)", "PMID" : "11035892", "abstract" : "CONTEXT: A recent expert panel recommended that persons at average risk of colorectal cancer (CRC) begin screening for CRC at age 50 years using 1 of several strategies. However, many aspects of different CRC screening strategies remain uncertain. OBJECTIVE: To assess the consequences, costs, and cost-effectiveness of CRC screening in average-risk individuals. DESIGN: Cost-effectiveness analysis from a societal perspective using a Markov model. SUBJECTS: Hypothetical subjects representative of the 50-year-old US population at average risk for CRC. SETTING: Simulated clinical practice in the United States. MAIN OUTCOME MEASURES: Discounted lifetime costs, life expectancy, and incremental cost-effectiveness (CE) ratio, compared used 22 different CRC screening strategies, including those recommended by the expert panel. RESULTS: In 1 base-case analysis, compliance was assumed to be 60% with the initial screen and 80% with follow-up or surveillance colonoscopy. The most effective strategy for white men was annual rehydrated fecal occult blood testing (FOBT) plus sigmoidoscopy (followed by colonoscopy if either a low- or high-risk polyp was found) every 5 years from age 50 to 85 years, which resulted in a 60% reduction in cancer incidence and an 80% reduction in CRC mortality compared with no screening, and an incremental CE ratio of $92,900 per year of life gained compared with annual unrehydrated FOBT plus sigmoidoscopy every 5 years. In a base-case analysis in which compliance with screening and follow-up is assumed to be 100%, screening more often than every 10 years was prohibitively expensive; annual rehydrated FOBT plus sigmoidoscopy every 5 years had an incremental CE ratio of $489,900 per life-year gained compared with the same strategy every 10 years. Other strategies recommended by the expert panel were either less effective or cost more per year of life gained than the alternatives. Colonoscopy every 10 years was less effective than the combination of annual FOBT plus sigmoidoscopy every 5 years. However, a single colonoscopy at age 55 years achieves nearly half of the reduction in CRC mortality obtainable with colonoscopy every 10 years. Because of increased life expectancy among white women and increased cancer mortality among blacks, CRC screening was even more cost-effective in these groups than in white men. CONCLUSIONS: Screening for CRC, even in the setting of imperfect compliance, significantly reduces CRC mortality at costs comparable to\u2026", "author" : [ { "dropping-particle" : "", "family" : "Frazier", "given" : "A L", "non-dropping-particle" : "", "parse-names" : false, "suffix" : "" }, { "dropping-particle" : "", "family" : "Colditz", "given" : "G A", "non-dropping-particle" : "", "parse-names" : false, "suffix" : "" }, { "dropping-particle" : "", "family" : "Fuchs", "given" : "C S", "non-dropping-particle" : "", "parse-names" : false, "suffix" : "" }, { "dropping-particle" : "", "family" : "Kuntz", "given" : "K M", "non-dropping-particle" : "", "parse-names" : false, "suffix" : "" } ], "container-title" : "JAMA", "edition" : "2000/10/18", "id" : "ITEM-1", "issue" : "15", "issued" : { "date-parts" : [ [ "2000" ] ] }, "language" : "eng", "note" : "Frazier, A L\nColditz, G A\nFuchs, C S\nKuntz, K M\n5 K07 CA62252-03/CA/NCI NIH HHS/\nHS07038/HS/AHRQ HHS/\nT32DK07703/DK/NIDDK NIH HHS/\nJAMA. 2000 Oct 18;284(15):1954-61.", "page" : "1954-1961", "title" : "Cost-effectiveness of screening for colorectal cancer in the general population", "type" : "article-journal", "volume" : "284" }, "uris" : [ "http://www.mendeley.com/documents/?uuid=5c26cdeb-15e3-4533-9f15-1f2db2e2ca4b", "http://www.mendeley.com/documents/?uuid=cfb2a3fb-5283-4080-bdc9-1e6555ab2aec" ] } ], "mendeley" : { "formattedCitation" : "[60]", "plainTextFormattedCitation" : "[60]", "previouslyFormattedCitation" : "[60]" }, "properties" : { "noteIndex" : 0 }, "schema" : "https://github.com/citation-style-language/schema/raw/master/csl-citation.json" }</w:instrText>
            </w:r>
            <w:r w:rsidRPr="00C93121">
              <w:fldChar w:fldCharType="separate"/>
            </w:r>
            <w:r w:rsidR="00C82D09" w:rsidRPr="00C82D09">
              <w:rPr>
                <w:noProof/>
              </w:rPr>
              <w:t>[60]</w:t>
            </w:r>
            <w:r w:rsidRPr="00C93121">
              <w:fldChar w:fldCharType="end"/>
            </w:r>
            <w:r w:rsidRPr="00C93121">
              <w:t xml:space="preserve"> </w:t>
            </w:r>
            <w:r w:rsidRPr="00C93121">
              <w:fldChar w:fldCharType="begin" w:fldLock="1"/>
            </w:r>
            <w:r w:rsidR="00C82D09">
              <w:instrText>ADDIN CSL_CITATION { "citationItems" : [ { "id" : "ITEM-1", "itemData" : { "DOI" : "10.1056/NEJM200006153422401", "ISBN" : "0028-4793 (Print)\r0028-4793 (Linking)", "PMID" : "10852998", "abstract" : "BACKGROUND: After patients have undergone colonoscopic polypectomy, it is uncertain whether colonoscopic examination or a barium enema is the better method of surveillance. METHODS: As part of the National Polyp Study, we offered colonoscopic examination and double-contrast barium enema for surveillance to patients with newly diagnosed adenomatous polyps. Although barium enema was performed first, the endoscopist did not know the results. RESULTS: A total of 973 patients underwent one or more colonoscopic examinations for surveillance. In the case of 580 of these patients, we performed 862 paired colonoscopic examinations and barium-enema examinations that met the requirements of the protocol. The findings on barium enema were positive in 222 (26 percent) of the paired examinations, including 139 of the 392 colonoscopic examinations in which one or more polyps were detected (rate of detection, 35 percent; 95 percent confidence interval, 31 to 40 percent). The proportion of examinations in which adenomatous polyps were detected by barium enema colonoscopy was significantly related to the size of the adenomas (P=0.009); the rate was 32 percent for colonoscopic examinations in which the largest adenomas detected were 0.5 cm or less, 53 percent for those in which the largest adenomas detected were 0.6 to 1.0 cm, and 48 percent for those in which the largest adenomas detected exceeded 1.0 cm. Among the 139 paired examinations with positive results on barium enema and negative results on colonoscopic examination in the same location, 19 additional polyps, 12 of which were adenomas, were detected on colonoscopic reexamination. CONCLUSIONS: In patients who have undergone colonoscopic polypectomy, colonoscopic examination is a more effective method of surveillance than double-contrast barium enema.", "author" : [ { "dropping-particle" : "", "family" : "Winawer", "given" : "S J", "non-dropping-particle" : "", "parse-names" : false, "suffix" : "" }, { "dropping-particle" : "", "family" : "Stewart", "given" : "E T", "non-dropping-particle" : "", "parse-names" : false, "suffix" : "" }, { "dropping-particle" : "", "family" : "Zauber", "given" : "A G", "non-dropping-particle" : "", "parse-names" : false, "suffix" : "" }, { "dropping-particle" : "", "family" : "Bond", "given" : "J H", "non-dropping-particle" : "", "parse-names" : false, "suffix" : "" }, { "dropping-particle" : "", "family" : "Ansel", "given" : "H", "non-dropping-particle" : "", "parse-names" : false, "suffix" : "" }, { "dropping-particle" : "", "family" : "Waye", "given" : "J D", "non-dropping-particle" : "", "parse-names" : false, "suffix" : "" }, { "dropping-particle" : "", "family" : "Hall", "given" : "D", "non-dropping-particle" : "", "parse-names" : false, "suffix" : "" }, { "dropping-particle" : "", "family" : "Hamlin", "given" : "J A", "non-dropping-particle" : "", "parse-names" : false, "suffix" : "" }, { "dropping-particle" : "", "family" : "Schapiro", "given" : "M", "non-dropping-particle" : "", "parse-names" : false, "suffix" : "" }, { "dropping-particle" : "", "family" : "O'Brien", "given" : "M J", "non-dropping-particle" : "", "parse-names" : false, "suffix" : "" }, { "dropping-particle" : "", "family" : "Sternberg", "given" : "S S", "non-dropping-particle" : "", "parse-names" : false, "suffix" : "" }, { "dropping-particle" : "", "family" : "Gottlieb", "given" : "L S", "non-dropping-particle" : "", "parse-names" : false, "suffix" : "" } ], "container-title" : "New England Journal of Medicine", "edition" : "2000/06/15", "id" : "ITEM-1", "issue" : "24", "issued" : { "date-parts" : [ [ "2000" ] ] }, "language" : "eng", "note" : "Winawer, S J\nStewart, E T\nZauber, A G\nBond, J H\nAnsel, H\nWaye, J D\nHall, D\nHamlin, J A\nSchapiro, M\nO'Brien, M J\nSternberg, S S\nGottlieb, L S\nCA-26852/CA/NCI NIH HHS/United States\nClinical Trial\nComparative Study\nRandomized Controlled Trial\nResearch Support, Non-U.S. Gov't\nResearch Support, U.S. Gov't, P.H.S.\nUnited states\nThe New England journal of medicine\nN Engl J Med. 2000 Jun 15;342(24):1766-72.", "page" : "1766-1772", "title" : "A comparison of colonoscopy and double-contrast barium enema for surveillance after polypectomy. National Polyp Study Work Group", "type" : "article-journal", "volume" : "342" }, "uris" : [ "http://www.mendeley.com/documents/?uuid=eedb5284-9856-41f1-8a35-336a03fca34c", "http://www.mendeley.com/documents/?uuid=d4443ff2-09f1-45f6-87fc-c1eb48608be1" ] } ], "mendeley" : { "formattedCitation" : "[61]", "plainTextFormattedCitation" : "[61]", "previouslyFormattedCitation" : "[61]" }, "properties" : { "noteIndex" : 0 }, "schema" : "https://github.com/citation-style-language/schema/raw/master/csl-citation.json" }</w:instrText>
            </w:r>
            <w:r w:rsidRPr="00C93121">
              <w:fldChar w:fldCharType="separate"/>
            </w:r>
            <w:r w:rsidR="00C82D09" w:rsidRPr="00C82D09">
              <w:rPr>
                <w:noProof/>
              </w:rPr>
              <w:t>[61]</w:t>
            </w:r>
            <w:r w:rsidRPr="00C93121">
              <w:fldChar w:fldCharType="end"/>
            </w:r>
          </w:p>
        </w:tc>
      </w:tr>
      <w:tr w:rsidR="005F70B2" w:rsidRPr="00C93121" w14:paraId="459A7F06" w14:textId="77777777" w:rsidTr="0061572F">
        <w:tc>
          <w:tcPr>
            <w:tcW w:w="265" w:type="dxa"/>
          </w:tcPr>
          <w:p w14:paraId="673342C9" w14:textId="77777777" w:rsidR="005F70B2" w:rsidRPr="00C93121" w:rsidRDefault="005F70B2" w:rsidP="0061572F">
            <w:pPr>
              <w:spacing w:line="276" w:lineRule="auto"/>
            </w:pPr>
          </w:p>
        </w:tc>
        <w:tc>
          <w:tcPr>
            <w:tcW w:w="4649" w:type="dxa"/>
          </w:tcPr>
          <w:p w14:paraId="3496013F" w14:textId="77777777" w:rsidR="005F70B2" w:rsidRPr="00C93121" w:rsidRDefault="005F70B2" w:rsidP="0061572F">
            <w:pPr>
              <w:spacing w:line="276" w:lineRule="auto"/>
            </w:pPr>
            <w:r w:rsidRPr="00C93121">
              <w:t>Colonoscopy specificity</w:t>
            </w:r>
          </w:p>
        </w:tc>
        <w:tc>
          <w:tcPr>
            <w:tcW w:w="1400" w:type="dxa"/>
          </w:tcPr>
          <w:p w14:paraId="79BA9AC3" w14:textId="77777777" w:rsidR="005F70B2" w:rsidRPr="00C93121" w:rsidRDefault="005F70B2" w:rsidP="0061572F">
            <w:pPr>
              <w:spacing w:line="276" w:lineRule="auto"/>
            </w:pPr>
            <w:r w:rsidRPr="00C93121">
              <w:t>1.00</w:t>
            </w:r>
          </w:p>
        </w:tc>
        <w:tc>
          <w:tcPr>
            <w:tcW w:w="1564" w:type="dxa"/>
          </w:tcPr>
          <w:p w14:paraId="06D0129F" w14:textId="77777777" w:rsidR="005F70B2" w:rsidRPr="00C93121" w:rsidRDefault="005F70B2" w:rsidP="0061572F">
            <w:pPr>
              <w:spacing w:line="276" w:lineRule="auto"/>
            </w:pPr>
            <w:r w:rsidRPr="00C93121">
              <w:t>0.85 to 1.00</w:t>
            </w:r>
          </w:p>
        </w:tc>
        <w:tc>
          <w:tcPr>
            <w:tcW w:w="1472" w:type="dxa"/>
          </w:tcPr>
          <w:p w14:paraId="776700E6" w14:textId="2551F221" w:rsidR="005F70B2" w:rsidRPr="00C93121" w:rsidRDefault="005F70B2" w:rsidP="0061572F">
            <w:pPr>
              <w:spacing w:line="276" w:lineRule="auto"/>
              <w:jc w:val="center"/>
            </w:pPr>
            <w:r w:rsidRPr="00C93121">
              <w:fldChar w:fldCharType="begin" w:fldLock="1"/>
            </w:r>
            <w:r w:rsidR="00C82D09">
              <w:instrText>ADDIN CSL_CITATION { "citationItems" : [ { "id" : "ITEM-1", "itemData" : { "DOI" : "10.1001/jama.284.15.1954", "ISBN" : "0098-7484 (Print)\r0098-7484 (Linking)", "PMID" : "11035892", "abstract" : "CONTEXT: A recent expert panel recommended that persons at average risk of colorectal cancer (CRC) begin screening for CRC at age 50 years using 1 of several strategies. However, many aspects of different CRC screening strategies remain uncertain. OBJECTIVE: To assess the consequences, costs, and cost-effectiveness of CRC screening in average-risk individuals. DESIGN: Cost-effectiveness analysis from a societal perspective using a Markov model. SUBJECTS: Hypothetical subjects representative of the 50-year-old US population at average risk for CRC. SETTING: Simulated clinical practice in the United States. MAIN OUTCOME MEASURES: Discounted lifetime costs, life expectancy, and incremental cost-effectiveness (CE) ratio, compared used 22 different CRC screening strategies, including those recommended by the expert panel. RESULTS: In 1 base-case analysis, compliance was assumed to be 60% with the initial screen and 80% with follow-up or surveillance colonoscopy. The most effective strategy for white men was annual rehydrated fecal occult blood testing (FOBT) plus sigmoidoscopy (followed by colonoscopy if either a low- or high-risk polyp was found) every 5 years from age 50 to 85 years, which resulted in a 60% reduction in cancer incidence and an 80% reduction in CRC mortality compared with no screening, and an incremental CE ratio of $92,900 per year of life gained compared with annual unrehydrated FOBT plus sigmoidoscopy every 5 years. In a base-case analysis in which compliance with screening and follow-up is assumed to be 100%, screening more often than every 10 years was prohibitively expensive; annual rehydrated FOBT plus sigmoidoscopy every 5 years had an incremental CE ratio of $489,900 per life-year gained compared with the same strategy every 10 years. Other strategies recommended by the expert panel were either less effective or cost more per year of life gained than the alternatives. Colonoscopy every 10 years was less effective than the combination of annual FOBT plus sigmoidoscopy every 5 years. However, a single colonoscopy at age 55 years achieves nearly half of the reduction in CRC mortality obtainable with colonoscopy every 10 years. Because of increased life expectancy among white women and increased cancer mortality among blacks, CRC screening was even more cost-effective in these groups than in white men. CONCLUSIONS: Screening for CRC, even in the setting of imperfect compliance, significantly reduces CRC mortality at costs comparable to\u2026", "author" : [ { "dropping-particle" : "", "family" : "Frazier", "given" : "A L", "non-dropping-particle" : "", "parse-names" : false, "suffix" : "" }, { "dropping-particle" : "", "family" : "Colditz", "given" : "G A", "non-dropping-particle" : "", "parse-names" : false, "suffix" : "" }, { "dropping-particle" : "", "family" : "Fuchs", "given" : "C S", "non-dropping-particle" : "", "parse-names" : false, "suffix" : "" }, { "dropping-particle" : "", "family" : "Kuntz", "given" : "K M", "non-dropping-particle" : "", "parse-names" : false, "suffix" : "" } ], "container-title" : "JAMA", "edition" : "2000/10/18", "id" : "ITEM-1", "issue" : "15", "issued" : { "date-parts" : [ [ "2000" ] ] }, "language" : "eng", "note" : "Frazier, A L\nColditz, G A\nFuchs, C S\nKuntz, K M\n5 K07 CA62252-03/CA/NCI NIH HHS/\nHS07038/HS/AHRQ HHS/\nT32DK07703/DK/NIDDK NIH HHS/\nJAMA. 2000 Oct 18;284(15):1954-61.", "page" : "1954-1961", "title" : "Cost-effectiveness of screening for colorectal cancer in the general population", "type" : "article-journal", "volume" : "284" }, "uris" : [ "http://www.mendeley.com/documents/?uuid=cfb2a3fb-5283-4080-bdc9-1e6555ab2aec", "http://www.mendeley.com/documents/?uuid=5c26cdeb-15e3-4533-9f15-1f2db2e2ca4b" ] } ], "mendeley" : { "formattedCitation" : "[60]", "plainTextFormattedCitation" : "[60]", "previouslyFormattedCitation" : "[60]" }, "properties" : { "noteIndex" : 0 }, "schema" : "https://github.com/citation-style-language/schema/raw/master/csl-citation.json" }</w:instrText>
            </w:r>
            <w:r w:rsidRPr="00C93121">
              <w:fldChar w:fldCharType="separate"/>
            </w:r>
            <w:r w:rsidR="00C82D09" w:rsidRPr="00C82D09">
              <w:rPr>
                <w:noProof/>
              </w:rPr>
              <w:t>[60]</w:t>
            </w:r>
            <w:r w:rsidRPr="00C93121">
              <w:fldChar w:fldCharType="end"/>
            </w:r>
            <w:r w:rsidRPr="00C93121">
              <w:t xml:space="preserve"> </w:t>
            </w:r>
            <w:r w:rsidRPr="00C93121">
              <w:fldChar w:fldCharType="begin" w:fldLock="1"/>
            </w:r>
            <w:r w:rsidR="00C82D09">
              <w:instrText>ADDIN CSL_CITATION { "citationItems" : [ { "id" : "ITEM-1", "itemData" : { "DOI" : "10.1056/NEJM200006153422401", "ISBN" : "0028-4793 (Print)\r0028-4793 (Linking)", "PMID" : "10852998", "abstract" : "BACKGROUND: After patients have undergone colonoscopic polypectomy, it is uncertain whether colonoscopic examination or a barium enema is the better method of surveillance. METHODS: As part of the National Polyp Study, we offered colonoscopic examination and double-contrast barium enema for surveillance to patients with newly diagnosed adenomatous polyps. Although barium enema was performed first, the endoscopist did not know the results. RESULTS: A total of 973 patients underwent one or more colonoscopic examinations for surveillance. In the case of 580 of these patients, we performed 862 paired colonoscopic examinations and barium-enema examinations that met the requirements of the protocol. The findings on barium enema were positive in 222 (26 percent) of the paired examinations, including 139 of the 392 colonoscopic examinations in which one or more polyps were detected (rate of detection, 35 percent; 95 percent confidence interval, 31 to 40 percent). The proportion of examinations in which adenomatous polyps were detected by barium enema colonoscopy was significantly related to the size of the adenomas (P=0.009); the rate was 32 percent for colonoscopic examinations in which the largest adenomas detected were 0.5 cm or less, 53 percent for those in which the largest adenomas detected were 0.6 to 1.0 cm, and 48 percent for those in which the largest adenomas detected exceeded 1.0 cm. Among the 139 paired examinations with positive results on barium enema and negative results on colonoscopic examination in the same location, 19 additional polyps, 12 of which were adenomas, were detected on colonoscopic reexamination. CONCLUSIONS: In patients who have undergone colonoscopic polypectomy, colonoscopic examination is a more effective method of surveillance than double-contrast barium enema.", "author" : [ { "dropping-particle" : "", "family" : "Winawer", "given" : "S J", "non-dropping-particle" : "", "parse-names" : false, "suffix" : "" }, { "dropping-particle" : "", "family" : "Stewart", "given" : "E T", "non-dropping-particle" : "", "parse-names" : false, "suffix" : "" }, { "dropping-particle" : "", "family" : "Zauber", "given" : "A G", "non-dropping-particle" : "", "parse-names" : false, "suffix" : "" }, { "dropping-particle" : "", "family" : "Bond", "given" : "J H", "non-dropping-particle" : "", "parse-names" : false, "suffix" : "" }, { "dropping-particle" : "", "family" : "Ansel", "given" : "H", "non-dropping-particle" : "", "parse-names" : false, "suffix" : "" }, { "dropping-particle" : "", "family" : "Waye", "given" : "J D", "non-dropping-particle" : "", "parse-names" : false, "suffix" : "" }, { "dropping-particle" : "", "family" : "Hall", "given" : "D", "non-dropping-particle" : "", "parse-names" : false, "suffix" : "" }, { "dropping-particle" : "", "family" : "Hamlin", "given" : "J A", "non-dropping-particle" : "", "parse-names" : false, "suffix" : "" }, { "dropping-particle" : "", "family" : "Schapiro", "given" : "M", "non-dropping-particle" : "", "parse-names" : false, "suffix" : "" }, { "dropping-particle" : "", "family" : "O'Brien", "given" : "M J", "non-dropping-particle" : "", "parse-names" : false, "suffix" : "" }, { "dropping-particle" : "", "family" : "Sternberg", "given" : "S S", "non-dropping-particle" : "", "parse-names" : false, "suffix" : "" }, { "dropping-particle" : "", "family" : "Gottlieb", "given" : "L S", "non-dropping-particle" : "", "parse-names" : false, "suffix" : "" } ], "container-title" : "New England Journal of Medicine", "edition" : "2000/06/15", "id" : "ITEM-1", "issue" : "24", "issued" : { "date-parts" : [ [ "2000" ] ] }, "language" : "eng", "note" : "Winawer, S J\nStewart, E T\nZauber, A G\nBond, J H\nAnsel, H\nWaye, J D\nHall, D\nHamlin, J A\nSchapiro, M\nO'Brien, M J\nSternberg, S S\nGottlieb, L S\nCA-26852/CA/NCI NIH HHS/United States\nClinical Trial\nComparative Study\nRandomized Controlled Trial\nResearch Support, Non-U.S. Gov't\nResearch Support, U.S. Gov't, P.H.S.\nUnited states\nThe New England journal of medicine\nN Engl J Med. 2000 Jun 15;342(24):1766-72.", "page" : "1766-1772", "title" : "A comparison of colonoscopy and double-contrast barium enema for surveillance after polypectomy. National Polyp Study Work Group", "type" : "article-journal", "volume" : "342" }, "uris" : [ "http://www.mendeley.com/documents/?uuid=d4443ff2-09f1-45f6-87fc-c1eb48608be1", "http://www.mendeley.com/documents/?uuid=eedb5284-9856-41f1-8a35-336a03fca34c" ] } ], "mendeley" : { "formattedCitation" : "[61]", "plainTextFormattedCitation" : "[61]", "previouslyFormattedCitation" : "[61]" }, "properties" : { "noteIndex" : 0 }, "schema" : "https://github.com/citation-style-language/schema/raw/master/csl-citation.json" }</w:instrText>
            </w:r>
            <w:r w:rsidRPr="00C93121">
              <w:fldChar w:fldCharType="separate"/>
            </w:r>
            <w:r w:rsidR="00C82D09" w:rsidRPr="00C82D09">
              <w:rPr>
                <w:noProof/>
              </w:rPr>
              <w:t>[61]</w:t>
            </w:r>
            <w:r w:rsidRPr="00C93121">
              <w:fldChar w:fldCharType="end"/>
            </w:r>
          </w:p>
        </w:tc>
      </w:tr>
      <w:tr w:rsidR="005F70B2" w:rsidRPr="00C93121" w14:paraId="5A2672EF" w14:textId="77777777" w:rsidTr="0061572F">
        <w:tc>
          <w:tcPr>
            <w:tcW w:w="265" w:type="dxa"/>
          </w:tcPr>
          <w:p w14:paraId="5307F29A" w14:textId="77777777" w:rsidR="005F70B2" w:rsidRPr="00C93121" w:rsidRDefault="005F70B2" w:rsidP="0061572F">
            <w:pPr>
              <w:spacing w:line="276" w:lineRule="auto"/>
            </w:pPr>
          </w:p>
        </w:tc>
        <w:tc>
          <w:tcPr>
            <w:tcW w:w="4649" w:type="dxa"/>
          </w:tcPr>
          <w:p w14:paraId="72F2ED96" w14:textId="77777777" w:rsidR="005F70B2" w:rsidRPr="00C93121" w:rsidRDefault="005F70B2" w:rsidP="0061572F">
            <w:pPr>
              <w:spacing w:line="276" w:lineRule="auto"/>
            </w:pPr>
            <w:r w:rsidRPr="00C93121">
              <w:t>Liver MRI sensitivity</w:t>
            </w:r>
          </w:p>
        </w:tc>
        <w:tc>
          <w:tcPr>
            <w:tcW w:w="1400" w:type="dxa"/>
          </w:tcPr>
          <w:p w14:paraId="6C91860E" w14:textId="77777777" w:rsidR="005F70B2" w:rsidRPr="00C93121" w:rsidRDefault="005F70B2" w:rsidP="0061572F">
            <w:pPr>
              <w:spacing w:line="276" w:lineRule="auto"/>
            </w:pPr>
            <w:r w:rsidRPr="00C93121">
              <w:t>0.86</w:t>
            </w:r>
          </w:p>
        </w:tc>
        <w:tc>
          <w:tcPr>
            <w:tcW w:w="1564" w:type="dxa"/>
          </w:tcPr>
          <w:p w14:paraId="25D0BCF3" w14:textId="77777777" w:rsidR="005F70B2" w:rsidRPr="00C93121" w:rsidRDefault="005F70B2" w:rsidP="0061572F">
            <w:pPr>
              <w:spacing w:line="276" w:lineRule="auto"/>
            </w:pPr>
            <w:r w:rsidRPr="00C93121">
              <w:t>0.71 to 1.00</w:t>
            </w:r>
          </w:p>
        </w:tc>
        <w:tc>
          <w:tcPr>
            <w:tcW w:w="1472" w:type="dxa"/>
          </w:tcPr>
          <w:p w14:paraId="53ED857A" w14:textId="53A213CE" w:rsidR="005F70B2" w:rsidRPr="00C93121" w:rsidRDefault="005F70B2" w:rsidP="0061572F">
            <w:pPr>
              <w:spacing w:line="276" w:lineRule="auto"/>
              <w:jc w:val="center"/>
            </w:pPr>
            <w:r w:rsidRPr="00C93121">
              <w:fldChar w:fldCharType="begin" w:fldLock="1"/>
            </w:r>
            <w:r w:rsidR="00C82D09">
              <w:instrText>ADDIN CSL_CITATION { "citationItems" : [ { "id" : "ITEM-1", "itemData" : { "DOI" : "10.1002/jmri.22010", "ISSN" : "10531807", "author" : [ { "dropping-particle" : "", "family" : "Floriani", "given" : "Irene", "non-dropping-particle" : "", "parse-names" : false, "suffix" : "" }, { "dropping-particle" : "", "family" : "Torri", "given" : "Valter", "non-dropping-particle" : "", "parse-names" : false, "suffix" : "" }, { "dropping-particle" : "", "family" : "Rulli", "given" : "Eliana", "non-dropping-particle" : "", "parse-names" : false, "suffix" : "" }, { "dropping-particle" : "", "family" : "Garavaglia", "given" : "Daniela", "non-dropping-particle" : "", "parse-names" : false, "suffix" : "" }, { "dropping-particle" : "", "family" : "Compagnoni", "given" : "Anna", "non-dropping-particle" : "", "parse-names" : false, "suffix" : "" }, { "dropping-particle" : "", "family" : "Salvolini", "given" : "Luca", "non-dropping-particle" : "", "parse-names" : false, "suffix" : "" }, { "dropping-particle" : "", "family" : "Giovagnoni", "given" : "Andrea", "non-dropping-particle" : "", "parse-names" : false, "suffix" : "" } ], "container-title" : "Journal of Magnetic Resonance Imaging", "id" : "ITEM-1", "issue" : "1", "issued" : { "date-parts" : [ [ "2010", "1" ] ] }, "page" : "19-31", "publisher" : "Wiley Subscription Services, Inc., A Wiley Company", "title" : "Performance of imaging modalities in diagnosis of liver metastases from colorectal cancer: A systematic review and meta-analysis", "type" : "article-journal", "volume" : "31" }, "uris" : [ "http://www.mendeley.com/documents/?uuid=bd6a8396-de3a-4d5a-8373-6c12cd3a2869", "http://www.mendeley.com/documents/?uuid=aa1a0434-91a7-3d78-838b-141841a11b32" ] } ], "mendeley" : { "formattedCitation" : "[57]", "plainTextFormattedCitation" : "[57]", "previouslyFormattedCitation" : "[57]" }, "properties" : { "noteIndex" : 0 }, "schema" : "https://github.com/citation-style-language/schema/raw/master/csl-citation.json" }</w:instrText>
            </w:r>
            <w:r w:rsidRPr="00C93121">
              <w:fldChar w:fldCharType="separate"/>
            </w:r>
            <w:r w:rsidR="00C82D09" w:rsidRPr="00C82D09">
              <w:rPr>
                <w:noProof/>
              </w:rPr>
              <w:t>[57]</w:t>
            </w:r>
            <w:r w:rsidRPr="00C93121">
              <w:fldChar w:fldCharType="end"/>
            </w:r>
          </w:p>
        </w:tc>
      </w:tr>
      <w:tr w:rsidR="005F70B2" w:rsidRPr="00C93121" w14:paraId="347DA0A0" w14:textId="77777777" w:rsidTr="0061572F">
        <w:tc>
          <w:tcPr>
            <w:tcW w:w="265" w:type="dxa"/>
          </w:tcPr>
          <w:p w14:paraId="10141DF5" w14:textId="77777777" w:rsidR="005F70B2" w:rsidRPr="00C93121" w:rsidRDefault="005F70B2" w:rsidP="0061572F">
            <w:pPr>
              <w:spacing w:line="276" w:lineRule="auto"/>
            </w:pPr>
          </w:p>
        </w:tc>
        <w:tc>
          <w:tcPr>
            <w:tcW w:w="4649" w:type="dxa"/>
          </w:tcPr>
          <w:p w14:paraId="6ECDFF64" w14:textId="77777777" w:rsidR="005F70B2" w:rsidRPr="00C93121" w:rsidRDefault="005F70B2" w:rsidP="0061572F">
            <w:pPr>
              <w:spacing w:line="276" w:lineRule="auto"/>
            </w:pPr>
            <w:r w:rsidRPr="00C93121">
              <w:t>Liver MRI specificity</w:t>
            </w:r>
          </w:p>
        </w:tc>
        <w:tc>
          <w:tcPr>
            <w:tcW w:w="1400" w:type="dxa"/>
          </w:tcPr>
          <w:p w14:paraId="6FCB92CA" w14:textId="77777777" w:rsidR="005F70B2" w:rsidRPr="00C93121" w:rsidRDefault="005F70B2" w:rsidP="0061572F">
            <w:pPr>
              <w:spacing w:line="276" w:lineRule="auto"/>
            </w:pPr>
            <w:r w:rsidRPr="00C93121">
              <w:t>0.87</w:t>
            </w:r>
          </w:p>
        </w:tc>
        <w:tc>
          <w:tcPr>
            <w:tcW w:w="1564" w:type="dxa"/>
          </w:tcPr>
          <w:p w14:paraId="6FCB4C23" w14:textId="77777777" w:rsidR="005F70B2" w:rsidRPr="00C93121" w:rsidRDefault="005F70B2" w:rsidP="0061572F">
            <w:pPr>
              <w:spacing w:line="276" w:lineRule="auto"/>
            </w:pPr>
            <w:r w:rsidRPr="00C93121">
              <w:t>0.72 to 1.00</w:t>
            </w:r>
          </w:p>
        </w:tc>
        <w:tc>
          <w:tcPr>
            <w:tcW w:w="1472" w:type="dxa"/>
          </w:tcPr>
          <w:p w14:paraId="6534C530" w14:textId="2D049C64" w:rsidR="005F70B2" w:rsidRPr="00C93121" w:rsidRDefault="005F70B2" w:rsidP="0061572F">
            <w:pPr>
              <w:spacing w:line="276" w:lineRule="auto"/>
              <w:jc w:val="center"/>
            </w:pPr>
            <w:r w:rsidRPr="00C93121">
              <w:fldChar w:fldCharType="begin" w:fldLock="1"/>
            </w:r>
            <w:r w:rsidR="00C82D09">
              <w:instrText>ADDIN CSL_CITATION { "citationItems" : [ { "id" : "ITEM-1", "itemData" : { "DOI" : "10.1002/jmri.22010", "ISSN" : "10531807", "author" : [ { "dropping-particle" : "", "family" : "Floriani", "given" : "Irene", "non-dropping-particle" : "", "parse-names" : false, "suffix" : "" }, { "dropping-particle" : "", "family" : "Torri", "given" : "Valter", "non-dropping-particle" : "", "parse-names" : false, "suffix" : "" }, { "dropping-particle" : "", "family" : "Rulli", "given" : "Eliana", "non-dropping-particle" : "", "parse-names" : false, "suffix" : "" }, { "dropping-particle" : "", "family" : "Garavaglia", "given" : "Daniela", "non-dropping-particle" : "", "parse-names" : false, "suffix" : "" }, { "dropping-particle" : "", "family" : "Compagnoni", "given" : "Anna", "non-dropping-particle" : "", "parse-names" : false, "suffix" : "" }, { "dropping-particle" : "", "family" : "Salvolini", "given" : "Luca", "non-dropping-particle" : "", "parse-names" : false, "suffix" : "" }, { "dropping-particle" : "", "family" : "Giovagnoni", "given" : "Andrea", "non-dropping-particle" : "", "parse-names" : false, "suffix" : "" } ], "container-title" : "Journal of Magnetic Resonance Imaging", "id" : "ITEM-1", "issue" : "1", "issued" : { "date-parts" : [ [ "2010", "1" ] ] }, "page" : "19-31", "publisher" : "Wiley Subscription Services, Inc., A Wiley Company", "title" : "Performance of imaging modalities in diagnosis of liver metastases from colorectal cancer: A systematic review and meta-analysis", "type" : "article-journal", "volume" : "31" }, "uris" : [ "http://www.mendeley.com/documents/?uuid=bd6a8396-de3a-4d5a-8373-6c12cd3a2869", "http://www.mendeley.com/documents/?uuid=aa1a0434-91a7-3d78-838b-141841a11b32" ] } ], "mendeley" : { "formattedCitation" : "[57]", "plainTextFormattedCitation" : "[57]", "previouslyFormattedCitation" : "[57]" }, "properties" : { "noteIndex" : 0 }, "schema" : "https://github.com/citation-style-language/schema/raw/master/csl-citation.json" }</w:instrText>
            </w:r>
            <w:r w:rsidRPr="00C93121">
              <w:fldChar w:fldCharType="separate"/>
            </w:r>
            <w:r w:rsidR="00C82D09" w:rsidRPr="00C82D09">
              <w:rPr>
                <w:noProof/>
              </w:rPr>
              <w:t>[57]</w:t>
            </w:r>
            <w:r w:rsidRPr="00C93121">
              <w:fldChar w:fldCharType="end"/>
            </w:r>
          </w:p>
        </w:tc>
      </w:tr>
      <w:tr w:rsidR="005F70B2" w:rsidRPr="00C93121" w14:paraId="02A78424" w14:textId="77777777" w:rsidTr="0061572F">
        <w:tc>
          <w:tcPr>
            <w:tcW w:w="265" w:type="dxa"/>
          </w:tcPr>
          <w:p w14:paraId="5287D9F7" w14:textId="77777777" w:rsidR="005F70B2" w:rsidRPr="00C93121" w:rsidRDefault="005F70B2" w:rsidP="0061572F">
            <w:pPr>
              <w:spacing w:line="276" w:lineRule="auto"/>
            </w:pPr>
          </w:p>
        </w:tc>
        <w:tc>
          <w:tcPr>
            <w:tcW w:w="4649" w:type="dxa"/>
          </w:tcPr>
          <w:p w14:paraId="40C1A947" w14:textId="77777777" w:rsidR="005F70B2" w:rsidRPr="00C93121" w:rsidRDefault="005F70B2" w:rsidP="0061572F">
            <w:pPr>
              <w:spacing w:line="276" w:lineRule="auto"/>
            </w:pPr>
            <w:r w:rsidRPr="00C93121">
              <w:t>PET sensitivity</w:t>
            </w:r>
          </w:p>
        </w:tc>
        <w:tc>
          <w:tcPr>
            <w:tcW w:w="1400" w:type="dxa"/>
          </w:tcPr>
          <w:p w14:paraId="6087ECBF" w14:textId="77777777" w:rsidR="005F70B2" w:rsidRPr="00C93121" w:rsidRDefault="005F70B2" w:rsidP="0061572F">
            <w:pPr>
              <w:spacing w:line="276" w:lineRule="auto"/>
            </w:pPr>
            <w:r w:rsidRPr="00C93121">
              <w:t>0.87</w:t>
            </w:r>
          </w:p>
        </w:tc>
        <w:tc>
          <w:tcPr>
            <w:tcW w:w="1564" w:type="dxa"/>
          </w:tcPr>
          <w:p w14:paraId="59924110" w14:textId="77777777" w:rsidR="005F70B2" w:rsidRPr="00C93121" w:rsidRDefault="005F70B2" w:rsidP="0061572F">
            <w:pPr>
              <w:spacing w:line="276" w:lineRule="auto"/>
            </w:pPr>
            <w:r w:rsidRPr="00C93121">
              <w:t>0.72 to 1.00</w:t>
            </w:r>
          </w:p>
        </w:tc>
        <w:tc>
          <w:tcPr>
            <w:tcW w:w="1472" w:type="dxa"/>
          </w:tcPr>
          <w:p w14:paraId="5AD6EF4F" w14:textId="67176BD4" w:rsidR="005F70B2" w:rsidRPr="00C93121" w:rsidRDefault="005F70B2" w:rsidP="0061572F">
            <w:pPr>
              <w:spacing w:line="276" w:lineRule="auto"/>
              <w:jc w:val="center"/>
            </w:pPr>
            <w:r w:rsidRPr="00C93121">
              <w:fldChar w:fldCharType="begin" w:fldLock="1"/>
            </w:r>
            <w:r w:rsidR="00C82D09">
              <w:instrText>ADDIN CSL_CITATION { "citationItems" : [ { "id" : "ITEM-1", "itemData" : { "DOI" : "10.1007/DCR.0b013e31819d11e6", "ISBN" : "1530-0358", "ISSN" : "00123706", "PMID" : "19279420", "abstract" : "This study examined the sensitivity and specificity of CT/magnetic resonance imaging serial review compared to fluoro-2-deoxy glucose positron emission tomography-CT scanning to optimize colorectal cancer follow-up.", "author" : [ { "dropping-particle" : "", "family" : "Potter", "given" : "Kathleen C.", "non-dropping-particle" : "", "parse-names" : false, "suffix" : "" }, { "dropping-particle" : "", "family" : "Husband", "given" : "Janet E.", "non-dropping-particle" : "", "parse-names" : false, "suffix" : "" }, { "dropping-particle" : "", "family" : "Houghton", "given" : "Sasha L.", "non-dropping-particle" : "", "parse-names" : false, "suffix" : "" }, { "dropping-particle" : "", "family" : "Thomas", "given" : "Karen", "non-dropping-particle" : "", "parse-names" : false, "suffix" : "" }, { "dropping-particle" : "", "family" : "Brown", "given" : "Gina", "non-dropping-particle" : "", "parse-names" : false, "suffix" : "" } ], "container-title" : "Diseases of the Colon and Rectum", "id" : "ITEM-1", "issue" : "2", "issued" : { "date-parts" : [ [ "2009" ] ] }, "page" : "253-259", "title" : "Diagnostic accuracy of serial ct/magnetic resonance imaging review vs. positron emission tomography/ct in colorectal cancer patients with suspected and known recurrence", "type" : "article-journal", "volume" : "52" }, "uris" : [ "http://www.mendeley.com/documents/?uuid=7c34f75a-1443-4e34-89ba-5d4ebdf6326f", "http://www.mendeley.com/documents/?uuid=c2acfc41-553e-4e11-9eba-b1a1137ae9a3" ] } ], "mendeley" : { "formattedCitation" : "[62]", "plainTextFormattedCitation" : "[62]", "previouslyFormattedCitation" : "[62]" }, "properties" : { "noteIndex" : 0 }, "schema" : "https://github.com/citation-style-language/schema/raw/master/csl-citation.json" }</w:instrText>
            </w:r>
            <w:r w:rsidRPr="00C93121">
              <w:fldChar w:fldCharType="separate"/>
            </w:r>
            <w:r w:rsidR="00C82D09" w:rsidRPr="00C82D09">
              <w:rPr>
                <w:noProof/>
              </w:rPr>
              <w:t>[62]</w:t>
            </w:r>
            <w:r w:rsidRPr="00C93121">
              <w:fldChar w:fldCharType="end"/>
            </w:r>
          </w:p>
        </w:tc>
      </w:tr>
      <w:tr w:rsidR="005F70B2" w:rsidRPr="00C93121" w14:paraId="24EB3036" w14:textId="77777777" w:rsidTr="0061572F">
        <w:tc>
          <w:tcPr>
            <w:tcW w:w="265" w:type="dxa"/>
          </w:tcPr>
          <w:p w14:paraId="6F8515C4" w14:textId="77777777" w:rsidR="005F70B2" w:rsidRPr="00C93121" w:rsidRDefault="005F70B2" w:rsidP="0061572F">
            <w:pPr>
              <w:spacing w:line="276" w:lineRule="auto"/>
            </w:pPr>
          </w:p>
        </w:tc>
        <w:tc>
          <w:tcPr>
            <w:tcW w:w="4649" w:type="dxa"/>
          </w:tcPr>
          <w:p w14:paraId="5FA1055A" w14:textId="77777777" w:rsidR="005F70B2" w:rsidRPr="00C93121" w:rsidRDefault="005F70B2" w:rsidP="0061572F">
            <w:pPr>
              <w:spacing w:line="276" w:lineRule="auto"/>
            </w:pPr>
            <w:r w:rsidRPr="00C93121">
              <w:t>PET specificity</w:t>
            </w:r>
          </w:p>
        </w:tc>
        <w:tc>
          <w:tcPr>
            <w:tcW w:w="1400" w:type="dxa"/>
          </w:tcPr>
          <w:p w14:paraId="3F5735EC" w14:textId="77777777" w:rsidR="005F70B2" w:rsidRPr="00C93121" w:rsidRDefault="005F70B2" w:rsidP="0061572F">
            <w:pPr>
              <w:spacing w:line="276" w:lineRule="auto"/>
            </w:pPr>
            <w:r w:rsidRPr="00C93121">
              <w:t>0.96</w:t>
            </w:r>
          </w:p>
        </w:tc>
        <w:tc>
          <w:tcPr>
            <w:tcW w:w="1564" w:type="dxa"/>
          </w:tcPr>
          <w:p w14:paraId="0FBC6B9D" w14:textId="77777777" w:rsidR="005F70B2" w:rsidRPr="00C93121" w:rsidRDefault="005F70B2" w:rsidP="0061572F">
            <w:pPr>
              <w:spacing w:line="276" w:lineRule="auto"/>
            </w:pPr>
            <w:r w:rsidRPr="00C93121">
              <w:t>0.81 to 1.00</w:t>
            </w:r>
          </w:p>
        </w:tc>
        <w:tc>
          <w:tcPr>
            <w:tcW w:w="1472" w:type="dxa"/>
          </w:tcPr>
          <w:p w14:paraId="4A792772" w14:textId="28608367" w:rsidR="005F70B2" w:rsidRPr="00C93121" w:rsidRDefault="005F70B2" w:rsidP="0061572F">
            <w:pPr>
              <w:spacing w:line="276" w:lineRule="auto"/>
              <w:jc w:val="center"/>
            </w:pPr>
            <w:r w:rsidRPr="00C93121">
              <w:fldChar w:fldCharType="begin" w:fldLock="1"/>
            </w:r>
            <w:r w:rsidR="00C82D09">
              <w:instrText>ADDIN CSL_CITATION { "citationItems" : [ { "id" : "ITEM-1", "itemData" : { "DOI" : "10.1007/DCR.0b013e31819d11e6", "ISBN" : "1530-0358", "ISSN" : "00123706", "PMID" : "19279420", "abstract" : "This study examined the sensitivity and specificity of CT/magnetic resonance imaging serial review compared to fluoro-2-deoxy glucose positron emission tomography-CT scanning to optimize colorectal cancer follow-up.", "author" : [ { "dropping-particle" : "", "family" : "Potter", "given" : "Kathleen C.", "non-dropping-particle" : "", "parse-names" : false, "suffix" : "" }, { "dropping-particle" : "", "family" : "Husband", "given" : "Janet E.", "non-dropping-particle" : "", "parse-names" : false, "suffix" : "" }, { "dropping-particle" : "", "family" : "Houghton", "given" : "Sasha L.", "non-dropping-particle" : "", "parse-names" : false, "suffix" : "" }, { "dropping-particle" : "", "family" : "Thomas", "given" : "Karen", "non-dropping-particle" : "", "parse-names" : false, "suffix" : "" }, { "dropping-particle" : "", "family" : "Brown", "given" : "Gina", "non-dropping-particle" : "", "parse-names" : false, "suffix" : "" } ], "container-title" : "Diseases of the Colon and Rectum", "id" : "ITEM-1", "issue" : "2", "issued" : { "date-parts" : [ [ "2009" ] ] }, "page" : "253-259", "title" : "Diagnostic accuracy of serial ct/magnetic resonance imaging review vs. positron emission tomography/ct in colorectal cancer patients with suspected and known recurrence", "type" : "article-journal", "volume" : "52" }, "uris" : [ "http://www.mendeley.com/documents/?uuid=c2acfc41-553e-4e11-9eba-b1a1137ae9a3", "http://www.mendeley.com/documents/?uuid=7c34f75a-1443-4e34-89ba-5d4ebdf6326f" ] } ], "mendeley" : { "formattedCitation" : "[62]", "plainTextFormattedCitation" : "[62]", "previouslyFormattedCitation" : "[62]" }, "properties" : { "noteIndex" : 0 }, "schema" : "https://github.com/citation-style-language/schema/raw/master/csl-citation.json" }</w:instrText>
            </w:r>
            <w:r w:rsidRPr="00C93121">
              <w:fldChar w:fldCharType="separate"/>
            </w:r>
            <w:r w:rsidR="00C82D09" w:rsidRPr="00C82D09">
              <w:rPr>
                <w:noProof/>
              </w:rPr>
              <w:t>[62]</w:t>
            </w:r>
            <w:r w:rsidRPr="00C93121">
              <w:fldChar w:fldCharType="end"/>
            </w:r>
          </w:p>
        </w:tc>
      </w:tr>
      <w:tr w:rsidR="005F70B2" w:rsidRPr="00C93121" w14:paraId="76E458DF" w14:textId="77777777" w:rsidTr="0061572F">
        <w:tc>
          <w:tcPr>
            <w:tcW w:w="9350" w:type="dxa"/>
            <w:gridSpan w:val="5"/>
          </w:tcPr>
          <w:p w14:paraId="6DA53B64" w14:textId="77777777" w:rsidR="005F70B2" w:rsidRPr="00C93121" w:rsidRDefault="005F70B2" w:rsidP="0061572F">
            <w:pPr>
              <w:spacing w:line="276" w:lineRule="auto"/>
            </w:pPr>
            <w:r w:rsidRPr="00C93121">
              <w:t>Probability of equivocal test results given that recurrence is present</w:t>
            </w:r>
          </w:p>
        </w:tc>
      </w:tr>
      <w:tr w:rsidR="005F70B2" w:rsidRPr="00C93121" w14:paraId="59F35307" w14:textId="77777777" w:rsidTr="0061572F">
        <w:tc>
          <w:tcPr>
            <w:tcW w:w="265" w:type="dxa"/>
          </w:tcPr>
          <w:p w14:paraId="3132526E" w14:textId="77777777" w:rsidR="005F70B2" w:rsidRPr="00C93121" w:rsidRDefault="005F70B2" w:rsidP="0061572F">
            <w:pPr>
              <w:spacing w:line="276" w:lineRule="auto"/>
            </w:pPr>
          </w:p>
        </w:tc>
        <w:tc>
          <w:tcPr>
            <w:tcW w:w="4649" w:type="dxa"/>
          </w:tcPr>
          <w:p w14:paraId="729123B2" w14:textId="77777777" w:rsidR="005F70B2" w:rsidRPr="00C93121" w:rsidRDefault="005F70B2" w:rsidP="0061572F">
            <w:pPr>
              <w:spacing w:line="276" w:lineRule="auto"/>
            </w:pPr>
            <w:r w:rsidRPr="00C93121">
              <w:t>Probability of equivocal CEA</w:t>
            </w:r>
          </w:p>
        </w:tc>
        <w:tc>
          <w:tcPr>
            <w:tcW w:w="1400" w:type="dxa"/>
          </w:tcPr>
          <w:p w14:paraId="4513466B" w14:textId="77777777" w:rsidR="005F70B2" w:rsidRPr="00C93121" w:rsidRDefault="005F70B2" w:rsidP="0061572F">
            <w:pPr>
              <w:spacing w:line="276" w:lineRule="auto"/>
            </w:pPr>
            <w:r w:rsidRPr="00C93121">
              <w:t>0.55</w:t>
            </w:r>
          </w:p>
        </w:tc>
        <w:tc>
          <w:tcPr>
            <w:tcW w:w="1564" w:type="dxa"/>
          </w:tcPr>
          <w:p w14:paraId="0F81604C" w14:textId="77777777" w:rsidR="005F70B2" w:rsidRPr="00C93121" w:rsidRDefault="005F70B2" w:rsidP="0061572F">
            <w:pPr>
              <w:spacing w:line="276" w:lineRule="auto"/>
            </w:pPr>
            <w:r w:rsidRPr="00C93121">
              <w:t>0.40 to 0.70</w:t>
            </w:r>
          </w:p>
        </w:tc>
        <w:tc>
          <w:tcPr>
            <w:tcW w:w="1472" w:type="dxa"/>
          </w:tcPr>
          <w:p w14:paraId="71580CE3" w14:textId="757CC73D" w:rsidR="005F70B2" w:rsidRPr="004167FB" w:rsidRDefault="00FC7D3F" w:rsidP="0061572F">
            <w:pPr>
              <w:spacing w:line="276" w:lineRule="auto"/>
              <w:jc w:val="center"/>
              <w:rPr>
                <w:vertAlign w:val="superscript"/>
              </w:rPr>
            </w:pPr>
            <w:r w:rsidRPr="004167FB">
              <w:rPr>
                <w:vertAlign w:val="superscript"/>
              </w:rPr>
              <w:t>a</w:t>
            </w:r>
          </w:p>
        </w:tc>
      </w:tr>
      <w:tr w:rsidR="005F70B2" w:rsidRPr="00C93121" w14:paraId="779F26BD" w14:textId="77777777" w:rsidTr="0061572F">
        <w:tc>
          <w:tcPr>
            <w:tcW w:w="265" w:type="dxa"/>
          </w:tcPr>
          <w:p w14:paraId="66C52967" w14:textId="77777777" w:rsidR="005F70B2" w:rsidRPr="00C93121" w:rsidRDefault="005F70B2" w:rsidP="0061572F">
            <w:pPr>
              <w:spacing w:line="276" w:lineRule="auto"/>
            </w:pPr>
          </w:p>
        </w:tc>
        <w:tc>
          <w:tcPr>
            <w:tcW w:w="4649" w:type="dxa"/>
          </w:tcPr>
          <w:p w14:paraId="34D249E8" w14:textId="77777777" w:rsidR="005F70B2" w:rsidRPr="00C93121" w:rsidRDefault="005F70B2" w:rsidP="0061572F">
            <w:pPr>
              <w:spacing w:line="276" w:lineRule="auto"/>
            </w:pPr>
            <w:r w:rsidRPr="00C93121">
              <w:t>Probability of equivocal CT</w:t>
            </w:r>
          </w:p>
        </w:tc>
        <w:tc>
          <w:tcPr>
            <w:tcW w:w="1400" w:type="dxa"/>
          </w:tcPr>
          <w:p w14:paraId="026A1BEE" w14:textId="77777777" w:rsidR="005F70B2" w:rsidRPr="00C93121" w:rsidRDefault="005F70B2" w:rsidP="0061572F">
            <w:pPr>
              <w:spacing w:line="276" w:lineRule="auto"/>
            </w:pPr>
            <w:r w:rsidRPr="00C93121">
              <w:t>0.136</w:t>
            </w:r>
          </w:p>
        </w:tc>
        <w:tc>
          <w:tcPr>
            <w:tcW w:w="1564" w:type="dxa"/>
          </w:tcPr>
          <w:p w14:paraId="3BBE3A59" w14:textId="77777777" w:rsidR="005F70B2" w:rsidRPr="00C93121" w:rsidRDefault="005F70B2" w:rsidP="0061572F">
            <w:pPr>
              <w:spacing w:line="276" w:lineRule="auto"/>
            </w:pPr>
            <w:r w:rsidRPr="00C93121">
              <w:t>0.00 to 0.286</w:t>
            </w:r>
          </w:p>
        </w:tc>
        <w:tc>
          <w:tcPr>
            <w:tcW w:w="1472" w:type="dxa"/>
          </w:tcPr>
          <w:p w14:paraId="0BD14DB7" w14:textId="4EF4628D" w:rsidR="005F70B2" w:rsidRPr="00C93121" w:rsidRDefault="00FC7D3F" w:rsidP="0061572F">
            <w:pPr>
              <w:spacing w:line="276" w:lineRule="auto"/>
              <w:jc w:val="center"/>
            </w:pPr>
            <w:r w:rsidRPr="00DA0DF4">
              <w:rPr>
                <w:vertAlign w:val="superscript"/>
              </w:rPr>
              <w:t>a</w:t>
            </w:r>
          </w:p>
        </w:tc>
      </w:tr>
      <w:tr w:rsidR="005F70B2" w:rsidRPr="00C93121" w14:paraId="61932244" w14:textId="77777777" w:rsidTr="0061572F">
        <w:tc>
          <w:tcPr>
            <w:tcW w:w="9350" w:type="dxa"/>
            <w:gridSpan w:val="5"/>
          </w:tcPr>
          <w:p w14:paraId="2F9E28E2" w14:textId="77777777" w:rsidR="005F70B2" w:rsidRPr="00C93121" w:rsidRDefault="005F70B2" w:rsidP="0061572F">
            <w:pPr>
              <w:spacing w:line="276" w:lineRule="auto"/>
            </w:pPr>
            <w:r w:rsidRPr="00C93121">
              <w:t>Intervals for repeat or follow-up diagnostic testing</w:t>
            </w:r>
          </w:p>
        </w:tc>
      </w:tr>
      <w:tr w:rsidR="005F70B2" w:rsidRPr="00C93121" w14:paraId="3743D99E" w14:textId="77777777" w:rsidTr="0061572F">
        <w:tc>
          <w:tcPr>
            <w:tcW w:w="265" w:type="dxa"/>
          </w:tcPr>
          <w:p w14:paraId="6496856F" w14:textId="77777777" w:rsidR="005F70B2" w:rsidRPr="00C93121" w:rsidRDefault="005F70B2" w:rsidP="0061572F">
            <w:pPr>
              <w:spacing w:line="276" w:lineRule="auto"/>
            </w:pPr>
          </w:p>
        </w:tc>
        <w:tc>
          <w:tcPr>
            <w:tcW w:w="4649" w:type="dxa"/>
          </w:tcPr>
          <w:p w14:paraId="7D89E164" w14:textId="77777777" w:rsidR="005F70B2" w:rsidRPr="00C93121" w:rsidRDefault="005F70B2" w:rsidP="0061572F">
            <w:pPr>
              <w:spacing w:line="276" w:lineRule="auto"/>
            </w:pPr>
            <w:r w:rsidRPr="00C93121">
              <w:t>For repeat CEA after equivocal result</w:t>
            </w:r>
          </w:p>
        </w:tc>
        <w:tc>
          <w:tcPr>
            <w:tcW w:w="1400" w:type="dxa"/>
          </w:tcPr>
          <w:p w14:paraId="2D98B303" w14:textId="77777777" w:rsidR="005F70B2" w:rsidRPr="00C93121" w:rsidRDefault="005F70B2" w:rsidP="0061572F">
            <w:pPr>
              <w:spacing w:line="276" w:lineRule="auto"/>
            </w:pPr>
            <w:r w:rsidRPr="00C93121">
              <w:t>6 weeks</w:t>
            </w:r>
          </w:p>
        </w:tc>
        <w:tc>
          <w:tcPr>
            <w:tcW w:w="1564" w:type="dxa"/>
          </w:tcPr>
          <w:p w14:paraId="56185354" w14:textId="77777777" w:rsidR="005F70B2" w:rsidRPr="00C93121" w:rsidRDefault="005F70B2" w:rsidP="0061572F">
            <w:pPr>
              <w:spacing w:line="276" w:lineRule="auto"/>
            </w:pPr>
            <w:r w:rsidRPr="00C93121">
              <w:t>3 to 12 weeks</w:t>
            </w:r>
          </w:p>
        </w:tc>
        <w:tc>
          <w:tcPr>
            <w:tcW w:w="1472" w:type="dxa"/>
          </w:tcPr>
          <w:p w14:paraId="7E41A42A" w14:textId="10758A93" w:rsidR="005F70B2" w:rsidRPr="00C93121" w:rsidRDefault="00FC7D3F">
            <w:pPr>
              <w:spacing w:line="276" w:lineRule="auto"/>
              <w:jc w:val="center"/>
            </w:pPr>
            <w:r w:rsidRPr="00DA0DF4">
              <w:rPr>
                <w:vertAlign w:val="superscript"/>
              </w:rPr>
              <w:t>a</w:t>
            </w:r>
            <w:r>
              <w:rPr>
                <w:vertAlign w:val="superscript"/>
              </w:rPr>
              <w:t>,b</w:t>
            </w:r>
          </w:p>
        </w:tc>
      </w:tr>
      <w:tr w:rsidR="005F70B2" w:rsidRPr="00C93121" w14:paraId="1F6571A1" w14:textId="77777777" w:rsidTr="0061572F">
        <w:tc>
          <w:tcPr>
            <w:tcW w:w="265" w:type="dxa"/>
          </w:tcPr>
          <w:p w14:paraId="41004DB4" w14:textId="77777777" w:rsidR="005F70B2" w:rsidRPr="00C93121" w:rsidRDefault="005F70B2" w:rsidP="0061572F">
            <w:pPr>
              <w:spacing w:line="276" w:lineRule="auto"/>
            </w:pPr>
          </w:p>
        </w:tc>
        <w:tc>
          <w:tcPr>
            <w:tcW w:w="4649" w:type="dxa"/>
          </w:tcPr>
          <w:p w14:paraId="43B1BAEC" w14:textId="77777777" w:rsidR="005F70B2" w:rsidRPr="00C93121" w:rsidRDefault="005F70B2" w:rsidP="0061572F">
            <w:pPr>
              <w:spacing w:line="276" w:lineRule="auto"/>
            </w:pPr>
            <w:r w:rsidRPr="00C93121">
              <w:t>For repeat CT after equivocal CT</w:t>
            </w:r>
          </w:p>
        </w:tc>
        <w:tc>
          <w:tcPr>
            <w:tcW w:w="1400" w:type="dxa"/>
          </w:tcPr>
          <w:p w14:paraId="145CC2FC" w14:textId="77777777" w:rsidR="005F70B2" w:rsidRPr="00C93121" w:rsidRDefault="005F70B2" w:rsidP="0061572F">
            <w:pPr>
              <w:spacing w:line="276" w:lineRule="auto"/>
            </w:pPr>
            <w:r w:rsidRPr="00C93121">
              <w:t>4 weeks</w:t>
            </w:r>
          </w:p>
        </w:tc>
        <w:tc>
          <w:tcPr>
            <w:tcW w:w="1564" w:type="dxa"/>
          </w:tcPr>
          <w:p w14:paraId="45B0E974" w14:textId="77777777" w:rsidR="005F70B2" w:rsidRPr="00C93121" w:rsidRDefault="005F70B2" w:rsidP="0061572F">
            <w:pPr>
              <w:spacing w:line="276" w:lineRule="auto"/>
            </w:pPr>
            <w:r w:rsidRPr="00C93121">
              <w:t>2 to 8 weeks</w:t>
            </w:r>
          </w:p>
        </w:tc>
        <w:tc>
          <w:tcPr>
            <w:tcW w:w="1472" w:type="dxa"/>
          </w:tcPr>
          <w:p w14:paraId="2EF8F1EA" w14:textId="0851EA98" w:rsidR="005F70B2" w:rsidRPr="00C93121" w:rsidRDefault="00FC7D3F" w:rsidP="0061572F">
            <w:pPr>
              <w:spacing w:line="276" w:lineRule="auto"/>
              <w:jc w:val="center"/>
            </w:pPr>
            <w:r w:rsidRPr="00DA0DF4">
              <w:rPr>
                <w:vertAlign w:val="superscript"/>
              </w:rPr>
              <w:t>a</w:t>
            </w:r>
            <w:r>
              <w:rPr>
                <w:vertAlign w:val="superscript"/>
              </w:rPr>
              <w:t>,b</w:t>
            </w:r>
          </w:p>
        </w:tc>
      </w:tr>
      <w:tr w:rsidR="005F70B2" w:rsidRPr="00C93121" w14:paraId="761EBF9D" w14:textId="77777777" w:rsidTr="0061572F">
        <w:tc>
          <w:tcPr>
            <w:tcW w:w="265" w:type="dxa"/>
          </w:tcPr>
          <w:p w14:paraId="11C4FC3E" w14:textId="77777777" w:rsidR="005F70B2" w:rsidRPr="00C93121" w:rsidRDefault="005F70B2" w:rsidP="0061572F">
            <w:pPr>
              <w:spacing w:line="276" w:lineRule="auto"/>
            </w:pPr>
          </w:p>
        </w:tc>
        <w:tc>
          <w:tcPr>
            <w:tcW w:w="4649" w:type="dxa"/>
          </w:tcPr>
          <w:p w14:paraId="4D0D8654" w14:textId="77777777" w:rsidR="005F70B2" w:rsidRPr="00C93121" w:rsidRDefault="005F70B2" w:rsidP="0061572F">
            <w:pPr>
              <w:spacing w:line="276" w:lineRule="auto"/>
            </w:pPr>
            <w:r w:rsidRPr="00C93121">
              <w:t>For follow-up CT scan after positive CEA</w:t>
            </w:r>
          </w:p>
        </w:tc>
        <w:tc>
          <w:tcPr>
            <w:tcW w:w="1400" w:type="dxa"/>
          </w:tcPr>
          <w:p w14:paraId="1AE71A03" w14:textId="77777777" w:rsidR="005F70B2" w:rsidRPr="00C93121" w:rsidRDefault="005F70B2" w:rsidP="0061572F">
            <w:pPr>
              <w:spacing w:line="276" w:lineRule="auto"/>
            </w:pPr>
            <w:r w:rsidRPr="00C93121">
              <w:t>2 weeks</w:t>
            </w:r>
          </w:p>
        </w:tc>
        <w:tc>
          <w:tcPr>
            <w:tcW w:w="1564" w:type="dxa"/>
          </w:tcPr>
          <w:p w14:paraId="2EDDA23C" w14:textId="77777777" w:rsidR="005F70B2" w:rsidRPr="00C93121" w:rsidRDefault="005F70B2" w:rsidP="0061572F">
            <w:pPr>
              <w:spacing w:line="276" w:lineRule="auto"/>
            </w:pPr>
            <w:r w:rsidRPr="00C93121">
              <w:t>1 to 4 weeks</w:t>
            </w:r>
          </w:p>
        </w:tc>
        <w:tc>
          <w:tcPr>
            <w:tcW w:w="1472" w:type="dxa"/>
          </w:tcPr>
          <w:p w14:paraId="07A593AB" w14:textId="49A17DBE" w:rsidR="005F70B2" w:rsidRPr="00C93121" w:rsidRDefault="00FC7D3F" w:rsidP="0061572F">
            <w:pPr>
              <w:spacing w:line="276" w:lineRule="auto"/>
              <w:jc w:val="center"/>
            </w:pPr>
            <w:r w:rsidRPr="00DA0DF4">
              <w:rPr>
                <w:vertAlign w:val="superscript"/>
              </w:rPr>
              <w:t>a</w:t>
            </w:r>
            <w:r>
              <w:rPr>
                <w:vertAlign w:val="superscript"/>
              </w:rPr>
              <w:t>,b</w:t>
            </w:r>
          </w:p>
        </w:tc>
      </w:tr>
      <w:tr w:rsidR="005F70B2" w:rsidRPr="00C93121" w14:paraId="46FE92C6" w14:textId="77777777" w:rsidTr="0061572F">
        <w:tc>
          <w:tcPr>
            <w:tcW w:w="265" w:type="dxa"/>
          </w:tcPr>
          <w:p w14:paraId="14A9E898" w14:textId="77777777" w:rsidR="005F70B2" w:rsidRPr="00C93121" w:rsidRDefault="005F70B2" w:rsidP="0061572F">
            <w:pPr>
              <w:spacing w:line="276" w:lineRule="auto"/>
            </w:pPr>
          </w:p>
        </w:tc>
        <w:tc>
          <w:tcPr>
            <w:tcW w:w="4649" w:type="dxa"/>
          </w:tcPr>
          <w:p w14:paraId="554CBAC0" w14:textId="77777777" w:rsidR="005F70B2" w:rsidRPr="00C93121" w:rsidRDefault="005F70B2" w:rsidP="0061572F">
            <w:pPr>
              <w:spacing w:line="276" w:lineRule="auto"/>
            </w:pPr>
            <w:r w:rsidRPr="00C93121">
              <w:t>For follow-up liver MRI after positive CT</w:t>
            </w:r>
          </w:p>
        </w:tc>
        <w:tc>
          <w:tcPr>
            <w:tcW w:w="1400" w:type="dxa"/>
          </w:tcPr>
          <w:p w14:paraId="7BA5460B" w14:textId="77777777" w:rsidR="005F70B2" w:rsidRPr="00C93121" w:rsidRDefault="005F70B2" w:rsidP="0061572F">
            <w:pPr>
              <w:spacing w:line="276" w:lineRule="auto"/>
            </w:pPr>
            <w:r w:rsidRPr="00C93121">
              <w:t>1 week</w:t>
            </w:r>
          </w:p>
        </w:tc>
        <w:tc>
          <w:tcPr>
            <w:tcW w:w="1564" w:type="dxa"/>
          </w:tcPr>
          <w:p w14:paraId="0E7CFC3A" w14:textId="77777777" w:rsidR="005F70B2" w:rsidRPr="00C93121" w:rsidRDefault="005F70B2" w:rsidP="0061572F">
            <w:pPr>
              <w:spacing w:line="276" w:lineRule="auto"/>
            </w:pPr>
            <w:r w:rsidRPr="00C93121">
              <w:t>0 to 2 weeks</w:t>
            </w:r>
          </w:p>
        </w:tc>
        <w:tc>
          <w:tcPr>
            <w:tcW w:w="1472" w:type="dxa"/>
          </w:tcPr>
          <w:p w14:paraId="6BE4E3A8" w14:textId="5361C886" w:rsidR="005F70B2" w:rsidRPr="00C93121" w:rsidRDefault="00FC7D3F" w:rsidP="0061572F">
            <w:pPr>
              <w:spacing w:line="276" w:lineRule="auto"/>
              <w:jc w:val="center"/>
            </w:pPr>
            <w:r w:rsidRPr="00DA0DF4">
              <w:rPr>
                <w:vertAlign w:val="superscript"/>
              </w:rPr>
              <w:t>a</w:t>
            </w:r>
            <w:r>
              <w:rPr>
                <w:vertAlign w:val="superscript"/>
              </w:rPr>
              <w:t>,b</w:t>
            </w:r>
          </w:p>
        </w:tc>
      </w:tr>
      <w:tr w:rsidR="005F70B2" w:rsidRPr="00C93121" w14:paraId="2E3773EE" w14:textId="77777777" w:rsidTr="0061572F">
        <w:tc>
          <w:tcPr>
            <w:tcW w:w="265" w:type="dxa"/>
          </w:tcPr>
          <w:p w14:paraId="2F51A1C1" w14:textId="77777777" w:rsidR="005F70B2" w:rsidRPr="00C93121" w:rsidRDefault="005F70B2" w:rsidP="0061572F">
            <w:pPr>
              <w:spacing w:line="276" w:lineRule="auto"/>
            </w:pPr>
          </w:p>
        </w:tc>
        <w:tc>
          <w:tcPr>
            <w:tcW w:w="4649" w:type="dxa"/>
          </w:tcPr>
          <w:p w14:paraId="69B72B33" w14:textId="77777777" w:rsidR="005F70B2" w:rsidRPr="00C93121" w:rsidRDefault="005F70B2" w:rsidP="0061572F">
            <w:pPr>
              <w:spacing w:line="276" w:lineRule="auto"/>
            </w:pPr>
            <w:r w:rsidRPr="00C93121">
              <w:t>For follow-up PET scan</w:t>
            </w:r>
          </w:p>
        </w:tc>
        <w:tc>
          <w:tcPr>
            <w:tcW w:w="1400" w:type="dxa"/>
          </w:tcPr>
          <w:p w14:paraId="3301254F" w14:textId="77777777" w:rsidR="005F70B2" w:rsidRPr="00C93121" w:rsidRDefault="005F70B2" w:rsidP="0061572F">
            <w:pPr>
              <w:spacing w:line="276" w:lineRule="auto"/>
            </w:pPr>
            <w:r w:rsidRPr="00C93121">
              <w:t>1 week</w:t>
            </w:r>
          </w:p>
        </w:tc>
        <w:tc>
          <w:tcPr>
            <w:tcW w:w="1564" w:type="dxa"/>
          </w:tcPr>
          <w:p w14:paraId="4E01231C" w14:textId="77777777" w:rsidR="005F70B2" w:rsidRPr="00C93121" w:rsidRDefault="005F70B2" w:rsidP="0061572F">
            <w:pPr>
              <w:spacing w:line="276" w:lineRule="auto"/>
            </w:pPr>
            <w:r w:rsidRPr="00C93121">
              <w:t>0 to 2 weeks</w:t>
            </w:r>
          </w:p>
        </w:tc>
        <w:tc>
          <w:tcPr>
            <w:tcW w:w="1472" w:type="dxa"/>
          </w:tcPr>
          <w:p w14:paraId="1CACDA17" w14:textId="77777777" w:rsidR="005F70B2" w:rsidRPr="00C93121" w:rsidRDefault="005F70B2" w:rsidP="0061572F">
            <w:pPr>
              <w:spacing w:line="276" w:lineRule="auto"/>
              <w:jc w:val="center"/>
            </w:pPr>
            <w:r w:rsidRPr="00C93121">
              <w:t>*, †</w:t>
            </w:r>
          </w:p>
        </w:tc>
      </w:tr>
    </w:tbl>
    <w:p w14:paraId="2067478E" w14:textId="6956A919" w:rsidR="005F70B2" w:rsidRPr="00C93121" w:rsidRDefault="00FC7D3F" w:rsidP="005F70B2">
      <w:pPr>
        <w:spacing w:after="0" w:line="276" w:lineRule="auto"/>
        <w:ind w:left="360"/>
      </w:pPr>
      <w:r w:rsidRPr="004167FB">
        <w:rPr>
          <w:vertAlign w:val="superscript"/>
        </w:rPr>
        <w:t>a</w:t>
      </w:r>
      <w:r w:rsidR="005F70B2" w:rsidRPr="00C93121">
        <w:t xml:space="preserve"> Internal dataset available upon request</w:t>
      </w:r>
    </w:p>
    <w:p w14:paraId="3530E11D" w14:textId="3CA21DEA" w:rsidR="005F70B2" w:rsidRPr="00C93121" w:rsidRDefault="00FC7D3F" w:rsidP="005F70B2">
      <w:pPr>
        <w:spacing w:after="0" w:line="276" w:lineRule="auto"/>
        <w:ind w:left="360"/>
      </w:pPr>
      <w:r w:rsidRPr="004167FB">
        <w:rPr>
          <w:vertAlign w:val="superscript"/>
        </w:rPr>
        <w:t>b</w:t>
      </w:r>
      <w:r w:rsidR="005F70B2" w:rsidRPr="00C93121">
        <w:t xml:space="preserve"> Expert opinion</w:t>
      </w:r>
    </w:p>
    <w:p w14:paraId="329531F8" w14:textId="1E4ED9B2" w:rsidR="005F70B2" w:rsidRPr="00C93121" w:rsidRDefault="005F70B2" w:rsidP="005F70B2">
      <w:pPr>
        <w:spacing w:line="276" w:lineRule="auto"/>
      </w:pPr>
      <w:r w:rsidRPr="00C93121">
        <w:rPr>
          <w:b/>
        </w:rPr>
        <w:t xml:space="preserve">Table 1 – </w:t>
      </w:r>
      <w:r w:rsidR="00F23257">
        <w:rPr>
          <w:b/>
        </w:rPr>
        <w:t xml:space="preserve">Utilization </w:t>
      </w:r>
      <w:r w:rsidR="001D539D">
        <w:rPr>
          <w:b/>
        </w:rPr>
        <w:t>s</w:t>
      </w:r>
      <w:r w:rsidR="00F23257">
        <w:rPr>
          <w:b/>
        </w:rPr>
        <w:t xml:space="preserve">ubmodel </w:t>
      </w:r>
      <w:r w:rsidR="001D539D">
        <w:rPr>
          <w:b/>
        </w:rPr>
        <w:t>p</w:t>
      </w:r>
      <w:r w:rsidR="00F23257">
        <w:rPr>
          <w:b/>
        </w:rPr>
        <w:t>arameters</w:t>
      </w:r>
      <w:r w:rsidRPr="00C93121">
        <w:t xml:space="preserve"> – Specific testing algorithms are shown in Appendix 3.</w:t>
      </w:r>
      <w:r w:rsidR="00D87A53">
        <w:t xml:space="preserve">  </w:t>
      </w:r>
      <w:bookmarkStart w:id="3" w:name="_Hlk874879"/>
      <w:r w:rsidR="00D87A53">
        <w:t>CEA = carcinoembryonic antigen; CT = computed tomography; MRI = magnetic resonance imaging; PET = positron emission tomography</w:t>
      </w:r>
    </w:p>
    <w:bookmarkEnd w:id="3"/>
    <w:p w14:paraId="20AAB31D" w14:textId="4DFEC86D" w:rsidR="005F70B2" w:rsidRDefault="005F70B2" w:rsidP="005F70B2">
      <w:pPr>
        <w:spacing w:line="276" w:lineRule="auto"/>
      </w:pPr>
    </w:p>
    <w:p w14:paraId="425BCCF2" w14:textId="56D24777" w:rsidR="001815BF" w:rsidRDefault="001815BF" w:rsidP="005F70B2">
      <w:pPr>
        <w:spacing w:line="276" w:lineRule="auto"/>
      </w:pPr>
    </w:p>
    <w:p w14:paraId="5C0C7B1E" w14:textId="77777777" w:rsidR="001815BF" w:rsidRPr="00C93121" w:rsidRDefault="001815BF" w:rsidP="005F70B2">
      <w:pPr>
        <w:spacing w:line="276" w:lineRule="auto"/>
      </w:pPr>
    </w:p>
    <w:p w14:paraId="4FA625F8" w14:textId="77777777" w:rsidR="005F70B2" w:rsidRPr="00C93121" w:rsidRDefault="005F70B2" w:rsidP="005F70B2">
      <w:pPr>
        <w:spacing w:line="276" w:lineRule="auto"/>
      </w:pPr>
    </w:p>
    <w:tbl>
      <w:tblPr>
        <w:tblStyle w:val="TableGrid"/>
        <w:tblW w:w="0" w:type="auto"/>
        <w:tblLook w:val="04A0" w:firstRow="1" w:lastRow="0" w:firstColumn="1" w:lastColumn="0" w:noHBand="0" w:noVBand="1"/>
      </w:tblPr>
      <w:tblGrid>
        <w:gridCol w:w="355"/>
        <w:gridCol w:w="2880"/>
        <w:gridCol w:w="1530"/>
        <w:gridCol w:w="1440"/>
        <w:gridCol w:w="1440"/>
        <w:gridCol w:w="1705"/>
      </w:tblGrid>
      <w:tr w:rsidR="005F70B2" w:rsidRPr="00C93121" w14:paraId="4D6B8F32" w14:textId="77777777" w:rsidTr="0061572F">
        <w:tc>
          <w:tcPr>
            <w:tcW w:w="355" w:type="dxa"/>
          </w:tcPr>
          <w:p w14:paraId="340B6B0B" w14:textId="77777777" w:rsidR="005F70B2" w:rsidRPr="00C93121" w:rsidRDefault="005F70B2" w:rsidP="0061572F">
            <w:pPr>
              <w:spacing w:line="276" w:lineRule="auto"/>
            </w:pPr>
          </w:p>
        </w:tc>
        <w:tc>
          <w:tcPr>
            <w:tcW w:w="2880" w:type="dxa"/>
          </w:tcPr>
          <w:p w14:paraId="35165791" w14:textId="77777777" w:rsidR="005F70B2" w:rsidRPr="00C93121" w:rsidRDefault="005F70B2" w:rsidP="0061572F">
            <w:pPr>
              <w:spacing w:line="276" w:lineRule="auto"/>
            </w:pPr>
          </w:p>
        </w:tc>
        <w:tc>
          <w:tcPr>
            <w:tcW w:w="1530" w:type="dxa"/>
          </w:tcPr>
          <w:p w14:paraId="352A35F6" w14:textId="77777777" w:rsidR="005F70B2" w:rsidRPr="00C93121" w:rsidRDefault="005F70B2" w:rsidP="0061572F">
            <w:pPr>
              <w:spacing w:line="276" w:lineRule="auto"/>
            </w:pPr>
            <w:r w:rsidRPr="00C93121">
              <w:t>CEA Surveillance (n=217)</w:t>
            </w:r>
          </w:p>
        </w:tc>
        <w:tc>
          <w:tcPr>
            <w:tcW w:w="1440" w:type="dxa"/>
          </w:tcPr>
          <w:p w14:paraId="2F64E181" w14:textId="77777777" w:rsidR="005F70B2" w:rsidRPr="00C93121" w:rsidRDefault="005F70B2" w:rsidP="0061572F">
            <w:pPr>
              <w:spacing w:line="276" w:lineRule="auto"/>
            </w:pPr>
            <w:r w:rsidRPr="00C93121">
              <w:t>CT Surveillance (n=202)</w:t>
            </w:r>
          </w:p>
        </w:tc>
        <w:tc>
          <w:tcPr>
            <w:tcW w:w="1440" w:type="dxa"/>
          </w:tcPr>
          <w:p w14:paraId="4C2BE21C" w14:textId="77777777" w:rsidR="005F70B2" w:rsidRPr="00C93121" w:rsidRDefault="005F70B2" w:rsidP="0061572F">
            <w:pPr>
              <w:spacing w:line="276" w:lineRule="auto"/>
            </w:pPr>
            <w:r w:rsidRPr="00C93121">
              <w:t>CEA + CT Surveillance (n=208)</w:t>
            </w:r>
          </w:p>
        </w:tc>
        <w:tc>
          <w:tcPr>
            <w:tcW w:w="1705" w:type="dxa"/>
          </w:tcPr>
          <w:p w14:paraId="4A8E3A9E" w14:textId="3262812F" w:rsidR="005F70B2" w:rsidRPr="00C93121" w:rsidRDefault="005F70B2" w:rsidP="0061572F">
            <w:pPr>
              <w:spacing w:line="276" w:lineRule="auto"/>
            </w:pPr>
            <w:r w:rsidRPr="00C93121">
              <w:t>Minim</w:t>
            </w:r>
            <w:r w:rsidR="00E2448B">
              <w:t>um</w:t>
            </w:r>
            <w:r w:rsidRPr="00C93121">
              <w:t xml:space="preserve"> Surveillance (n=214)</w:t>
            </w:r>
          </w:p>
        </w:tc>
      </w:tr>
      <w:tr w:rsidR="005F70B2" w:rsidRPr="00C93121" w14:paraId="5C19796B" w14:textId="77777777" w:rsidTr="0061572F">
        <w:tc>
          <w:tcPr>
            <w:tcW w:w="9350" w:type="dxa"/>
            <w:gridSpan w:val="6"/>
          </w:tcPr>
          <w:p w14:paraId="32615C2A" w14:textId="77777777" w:rsidR="005F70B2" w:rsidRPr="00C93121" w:rsidRDefault="005F70B2" w:rsidP="0061572F">
            <w:pPr>
              <w:spacing w:line="276" w:lineRule="auto"/>
            </w:pPr>
            <w:r w:rsidRPr="00C93121">
              <w:t>Subject Characteristics (N=841)</w:t>
            </w:r>
          </w:p>
        </w:tc>
      </w:tr>
      <w:tr w:rsidR="005F70B2" w:rsidRPr="00C93121" w14:paraId="31FC1780" w14:textId="77777777" w:rsidTr="0061572F">
        <w:tc>
          <w:tcPr>
            <w:tcW w:w="355" w:type="dxa"/>
          </w:tcPr>
          <w:p w14:paraId="5853E69F" w14:textId="77777777" w:rsidR="005F70B2" w:rsidRPr="00C93121" w:rsidRDefault="005F70B2" w:rsidP="0061572F">
            <w:pPr>
              <w:spacing w:line="276" w:lineRule="auto"/>
            </w:pPr>
          </w:p>
        </w:tc>
        <w:tc>
          <w:tcPr>
            <w:tcW w:w="2880" w:type="dxa"/>
          </w:tcPr>
          <w:p w14:paraId="25C3390E" w14:textId="77777777" w:rsidR="005F70B2" w:rsidRPr="00C93121" w:rsidRDefault="005F70B2" w:rsidP="0061572F">
            <w:pPr>
              <w:spacing w:line="276" w:lineRule="auto"/>
            </w:pPr>
            <w:r w:rsidRPr="00C93121">
              <w:t>Mean age at randomization</w:t>
            </w:r>
          </w:p>
        </w:tc>
        <w:tc>
          <w:tcPr>
            <w:tcW w:w="1530" w:type="dxa"/>
          </w:tcPr>
          <w:p w14:paraId="4D709904" w14:textId="77777777" w:rsidR="005F70B2" w:rsidRPr="00C93121" w:rsidRDefault="005F70B2" w:rsidP="0061572F">
            <w:pPr>
              <w:spacing w:line="276" w:lineRule="auto"/>
            </w:pPr>
            <w:r w:rsidRPr="00C93121">
              <w:t>69.4</w:t>
            </w:r>
          </w:p>
        </w:tc>
        <w:tc>
          <w:tcPr>
            <w:tcW w:w="1440" w:type="dxa"/>
          </w:tcPr>
          <w:p w14:paraId="73AAFA81" w14:textId="77777777" w:rsidR="005F70B2" w:rsidRPr="00C93121" w:rsidRDefault="005F70B2" w:rsidP="0061572F">
            <w:pPr>
              <w:spacing w:line="276" w:lineRule="auto"/>
            </w:pPr>
            <w:r w:rsidRPr="00C93121">
              <w:t>69.0</w:t>
            </w:r>
          </w:p>
        </w:tc>
        <w:tc>
          <w:tcPr>
            <w:tcW w:w="1440" w:type="dxa"/>
          </w:tcPr>
          <w:p w14:paraId="01590EB8" w14:textId="77777777" w:rsidR="005F70B2" w:rsidRPr="00C93121" w:rsidRDefault="005F70B2" w:rsidP="0061572F">
            <w:pPr>
              <w:spacing w:line="276" w:lineRule="auto"/>
            </w:pPr>
            <w:r w:rsidRPr="00C93121">
              <w:t>70.6</w:t>
            </w:r>
          </w:p>
        </w:tc>
        <w:tc>
          <w:tcPr>
            <w:tcW w:w="1705" w:type="dxa"/>
          </w:tcPr>
          <w:p w14:paraId="50965307" w14:textId="77777777" w:rsidR="005F70B2" w:rsidRPr="00C93121" w:rsidRDefault="005F70B2" w:rsidP="0061572F">
            <w:pPr>
              <w:spacing w:line="276" w:lineRule="auto"/>
            </w:pPr>
            <w:r w:rsidRPr="00C93121">
              <w:t>69.3</w:t>
            </w:r>
          </w:p>
        </w:tc>
      </w:tr>
      <w:tr w:rsidR="005F70B2" w:rsidRPr="00C93121" w14:paraId="31AFF696" w14:textId="77777777" w:rsidTr="0061572F">
        <w:tc>
          <w:tcPr>
            <w:tcW w:w="355" w:type="dxa"/>
          </w:tcPr>
          <w:p w14:paraId="2F1E5448" w14:textId="77777777" w:rsidR="005F70B2" w:rsidRPr="00C93121" w:rsidRDefault="005F70B2" w:rsidP="0061572F">
            <w:pPr>
              <w:spacing w:line="276" w:lineRule="auto"/>
            </w:pPr>
          </w:p>
        </w:tc>
        <w:tc>
          <w:tcPr>
            <w:tcW w:w="2880" w:type="dxa"/>
          </w:tcPr>
          <w:p w14:paraId="39940C46" w14:textId="77777777" w:rsidR="005F70B2" w:rsidRPr="00C93121" w:rsidRDefault="005F70B2" w:rsidP="0061572F">
            <w:pPr>
              <w:spacing w:line="276" w:lineRule="auto"/>
            </w:pPr>
            <w:r>
              <w:t xml:space="preserve">Dukes </w:t>
            </w:r>
            <w:r w:rsidRPr="00C93121">
              <w:t>Stage of primary colon cancer (</w:t>
            </w:r>
            <w:r>
              <w:t>A/B</w:t>
            </w:r>
            <w:r w:rsidRPr="00C93121">
              <w:t>/</w:t>
            </w:r>
            <w:r>
              <w:t>C</w:t>
            </w:r>
            <w:r w:rsidRPr="00C93121">
              <w:t>)</w:t>
            </w:r>
          </w:p>
        </w:tc>
        <w:tc>
          <w:tcPr>
            <w:tcW w:w="1530" w:type="dxa"/>
          </w:tcPr>
          <w:p w14:paraId="7FA7A328" w14:textId="77777777" w:rsidR="005F70B2" w:rsidRPr="00C93121" w:rsidRDefault="005F70B2" w:rsidP="0061572F">
            <w:pPr>
              <w:spacing w:line="276" w:lineRule="auto"/>
            </w:pPr>
            <w:r w:rsidRPr="00C93121">
              <w:t>14.3% / 55.8% / 30.0%</w:t>
            </w:r>
          </w:p>
        </w:tc>
        <w:tc>
          <w:tcPr>
            <w:tcW w:w="1440" w:type="dxa"/>
          </w:tcPr>
          <w:p w14:paraId="5D2B2B8B" w14:textId="77777777" w:rsidR="005F70B2" w:rsidRPr="00C93121" w:rsidRDefault="005F70B2" w:rsidP="0061572F">
            <w:pPr>
              <w:spacing w:line="276" w:lineRule="auto"/>
            </w:pPr>
            <w:r w:rsidRPr="00C93121">
              <w:t>19.8% / 47.5% / 32.7%</w:t>
            </w:r>
          </w:p>
        </w:tc>
        <w:tc>
          <w:tcPr>
            <w:tcW w:w="1440" w:type="dxa"/>
          </w:tcPr>
          <w:p w14:paraId="5C3250A1" w14:textId="77777777" w:rsidR="005F70B2" w:rsidRPr="00C93121" w:rsidRDefault="005F70B2" w:rsidP="0061572F">
            <w:pPr>
              <w:spacing w:line="276" w:lineRule="auto"/>
            </w:pPr>
            <w:r w:rsidRPr="00C93121">
              <w:t>15.4% / 56.3% / 28.4%</w:t>
            </w:r>
          </w:p>
        </w:tc>
        <w:tc>
          <w:tcPr>
            <w:tcW w:w="1705" w:type="dxa"/>
          </w:tcPr>
          <w:p w14:paraId="114C283A" w14:textId="77777777" w:rsidR="005F70B2" w:rsidRPr="00C93121" w:rsidRDefault="005F70B2" w:rsidP="0061572F">
            <w:pPr>
              <w:spacing w:line="276" w:lineRule="auto"/>
            </w:pPr>
            <w:r w:rsidRPr="00C93121">
              <w:t>17.8% / 50.0% / 32.2%</w:t>
            </w:r>
          </w:p>
        </w:tc>
      </w:tr>
      <w:tr w:rsidR="005F70B2" w:rsidRPr="00C93121" w14:paraId="2BE81025" w14:textId="77777777" w:rsidTr="0061572F">
        <w:tc>
          <w:tcPr>
            <w:tcW w:w="9350" w:type="dxa"/>
            <w:gridSpan w:val="6"/>
          </w:tcPr>
          <w:p w14:paraId="4693B734" w14:textId="77777777" w:rsidR="005F70B2" w:rsidRPr="00C93121" w:rsidRDefault="005F70B2" w:rsidP="0061572F">
            <w:pPr>
              <w:spacing w:line="276" w:lineRule="auto"/>
            </w:pPr>
            <w:r w:rsidRPr="00C93121">
              <w:t>Surveillance Regimens</w:t>
            </w:r>
          </w:p>
        </w:tc>
      </w:tr>
      <w:tr w:rsidR="005F70B2" w:rsidRPr="00C93121" w14:paraId="6224EBC3" w14:textId="77777777" w:rsidTr="0061572F">
        <w:tc>
          <w:tcPr>
            <w:tcW w:w="355" w:type="dxa"/>
          </w:tcPr>
          <w:p w14:paraId="00C03582" w14:textId="77777777" w:rsidR="005F70B2" w:rsidRPr="00C93121" w:rsidRDefault="005F70B2" w:rsidP="0061572F">
            <w:pPr>
              <w:spacing w:line="276" w:lineRule="auto"/>
            </w:pPr>
          </w:p>
        </w:tc>
        <w:tc>
          <w:tcPr>
            <w:tcW w:w="2880" w:type="dxa"/>
          </w:tcPr>
          <w:p w14:paraId="68D17C70" w14:textId="77777777" w:rsidR="005F70B2" w:rsidRPr="00C93121" w:rsidRDefault="005F70B2" w:rsidP="0061572F">
            <w:pPr>
              <w:spacing w:line="276" w:lineRule="auto"/>
            </w:pPr>
            <w:r w:rsidRPr="00C93121">
              <w:t>CEA frequency</w:t>
            </w:r>
          </w:p>
        </w:tc>
        <w:tc>
          <w:tcPr>
            <w:tcW w:w="1530" w:type="dxa"/>
          </w:tcPr>
          <w:p w14:paraId="479FC814" w14:textId="77777777" w:rsidR="005F70B2" w:rsidRPr="00C93121" w:rsidRDefault="005F70B2" w:rsidP="0061572F">
            <w:pPr>
              <w:spacing w:line="276" w:lineRule="auto"/>
            </w:pPr>
            <w:r w:rsidRPr="00C93121">
              <w:t>Every 3 months for 2 years, then every 6 months until year 5</w:t>
            </w:r>
          </w:p>
        </w:tc>
        <w:tc>
          <w:tcPr>
            <w:tcW w:w="1440" w:type="dxa"/>
          </w:tcPr>
          <w:p w14:paraId="57CB8214" w14:textId="77777777" w:rsidR="005F70B2" w:rsidRPr="00C93121" w:rsidRDefault="005F70B2" w:rsidP="0061572F">
            <w:pPr>
              <w:spacing w:line="276" w:lineRule="auto"/>
            </w:pPr>
            <w:r w:rsidRPr="00C93121">
              <w:t>None</w:t>
            </w:r>
          </w:p>
        </w:tc>
        <w:tc>
          <w:tcPr>
            <w:tcW w:w="1440" w:type="dxa"/>
          </w:tcPr>
          <w:p w14:paraId="354A18CD" w14:textId="77777777" w:rsidR="005F70B2" w:rsidRPr="00C93121" w:rsidRDefault="005F70B2" w:rsidP="0061572F">
            <w:pPr>
              <w:spacing w:line="276" w:lineRule="auto"/>
            </w:pPr>
            <w:r w:rsidRPr="00C93121">
              <w:t>Every 3 months for 2 years, then every 6 months until year 5</w:t>
            </w:r>
          </w:p>
        </w:tc>
        <w:tc>
          <w:tcPr>
            <w:tcW w:w="1705" w:type="dxa"/>
          </w:tcPr>
          <w:p w14:paraId="76A63AA6" w14:textId="77777777" w:rsidR="005F70B2" w:rsidRPr="00C93121" w:rsidRDefault="005F70B2" w:rsidP="0061572F">
            <w:pPr>
              <w:spacing w:line="276" w:lineRule="auto"/>
            </w:pPr>
            <w:r w:rsidRPr="00C93121">
              <w:t>None</w:t>
            </w:r>
          </w:p>
        </w:tc>
      </w:tr>
      <w:tr w:rsidR="005F70B2" w:rsidRPr="00C93121" w14:paraId="78602524" w14:textId="77777777" w:rsidTr="0061572F">
        <w:tc>
          <w:tcPr>
            <w:tcW w:w="355" w:type="dxa"/>
          </w:tcPr>
          <w:p w14:paraId="3D75829D" w14:textId="77777777" w:rsidR="005F70B2" w:rsidRPr="00C93121" w:rsidRDefault="005F70B2" w:rsidP="0061572F">
            <w:pPr>
              <w:spacing w:line="276" w:lineRule="auto"/>
            </w:pPr>
          </w:p>
        </w:tc>
        <w:tc>
          <w:tcPr>
            <w:tcW w:w="2880" w:type="dxa"/>
          </w:tcPr>
          <w:p w14:paraId="602094A7" w14:textId="77777777" w:rsidR="005F70B2" w:rsidRPr="00C93121" w:rsidRDefault="005F70B2" w:rsidP="0061572F">
            <w:pPr>
              <w:spacing w:line="276" w:lineRule="auto"/>
            </w:pPr>
            <w:r w:rsidRPr="00C93121">
              <w:t>CT frequency</w:t>
            </w:r>
          </w:p>
        </w:tc>
        <w:tc>
          <w:tcPr>
            <w:tcW w:w="1530" w:type="dxa"/>
          </w:tcPr>
          <w:p w14:paraId="5CF3BFC8" w14:textId="77777777" w:rsidR="005F70B2" w:rsidRPr="00C93121" w:rsidRDefault="005F70B2" w:rsidP="0061572F">
            <w:pPr>
              <w:spacing w:line="276" w:lineRule="auto"/>
            </w:pPr>
            <w:r w:rsidRPr="00C93121">
              <w:t>At 12-18 months</w:t>
            </w:r>
          </w:p>
        </w:tc>
        <w:tc>
          <w:tcPr>
            <w:tcW w:w="1440" w:type="dxa"/>
          </w:tcPr>
          <w:p w14:paraId="0E1131D4" w14:textId="77777777" w:rsidR="005F70B2" w:rsidRPr="00C93121" w:rsidRDefault="005F70B2" w:rsidP="0061572F">
            <w:pPr>
              <w:spacing w:line="276" w:lineRule="auto"/>
            </w:pPr>
            <w:r w:rsidRPr="00C93121">
              <w:t>Every 6 months for 2 years, then annually until year 5</w:t>
            </w:r>
          </w:p>
        </w:tc>
        <w:tc>
          <w:tcPr>
            <w:tcW w:w="1440" w:type="dxa"/>
          </w:tcPr>
          <w:p w14:paraId="44B14125" w14:textId="77777777" w:rsidR="005F70B2" w:rsidRPr="00C93121" w:rsidRDefault="005F70B2" w:rsidP="0061572F">
            <w:pPr>
              <w:spacing w:line="276" w:lineRule="auto"/>
            </w:pPr>
            <w:r w:rsidRPr="00C93121">
              <w:t>Every 6 months for 2 years, then annually until year 5</w:t>
            </w:r>
          </w:p>
        </w:tc>
        <w:tc>
          <w:tcPr>
            <w:tcW w:w="1705" w:type="dxa"/>
          </w:tcPr>
          <w:p w14:paraId="5F1D0BF2" w14:textId="77777777" w:rsidR="005F70B2" w:rsidRPr="00C93121" w:rsidRDefault="005F70B2" w:rsidP="0061572F">
            <w:pPr>
              <w:spacing w:line="276" w:lineRule="auto"/>
            </w:pPr>
            <w:r w:rsidRPr="00C93121">
              <w:t>At 12-18 months</w:t>
            </w:r>
          </w:p>
        </w:tc>
      </w:tr>
      <w:tr w:rsidR="005F70B2" w:rsidRPr="00C93121" w14:paraId="0220AF55" w14:textId="77777777" w:rsidTr="0061572F">
        <w:tc>
          <w:tcPr>
            <w:tcW w:w="355" w:type="dxa"/>
          </w:tcPr>
          <w:p w14:paraId="1B7DDB4E" w14:textId="77777777" w:rsidR="005F70B2" w:rsidRPr="00C93121" w:rsidRDefault="005F70B2" w:rsidP="0061572F">
            <w:pPr>
              <w:spacing w:line="276" w:lineRule="auto"/>
            </w:pPr>
          </w:p>
        </w:tc>
        <w:tc>
          <w:tcPr>
            <w:tcW w:w="2880" w:type="dxa"/>
          </w:tcPr>
          <w:p w14:paraId="4652F150" w14:textId="77777777" w:rsidR="005F70B2" w:rsidRPr="00C93121" w:rsidRDefault="005F70B2" w:rsidP="0061572F">
            <w:pPr>
              <w:spacing w:line="276" w:lineRule="auto"/>
            </w:pPr>
            <w:r w:rsidRPr="00C93121">
              <w:t>Colonoscopy frequency</w:t>
            </w:r>
          </w:p>
        </w:tc>
        <w:tc>
          <w:tcPr>
            <w:tcW w:w="1530" w:type="dxa"/>
          </w:tcPr>
          <w:p w14:paraId="770069D1" w14:textId="77777777" w:rsidR="005F70B2" w:rsidRPr="00C93121" w:rsidRDefault="005F70B2" w:rsidP="0061572F">
            <w:pPr>
              <w:spacing w:line="276" w:lineRule="auto"/>
            </w:pPr>
            <w:r w:rsidRPr="00C93121">
              <w:t>None</w:t>
            </w:r>
          </w:p>
        </w:tc>
        <w:tc>
          <w:tcPr>
            <w:tcW w:w="1440" w:type="dxa"/>
          </w:tcPr>
          <w:p w14:paraId="65E87C5F" w14:textId="77777777" w:rsidR="005F70B2" w:rsidRPr="00C93121" w:rsidRDefault="005F70B2" w:rsidP="0061572F">
            <w:pPr>
              <w:spacing w:line="276" w:lineRule="auto"/>
            </w:pPr>
            <w:r w:rsidRPr="00C93121">
              <w:t>At 2 years</w:t>
            </w:r>
          </w:p>
        </w:tc>
        <w:tc>
          <w:tcPr>
            <w:tcW w:w="1440" w:type="dxa"/>
          </w:tcPr>
          <w:p w14:paraId="22F835AF" w14:textId="77777777" w:rsidR="005F70B2" w:rsidRPr="00C93121" w:rsidRDefault="005F70B2" w:rsidP="0061572F">
            <w:pPr>
              <w:spacing w:line="276" w:lineRule="auto"/>
            </w:pPr>
            <w:r w:rsidRPr="00C93121">
              <w:t xml:space="preserve">At 2 years </w:t>
            </w:r>
          </w:p>
        </w:tc>
        <w:tc>
          <w:tcPr>
            <w:tcW w:w="1705" w:type="dxa"/>
          </w:tcPr>
          <w:p w14:paraId="27304701" w14:textId="77777777" w:rsidR="005F70B2" w:rsidRPr="00C93121" w:rsidRDefault="005F70B2" w:rsidP="0061572F">
            <w:pPr>
              <w:spacing w:line="276" w:lineRule="auto"/>
            </w:pPr>
            <w:r w:rsidRPr="00C93121">
              <w:t>None</w:t>
            </w:r>
          </w:p>
        </w:tc>
      </w:tr>
    </w:tbl>
    <w:p w14:paraId="3AF30BAC" w14:textId="77777777" w:rsidR="005F70B2" w:rsidRDefault="005F70B2" w:rsidP="005F70B2">
      <w:pPr>
        <w:spacing w:line="276" w:lineRule="auto"/>
        <w:rPr>
          <w:b/>
        </w:rPr>
      </w:pPr>
    </w:p>
    <w:p w14:paraId="19139D61" w14:textId="762231FA" w:rsidR="005F70B2" w:rsidRPr="00E1499D" w:rsidRDefault="005F70B2" w:rsidP="005F70B2">
      <w:pPr>
        <w:spacing w:line="360" w:lineRule="auto"/>
        <w:rPr>
          <w:noProof/>
        </w:rPr>
      </w:pPr>
      <w:r w:rsidRPr="00C93121">
        <w:rPr>
          <w:b/>
        </w:rPr>
        <w:t>Table 2 – Sample characteristics and surveillance regimens from FACS trial</w:t>
      </w:r>
      <w:r>
        <w:rPr>
          <w:b/>
        </w:rPr>
        <w:t xml:space="preserve"> colon cancer patients</w:t>
      </w:r>
      <w:r w:rsidR="00070D1D">
        <w:rPr>
          <w:b/>
        </w:rPr>
        <w:t xml:space="preserve">. </w:t>
      </w:r>
      <w:r w:rsidR="00070D1D">
        <w:t xml:space="preserve"> CEA = carcinoembryonic antigen; CT = computed tomography</w:t>
      </w:r>
    </w:p>
    <w:p w14:paraId="3D421E4D" w14:textId="77777777" w:rsidR="005F70B2" w:rsidRDefault="005F70B2" w:rsidP="009B3BAA">
      <w:pPr>
        <w:spacing w:line="360" w:lineRule="auto"/>
      </w:pPr>
    </w:p>
    <w:p w14:paraId="5115A32E" w14:textId="77777777" w:rsidR="005F70B2" w:rsidRDefault="005F70B2">
      <w:r>
        <w:br w:type="page"/>
      </w:r>
    </w:p>
    <w:p w14:paraId="64F0DDBA" w14:textId="20895F31" w:rsidR="00987D79" w:rsidRPr="00C93121" w:rsidRDefault="008C1D76" w:rsidP="009B3BAA">
      <w:pPr>
        <w:spacing w:line="360" w:lineRule="auto"/>
      </w:pPr>
      <w:r w:rsidRPr="00C93121">
        <w:lastRenderedPageBreak/>
        <w:t>APPENDIX 1</w:t>
      </w:r>
      <w:r w:rsidR="00683335" w:rsidRPr="00C93121">
        <w:t xml:space="preserve"> – Detailed</w:t>
      </w:r>
      <w:r w:rsidR="005E48A6" w:rsidRPr="00C93121">
        <w:t xml:space="preserve"> description of disease progression submodel</w:t>
      </w:r>
    </w:p>
    <w:p w14:paraId="07770D21" w14:textId="77777777" w:rsidR="008C1D76" w:rsidRPr="00C93121" w:rsidRDefault="008C1D76" w:rsidP="009B3BAA">
      <w:pPr>
        <w:spacing w:line="360" w:lineRule="auto"/>
        <w:rPr>
          <w:b/>
        </w:rPr>
      </w:pPr>
      <w:r w:rsidRPr="00C93121">
        <w:rPr>
          <w:b/>
        </w:rPr>
        <w:t>1</w:t>
      </w:r>
      <w:r w:rsidR="00BE08C4" w:rsidRPr="00C93121">
        <w:rPr>
          <w:b/>
        </w:rPr>
        <w:t>.</w:t>
      </w:r>
      <w:r w:rsidRPr="00C93121">
        <w:rPr>
          <w:b/>
        </w:rPr>
        <w:t xml:space="preserve"> Multi-state Markov models</w:t>
      </w:r>
    </w:p>
    <w:p w14:paraId="7D3F5552" w14:textId="7E7CC794" w:rsidR="008C1D76" w:rsidRPr="00C93121" w:rsidRDefault="008C1D76" w:rsidP="009B3BAA">
      <w:pPr>
        <w:spacing w:line="360" w:lineRule="auto"/>
      </w:pPr>
      <w:r w:rsidRPr="00C93121">
        <w:t xml:space="preserve">We use a multi-state </w:t>
      </w:r>
      <w:r w:rsidR="00545175" w:rsidRPr="00C93121">
        <w:t xml:space="preserve">non-homogenous </w:t>
      </w:r>
      <w:r w:rsidRPr="00C93121">
        <w:t>Markov model</w:t>
      </w:r>
      <w:r w:rsidR="008E0AE5" w:rsidRPr="00C93121">
        <w:t xml:space="preserve"> to model</w:t>
      </w:r>
      <w:r w:rsidRPr="00C93121">
        <w:t xml:space="preserve"> underlying disease progression; this type of model has been used </w:t>
      </w:r>
      <w:r w:rsidR="008E0AE5" w:rsidRPr="00C93121">
        <w:t>previously</w:t>
      </w:r>
      <w:r w:rsidRPr="00C93121">
        <w:t xml:space="preserve"> to model the progression of cancer and other chronic illnesses for which transitions between disease </w:t>
      </w:r>
      <w:r w:rsidR="000E5DA1" w:rsidRPr="00C93121">
        <w:t>states cannot be</w:t>
      </w:r>
      <w:r w:rsidRPr="00C93121">
        <w:t xml:space="preserve"> observed </w:t>
      </w:r>
      <w:r w:rsidR="000E5DA1" w:rsidRPr="00C93121">
        <w:t>direc</w:t>
      </w:r>
      <w:r w:rsidRPr="00C93121">
        <w:t>tly</w:t>
      </w:r>
      <w:r w:rsidR="00C93A05">
        <w:t>.</w:t>
      </w:r>
      <w:r w:rsidR="00C93A05">
        <w:fldChar w:fldCharType="begin" w:fldLock="1"/>
      </w:r>
      <w:r w:rsidR="00C82D09">
        <w:instrText>ADDIN CSL_CITATION { "citationItems" : [ { "id" : "ITEM-1", "itemData" : { "author" : [ { "dropping-particle" : "", "family" : "Uhry", "given" : "Z", "non-dropping-particle" : "", "parse-names" : false, "suffix" : "" }, { "dropping-particle" : "", "family" : "Hedelin", "given" : "G", "non-dropping-particle" : "", "parse-names" : false, "suffix" : "" }, { "dropping-particle" : "", "family" : "Colonna", "given" : "M", "non-dropping-particle" : "", "parse-names" : false, "suffix" : "" }, { "dropping-particle" : "", "family" : "Asselain", "given" : "B", "non-dropping-particle" : "", "parse-names" : false, "suffix" : "" }, { "dropping-particle" : "", "family" : "Arveux", "given" : "P", "non-dropping-particle" : "", "parse-names" : false, "suffix" : "" }, { "dropping-particle" : "", "family" : "Rogel", "given" : "A", "non-dropping-particle" : "", "parse-names" : false, "suffix" : "" }, { "dropping-particle" : "", "family" : "Exbrayat", "given" : "C", "non-dropping-particle" : "", "parse-names" : false, "suffix" : "" }, { "dropping-particle" : "", "family" : "Guldenfels", "given" : "C", "non-dropping-particle" : "", "parse-names" : false, "suffix" : "" }, { "dropping-particle" : "", "family" : "Courtial", "given" : "I", "non-dropping-particle" : "", "parse-names" : false, "suffix" : "" }, { "dropping-particle" : "", "family" : "Soler-Michel", "given" : "P", "non-dropping-particle" : "", "parse-names" : false, "suffix" : "" }, { "dropping-particle" : "", "family" : "Molinie", "given" : "F", "non-dropping-particle" : "", "parse-names" : false, "suffix" : "" }, { "dropping-particle" : "", "family" : "Elistein", "given" : "D", "non-dropping-particle" : "", "parse-names" : false, "suffix" : "" }, { "dropping-particle" : "", "family" : "Duffy", "given" : "SW", "non-dropping-particle" : "", "parse-names" : false, "suffix" : "" } ], "container-title" : "Statistical Methods in Medical Research", "id" : "ITEM-1", "issue" : "5", "issued" : { "date-parts" : [ [ "2010" ] ] }, "page" : "463-486", "title" : "Multi-state Markov models in cancer screening evaluation: a brief review and case study", "type" : "article-journal", "volume" : "19" }, "uris" : [ "http://www.mendeley.com/documents/?uuid=4daef2e6-7c60-42ab-9845-1e2a00731a48" ] }, { "id" : "ITEM-2", "itemData" : { "author" : [ { "dropping-particle" : "", "family" : "Jackson", "given" : "Christopher H", "non-dropping-particle" : "", "parse-names" : false, "suffix" : "" }, { "dropping-particle" : "", "family" : "Sharples", "given" : "Linda D", "non-dropping-particle" : "", "parse-names" : false, "suffix" : "" }, { "dropping-particle" : "", "family" : "Thompson", "given" : "Simon G", "non-dropping-particle" : "", "parse-names" : false, "suffix" : "" }, { "dropping-particle" : "", "family" : "Duffy", "given" : "Stephen W", "non-dropping-particle" : "", "parse-names" : false, "suffix" : "" } ], "container-title" : "The Statistician", "id" : "ITEM-2", "issue" : "2", "issued" : { "date-parts" : [ [ "2003" ] ] }, "page" : "193-209", "title" : "Multistate Markov models for disease progression with classification error", "type" : "article-journal", "volume" : "52" }, "uris" : [ "http://www.mendeley.com/documents/?uuid=e14bf853-3b9a-447e-a689-b830f5c56c05" ] }, { "id" : "ITEM-3", "itemData" : { "author" : [ { "dropping-particle" : "", "family" : "Chen", "given" : "HH", "non-dropping-particle" : "", "parse-names" : false, "suffix" : "" }, { "dropping-particle" : "", "family" : "Duffy", "given" : "SW", "non-dropping-particle" : "", "parse-names" : false, "suffix" : "" }, { "dropping-particle" : "", "family" : "Tabar", "given" : "Laszlo", "non-dropping-particle" : "", "parse-names" : false, "suffix" : "" } ], "container-title" : "The Statistician", "id" : "ITEM-3", "issue" : "3", "issued" : { "date-parts" : [ [ "1996" ] ] }, "page" : "307-317", "title" : "A Markov chain method to estimate the tumor progression rate from preclinical to clinical phase, sensitivity and postiive predictive value for mammography in breast cancer screening", "type" : "article-journal", "volume" : "45" }, "uris" : [ "http://www.mendeley.com/documents/?uuid=fb73d9e1-5221-46e5-a1c4-773490dfdc0c" ] }, { "id" : "ITEM-4", "itemData" : { "author" : [ { "dropping-particle" : "", "family" : "Putter", "given" : "Hein", "non-dropping-particle" : "", "parse-names" : false, "suffix" : "" }, { "dropping-particle" : "", "family" : "Hage", "given" : "Jos", "non-dropping-particle" : "van der", "parse-names" : false, "suffix" : "" }, { "dropping-particle" : "", "family" : "Bock", "given" : "Geertruida H.", "non-dropping-particle" : "de", "parse-names" : false, "suffix" : "" }, { "dropping-particle" : "", "family" : "Elgalta", "given" : "Rachid", "non-dropping-particle" : "", "parse-names" : false, "suffix" : "" }, { "dropping-particle" : "", "family" : "Velde", "given" : "Cornelis J. H.", "non-dropping-particle" : "van de", "parse-names" : false, "suffix" : "" } ], "container-title" : "Biometrical Journal", "id" : "ITEM-4", "issue" : "3", "issued" : { "date-parts" : [ [ "2006" ] ] }, "page" : "366-380", "title" : "Estimation and Prediction in a Multi-State Model for Breast Cancer", "type" : "article-journal", "volume" : "48" }, "uris" : [ "http://www.mendeley.com/documents/?uuid=cffd7135-22d8-4e87-bca3-7980ce12f9b5" ] }, { "id" : "ITEM-5", "itemData" : { "author" : [ { "dropping-particle" : "", "family" : "Dancourt", "given" : "V", "non-dropping-particle" : "", "parse-names" : false, "suffix" : "" }, { "dropping-particle" : "", "family" : "Quantin", "given" : "C", "non-dropping-particle" : "", "parse-names" : false, "suffix" : "" }, { "dropping-particle" : "", "family" : "Abrahamowicz", "given" : "M", "non-dropping-particle" : "", "parse-names" : false, "suffix" : "" }, { "dropping-particle" : "", "family" : "Binquet", "given" : "C", "non-dropping-particle" : "", "parse-names" : false, "suffix" : "" }, { "dropping-particle" : "", "family" : "Alioum", "given" : "A", "non-dropping-particle" : "", "parse-names" : false, "suffix" : "" }, { "dropping-particle" : "", "family" : "Faivre", "given" : "J", "non-dropping-particle" : "", "parse-names" : false, "suffix" : "" } ], "container-title" : "Journal of Clinical Epidemiology", "id" : "ITEM-5", "issued" : { "date-parts" : [ [ "2004" ] ] }, "page" : "243-251", "title" : "Modeling recurrence in colorectal cancer", "type" : "article-journal", "volume" : "57" }, "uris" : [ "http://www.mendeley.com/documents/?uuid=aca697fc-3600-4eb0-beab-7b1a09112a56" ] } ], "mendeley" : { "formattedCitation" : "[32\u201336]", "plainTextFormattedCitation" : "[32\u201336]", "previouslyFormattedCitation" : "[32\u201336]" }, "properties" : { "noteIndex" : 0 }, "schema" : "https://github.com/citation-style-language/schema/raw/master/csl-citation.json" }</w:instrText>
      </w:r>
      <w:r w:rsidR="00C93A05">
        <w:fldChar w:fldCharType="separate"/>
      </w:r>
      <w:r w:rsidR="00C82D09" w:rsidRPr="00C82D09">
        <w:rPr>
          <w:noProof/>
        </w:rPr>
        <w:t>[32–36]</w:t>
      </w:r>
      <w:r w:rsidR="00C93A05">
        <w:fldChar w:fldCharType="end"/>
      </w:r>
      <w:r w:rsidRPr="00C93121">
        <w:t xml:space="preserve"> Let </w:t>
      </w:r>
      <m:oMath>
        <m:r>
          <w:rPr>
            <w:rFonts w:ascii="Cambria Math" w:hAnsi="Cambria Math"/>
          </w:rPr>
          <m:t>X</m:t>
        </m:r>
        <m:d>
          <m:dPr>
            <m:ctrlPr>
              <w:rPr>
                <w:rFonts w:ascii="Cambria Math" w:hAnsi="Cambria Math"/>
                <w:i/>
              </w:rPr>
            </m:ctrlPr>
          </m:dPr>
          <m:e>
            <m:r>
              <w:rPr>
                <w:rFonts w:ascii="Cambria Math" w:hAnsi="Cambria Math"/>
              </w:rPr>
              <m:t>t</m:t>
            </m:r>
          </m:e>
        </m:d>
      </m:oMath>
      <w:r w:rsidRPr="00C93121">
        <w:t xml:space="preserve"> be a continuous time Markov process which can take on </w:t>
      </w:r>
      <m:oMath>
        <m:r>
          <w:rPr>
            <w:rFonts w:ascii="Cambria Math" w:hAnsi="Cambria Math"/>
          </w:rPr>
          <m:t>n</m:t>
        </m:r>
      </m:oMath>
      <w:r w:rsidRPr="00C93121">
        <w:t xml:space="preserve"> progressively severe states, denoted </w:t>
      </w:r>
      <w:r w:rsidR="005C528E" w:rsidRPr="00C93121">
        <w:t>by</w:t>
      </w:r>
      <m:oMath>
        <m:d>
          <m:dPr>
            <m:begChr m:val="{"/>
            <m:endChr m:val="}"/>
            <m:ctrlPr>
              <w:rPr>
                <w:rFonts w:ascii="Cambria Math" w:hAnsi="Cambria Math"/>
                <w:i/>
              </w:rPr>
            </m:ctrlPr>
          </m:dPr>
          <m:e>
            <m:r>
              <w:rPr>
                <w:rFonts w:ascii="Cambria Math" w:hAnsi="Cambria Math"/>
              </w:rPr>
              <m:t>1,2, …n</m:t>
            </m:r>
          </m:e>
        </m:d>
      </m:oMath>
      <w:r w:rsidRPr="00C93121">
        <w:t xml:space="preserve">, with </w:t>
      </w:r>
      <m:oMath>
        <m:r>
          <w:rPr>
            <w:rFonts w:ascii="Cambria Math" w:hAnsi="Cambria Math"/>
          </w:rPr>
          <m:t>n</m:t>
        </m:r>
      </m:oMath>
      <w:r w:rsidRPr="00C93121">
        <w:t xml:space="preserve"> being an absorbing state. For any two states </w:t>
      </w:r>
      <m:oMath>
        <m:r>
          <w:rPr>
            <w:rFonts w:ascii="Cambria Math" w:hAnsi="Cambria Math"/>
          </w:rPr>
          <m:t>i</m:t>
        </m:r>
      </m:oMath>
      <w:r w:rsidRPr="00C93121">
        <w:t xml:space="preserve"> and </w:t>
      </w:r>
      <m:oMath>
        <m:r>
          <w:rPr>
            <w:rFonts w:ascii="Cambria Math" w:hAnsi="Cambria Math"/>
          </w:rPr>
          <m:t>j</m:t>
        </m:r>
      </m:oMath>
      <w:r w:rsidRPr="00C93121">
        <w:t xml:space="preserve"> such </w:t>
      </w:r>
      <w:r w:rsidR="005C528E" w:rsidRPr="00C93121">
        <w:t>that</w:t>
      </w:r>
      <m:oMath>
        <m:r>
          <w:rPr>
            <w:rFonts w:ascii="Cambria Math" w:hAnsi="Cambria Math"/>
          </w:rPr>
          <m:t>i≠j</m:t>
        </m:r>
      </m:oMath>
      <w:r w:rsidRPr="00C93121">
        <w:t xml:space="preserve">, the transition intensity </w:t>
      </w:r>
      <m:oMath>
        <m:sSub>
          <m:sSubPr>
            <m:ctrlPr>
              <w:rPr>
                <w:rFonts w:ascii="Cambria Math" w:hAnsi="Cambria Math"/>
                <w:i/>
              </w:rPr>
            </m:ctrlPr>
          </m:sSubPr>
          <m:e>
            <m:r>
              <w:rPr>
                <w:rFonts w:ascii="Cambria Math" w:hAnsi="Cambria Math"/>
              </w:rPr>
              <m:t>λ</m:t>
            </m:r>
          </m:e>
          <m:sub>
            <m:r>
              <w:rPr>
                <w:rFonts w:ascii="Cambria Math" w:hAnsi="Cambria Math"/>
              </w:rPr>
              <m:t>ij</m:t>
            </m:r>
          </m:sub>
        </m:sSub>
        <m:d>
          <m:dPr>
            <m:ctrlPr>
              <w:rPr>
                <w:rFonts w:ascii="Cambria Math" w:hAnsi="Cambria Math"/>
                <w:i/>
              </w:rPr>
            </m:ctrlPr>
          </m:dPr>
          <m:e>
            <m:r>
              <w:rPr>
                <w:rFonts w:ascii="Cambria Math" w:hAnsi="Cambria Math"/>
              </w:rPr>
              <m:t>t</m:t>
            </m:r>
          </m:e>
        </m:d>
      </m:oMath>
      <w:r w:rsidRPr="00C93121">
        <w:t xml:space="preserve"> is the rate at which transitions occur from state </w:t>
      </w:r>
      <m:oMath>
        <m:r>
          <w:rPr>
            <w:rFonts w:ascii="Cambria Math" w:hAnsi="Cambria Math"/>
          </w:rPr>
          <m:t>i</m:t>
        </m:r>
      </m:oMath>
      <w:r w:rsidRPr="00C93121">
        <w:t xml:space="preserve"> to state </w:t>
      </w:r>
      <m:oMath>
        <m:r>
          <w:rPr>
            <w:rFonts w:ascii="Cambria Math" w:hAnsi="Cambria Math"/>
          </w:rPr>
          <m:t>j</m:t>
        </m:r>
      </m:oMath>
      <w:r w:rsidRPr="00C93121">
        <w:t xml:space="preserve"> at time </w:t>
      </w:r>
      <m:oMath>
        <m:r>
          <w:rPr>
            <w:rFonts w:ascii="Cambria Math" w:hAnsi="Cambria Math"/>
          </w:rPr>
          <m:t>t</m:t>
        </m:r>
      </m:oMath>
      <w:r w:rsidRPr="00C93121">
        <w:t xml:space="preserve">, that is, </w:t>
      </w:r>
    </w:p>
    <w:p w14:paraId="01B91CAF" w14:textId="77777777" w:rsidR="008C1D76" w:rsidRPr="00C93121" w:rsidRDefault="008C1D76" w:rsidP="009B3BAA">
      <w:pPr>
        <w:spacing w:line="360" w:lineRule="auto"/>
      </w:pPr>
    </w:p>
    <w:p w14:paraId="358E1CA6" w14:textId="77777777" w:rsidR="008C1D76" w:rsidRPr="00C93121" w:rsidRDefault="005E148A" w:rsidP="009B3BAA">
      <w:pPr>
        <w:spacing w:line="360" w:lineRule="auto"/>
      </w:pPr>
      <m:oMathPara>
        <m:oMath>
          <m:sSub>
            <m:sSubPr>
              <m:ctrlPr>
                <w:rPr>
                  <w:rFonts w:ascii="Cambria Math" w:hAnsi="Cambria Math"/>
                  <w:i/>
                </w:rPr>
              </m:ctrlPr>
            </m:sSubPr>
            <m:e>
              <m:r>
                <w:rPr>
                  <w:rFonts w:ascii="Cambria Math" w:hAnsi="Cambria Math"/>
                </w:rPr>
                <m:t>λ</m:t>
              </m:r>
            </m:e>
            <m:sub>
              <m:r>
                <w:rPr>
                  <w:rFonts w:ascii="Cambria Math" w:hAnsi="Cambria Math"/>
                </w:rPr>
                <m:t>ij</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lim</m:t>
              </m:r>
            </m:e>
            <m:sub>
              <m:r>
                <w:rPr>
                  <w:rFonts w:ascii="Cambria Math" w:hAnsi="Cambria Math"/>
                </w:rPr>
                <m:t>h→0</m:t>
              </m:r>
            </m:sub>
          </m:sSub>
          <m:f>
            <m:fPr>
              <m:ctrlPr>
                <w:rPr>
                  <w:rFonts w:ascii="Cambria Math" w:hAnsi="Cambria Math"/>
                  <w:i/>
                </w:rPr>
              </m:ctrlPr>
            </m:fPr>
            <m:num>
              <m:r>
                <w:rPr>
                  <w:rFonts w:ascii="Cambria Math" w:hAnsi="Cambria Math"/>
                </w:rPr>
                <m:t>P</m:t>
              </m:r>
              <m:d>
                <m:dPr>
                  <m:endChr m:val="|"/>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t+h</m:t>
                      </m:r>
                    </m:e>
                  </m:d>
                  <m:r>
                    <w:rPr>
                      <w:rFonts w:ascii="Cambria Math" w:hAnsi="Cambria Math"/>
                    </w:rPr>
                    <m:t xml:space="preserve">=j </m:t>
                  </m:r>
                </m:e>
              </m:d>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=i)</m:t>
              </m:r>
            </m:num>
            <m:den>
              <m:r>
                <w:rPr>
                  <w:rFonts w:ascii="Cambria Math" w:hAnsi="Cambria Math"/>
                </w:rPr>
                <m:t>h</m:t>
              </m:r>
            </m:den>
          </m:f>
          <m:r>
            <w:rPr>
              <w:rFonts w:ascii="Cambria Math" w:hAnsi="Cambria Math"/>
            </w:rPr>
            <m:t>.</m:t>
          </m:r>
        </m:oMath>
      </m:oMathPara>
    </w:p>
    <w:p w14:paraId="27EDD331" w14:textId="77777777" w:rsidR="008C1D76" w:rsidRPr="00C93121" w:rsidRDefault="008C1D76" w:rsidP="009B3BAA">
      <w:pPr>
        <w:spacing w:line="360" w:lineRule="auto"/>
      </w:pPr>
    </w:p>
    <w:p w14:paraId="69CBC2D5" w14:textId="77777777" w:rsidR="008C1D76" w:rsidRPr="00C93121" w:rsidRDefault="008C1D76" w:rsidP="009B3BAA">
      <w:pPr>
        <w:spacing w:line="360" w:lineRule="auto"/>
      </w:pPr>
      <w:r w:rsidRPr="00C93121">
        <w:t xml:space="preserve">The function </w:t>
      </w:r>
      <m:oMath>
        <m:sSub>
          <m:sSubPr>
            <m:ctrlPr>
              <w:rPr>
                <w:rFonts w:ascii="Cambria Math" w:hAnsi="Cambria Math"/>
                <w:i/>
              </w:rPr>
            </m:ctrlPr>
          </m:sSubPr>
          <m:e>
            <m:r>
              <w:rPr>
                <w:rFonts w:ascii="Cambria Math" w:hAnsi="Cambria Math"/>
              </w:rPr>
              <m:t>λ</m:t>
            </m:r>
          </m:e>
          <m:sub>
            <m:r>
              <w:rPr>
                <w:rFonts w:ascii="Cambria Math" w:hAnsi="Cambria Math"/>
              </w:rPr>
              <m:t>ij</m:t>
            </m:r>
          </m:sub>
        </m:sSub>
        <m:d>
          <m:dPr>
            <m:ctrlPr>
              <w:rPr>
                <w:rFonts w:ascii="Cambria Math" w:hAnsi="Cambria Math"/>
                <w:i/>
              </w:rPr>
            </m:ctrlPr>
          </m:dPr>
          <m:e>
            <m:r>
              <w:rPr>
                <w:rFonts w:ascii="Cambria Math" w:hAnsi="Cambria Math"/>
              </w:rPr>
              <m:t>t</m:t>
            </m:r>
          </m:e>
        </m:d>
      </m:oMath>
      <w:r w:rsidRPr="00C93121">
        <w:t xml:space="preserve"> can also be thought of as the hazard of transitioning from state </w:t>
      </w:r>
      <m:oMath>
        <m:r>
          <w:rPr>
            <w:rFonts w:ascii="Cambria Math" w:hAnsi="Cambria Math"/>
          </w:rPr>
          <m:t>i</m:t>
        </m:r>
      </m:oMath>
      <w:r w:rsidRPr="00C93121">
        <w:t xml:space="preserve"> to state </w:t>
      </w:r>
      <m:oMath>
        <m:r>
          <w:rPr>
            <w:rFonts w:ascii="Cambria Math" w:hAnsi="Cambria Math"/>
          </w:rPr>
          <m:t>j</m:t>
        </m:r>
      </m:oMath>
      <w:r w:rsidRPr="00C93121">
        <w:t xml:space="preserve"> at time </w:t>
      </w:r>
      <m:oMath>
        <m:r>
          <w:rPr>
            <w:rFonts w:ascii="Cambria Math" w:hAnsi="Cambria Math"/>
          </w:rPr>
          <m:t>t</m:t>
        </m:r>
      </m:oMath>
      <w:r w:rsidRPr="00C93121">
        <w:t xml:space="preserve">. Note further that if </w:t>
      </w:r>
      <m:oMath>
        <m:r>
          <w:rPr>
            <w:rFonts w:ascii="Cambria Math" w:hAnsi="Cambria Math"/>
          </w:rPr>
          <m:t>i=j</m:t>
        </m:r>
      </m:oMath>
      <w:r w:rsidRPr="00C93121">
        <w:t xml:space="preserve">, then </w:t>
      </w:r>
    </w:p>
    <w:p w14:paraId="48FE62E2" w14:textId="77777777" w:rsidR="008C1D76" w:rsidRPr="00C93121" w:rsidRDefault="005E148A" w:rsidP="009B3BAA">
      <w:pPr>
        <w:spacing w:line="360" w:lineRule="auto"/>
      </w:pPr>
      <m:oMathPara>
        <m:oMath>
          <m:sSub>
            <m:sSubPr>
              <m:ctrlPr>
                <w:rPr>
                  <w:rFonts w:ascii="Cambria Math" w:hAnsi="Cambria Math"/>
                  <w:i/>
                </w:rPr>
              </m:ctrlPr>
            </m:sSubPr>
            <m:e>
              <m:r>
                <w:rPr>
                  <w:rFonts w:ascii="Cambria Math" w:hAnsi="Cambria Math"/>
                </w:rPr>
                <m:t>λ</m:t>
              </m:r>
            </m:e>
            <m:sub>
              <m:r>
                <w:rPr>
                  <w:rFonts w:ascii="Cambria Math" w:hAnsi="Cambria Math"/>
                </w:rPr>
                <m:t>ii</m:t>
              </m:r>
            </m:sub>
          </m:sSub>
          <m:d>
            <m:dPr>
              <m:ctrlPr>
                <w:rPr>
                  <w:rFonts w:ascii="Cambria Math" w:hAnsi="Cambria Math"/>
                  <w:i/>
                </w:rPr>
              </m:ctrlPr>
            </m:dPr>
            <m:e>
              <m:r>
                <w:rPr>
                  <w:rFonts w:ascii="Cambria Math" w:hAnsi="Cambria Math"/>
                </w:rPr>
                <m:t>t</m:t>
              </m:r>
            </m:e>
          </m:d>
          <m:r>
            <w:rPr>
              <w:rFonts w:ascii="Cambria Math" w:hAnsi="Cambria Math"/>
            </w:rPr>
            <m:t>= -</m:t>
          </m:r>
          <m:nary>
            <m:naryPr>
              <m:chr m:val="∑"/>
              <m:limLoc m:val="undOvr"/>
              <m:ctrlPr>
                <w:rPr>
                  <w:rFonts w:ascii="Cambria Math" w:hAnsi="Cambria Math"/>
                  <w:i/>
                </w:rPr>
              </m:ctrlPr>
            </m:naryPr>
            <m:sub>
              <m:eqArr>
                <m:eqArrPr>
                  <m:ctrlPr>
                    <w:rPr>
                      <w:rFonts w:ascii="Cambria Math" w:hAnsi="Cambria Math"/>
                      <w:i/>
                    </w:rPr>
                  </m:ctrlPr>
                </m:eqArrPr>
                <m:e>
                  <m:r>
                    <w:rPr>
                      <w:rFonts w:ascii="Cambria Math" w:hAnsi="Cambria Math"/>
                    </w:rPr>
                    <m:t>j=1</m:t>
                  </m:r>
                </m:e>
                <m:e>
                  <m:r>
                    <w:rPr>
                      <w:rFonts w:ascii="Cambria Math" w:hAnsi="Cambria Math"/>
                    </w:rPr>
                    <m:t>i≠j</m:t>
                  </m:r>
                </m:e>
              </m:eqArr>
            </m:sub>
            <m:sup>
              <m:r>
                <w:rPr>
                  <w:rFonts w:ascii="Cambria Math" w:hAnsi="Cambria Math"/>
                </w:rPr>
                <m:t>n</m:t>
              </m:r>
            </m:sup>
            <m:e>
              <m:sSub>
                <m:sSubPr>
                  <m:ctrlPr>
                    <w:rPr>
                      <w:rFonts w:ascii="Cambria Math" w:hAnsi="Cambria Math"/>
                      <w:i/>
                    </w:rPr>
                  </m:ctrlPr>
                </m:sSubPr>
                <m:e>
                  <m:r>
                    <w:rPr>
                      <w:rFonts w:ascii="Cambria Math" w:hAnsi="Cambria Math"/>
                    </w:rPr>
                    <m:t>λ</m:t>
                  </m:r>
                </m:e>
                <m:sub>
                  <m:r>
                    <w:rPr>
                      <w:rFonts w:ascii="Cambria Math" w:hAnsi="Cambria Math"/>
                    </w:rPr>
                    <m:t>ij</m:t>
                  </m:r>
                </m:sub>
              </m:sSub>
              <m:d>
                <m:dPr>
                  <m:ctrlPr>
                    <w:rPr>
                      <w:rFonts w:ascii="Cambria Math" w:hAnsi="Cambria Math"/>
                      <w:i/>
                    </w:rPr>
                  </m:ctrlPr>
                </m:dPr>
                <m:e>
                  <m:r>
                    <w:rPr>
                      <w:rFonts w:ascii="Cambria Math" w:hAnsi="Cambria Math"/>
                    </w:rPr>
                    <m:t>t</m:t>
                  </m:r>
                </m:e>
              </m:d>
            </m:e>
          </m:nary>
          <m:r>
            <w:rPr>
              <w:rFonts w:ascii="Cambria Math" w:hAnsi="Cambria Math"/>
            </w:rPr>
            <m:t>.</m:t>
          </m:r>
        </m:oMath>
      </m:oMathPara>
    </w:p>
    <w:p w14:paraId="62245B74" w14:textId="77777777" w:rsidR="008C1D76" w:rsidRPr="00C93121" w:rsidRDefault="008C1D76" w:rsidP="009B3BAA">
      <w:pPr>
        <w:spacing w:line="360" w:lineRule="auto"/>
      </w:pPr>
    </w:p>
    <w:p w14:paraId="27D56BCD" w14:textId="77777777" w:rsidR="008C1D76" w:rsidRPr="00C93121" w:rsidRDefault="008C1D76" w:rsidP="009B3BAA">
      <w:pPr>
        <w:spacing w:line="360" w:lineRule="auto"/>
      </w:pPr>
      <w:r w:rsidRPr="00C93121">
        <w:t xml:space="preserve">Although frequently it is assumed that the hazard rates </w:t>
      </w:r>
      <m:oMath>
        <m:sSub>
          <m:sSubPr>
            <m:ctrlPr>
              <w:rPr>
                <w:rFonts w:ascii="Cambria Math" w:hAnsi="Cambria Math"/>
                <w:i/>
              </w:rPr>
            </m:ctrlPr>
          </m:sSubPr>
          <m:e>
            <m:r>
              <w:rPr>
                <w:rFonts w:ascii="Cambria Math" w:hAnsi="Cambria Math"/>
              </w:rPr>
              <m:t>λ</m:t>
            </m:r>
          </m:e>
          <m:sub>
            <m:r>
              <w:rPr>
                <w:rFonts w:ascii="Cambria Math" w:hAnsi="Cambria Math"/>
              </w:rPr>
              <m:t>ij</m:t>
            </m:r>
          </m:sub>
        </m:sSub>
        <m:d>
          <m:dPr>
            <m:ctrlPr>
              <w:rPr>
                <w:rFonts w:ascii="Cambria Math" w:hAnsi="Cambria Math"/>
                <w:i/>
              </w:rPr>
            </m:ctrlPr>
          </m:dPr>
          <m:e>
            <m:r>
              <w:rPr>
                <w:rFonts w:ascii="Cambria Math" w:hAnsi="Cambria Math"/>
              </w:rPr>
              <m:t>t</m:t>
            </m:r>
          </m:e>
        </m:d>
      </m:oMath>
      <w:r w:rsidRPr="00C93121">
        <w:t xml:space="preserve"> are constant with respect to ti</w:t>
      </w:r>
      <w:r w:rsidR="000E5DA1" w:rsidRPr="00C93121">
        <w:t>me, in this model</w:t>
      </w:r>
      <w:r w:rsidRPr="00C93121">
        <w:t xml:space="preserve">, we make use of a non-homogenous Markov process, assuming that some of the transition intensities vary with time. Furthermore, </w:t>
      </w:r>
      <w:r w:rsidR="000E5DA1" w:rsidRPr="00C93121">
        <w:t xml:space="preserve">we </w:t>
      </w:r>
      <w:r w:rsidRPr="00C93121">
        <w:t>define the transition probabilities for this process by</w:t>
      </w:r>
    </w:p>
    <w:p w14:paraId="41955836" w14:textId="77777777" w:rsidR="008C1D76" w:rsidRPr="00C93121" w:rsidRDefault="008C1D76" w:rsidP="009B3BAA">
      <w:pPr>
        <w:spacing w:line="360" w:lineRule="auto"/>
      </w:pPr>
    </w:p>
    <w:p w14:paraId="1965E710" w14:textId="77777777" w:rsidR="008C1D76" w:rsidRPr="00C93121" w:rsidRDefault="005E148A" w:rsidP="009B3BAA">
      <w:pPr>
        <w:spacing w:line="360" w:lineRule="auto"/>
        <w:jc w:val="center"/>
      </w:pPr>
      <m:oMath>
        <m:sSub>
          <m:sSubPr>
            <m:ctrlPr>
              <w:rPr>
                <w:rFonts w:ascii="Cambria Math" w:hAnsi="Cambria Math"/>
                <w:i/>
              </w:rPr>
            </m:ctrlPr>
          </m:sSubPr>
          <m:e>
            <m:r>
              <w:rPr>
                <w:rFonts w:ascii="Cambria Math" w:hAnsi="Cambria Math"/>
              </w:rPr>
              <m:t>p</m:t>
            </m:r>
          </m:e>
          <m:sub>
            <m:r>
              <w:rPr>
                <w:rFonts w:ascii="Cambria Math" w:hAnsi="Cambria Math"/>
              </w:rPr>
              <m:t>ij</m:t>
            </m:r>
          </m:sub>
        </m:sSub>
        <m:d>
          <m:dPr>
            <m:ctrlPr>
              <w:rPr>
                <w:rFonts w:ascii="Cambria Math" w:hAnsi="Cambria Math"/>
                <w:i/>
              </w:rPr>
            </m:ctrlPr>
          </m:dPr>
          <m:e>
            <m:r>
              <w:rPr>
                <w:rFonts w:ascii="Cambria Math" w:hAnsi="Cambria Math"/>
              </w:rPr>
              <m:t>s,t</m:t>
            </m:r>
          </m:e>
        </m:d>
        <m:r>
          <w:rPr>
            <w:rFonts w:ascii="Cambria Math" w:hAnsi="Cambria Math"/>
          </w:rPr>
          <m:t xml:space="preserve">=P </m:t>
        </m:r>
        <m:d>
          <m:dPr>
            <m:endChr m:val="|"/>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=j </m:t>
            </m:r>
          </m:e>
        </m:d>
        <m:r>
          <w:rPr>
            <w:rFonts w:ascii="Cambria Math" w:hAnsi="Cambria Math"/>
          </w:rPr>
          <m:t xml:space="preserve"> X</m:t>
        </m:r>
        <m:d>
          <m:dPr>
            <m:ctrlPr>
              <w:rPr>
                <w:rFonts w:ascii="Cambria Math" w:hAnsi="Cambria Math"/>
                <w:i/>
              </w:rPr>
            </m:ctrlPr>
          </m:dPr>
          <m:e>
            <m:r>
              <w:rPr>
                <w:rFonts w:ascii="Cambria Math" w:hAnsi="Cambria Math"/>
              </w:rPr>
              <m:t>s</m:t>
            </m:r>
          </m:e>
        </m:d>
        <m:r>
          <w:rPr>
            <w:rFonts w:ascii="Cambria Math" w:hAnsi="Cambria Math"/>
          </w:rPr>
          <m:t>= i)</m:t>
        </m:r>
      </m:oMath>
      <w:r w:rsidR="008C1D76" w:rsidRPr="00C93121">
        <w:t>,</w:t>
      </w:r>
    </w:p>
    <w:p w14:paraId="755E0350" w14:textId="77777777" w:rsidR="008C1D76" w:rsidRPr="00C93121" w:rsidRDefault="008C1D76" w:rsidP="009B3BAA">
      <w:pPr>
        <w:spacing w:line="360" w:lineRule="auto"/>
        <w:jc w:val="center"/>
      </w:pPr>
    </w:p>
    <w:p w14:paraId="32B1FE3D" w14:textId="59CDF2EB" w:rsidR="008C1D76" w:rsidRPr="00C93121" w:rsidRDefault="008C1D76" w:rsidP="009B3BAA">
      <w:pPr>
        <w:spacing w:line="360" w:lineRule="auto"/>
      </w:pPr>
      <w:r w:rsidRPr="00C93121">
        <w:t xml:space="preserve">for any two states </w:t>
      </w:r>
      <w:r w:rsidRPr="00C93121">
        <w:rPr>
          <w:i/>
        </w:rPr>
        <w:t>i</w:t>
      </w:r>
      <w:r w:rsidRPr="00C93121">
        <w:t xml:space="preserve"> and </w:t>
      </w:r>
      <w:r w:rsidRPr="00C93121">
        <w:rPr>
          <w:i/>
        </w:rPr>
        <w:t>j</w:t>
      </w:r>
      <w:r w:rsidRPr="00C93121">
        <w:t xml:space="preserve"> and times 0 &lt; </w:t>
      </w:r>
      <w:r w:rsidRPr="00C93121">
        <w:rPr>
          <w:i/>
        </w:rPr>
        <w:t>s &lt; t</w:t>
      </w:r>
      <w:r w:rsidRPr="00C93121">
        <w:t>. Given the transition intensities for a process, the corresponding transition probabilities are found by solving the Kolmogorov forward equations</w:t>
      </w:r>
      <w:r w:rsidR="006B0358" w:rsidRPr="00C93121">
        <w:t>.</w:t>
      </w:r>
      <w:r w:rsidRPr="00C93121">
        <w:fldChar w:fldCharType="begin" w:fldLock="1"/>
      </w:r>
      <w:r w:rsidR="00C82D09">
        <w:instrText>ADDIN CSL_CITATION { "citationItems" : [ { "id" : "ITEM-1", "itemData" : { "author" : [ { "dropping-particle" : "", "family" : "Bhattacharya", "given" : "Rabi N", "non-dropping-particle" : "", "parse-names" : false, "suffix" : "" }, { "dropping-particle" : "", "family" : "Waymire", "given" : "Edward C", "non-dropping-particle" : "", "parse-names" : false, "suffix" : "" } ], "id" : "ITEM-1", "issued" : { "date-parts" : [ [ "2009" ] ] }, "publisher" : "SIAM", "publisher-place" : "Philadephia", "title" : "Stochastic Processes with Applications", "type" : "book" }, "uris" : [ "http://www.mendeley.com/documents/?uuid=cf290832-326f-46d0-a520-0fe4cb8fbbc8", "http://www.mendeley.com/documents/?uuid=99d75300-5b12-415c-970f-a6d6645de3b9", "http://www.mendeley.com/documents/?uuid=0cda0011-5cec-44bb-a731-c46a6ac438c0" ] } ], "mendeley" : { "formattedCitation" : "[63]", "plainTextFormattedCitation" : "[63]", "previouslyFormattedCitation" : "[63]" }, "properties" : { "noteIndex" : 0 }, "schema" : "https://github.com/citation-style-language/schema/raw/master/csl-citation.json" }</w:instrText>
      </w:r>
      <w:r w:rsidRPr="00C93121">
        <w:fldChar w:fldCharType="separate"/>
      </w:r>
      <w:r w:rsidR="00C82D09" w:rsidRPr="00C82D09">
        <w:rPr>
          <w:noProof/>
        </w:rPr>
        <w:t>[63]</w:t>
      </w:r>
      <w:r w:rsidRPr="00C93121">
        <w:fldChar w:fldCharType="end"/>
      </w:r>
    </w:p>
    <w:p w14:paraId="71732C78" w14:textId="77777777" w:rsidR="008C1D76" w:rsidRPr="00C93121" w:rsidRDefault="008C1D76" w:rsidP="009B3BAA">
      <w:pPr>
        <w:spacing w:line="360" w:lineRule="auto"/>
      </w:pPr>
    </w:p>
    <w:p w14:paraId="6A7DEE47" w14:textId="2357E9F0" w:rsidR="008C1D76" w:rsidRPr="00C93121" w:rsidRDefault="008C1D76" w:rsidP="009B3BAA">
      <w:pPr>
        <w:spacing w:line="360" w:lineRule="auto"/>
        <w:rPr>
          <w:b/>
        </w:rPr>
      </w:pPr>
      <w:r w:rsidRPr="00C93121">
        <w:rPr>
          <w:b/>
        </w:rPr>
        <w:lastRenderedPageBreak/>
        <w:t>2</w:t>
      </w:r>
      <w:r w:rsidR="00BE08C4" w:rsidRPr="00C93121">
        <w:rPr>
          <w:b/>
        </w:rPr>
        <w:t>.</w:t>
      </w:r>
      <w:r w:rsidR="00FD622A" w:rsidRPr="00C93121">
        <w:rPr>
          <w:b/>
        </w:rPr>
        <w:t xml:space="preserve"> Application to colo</w:t>
      </w:r>
      <w:r w:rsidR="00D57C63">
        <w:rPr>
          <w:b/>
        </w:rPr>
        <w:t>n</w:t>
      </w:r>
      <w:r w:rsidR="00FD622A" w:rsidRPr="00C93121">
        <w:rPr>
          <w:b/>
        </w:rPr>
        <w:t xml:space="preserve"> cancer</w:t>
      </w:r>
      <w:r w:rsidRPr="00C93121">
        <w:rPr>
          <w:b/>
        </w:rPr>
        <w:t xml:space="preserve"> and selection of hazard functions</w:t>
      </w:r>
    </w:p>
    <w:p w14:paraId="7C2B0F34" w14:textId="77777777" w:rsidR="008C1D76" w:rsidRPr="00C93121" w:rsidRDefault="008C1D76" w:rsidP="009B3BAA">
      <w:pPr>
        <w:spacing w:line="360" w:lineRule="auto"/>
      </w:pPr>
    </w:p>
    <w:p w14:paraId="1AF32FEF" w14:textId="77777777" w:rsidR="008C1D76" w:rsidRPr="00C93121" w:rsidRDefault="008C1D76" w:rsidP="009B3BAA">
      <w:pPr>
        <w:spacing w:line="360" w:lineRule="auto"/>
      </w:pPr>
      <w:r w:rsidRPr="00C93121">
        <w:t xml:space="preserve">For our application, we assume that </w:t>
      </w:r>
      <m:oMath>
        <m:r>
          <w:rPr>
            <w:rFonts w:ascii="Cambria Math" w:hAnsi="Cambria Math"/>
          </w:rPr>
          <m:t>X(t)</m:t>
        </m:r>
      </m:oMath>
      <w:r w:rsidRPr="00C93121">
        <w:t xml:space="preserve"> represents an individual’s current disease state at time </w:t>
      </w:r>
      <m:oMath>
        <m:r>
          <w:rPr>
            <w:rFonts w:ascii="Cambria Math" w:hAnsi="Cambria Math"/>
          </w:rPr>
          <m:t>t ≥0</m:t>
        </m:r>
      </m:oMath>
      <w:r w:rsidRPr="00C93121">
        <w:t xml:space="preserve"> after initial surgery. Here </w:t>
      </w:r>
      <m:oMath>
        <m:r>
          <w:rPr>
            <w:rFonts w:ascii="Cambria Math" w:hAnsi="Cambria Math"/>
          </w:rPr>
          <m:t>X(t)</m:t>
        </m:r>
      </m:oMath>
      <w:r w:rsidRPr="00C93121">
        <w:t xml:space="preserve">  can take on 4 possible disease states, listed below:</w:t>
      </w:r>
    </w:p>
    <w:p w14:paraId="7E82A8FB" w14:textId="77777777" w:rsidR="008C1D76" w:rsidRPr="00C93121" w:rsidRDefault="008C1D76" w:rsidP="009B3BAA">
      <w:pPr>
        <w:spacing w:line="360" w:lineRule="auto"/>
      </w:pPr>
    </w:p>
    <w:p w14:paraId="7599981F" w14:textId="77777777" w:rsidR="008C1D76" w:rsidRPr="00C93121" w:rsidRDefault="008C1D76" w:rsidP="009B3BAA">
      <w:pPr>
        <w:pStyle w:val="ListParagraph"/>
        <w:numPr>
          <w:ilvl w:val="0"/>
          <w:numId w:val="8"/>
        </w:numPr>
        <w:spacing w:after="0" w:line="360" w:lineRule="auto"/>
      </w:pPr>
      <w:r w:rsidRPr="00C93121">
        <w:t>No known recurrence</w:t>
      </w:r>
    </w:p>
    <w:p w14:paraId="206DCFAE" w14:textId="77777777" w:rsidR="008C1D76" w:rsidRPr="00C93121" w:rsidRDefault="008C1D76" w:rsidP="009B3BAA">
      <w:pPr>
        <w:pStyle w:val="ListParagraph"/>
        <w:numPr>
          <w:ilvl w:val="0"/>
          <w:numId w:val="8"/>
        </w:numPr>
        <w:spacing w:after="0" w:line="360" w:lineRule="auto"/>
      </w:pPr>
      <w:r w:rsidRPr="00C93121">
        <w:t>Detectable and resectable recurrence</w:t>
      </w:r>
    </w:p>
    <w:p w14:paraId="2FC507C6" w14:textId="77777777" w:rsidR="008C1D76" w:rsidRPr="00C93121" w:rsidRDefault="008C1D76" w:rsidP="009B3BAA">
      <w:pPr>
        <w:pStyle w:val="ListParagraph"/>
        <w:numPr>
          <w:ilvl w:val="0"/>
          <w:numId w:val="8"/>
        </w:numPr>
        <w:spacing w:after="0" w:line="360" w:lineRule="auto"/>
      </w:pPr>
      <w:r w:rsidRPr="00C93121">
        <w:t>Detectable recurrence that is no</w:t>
      </w:r>
      <w:r w:rsidR="00305C28" w:rsidRPr="00C93121">
        <w:t>t</w:t>
      </w:r>
      <w:r w:rsidRPr="00C93121">
        <w:t xml:space="preserve"> resectable</w:t>
      </w:r>
    </w:p>
    <w:p w14:paraId="34C80E4C" w14:textId="77777777" w:rsidR="008C1D76" w:rsidRPr="00C93121" w:rsidRDefault="008C1D76" w:rsidP="009B3BAA">
      <w:pPr>
        <w:pStyle w:val="ListParagraph"/>
        <w:numPr>
          <w:ilvl w:val="0"/>
          <w:numId w:val="8"/>
        </w:numPr>
        <w:spacing w:after="0" w:line="360" w:lineRule="auto"/>
      </w:pPr>
      <w:r w:rsidRPr="00C93121">
        <w:t xml:space="preserve">Death </w:t>
      </w:r>
    </w:p>
    <w:p w14:paraId="79D94B81" w14:textId="77777777" w:rsidR="008C1D76" w:rsidRPr="00C93121" w:rsidRDefault="008C1D76" w:rsidP="009B3BAA">
      <w:pPr>
        <w:spacing w:line="360" w:lineRule="auto"/>
      </w:pPr>
    </w:p>
    <w:p w14:paraId="20328229" w14:textId="77777777" w:rsidR="008C1D76" w:rsidRPr="00C93121" w:rsidRDefault="008C1D76" w:rsidP="009B3BAA">
      <w:pPr>
        <w:spacing w:line="360" w:lineRule="auto"/>
      </w:pPr>
      <w:r w:rsidRPr="00C93121">
        <w:t xml:space="preserve">Figure </w:t>
      </w:r>
      <w:r w:rsidR="00E75F0C" w:rsidRPr="00C93121">
        <w:t>A</w:t>
      </w:r>
      <w:r w:rsidRPr="00C93121">
        <w:t xml:space="preserve">1 shows a diagram of these states, along with all of the possible transitions in our model. We assume each of the transition intensities </w:t>
      </w:r>
      <m:oMath>
        <m:sSub>
          <m:sSubPr>
            <m:ctrlPr>
              <w:rPr>
                <w:rFonts w:ascii="Cambria Math" w:hAnsi="Cambria Math"/>
                <w:i/>
              </w:rPr>
            </m:ctrlPr>
          </m:sSubPr>
          <m:e>
            <m:r>
              <w:rPr>
                <w:rFonts w:ascii="Cambria Math" w:hAnsi="Cambria Math"/>
              </w:rPr>
              <m:t>λ</m:t>
            </m:r>
          </m:e>
          <m:sub>
            <m:r>
              <w:rPr>
                <w:rFonts w:ascii="Cambria Math" w:hAnsi="Cambria Math"/>
              </w:rPr>
              <m:t>ij</m:t>
            </m:r>
          </m:sub>
        </m:sSub>
        <m:r>
          <w:rPr>
            <w:rFonts w:ascii="Cambria Math" w:hAnsi="Cambria Math"/>
          </w:rPr>
          <m:t>(t)</m:t>
        </m:r>
      </m:oMath>
      <w:r w:rsidRPr="00C93121">
        <w:t xml:space="preserve"> in our model takes on a parametric form, which we describe in detail below.</w:t>
      </w:r>
    </w:p>
    <w:p w14:paraId="4CB820C2" w14:textId="77777777" w:rsidR="008C1D76" w:rsidRPr="00C93121" w:rsidRDefault="008C1D76" w:rsidP="009B3BAA">
      <w:pPr>
        <w:spacing w:line="360" w:lineRule="auto"/>
      </w:pPr>
    </w:p>
    <w:p w14:paraId="4ECD7F5A" w14:textId="5BDD9D2F" w:rsidR="008C1D76" w:rsidRPr="00C93121" w:rsidRDefault="008C1D76" w:rsidP="009B3BAA">
      <w:pPr>
        <w:spacing w:line="360" w:lineRule="auto"/>
      </w:pPr>
      <w:r w:rsidRPr="00C93121">
        <w:t xml:space="preserve">Consider first the transitions from state 1 to state 2 and from state 1 to state 3. Note that both of these transitions represent the event of a recurrence; </w:t>
      </w:r>
      <w:r w:rsidR="00726510" w:rsidRPr="00C93121">
        <w:t>however,</w:t>
      </w:r>
      <w:r w:rsidRPr="00C93121">
        <w:t xml:space="preserve"> a transition from 1 to 2 represents a recurrence that could potentially be resectable if it was detected early enough, while a transition from 1 to 3 is a </w:t>
      </w:r>
      <w:r w:rsidRPr="00726510">
        <w:t xml:space="preserve">recurrence that is never resectable, regardless of when it is detected. This determination of </w:t>
      </w:r>
      <w:r w:rsidR="001D6C2F" w:rsidRPr="00726510">
        <w:t>whether a recurrence could ever be</w:t>
      </w:r>
      <w:r w:rsidR="001D6C2F" w:rsidRPr="00C93121">
        <w:t xml:space="preserve"> resectable</w:t>
      </w:r>
      <w:r w:rsidRPr="00C93121">
        <w:t xml:space="preserve"> is made based on the site</w:t>
      </w:r>
      <w:r w:rsidR="00687BC7">
        <w:t>(s)</w:t>
      </w:r>
      <w:r w:rsidRPr="00C93121">
        <w:t xml:space="preserve"> of the recurrence</w:t>
      </w:r>
      <w:r w:rsidR="00E47DED">
        <w:t xml:space="preserve"> as described in the main text</w:t>
      </w:r>
      <w:r w:rsidR="00B07A21">
        <w:t>.</w:t>
      </w:r>
      <w:r w:rsidRPr="00C93121">
        <w:t xml:space="preserve"> We assume that the transition intensities </w:t>
      </w:r>
      <m:oMath>
        <m:sSub>
          <m:sSubPr>
            <m:ctrlPr>
              <w:rPr>
                <w:rFonts w:ascii="Cambria Math" w:hAnsi="Cambria Math"/>
                <w:i/>
              </w:rPr>
            </m:ctrlPr>
          </m:sSubPr>
          <m:e>
            <m:r>
              <w:rPr>
                <w:rFonts w:ascii="Cambria Math" w:hAnsi="Cambria Math"/>
              </w:rPr>
              <m:t>λ</m:t>
            </m:r>
          </m:e>
          <m:sub>
            <m:r>
              <w:rPr>
                <w:rFonts w:ascii="Cambria Math" w:hAnsi="Cambria Math"/>
              </w:rPr>
              <m:t>12</m:t>
            </m:r>
          </m:sub>
        </m:sSub>
        <m:r>
          <w:rPr>
            <w:rFonts w:ascii="Cambria Math" w:hAnsi="Cambria Math"/>
          </w:rPr>
          <m:t>(t)</m:t>
        </m:r>
      </m:oMath>
      <w:r w:rsidRPr="00C93121">
        <w:t xml:space="preserve"> and </w:t>
      </w:r>
      <m:oMath>
        <m:sSub>
          <m:sSubPr>
            <m:ctrlPr>
              <w:rPr>
                <w:rFonts w:ascii="Cambria Math" w:hAnsi="Cambria Math"/>
                <w:i/>
              </w:rPr>
            </m:ctrlPr>
          </m:sSubPr>
          <m:e>
            <m:r>
              <w:rPr>
                <w:rFonts w:ascii="Cambria Math" w:hAnsi="Cambria Math"/>
              </w:rPr>
              <m:t>λ</m:t>
            </m:r>
          </m:e>
          <m:sub>
            <m:r>
              <w:rPr>
                <w:rFonts w:ascii="Cambria Math" w:hAnsi="Cambria Math"/>
              </w:rPr>
              <m:t>13</m:t>
            </m:r>
          </m:sub>
        </m:sSub>
        <m:r>
          <w:rPr>
            <w:rFonts w:ascii="Cambria Math" w:hAnsi="Cambria Math"/>
          </w:rPr>
          <m:t>(t)</m:t>
        </m:r>
      </m:oMath>
      <w:r w:rsidRPr="00C93121">
        <w:t xml:space="preserve"> are equal.  </w:t>
      </w:r>
    </w:p>
    <w:p w14:paraId="3C9B8779" w14:textId="77777777" w:rsidR="008C1D76" w:rsidRPr="00C93121" w:rsidRDefault="008C1D76" w:rsidP="009B3BAA">
      <w:pPr>
        <w:spacing w:line="360" w:lineRule="auto"/>
      </w:pPr>
    </w:p>
    <w:p w14:paraId="35A8F663" w14:textId="2F5F4C41" w:rsidR="008C1D76" w:rsidRPr="00C93121" w:rsidRDefault="007323EF" w:rsidP="009B3BAA">
      <w:pPr>
        <w:spacing w:line="360" w:lineRule="auto"/>
      </w:pPr>
      <w:r w:rsidRPr="00C93121">
        <w:t xml:space="preserve">We know from empirical hazard plots </w:t>
      </w:r>
      <w:r w:rsidR="00806025">
        <w:t xml:space="preserve">for time </w:t>
      </w:r>
      <w:r w:rsidR="005C528E" w:rsidRPr="00C93121">
        <w:t>to</w:t>
      </w:r>
      <w:r w:rsidRPr="00C93121">
        <w:t xml:space="preserve"> recurrence detection from the Clinical Outcomes of Surgical therapy (COST) Trial</w:t>
      </w:r>
      <w:r w:rsidR="000B2624" w:rsidRPr="00C93121">
        <w:fldChar w:fldCharType="begin" w:fldLock="1"/>
      </w:r>
      <w:r w:rsidR="00C82D09">
        <w:instrText>ADDIN CSL_CITATION { "citationItems" : [ { "id" : "ITEM-1", "itemData" : { "DOI" : "10.1056/NEJMoa032651", "ISSN" : "0028-4793", "author" : [ { "dropping-particle" : "", "family" : "Clinical", "given" : "The", "non-dropping-particle" : "", "parse-names" : false, "suffix" : "" }, { "dropping-particle" : "", "family" : "Therapy", "given" : "Surgical", "non-dropping-particle" : "", "parse-names" : false, "suffix" : "" }, { "dropping-particle" : "", "family" : "Group", "given" : "Study", "non-dropping-particle" : "", "parse-names" : false, "suffix" : "" } ], "container-title" : "New England Journal of Medicine", "id" : "ITEM-1", "issue" : "20", "issued" : { "date-parts" : [ [ "2004" ] ] }, "page" : "2050-2059", "title" : "A Comparison of Laparoscopically Assisted and Open Colectomy for Colon Cancer", "type" : "article-journal", "volume" : "350" }, "uris" : [ "http://www.mendeley.com/documents/?uuid=1eed17b8-4807-4384-9d0c-b3b6e7c48a6d", "http://www.mendeley.com/documents/?uuid=10f3e6ca-94dc-4c9c-b55a-8d0745f77ec8" ] } ], "mendeley" : { "formattedCitation" : "[37]", "plainTextFormattedCitation" : "[37]", "previouslyFormattedCitation" : "[37]" }, "properties" : { "noteIndex" : 0 }, "schema" : "https://github.com/citation-style-language/schema/raw/master/csl-citation.json" }</w:instrText>
      </w:r>
      <w:r w:rsidR="000B2624" w:rsidRPr="00C93121">
        <w:fldChar w:fldCharType="separate"/>
      </w:r>
      <w:r w:rsidR="00C82D09" w:rsidRPr="00C82D09">
        <w:rPr>
          <w:noProof/>
        </w:rPr>
        <w:t>[37]</w:t>
      </w:r>
      <w:r w:rsidR="000B2624" w:rsidRPr="00C93121">
        <w:fldChar w:fldCharType="end"/>
      </w:r>
      <w:r w:rsidR="008C1D76" w:rsidRPr="00C93121">
        <w:t xml:space="preserve"> that the hazard of recurrence is non-constant over time; it increases initially in the time after surgery, reaches a maximum, and then declines. </w:t>
      </w:r>
      <w:r w:rsidR="0050226E" w:rsidRPr="00C93121">
        <w:t>Perez-Ocon et al</w:t>
      </w:r>
      <w:r w:rsidR="008C1D76" w:rsidRPr="00C93121">
        <w:fldChar w:fldCharType="begin" w:fldLock="1"/>
      </w:r>
      <w:r w:rsidR="00C82D09">
        <w:instrText>ADDIN CSL_CITATION { "citationItems" : [ { "id" : "ITEM-1", "itemData" : { "ISSN" : "00359254", "author" : [ { "dropping-particle" : "", "family" : "Perez-Ocon", "given" : "Rafael", "non-dropping-particle" : "", "parse-names" : false, "suffix" : "" }, { "dropping-particle" : "", "family" : "Ruiz-Castro", "given" : "Juan Eloy", "non-dropping-particle" : "", "parse-names" : false, "suffix" : "" }, { "dropping-particle" : "", "family" : "Gamiz-Perez", "given" : "M. Luz", "non-dropping-particle" : "", "parse-names" : false, "suffix" : "" } ], "container-title" : "Applied Statistics", "id" : "ITEM-1", "issue" : "1", "issued" : { "date-parts" : [ [ "2001" ] ] }, "page" : "111-124", "title" : "Non-homogeneous Markov models in the analysis of survival after breast cancer", "type" : "article-journal", "volume" : "50" }, "uris" : [ "http://www.mendeley.com/documents/?uuid=bb4e87d7-1d68-4b09-b47e-36f15196c4a7", "http://www.mendeley.com/documents/?uuid=49193ad7-8c0b-4c2b-b8a0-b4982e316d73", "http://www.mendeley.com/documents/?uuid=00e84411-1d84-4371-814b-18f7f6a864a6" ] } ], "mendeley" : { "formattedCitation" : "[64]", "plainTextFormattedCitation" : "[64]", "previouslyFormattedCitation" : "[64]" }, "properties" : { "noteIndex" : 0 }, "schema" : "https://github.com/citation-style-language/schema/raw/master/csl-citation.json" }</w:instrText>
      </w:r>
      <w:r w:rsidR="008C1D76" w:rsidRPr="00C93121">
        <w:fldChar w:fldCharType="separate"/>
      </w:r>
      <w:r w:rsidR="00C82D09" w:rsidRPr="00C82D09">
        <w:rPr>
          <w:noProof/>
        </w:rPr>
        <w:t>[64]</w:t>
      </w:r>
      <w:r w:rsidR="008C1D76" w:rsidRPr="00C93121">
        <w:fldChar w:fldCharType="end"/>
      </w:r>
      <w:r w:rsidR="008C1D76" w:rsidRPr="00C93121">
        <w:t xml:space="preserve"> suggest using a piecewise Weibull hazard to model a similar pattern in the timing of breast cancer recurrence. Note that the Weibull hazard function has the form</w:t>
      </w:r>
    </w:p>
    <w:p w14:paraId="2E010E1B" w14:textId="77777777" w:rsidR="008C1D76" w:rsidRPr="00C93121" w:rsidRDefault="008C1D76" w:rsidP="009B3BAA">
      <w:pPr>
        <w:spacing w:line="360" w:lineRule="auto"/>
      </w:pPr>
    </w:p>
    <w:p w14:paraId="7986E8FD" w14:textId="77777777" w:rsidR="008C1D76" w:rsidRPr="00C93121" w:rsidRDefault="008C1D76" w:rsidP="009B3BAA">
      <w:pPr>
        <w:spacing w:line="360" w:lineRule="auto"/>
      </w:pPr>
      <m:oMathPara>
        <m:oMath>
          <m:r>
            <w:rPr>
              <w:rFonts w:ascii="Cambria Math" w:hAnsi="Cambria Math"/>
            </w:rPr>
            <w:lastRenderedPageBreak/>
            <m:t>λ</m:t>
          </m:r>
          <m:d>
            <m:dPr>
              <m:ctrlPr>
                <w:rPr>
                  <w:rFonts w:ascii="Cambria Math" w:hAnsi="Cambria Math"/>
                  <w:i/>
                </w:rPr>
              </m:ctrlPr>
            </m:dPr>
            <m:e>
              <m:r>
                <w:rPr>
                  <w:rFonts w:ascii="Cambria Math" w:hAnsi="Cambria Math"/>
                </w:rPr>
                <m:t>t</m:t>
              </m:r>
            </m:e>
          </m:d>
          <m:r>
            <w:rPr>
              <w:rFonts w:ascii="Cambria Math" w:hAnsi="Cambria Math"/>
            </w:rPr>
            <m:t xml:space="preserve">= </m:t>
          </m:r>
          <m:f>
            <m:fPr>
              <m:ctrlPr>
                <w:rPr>
                  <w:rFonts w:ascii="Cambria Math" w:hAnsi="Cambria Math"/>
                  <w:i/>
                </w:rPr>
              </m:ctrlPr>
            </m:fPr>
            <m:num>
              <m:r>
                <w:rPr>
                  <w:rFonts w:ascii="Cambria Math" w:hAnsi="Cambria Math"/>
                </w:rPr>
                <m:t>γ</m:t>
              </m:r>
            </m:num>
            <m:den>
              <m:r>
                <w:rPr>
                  <w:rFonts w:ascii="Cambria Math" w:hAnsi="Cambria Math"/>
                </w:rPr>
                <m:t>α</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t</m:t>
                      </m:r>
                    </m:num>
                    <m:den>
                      <m:r>
                        <w:rPr>
                          <w:rFonts w:ascii="Cambria Math" w:hAnsi="Cambria Math"/>
                        </w:rPr>
                        <m:t>α</m:t>
                      </m:r>
                    </m:den>
                  </m:f>
                </m:e>
              </m:d>
            </m:e>
            <m:sup>
              <m:r>
                <w:rPr>
                  <w:rFonts w:ascii="Cambria Math" w:hAnsi="Cambria Math"/>
                </w:rPr>
                <m:t>γ-1</m:t>
              </m:r>
            </m:sup>
          </m:sSup>
        </m:oMath>
      </m:oMathPara>
    </w:p>
    <w:p w14:paraId="47A5212E" w14:textId="77777777" w:rsidR="008C1D76" w:rsidRPr="00C93121" w:rsidRDefault="008C1D76" w:rsidP="009B3BAA">
      <w:pPr>
        <w:spacing w:line="360" w:lineRule="auto"/>
      </w:pPr>
    </w:p>
    <w:p w14:paraId="24F6B183" w14:textId="77777777" w:rsidR="008C1D76" w:rsidRPr="00C93121" w:rsidRDefault="008C1D76" w:rsidP="009B3BAA">
      <w:pPr>
        <w:spacing w:line="360" w:lineRule="auto"/>
      </w:pPr>
      <w:r w:rsidRPr="00C93121">
        <w:t xml:space="preserve">for fixed shape and scale parameters </w:t>
      </w:r>
      <m:oMath>
        <m:r>
          <w:rPr>
            <w:rFonts w:ascii="Cambria Math" w:hAnsi="Cambria Math"/>
          </w:rPr>
          <m:t>γ</m:t>
        </m:r>
      </m:oMath>
      <w:r w:rsidRPr="00C93121">
        <w:t xml:space="preserve"> and </w:t>
      </w:r>
      <m:oMath>
        <m:r>
          <w:rPr>
            <w:rFonts w:ascii="Cambria Math" w:hAnsi="Cambria Math"/>
          </w:rPr>
          <m:t>α</m:t>
        </m:r>
      </m:oMath>
      <w:r w:rsidRPr="00C93121">
        <w:t xml:space="preserve">. Notice that for </w:t>
      </w:r>
      <m:oMath>
        <m:r>
          <w:rPr>
            <w:rFonts w:ascii="Cambria Math" w:hAnsi="Cambria Math"/>
          </w:rPr>
          <m:t>γ&lt;1</m:t>
        </m:r>
      </m:oMath>
      <w:r w:rsidRPr="00C93121">
        <w:t xml:space="preserve">, the hazard is monotonically decreasing, while for </w:t>
      </w:r>
      <m:oMath>
        <m:r>
          <w:rPr>
            <w:rFonts w:ascii="Cambria Math" w:hAnsi="Cambria Math"/>
          </w:rPr>
          <m:t>γ&gt;1</m:t>
        </m:r>
      </m:oMath>
      <w:r w:rsidRPr="00C93121">
        <w:t xml:space="preserve">, it is monotonically increasing. (For </w:t>
      </w:r>
      <m:oMath>
        <m:r>
          <w:rPr>
            <w:rFonts w:ascii="Cambria Math" w:hAnsi="Cambria Math"/>
          </w:rPr>
          <m:t>γ=1,</m:t>
        </m:r>
      </m:oMath>
      <w:r w:rsidRPr="00C93121">
        <w:t xml:space="preserve"> it is constant). </w:t>
      </w:r>
    </w:p>
    <w:p w14:paraId="2704B33A" w14:textId="77777777" w:rsidR="008C1D76" w:rsidRPr="00C93121" w:rsidRDefault="008C1D76" w:rsidP="009B3BAA">
      <w:pPr>
        <w:spacing w:line="360" w:lineRule="auto"/>
      </w:pPr>
    </w:p>
    <w:p w14:paraId="7A5C7A3B" w14:textId="77777777" w:rsidR="008C1D76" w:rsidRPr="00C93121" w:rsidRDefault="008C1D76" w:rsidP="009B3BAA">
      <w:pPr>
        <w:spacing w:line="360" w:lineRule="auto"/>
      </w:pPr>
      <w:r w:rsidRPr="00C93121">
        <w:t xml:space="preserve">In addition to being non-constant with respect to time, the hazard of recurrence also differs based on the stage of a patient’s primary cancer; thus we include covariates for stage in </w:t>
      </w:r>
      <m:oMath>
        <m:sSub>
          <m:sSubPr>
            <m:ctrlPr>
              <w:rPr>
                <w:rFonts w:ascii="Cambria Math" w:hAnsi="Cambria Math"/>
                <w:i/>
              </w:rPr>
            </m:ctrlPr>
          </m:sSubPr>
          <m:e>
            <m:r>
              <w:rPr>
                <w:rFonts w:ascii="Cambria Math" w:hAnsi="Cambria Math"/>
              </w:rPr>
              <m:t>λ</m:t>
            </m:r>
          </m:e>
          <m:sub>
            <m:r>
              <w:rPr>
                <w:rFonts w:ascii="Cambria Math" w:hAnsi="Cambria Math"/>
              </w:rPr>
              <m:t>12</m:t>
            </m:r>
          </m:sub>
        </m:sSub>
        <m:r>
          <w:rPr>
            <w:rFonts w:ascii="Cambria Math" w:hAnsi="Cambria Math"/>
          </w:rPr>
          <m:t>(t)</m:t>
        </m:r>
      </m:oMath>
      <w:r w:rsidRPr="00C93121">
        <w:t xml:space="preserve"> using the proportional hazards assumption.</w:t>
      </w:r>
    </w:p>
    <w:p w14:paraId="48CA122F" w14:textId="77777777" w:rsidR="008C1D76" w:rsidRPr="00C93121" w:rsidRDefault="008C1D76" w:rsidP="009B3BAA">
      <w:pPr>
        <w:spacing w:line="360" w:lineRule="auto"/>
      </w:pPr>
    </w:p>
    <w:p w14:paraId="0B286C85" w14:textId="77777777" w:rsidR="008C1D76" w:rsidRPr="00C93121" w:rsidRDefault="008C1D76" w:rsidP="009B3BAA">
      <w:pPr>
        <w:spacing w:line="360" w:lineRule="auto"/>
      </w:pPr>
      <w:r w:rsidRPr="00C93121">
        <w:t xml:space="preserve">To write an expression for </w:t>
      </w:r>
      <m:oMath>
        <m:sSub>
          <m:sSubPr>
            <m:ctrlPr>
              <w:rPr>
                <w:rFonts w:ascii="Cambria Math" w:hAnsi="Cambria Math"/>
                <w:i/>
              </w:rPr>
            </m:ctrlPr>
          </m:sSubPr>
          <m:e>
            <m:r>
              <w:rPr>
                <w:rFonts w:ascii="Cambria Math" w:hAnsi="Cambria Math"/>
              </w:rPr>
              <m:t>λ</m:t>
            </m:r>
          </m:e>
          <m:sub>
            <m:r>
              <w:rPr>
                <w:rFonts w:ascii="Cambria Math" w:hAnsi="Cambria Math"/>
              </w:rPr>
              <m:t>12</m:t>
            </m:r>
          </m:sub>
        </m:sSub>
        <m:r>
          <w:rPr>
            <w:rFonts w:ascii="Cambria Math" w:hAnsi="Cambria Math"/>
          </w:rPr>
          <m:t>(t)</m:t>
        </m:r>
      </m:oMath>
      <w:r w:rsidRPr="00C93121">
        <w:t xml:space="preserve"> using th</w:t>
      </w:r>
      <w:r w:rsidR="00C24995" w:rsidRPr="00C93121">
        <w:t>is</w:t>
      </w:r>
      <w:r w:rsidRPr="00C93121">
        <w:t xml:space="preserve"> approach, </w:t>
      </w:r>
      <w:r w:rsidR="00C24995" w:rsidRPr="00C93121">
        <w:t xml:space="preserve">we </w:t>
      </w:r>
      <w:r w:rsidRPr="00C93121">
        <w:t xml:space="preserve">first define the function </w:t>
      </w:r>
      <m:oMath>
        <m:sSub>
          <m:sSubPr>
            <m:ctrlPr>
              <w:rPr>
                <w:rFonts w:ascii="Cambria Math" w:hAnsi="Cambria Math"/>
                <w:i/>
              </w:rPr>
            </m:ctrlPr>
          </m:sSubPr>
          <m:e>
            <m:r>
              <w:rPr>
                <w:rFonts w:ascii="Cambria Math" w:hAnsi="Cambria Math"/>
              </w:rPr>
              <m:t>δ</m:t>
            </m:r>
          </m:e>
          <m:sub>
            <m:r>
              <w:rPr>
                <w:rFonts w:ascii="Cambria Math" w:hAnsi="Cambria Math"/>
              </w:rPr>
              <m:t>12</m:t>
            </m:r>
          </m:sub>
        </m:sSub>
        <m:r>
          <w:rPr>
            <w:rFonts w:ascii="Cambria Math" w:hAnsi="Cambria Math"/>
          </w:rPr>
          <m:t>(t)</m:t>
        </m:r>
      </m:oMath>
      <w:r w:rsidRPr="00C93121">
        <w:t>,</w:t>
      </w:r>
    </w:p>
    <w:p w14:paraId="28D7DCD2" w14:textId="77777777" w:rsidR="008C1D76" w:rsidRPr="00C93121" w:rsidRDefault="008C1D76" w:rsidP="009B3BAA">
      <w:pPr>
        <w:spacing w:line="360" w:lineRule="auto"/>
      </w:pPr>
    </w:p>
    <w:p w14:paraId="7C3F2819" w14:textId="77777777" w:rsidR="008C1D76" w:rsidRPr="00C93121" w:rsidRDefault="005E148A" w:rsidP="009B3BAA">
      <w:pPr>
        <w:spacing w:line="360" w:lineRule="auto"/>
        <w:jc w:val="center"/>
      </w:pPr>
      <m:oMathPara>
        <m:oMath>
          <m:sSub>
            <m:sSubPr>
              <m:ctrlPr>
                <w:rPr>
                  <w:rFonts w:ascii="Cambria Math" w:hAnsi="Cambria Math"/>
                  <w:i/>
                </w:rPr>
              </m:ctrlPr>
            </m:sSubPr>
            <m:e>
              <m:r>
                <w:rPr>
                  <w:rFonts w:ascii="Cambria Math" w:hAnsi="Cambria Math"/>
                </w:rPr>
                <m:t>δ</m:t>
              </m:r>
            </m:e>
            <m:sub>
              <m:r>
                <w:rPr>
                  <w:rFonts w:ascii="Cambria Math" w:hAnsi="Cambria Math"/>
                </w:rPr>
                <m:t>12</m:t>
              </m:r>
            </m:sub>
          </m:sSub>
          <m:d>
            <m:dPr>
              <m:ctrlPr>
                <w:rPr>
                  <w:rFonts w:ascii="Cambria Math" w:hAnsi="Cambria Math"/>
                  <w:i/>
                </w:rPr>
              </m:ctrlPr>
            </m:dPr>
            <m:e>
              <m:r>
                <w:rPr>
                  <w:rFonts w:ascii="Cambria Math" w:hAnsi="Cambria Math"/>
                </w:rPr>
                <m:t>t</m:t>
              </m:r>
            </m:e>
          </m:d>
          <m:r>
            <w:rPr>
              <w:rFonts w:ascii="Cambria Math" w:hAnsi="Cambria Math"/>
            </w:rPr>
            <m:t xml:space="preserve">= </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sSubSup>
                          <m:sSubSupPr>
                            <m:ctrlPr>
                              <w:rPr>
                                <w:rFonts w:ascii="Cambria Math" w:hAnsi="Cambria Math"/>
                                <w:i/>
                              </w:rPr>
                            </m:ctrlPr>
                          </m:sSubSupPr>
                          <m:e>
                            <m:r>
                              <w:rPr>
                                <w:rFonts w:ascii="Cambria Math" w:hAnsi="Cambria Math"/>
                              </w:rPr>
                              <m:t>γ</m:t>
                            </m:r>
                          </m:e>
                          <m:sub>
                            <m:r>
                              <w:rPr>
                                <w:rFonts w:ascii="Cambria Math" w:hAnsi="Cambria Math"/>
                              </w:rPr>
                              <m:t>12</m:t>
                            </m:r>
                          </m:sub>
                          <m:sup>
                            <m:r>
                              <w:rPr>
                                <w:rFonts w:ascii="Cambria Math" w:hAnsi="Cambria Math"/>
                              </w:rPr>
                              <m:t>(1)</m:t>
                            </m:r>
                          </m:sup>
                        </m:sSubSup>
                      </m:num>
                      <m:den>
                        <m:sSubSup>
                          <m:sSubSupPr>
                            <m:ctrlPr>
                              <w:rPr>
                                <w:rFonts w:ascii="Cambria Math" w:hAnsi="Cambria Math"/>
                                <w:i/>
                              </w:rPr>
                            </m:ctrlPr>
                          </m:sSubSupPr>
                          <m:e>
                            <m:r>
                              <w:rPr>
                                <w:rFonts w:ascii="Cambria Math" w:hAnsi="Cambria Math"/>
                              </w:rPr>
                              <m:t>α</m:t>
                            </m:r>
                          </m:e>
                          <m:sub>
                            <m:r>
                              <w:rPr>
                                <w:rFonts w:ascii="Cambria Math" w:hAnsi="Cambria Math"/>
                              </w:rPr>
                              <m:t>12</m:t>
                            </m:r>
                          </m:sub>
                          <m:sup>
                            <m:r>
                              <w:rPr>
                                <w:rFonts w:ascii="Cambria Math" w:hAnsi="Cambria Math"/>
                              </w:rPr>
                              <m:t>(1)</m:t>
                            </m:r>
                          </m:sup>
                        </m:sSubSup>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t</m:t>
                                </m:r>
                              </m:num>
                              <m:den>
                                <m:sSubSup>
                                  <m:sSubSupPr>
                                    <m:ctrlPr>
                                      <w:rPr>
                                        <w:rFonts w:ascii="Cambria Math" w:hAnsi="Cambria Math"/>
                                        <w:i/>
                                      </w:rPr>
                                    </m:ctrlPr>
                                  </m:sSubSupPr>
                                  <m:e>
                                    <m:r>
                                      <w:rPr>
                                        <w:rFonts w:ascii="Cambria Math" w:hAnsi="Cambria Math"/>
                                      </w:rPr>
                                      <m:t>α</m:t>
                                    </m:r>
                                  </m:e>
                                  <m:sub>
                                    <m:r>
                                      <w:rPr>
                                        <w:rFonts w:ascii="Cambria Math" w:hAnsi="Cambria Math"/>
                                      </w:rPr>
                                      <m:t>12</m:t>
                                    </m:r>
                                  </m:sub>
                                  <m:sup>
                                    <m:r>
                                      <w:rPr>
                                        <w:rFonts w:ascii="Cambria Math" w:hAnsi="Cambria Math"/>
                                      </w:rPr>
                                      <m:t>(1)</m:t>
                                    </m:r>
                                  </m:sup>
                                </m:sSubSup>
                              </m:den>
                            </m:f>
                          </m:e>
                        </m:d>
                      </m:e>
                      <m:sup>
                        <m:sSubSup>
                          <m:sSubSupPr>
                            <m:ctrlPr>
                              <w:rPr>
                                <w:rFonts w:ascii="Cambria Math" w:hAnsi="Cambria Math"/>
                                <w:i/>
                              </w:rPr>
                            </m:ctrlPr>
                          </m:sSubSupPr>
                          <m:e>
                            <m:r>
                              <w:rPr>
                                <w:rFonts w:ascii="Cambria Math" w:hAnsi="Cambria Math"/>
                              </w:rPr>
                              <m:t>γ</m:t>
                            </m:r>
                          </m:e>
                          <m:sub>
                            <m:r>
                              <w:rPr>
                                <w:rFonts w:ascii="Cambria Math" w:hAnsi="Cambria Math"/>
                              </w:rPr>
                              <m:t>12</m:t>
                            </m:r>
                          </m:sub>
                          <m:sup>
                            <m:r>
                              <w:rPr>
                                <w:rFonts w:ascii="Cambria Math" w:hAnsi="Cambria Math"/>
                              </w:rPr>
                              <m:t>(1)</m:t>
                            </m:r>
                          </m:sup>
                        </m:sSubSup>
                        <m:r>
                          <w:rPr>
                            <w:rFonts w:ascii="Cambria Math" w:hAnsi="Cambria Math"/>
                          </w:rPr>
                          <m:t>-1</m:t>
                        </m:r>
                      </m:sup>
                    </m:sSup>
                    <m:r>
                      <w:rPr>
                        <w:rFonts w:ascii="Cambria Math" w:hAnsi="Cambria Math"/>
                      </w:rPr>
                      <m:t>,      0 ≤t ≤</m:t>
                    </m:r>
                    <m:sSub>
                      <m:sSubPr>
                        <m:ctrlPr>
                          <w:rPr>
                            <w:rFonts w:ascii="Cambria Math" w:hAnsi="Cambria Math"/>
                            <w:i/>
                          </w:rPr>
                        </m:ctrlPr>
                      </m:sSubPr>
                      <m:e>
                        <m:r>
                          <w:rPr>
                            <w:rFonts w:ascii="Cambria Math" w:hAnsi="Cambria Math"/>
                          </w:rPr>
                          <m:t>T</m:t>
                        </m:r>
                      </m:e>
                      <m:sub>
                        <m:r>
                          <w:rPr>
                            <w:rFonts w:ascii="Cambria Math" w:hAnsi="Cambria Math"/>
                          </w:rPr>
                          <m:t>break</m:t>
                        </m:r>
                      </m:sub>
                    </m:sSub>
                  </m:e>
                </m:mr>
                <m:mr>
                  <m:e>
                    <m:f>
                      <m:fPr>
                        <m:ctrlPr>
                          <w:rPr>
                            <w:rFonts w:ascii="Cambria Math" w:hAnsi="Cambria Math"/>
                            <w:i/>
                          </w:rPr>
                        </m:ctrlPr>
                      </m:fPr>
                      <m:num>
                        <m:sSubSup>
                          <m:sSubSupPr>
                            <m:ctrlPr>
                              <w:rPr>
                                <w:rFonts w:ascii="Cambria Math" w:hAnsi="Cambria Math"/>
                                <w:i/>
                              </w:rPr>
                            </m:ctrlPr>
                          </m:sSubSupPr>
                          <m:e>
                            <m:r>
                              <w:rPr>
                                <w:rFonts w:ascii="Cambria Math" w:hAnsi="Cambria Math"/>
                              </w:rPr>
                              <m:t>γ</m:t>
                            </m:r>
                          </m:e>
                          <m:sub>
                            <m:r>
                              <w:rPr>
                                <w:rFonts w:ascii="Cambria Math" w:hAnsi="Cambria Math"/>
                              </w:rPr>
                              <m:t>12</m:t>
                            </m:r>
                          </m:sub>
                          <m:sup>
                            <m:r>
                              <w:rPr>
                                <w:rFonts w:ascii="Cambria Math" w:hAnsi="Cambria Math"/>
                              </w:rPr>
                              <m:t>(2)</m:t>
                            </m:r>
                          </m:sup>
                        </m:sSubSup>
                      </m:num>
                      <m:den>
                        <m:sSubSup>
                          <m:sSubSupPr>
                            <m:ctrlPr>
                              <w:rPr>
                                <w:rFonts w:ascii="Cambria Math" w:hAnsi="Cambria Math"/>
                                <w:i/>
                              </w:rPr>
                            </m:ctrlPr>
                          </m:sSubSupPr>
                          <m:e>
                            <m:r>
                              <w:rPr>
                                <w:rFonts w:ascii="Cambria Math" w:hAnsi="Cambria Math"/>
                              </w:rPr>
                              <m:t>α</m:t>
                            </m:r>
                          </m:e>
                          <m:sub>
                            <m:r>
                              <w:rPr>
                                <w:rFonts w:ascii="Cambria Math" w:hAnsi="Cambria Math"/>
                              </w:rPr>
                              <m:t>12</m:t>
                            </m:r>
                          </m:sub>
                          <m:sup>
                            <m:r>
                              <w:rPr>
                                <w:rFonts w:ascii="Cambria Math" w:hAnsi="Cambria Math"/>
                              </w:rPr>
                              <m:t>(2)</m:t>
                            </m:r>
                          </m:sup>
                        </m:sSubSup>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break</m:t>
                                    </m:r>
                                  </m:sub>
                                </m:sSub>
                              </m:num>
                              <m:den>
                                <m:sSubSup>
                                  <m:sSubSupPr>
                                    <m:ctrlPr>
                                      <w:rPr>
                                        <w:rFonts w:ascii="Cambria Math" w:hAnsi="Cambria Math"/>
                                        <w:i/>
                                      </w:rPr>
                                    </m:ctrlPr>
                                  </m:sSubSupPr>
                                  <m:e>
                                    <m:r>
                                      <w:rPr>
                                        <w:rFonts w:ascii="Cambria Math" w:hAnsi="Cambria Math"/>
                                      </w:rPr>
                                      <m:t>α</m:t>
                                    </m:r>
                                  </m:e>
                                  <m:sub>
                                    <m:r>
                                      <w:rPr>
                                        <w:rFonts w:ascii="Cambria Math" w:hAnsi="Cambria Math"/>
                                      </w:rPr>
                                      <m:t>12</m:t>
                                    </m:r>
                                  </m:sub>
                                  <m:sup>
                                    <m:r>
                                      <w:rPr>
                                        <w:rFonts w:ascii="Cambria Math" w:hAnsi="Cambria Math"/>
                                      </w:rPr>
                                      <m:t>(2)</m:t>
                                    </m:r>
                                  </m:sup>
                                </m:sSubSup>
                              </m:den>
                            </m:f>
                          </m:e>
                        </m:d>
                      </m:e>
                      <m:sup>
                        <m:sSubSup>
                          <m:sSubSupPr>
                            <m:ctrlPr>
                              <w:rPr>
                                <w:rFonts w:ascii="Cambria Math" w:hAnsi="Cambria Math"/>
                                <w:i/>
                              </w:rPr>
                            </m:ctrlPr>
                          </m:sSubSupPr>
                          <m:e>
                            <m:r>
                              <w:rPr>
                                <w:rFonts w:ascii="Cambria Math" w:hAnsi="Cambria Math"/>
                              </w:rPr>
                              <m:t>γ</m:t>
                            </m:r>
                          </m:e>
                          <m:sub>
                            <m:r>
                              <w:rPr>
                                <w:rFonts w:ascii="Cambria Math" w:hAnsi="Cambria Math"/>
                              </w:rPr>
                              <m:t>12</m:t>
                            </m:r>
                          </m:sub>
                          <m:sup>
                            <m:r>
                              <w:rPr>
                                <w:rFonts w:ascii="Cambria Math" w:hAnsi="Cambria Math"/>
                              </w:rPr>
                              <m:t>(2)</m:t>
                            </m:r>
                          </m:sup>
                        </m:sSubSup>
                        <m:r>
                          <w:rPr>
                            <w:rFonts w:ascii="Cambria Math" w:hAnsi="Cambria Math"/>
                          </w:rPr>
                          <m:t>-1</m:t>
                        </m:r>
                      </m:sup>
                    </m:sSup>
                    <m:r>
                      <w:rPr>
                        <w:rFonts w:ascii="Cambria Math" w:hAnsi="Cambria Math"/>
                      </w:rPr>
                      <m:t>,       t&gt;</m:t>
                    </m:r>
                    <m:sSub>
                      <m:sSubPr>
                        <m:ctrlPr>
                          <w:rPr>
                            <w:rFonts w:ascii="Cambria Math" w:hAnsi="Cambria Math"/>
                            <w:i/>
                          </w:rPr>
                        </m:ctrlPr>
                      </m:sSubPr>
                      <m:e>
                        <m:r>
                          <w:rPr>
                            <w:rFonts w:ascii="Cambria Math" w:hAnsi="Cambria Math"/>
                          </w:rPr>
                          <m:t>T</m:t>
                        </m:r>
                      </m:e>
                      <m:sub>
                        <m:r>
                          <w:rPr>
                            <w:rFonts w:ascii="Cambria Math" w:hAnsi="Cambria Math"/>
                          </w:rPr>
                          <m:t>break</m:t>
                        </m:r>
                      </m:sub>
                    </m:sSub>
                  </m:e>
                </m:mr>
              </m:m>
              <m:r>
                <w:rPr>
                  <w:rFonts w:ascii="Cambria Math" w:hAnsi="Cambria Math"/>
                </w:rPr>
                <m:t xml:space="preserve"> </m:t>
              </m:r>
            </m:e>
          </m:d>
          <m:r>
            <w:rPr>
              <w:rFonts w:ascii="Cambria Math" w:hAnsi="Cambria Math"/>
            </w:rPr>
            <m:t xml:space="preserve">              </m:t>
          </m:r>
        </m:oMath>
      </m:oMathPara>
    </w:p>
    <w:p w14:paraId="1DF22FAF" w14:textId="77777777" w:rsidR="008C1D76" w:rsidRPr="00C93121" w:rsidRDefault="008C1D76" w:rsidP="009B3BAA">
      <w:pPr>
        <w:spacing w:line="360" w:lineRule="auto"/>
        <w:jc w:val="center"/>
      </w:pPr>
    </w:p>
    <w:p w14:paraId="6F1C15ED" w14:textId="77777777" w:rsidR="008C1D76" w:rsidRPr="00C93121" w:rsidRDefault="008C1D76" w:rsidP="009B3BAA">
      <w:pPr>
        <w:spacing w:line="360" w:lineRule="auto"/>
      </w:pPr>
      <w:r w:rsidRPr="00C93121">
        <w:t xml:space="preserve">for a fixed value of </w:t>
      </w:r>
      <m:oMath>
        <m:sSub>
          <m:sSubPr>
            <m:ctrlPr>
              <w:rPr>
                <w:rFonts w:ascii="Cambria Math" w:hAnsi="Cambria Math"/>
                <w:i/>
              </w:rPr>
            </m:ctrlPr>
          </m:sSubPr>
          <m:e>
            <m:r>
              <w:rPr>
                <w:rFonts w:ascii="Cambria Math" w:hAnsi="Cambria Math"/>
              </w:rPr>
              <m:t>T</m:t>
            </m:r>
          </m:e>
          <m:sub>
            <m:r>
              <w:rPr>
                <w:rFonts w:ascii="Cambria Math" w:hAnsi="Cambria Math"/>
              </w:rPr>
              <m:t>break</m:t>
            </m:r>
          </m:sub>
        </m:sSub>
      </m:oMath>
      <w:r w:rsidRPr="00C93121">
        <w:t xml:space="preserve"> that we determine empirically from the data. Note that </w:t>
      </w:r>
      <m:oMath>
        <m:sSub>
          <m:sSubPr>
            <m:ctrlPr>
              <w:rPr>
                <w:rFonts w:ascii="Cambria Math" w:hAnsi="Cambria Math"/>
                <w:i/>
              </w:rPr>
            </m:ctrlPr>
          </m:sSubPr>
          <m:e>
            <m:r>
              <w:rPr>
                <w:rFonts w:ascii="Cambria Math" w:hAnsi="Cambria Math"/>
              </w:rPr>
              <m:t>T</m:t>
            </m:r>
          </m:e>
          <m:sub>
            <m:r>
              <w:rPr>
                <w:rFonts w:ascii="Cambria Math" w:hAnsi="Cambria Math"/>
              </w:rPr>
              <m:t>break</m:t>
            </m:r>
          </m:sub>
        </m:sSub>
      </m:oMath>
      <w:r w:rsidRPr="00C93121">
        <w:t xml:space="preserve"> is the time after initial surgery when the hazard of recurrence is at its maximum. Then the expression for </w:t>
      </w:r>
      <m:oMath>
        <m:sSub>
          <m:sSubPr>
            <m:ctrlPr>
              <w:rPr>
                <w:rFonts w:ascii="Cambria Math" w:hAnsi="Cambria Math"/>
                <w:i/>
              </w:rPr>
            </m:ctrlPr>
          </m:sSubPr>
          <m:e>
            <m:r>
              <w:rPr>
                <w:rFonts w:ascii="Cambria Math" w:hAnsi="Cambria Math"/>
              </w:rPr>
              <m:t>λ</m:t>
            </m:r>
          </m:e>
          <m:sub>
            <m:r>
              <w:rPr>
                <w:rFonts w:ascii="Cambria Math" w:hAnsi="Cambria Math"/>
              </w:rPr>
              <m:t>12</m:t>
            </m:r>
          </m:sub>
        </m:sSub>
        <m:r>
          <w:rPr>
            <w:rFonts w:ascii="Cambria Math" w:hAnsi="Cambria Math"/>
          </w:rPr>
          <m:t>(t)</m:t>
        </m:r>
      </m:oMath>
      <w:r w:rsidRPr="00C93121">
        <w:t xml:space="preserve"> is given by</w:t>
      </w:r>
    </w:p>
    <w:p w14:paraId="23821EA2" w14:textId="77777777" w:rsidR="008C1D76" w:rsidRPr="00C93121" w:rsidRDefault="005E148A" w:rsidP="009B3BAA">
      <w:pPr>
        <w:spacing w:line="360" w:lineRule="auto"/>
        <w:jc w:val="center"/>
      </w:pPr>
      <m:oMathPara>
        <m:oMath>
          <m:sSub>
            <m:sSubPr>
              <m:ctrlPr>
                <w:rPr>
                  <w:rFonts w:ascii="Cambria Math" w:hAnsi="Cambria Math"/>
                  <w:i/>
                </w:rPr>
              </m:ctrlPr>
            </m:sSubPr>
            <m:e>
              <m:r>
                <w:rPr>
                  <w:rFonts w:ascii="Cambria Math" w:hAnsi="Cambria Math"/>
                </w:rPr>
                <m:t>λ</m:t>
              </m:r>
            </m:e>
            <m:sub>
              <m:r>
                <w:rPr>
                  <w:rFonts w:ascii="Cambria Math" w:hAnsi="Cambria Math"/>
                </w:rPr>
                <m:t>12</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exp⁡</m:t>
          </m:r>
          <m:d>
            <m:dPr>
              <m:ctrlPr>
                <w:rPr>
                  <w:rFonts w:ascii="Cambria Math" w:hAnsi="Cambria Math"/>
                  <w:i/>
                </w:rPr>
              </m:ctrlPr>
            </m:dPr>
            <m:e>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s2</m:t>
                  </m:r>
                </m:sup>
              </m:sSubSup>
              <m:sSub>
                <m:sSubPr>
                  <m:ctrlPr>
                    <w:rPr>
                      <w:rFonts w:ascii="Cambria Math" w:hAnsi="Cambria Math"/>
                      <w:i/>
                    </w:rPr>
                  </m:ctrlPr>
                </m:sSubPr>
                <m:e>
                  <m:r>
                    <w:rPr>
                      <w:rFonts w:ascii="Cambria Math" w:hAnsi="Cambria Math"/>
                    </w:rPr>
                    <m:t>I</m:t>
                  </m:r>
                </m:e>
                <m:sub>
                  <m:r>
                    <w:rPr>
                      <w:rFonts w:ascii="Cambria Math" w:hAnsi="Cambria Math"/>
                    </w:rPr>
                    <m:t>s2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s3</m:t>
                  </m:r>
                </m:sup>
              </m:sSubSup>
              <m:sSub>
                <m:sSubPr>
                  <m:ctrlPr>
                    <w:rPr>
                      <w:rFonts w:ascii="Cambria Math" w:hAnsi="Cambria Math"/>
                      <w:i/>
                    </w:rPr>
                  </m:ctrlPr>
                </m:sSubPr>
                <m:e>
                  <m:r>
                    <w:rPr>
                      <w:rFonts w:ascii="Cambria Math" w:hAnsi="Cambria Math"/>
                    </w:rPr>
                    <m:t>I</m:t>
                  </m:r>
                </m:e>
                <m:sub>
                  <m:r>
                    <w:rPr>
                      <w:rFonts w:ascii="Cambria Math" w:hAnsi="Cambria Math"/>
                    </w:rPr>
                    <m:t>s3</m:t>
                  </m:r>
                </m:sub>
              </m:sSub>
            </m:e>
          </m:d>
          <m:sSub>
            <m:sSubPr>
              <m:ctrlPr>
                <w:rPr>
                  <w:rFonts w:ascii="Cambria Math" w:hAnsi="Cambria Math"/>
                  <w:i/>
                </w:rPr>
              </m:ctrlPr>
            </m:sSubPr>
            <m:e>
              <m:r>
                <w:rPr>
                  <w:rFonts w:ascii="Cambria Math" w:hAnsi="Cambria Math"/>
                </w:rPr>
                <m:t>δ</m:t>
              </m:r>
            </m:e>
            <m:sub>
              <m:r>
                <w:rPr>
                  <w:rFonts w:ascii="Cambria Math" w:hAnsi="Cambria Math"/>
                </w:rPr>
                <m:t>12</m:t>
              </m:r>
            </m:sub>
          </m:sSub>
          <m:r>
            <w:rPr>
              <w:rFonts w:ascii="Cambria Math" w:hAnsi="Cambria Math"/>
            </w:rPr>
            <m:t>(t)</m:t>
          </m:r>
        </m:oMath>
      </m:oMathPara>
    </w:p>
    <w:p w14:paraId="51DDF84E" w14:textId="77777777" w:rsidR="008C1D76" w:rsidRPr="00C93121" w:rsidRDefault="008C1D76" w:rsidP="009B3BAA">
      <w:pPr>
        <w:spacing w:line="360" w:lineRule="auto"/>
      </w:pPr>
    </w:p>
    <w:p w14:paraId="4B8B9ECE" w14:textId="77777777" w:rsidR="008C1D76" w:rsidRPr="00C93121" w:rsidRDefault="008C1D76" w:rsidP="009B3BAA">
      <w:pPr>
        <w:spacing w:line="360" w:lineRule="auto"/>
      </w:pPr>
      <w:r w:rsidRPr="00C93121">
        <w:t xml:space="preserve">where </w:t>
      </w:r>
      <m:oMath>
        <m:sSub>
          <m:sSubPr>
            <m:ctrlPr>
              <w:rPr>
                <w:rFonts w:ascii="Cambria Math" w:hAnsi="Cambria Math"/>
                <w:i/>
              </w:rPr>
            </m:ctrlPr>
          </m:sSubPr>
          <m:e>
            <m:r>
              <w:rPr>
                <w:rFonts w:ascii="Cambria Math" w:hAnsi="Cambria Math"/>
              </w:rPr>
              <m:t>I</m:t>
            </m:r>
          </m:e>
          <m:sub>
            <m:r>
              <w:rPr>
                <w:rFonts w:ascii="Cambria Math" w:hAnsi="Cambria Math"/>
              </w:rPr>
              <m:t>s2</m:t>
            </m:r>
          </m:sub>
        </m:sSub>
      </m:oMath>
      <w:r w:rsidRPr="00C93121">
        <w:t xml:space="preserve"> is an indicator variable equal to 1 for stage 2 patients and 0 otherwise; similarly, </w:t>
      </w:r>
      <m:oMath>
        <m:sSub>
          <m:sSubPr>
            <m:ctrlPr>
              <w:rPr>
                <w:rFonts w:ascii="Cambria Math" w:hAnsi="Cambria Math"/>
                <w:i/>
              </w:rPr>
            </m:ctrlPr>
          </m:sSubPr>
          <m:e>
            <m:r>
              <w:rPr>
                <w:rFonts w:ascii="Cambria Math" w:hAnsi="Cambria Math"/>
              </w:rPr>
              <m:t>I</m:t>
            </m:r>
          </m:e>
          <m:sub>
            <m:r>
              <w:rPr>
                <w:rFonts w:ascii="Cambria Math" w:hAnsi="Cambria Math"/>
              </w:rPr>
              <m:t>s3</m:t>
            </m:r>
          </m:sub>
        </m:sSub>
      </m:oMath>
      <w:r w:rsidRPr="00C93121">
        <w:t xml:space="preserve"> is equal to 1 only for stage 3 patients. </w:t>
      </w:r>
    </w:p>
    <w:p w14:paraId="46580FD7" w14:textId="77777777" w:rsidR="008C1D76" w:rsidRPr="00C93121" w:rsidRDefault="008C1D76" w:rsidP="009B3BAA">
      <w:pPr>
        <w:spacing w:line="360" w:lineRule="auto"/>
      </w:pPr>
    </w:p>
    <w:p w14:paraId="3B647E20" w14:textId="79AEBA6A" w:rsidR="008C1D76" w:rsidRPr="00C93121" w:rsidRDefault="008C1D76" w:rsidP="009B3BAA">
      <w:pPr>
        <w:spacing w:line="360" w:lineRule="auto"/>
      </w:pPr>
      <w:r w:rsidRPr="00C93121">
        <w:lastRenderedPageBreak/>
        <w:t>Next</w:t>
      </w:r>
      <w:r w:rsidR="006337AA">
        <w:t>,</w:t>
      </w:r>
      <w:r w:rsidRPr="00C93121">
        <w:t xml:space="preserve"> we consider the transition from state 2 to state 3. The later a patient recurs after their initial surgery, the longer the time they will spend in state </w:t>
      </w:r>
      <w:r w:rsidR="00D117A4" w:rsidRPr="00C93121">
        <w:t>2.</w:t>
      </w:r>
      <w:r w:rsidR="00D117A4" w:rsidRPr="00C93121">
        <w:fldChar w:fldCharType="begin" w:fldLock="1"/>
      </w:r>
      <w:r w:rsidR="00C82D09">
        <w:instrText>ADDIN CSL_CITATION { "citationItems" : [ { "id" : "ITEM-1", "itemData" : { "DOI" : "10.1200/JCO.2007.15.8261", "ISBN" : "1527-7755 (Electronic)\r0732-183X (Linking)", "PMID" : "18467725", "abstract" : "PURPOSE: This study was undertaken to examine five possible prognostic factors in patients with recurrent stage II and III colon cancer: time from randomization on an adjuvant therapy clinical trial to tumor recurrence (&lt; 1 year, 1 to 2 years, 2 to 3 years, 3 to 4 years, &gt; 4 years), initial stage (II v III), initial adjuvant treatment (fluorouracil [FU]-based v surgery alone), the era in which the patient entered an adjuvant therapy clinical trial (1978 to 1985, 1986 to 1992, 1993 to 1999), and patient age at recurrence. METHODS: The Adjuvant Colon Cancer End Points (ACCENT) data set was analyzed using univariate and multivariate Cox proportional hazards models, stratified by study. RESULTS: 5,722 (32.9%) of 17,381 patients experienced recurrence. Median survival following recurrence was 13.3 months. Time from randomization to recurrence was highly prognostic of survival following recurrence (P &lt; .0001). Longer survival following recurrence was seen in patients with initial stage II versus III disease (P &lt; .0001; 14.3% 6-year overall survival after recurrence in initial stage II patients), patients entered more recently onto trials (P &lt; .0001), and patients initially treated with surgery alone versus FU adjuvant treatment (P = .0005). All relationships were maintained in multivariate models. CONCLUSION: Time from initial treatment to recurrence and initial stage are important prognostic factors in patients with recurrent colon cancer. Survival following recurrence increased modestly from 1978 to 1999. Patients who had a recurrence following adjuvant therapy had poorer prognosis than those who progressed after surgery alone. These prognostic factors may be useful for clinical trial design and treatment decisions in patients with recurrent colon cancer.", "author" : [ { "dropping-particle" : "", "family" : "O'Connell", "given" : "M J", "non-dropping-particle" : "", "parse-names" : false, "suffix" : "" }, { "dropping-particle" : "", "family" : "Campbell", "given" : "M E", "non-dropping-particle" : "", "parse-names" : false, "suffix" : "" }, { "dropping-particle" : "", "family" : "Goldberg", "given" : "R M", "non-dropping-particle" : "", "parse-names" : false, "suffix" : "" }, { "dropping-particle" : "", "family" : "Grothey", "given" : "A", "non-dropping-particle" : "", "parse-names" : false, "suffix" : "" }, { "dropping-particle" : "", "family" : "Seitz", "given" : "J F", "non-dropping-particle" : "", "parse-names" : false, "suffix" : "" }, { "dropping-particle" : "", "family" : "Benedetti", "given" : "J K", "non-dropping-particle" : "", "parse-names" : false, "suffix" : "" }, { "dropping-particle" : "", "family" : "Andre", "given" : "T", "non-dropping-particle" : "", "parse-names" : false, "suffix" : "" }, { "dropping-particle" : "", "family" : "Haller", "given" : "D G", "non-dropping-particle" : "", "parse-names" : false, "suffix" : "" }, { "dropping-particle" : "", "family" : "Sargent", "given" : "D J", "non-dropping-particle" : "", "parse-names" : false, "suffix" : "" } ], "container-title" : "Journal of Clinical Oncology", "edition" : "2008/05/10", "id" : "ITEM-1", "issue" : "14", "issued" : { "date-parts" : [ [ "2008" ] ] }, "language" : "eng", "note" : "O'Connell, Michael J\nCampbell, Megan E\nGoldberg, Richard M\nGrothey, Axel\nSeitz, Jean-Francois\nBenedetti, Jacqueline K\nAndre, Thierry\nHaller, Daniel G\nSargent, Daniel J\nU10CA-12027/CA/NCI NIH HHS/\nU10CA-37377/CA/NCI NIH HHS/\nU10CA-69651/CA/NCI NIH HHS/\nU10CA-69974/CA/NCI NIH HHS/\nJ Clin Oncol. 2008 May 10;26(14):2336-41.", "page" : "2336-2341", "title" : "Survival following recurrence in stage II and III colon cancer: findings from the ACCENT data set", "type" : "article-journal", "volume" : "26" }, "uris" : [ "http://www.mendeley.com/documents/?uuid=f0c200b5-e03f-4f1b-a407-f2b679f05a2b", "http://www.mendeley.com/documents/?uuid=d2b5aba7-7c09-47e5-a672-988c88aedd3d" ] } ], "mendeley" : { "formattedCitation" : "[38]", "plainTextFormattedCitation" : "[38]", "previouslyFormattedCitation" : "[38]" }, "properties" : { "noteIndex" : 0 }, "schema" : "https://github.com/citation-style-language/schema/raw/master/csl-citation.json" }</w:instrText>
      </w:r>
      <w:r w:rsidR="00D117A4" w:rsidRPr="00C93121">
        <w:fldChar w:fldCharType="separate"/>
      </w:r>
      <w:r w:rsidR="00C82D09" w:rsidRPr="00C82D09">
        <w:rPr>
          <w:noProof/>
        </w:rPr>
        <w:t>[38]</w:t>
      </w:r>
      <w:r w:rsidR="00D117A4" w:rsidRPr="00C93121">
        <w:fldChar w:fldCharType="end"/>
      </w:r>
      <w:r w:rsidR="00D117A4" w:rsidRPr="00C93121">
        <w:fldChar w:fldCharType="begin" w:fldLock="1"/>
      </w:r>
      <w:r w:rsidR="00C82D09">
        <w:instrText>ADDIN CSL_CITATION { "citationItems" : [ { "id" : "ITEM-1", "itemData" : { "DOI" : "10.1007/BF02552560", "ISBN" : "0012-3706 (Print)\r0012-3706 (Linking)", "PMID" : "3366020", "abstract" : "In this review of a collected series of patients undergoing hepatic resection for colorectal metastases, 100 patients were found to have survived greater than five years from the time of resection. Of these 100 long-term survivors, 71 remain disease-free through the last follow-up, 19 recurred prior to five years, and ten recurred after five years. Patient characteristics that may have contributed to survival were examined. Procedures performed included five trisegmentectomies, 32 lobectomies, 16 left lateral segmentectomies, and 45 wedge resections. The margin of resection was recorded in 27 patients, one of whom had a positive margin, nine of whom had a less than or equal to 1-cm margin, and 17 of whom had a greater than 1-cm margin. Eighty-one patients had a solitary metastasis to the liver, 11 patients had two metastases, one patient had three metastases, and four patients had four metastases. Thirty patients had Stage C primary carcinoma, 40 had Stage B primary carcinoma, and one had Stage A primary carcinoma. The disease-free interval from the time of colon resection to the time of liver resection was less than one year in 65 patients, and greater than one year in 34 patients. Three patients had bilobar metastases. Four of the patients had extrahepatic disease resected simultaneously with the liver resection. Though several contraindications to hepatic resection have been proposed in the past, five-year survival has been found in patients with extrahepatic disease resected simultaneously, patients with bilobar metastases, patients with multiple metastases, and patients with positive margins. Five-year disease-free survivors are also present in each of these subsets. It is concluded that five-year survival is possible in the presence of reported contraindications to resection, and therefore that the decision to resect the liver must be individualized.", "author" : [ { "dropping-particle" : "", "family" : "Hughes", "given" : "K S", "non-dropping-particle" : "", "parse-names" : false, "suffix" : "" }, { "dropping-particle" : "", "family" : "Rosenstein", "given" : "R B", "non-dropping-particle" : "", "parse-names" : false, "suffix" : "" }, { "dropping-particle" : "", "family" : "Songhorabodi", "given" : "S", "non-dropping-particle" : "", "parse-names" : false, "suffix" : "" }, { "dropping-particle" : "", "family" : "Adson", "given" : "M A", "non-dropping-particle" : "", "parse-names" : false, "suffix" : "" }, { "dropping-particle" : "", "family" : "Ilstrup", "given" : "D M", "non-dropping-particle" : "", "parse-names" : false, "suffix" : "" }, { "dropping-particle" : "", "family" : "Fortner", "given" : "J G", "non-dropping-particle" : "", "parse-names" : false, "suffix" : "" }, { "dropping-particle" : "", "family" : "Maclean", "given" : "B J", "non-dropping-particle" : "", "parse-names" : false, "suffix" : "" }, { "dropping-particle" : "", "family" : "Foster", "given" : "J H", "non-dropping-particle" : "", "parse-names" : false, "suffix" : "" }, { "dropping-particle" : "", "family" : "Daly", "given" : "J M", "non-dropping-particle" : "", "parse-names" : false, "suffix" : "" }, { "dropping-particle" : "", "family" : "Fitzherbert", "given" : "D", "non-dropping-particle" : "", "parse-names" : false, "suffix" : "" }, { "dropping-particle" : "", "family" : "et al.", "given" : "", "non-dropping-particle" : "", "parse-names" : false, "suffix" : "" } ], "container-title" : "Diseases of the Colon and Rectum", "edition" : "1988/01/01", "id" : "ITEM-1", "issue" : "1", "issued" : { "date-parts" : [ [ "1988" ] ] }, "language" : "eng", "note" : "Hughes, K S\nRosenstein, R B\nSonghorabodi, S\nAdson, M A\nIlstrup, D M\nFortner, J G\nMaclean, B J\nFoster, J H\nDaly, J M\nFitzherbert, D\nR01 DK029961-19/DK/NIDDK NIH HHS/\nDis Colon Rectum. 1988 Jan;31(1):1-4.", "page" : "1-4", "title" : "Resection of the liver for colorectal carcinoma metastases. A multi-institutional study of long-term survivors", "type" : "article-journal", "volume" : "31" }, "uris" : [ "http://www.mendeley.com/documents/?uuid=eef01baa-ea87-42ee-85d6-f4b13a13bf3b", "http://www.mendeley.com/documents/?uuid=2653c5fc-98e2-4f58-a6d3-db9171e50e75" ] } ], "mendeley" : { "formattedCitation" : "[39]", "plainTextFormattedCitation" : "[39]", "previouslyFormattedCitation" : "[39]" }, "properties" : { "noteIndex" : 0 }, "schema" : "https://github.com/citation-style-language/schema/raw/master/csl-citation.json" }</w:instrText>
      </w:r>
      <w:r w:rsidR="00D117A4" w:rsidRPr="00C93121">
        <w:fldChar w:fldCharType="separate"/>
      </w:r>
      <w:r w:rsidR="00C82D09" w:rsidRPr="00C82D09">
        <w:rPr>
          <w:noProof/>
        </w:rPr>
        <w:t>[39]</w:t>
      </w:r>
      <w:r w:rsidR="00D117A4" w:rsidRPr="00C93121">
        <w:fldChar w:fldCharType="end"/>
      </w:r>
      <w:r w:rsidR="00D117A4" w:rsidRPr="00C93121">
        <w:fldChar w:fldCharType="begin" w:fldLock="1"/>
      </w:r>
      <w:r w:rsidR="00C82D09">
        <w:instrText>ADDIN CSL_CITATION { "citationItems" : [ { "id" : "ITEM-1", "itemData" : { "ISBN" : "0008-428X (Print)\r0008-428X (Linking)", "PMID" : "3779547", "abstract" : "Hepatic resection for metastatic disease is reviewed in 30 patients (mean age 58.9 years). The primary site was the colorectum in 25; the other primary tumours were leiomyosarcoma, plasmacytoma, and adenocarcinoma (all of gastric origin), ocular melanoma and an unknown primary. Operative procedures included 7 wedge resections, 5 segmentectomies and 21 lobectomies (11 right, 4 extended right and 6 left). Major complications in seven patients included intraoperative hemorrhage in three, two of whom died, bile-duct injury in two, small-bowel infarction in one and cerebrovascular accident in one. Operative death rate was 6.7% (2 of 30). Thirteen patients were alive and free of disease a mean of 24 months after hepatic resection while 5 more were alive with disease at a mean of 36.9 months. Life-table analysis projected a 5-year survival of 50.3% for those with colorectal primaries, with no apparent difference in survival between patients with single (55.0%) and multiple (54.0%) metastases. Improved survival was projected for patients with metachronous (66.6%) versus synchronous (45.0%) tumours, primary Dukes' class A or B (66.1%) versus Dukes' class C (46.0%) tumours and those having wedge resection or segmentectomy (66.6%) versus lobectomy or extended lobectomy (48.0%). Hepatic resection for metastatic disease can be done with acceptable morbidity and mortality and the expectation of substantially prolonged survival particularly in patients with metachronous lesions or Dukes's A or B colorectal primary lesions.", "author" : [ { "dropping-particle" : "", "family" : "Olak", "given" : "J", "non-dropping-particle" : "", "parse-names" : false, "suffix" : "" }, { "dropping-particle" : "", "family" : "Wexler", "given" : "M J", "non-dropping-particle" : "", "parse-names" : false, "suffix" : "" }, { "dropping-particle" : "", "family" : "Rodriguez", "given" : "J", "non-dropping-particle" : "", "parse-names" : false, "suffix" : "" }, { "dropping-particle" : "", "family" : "McLean", "given" : "A P", "non-dropping-particle" : "", "parse-names" : false, "suffix" : "" } ], "container-title" : "Canadian Journal of Surgery", "edition" : "1986/11/01", "id" : "ITEM-1", "issue" : "6", "issued" : { "date-parts" : [ [ "1986" ] ] }, "language" : "eng", "note" : "Olak, J\nWexler, M J\nRodriguez, J\nMcLean, A P\nCANADA\nCan J Surg. 1986 Nov;29(6):435-9.", "page" : "435-439", "title" : "Hepatic resection for metastatic disease", "type" : "article-journal", "volume" : "29" }, "uris" : [ "http://www.mendeley.com/documents/?uuid=dc5a354d-4066-49b3-9c0a-26f79221a217", "http://www.mendeley.com/documents/?uuid=e33d0b5e-83df-45b8-8f62-a866f7f0fce8" ] } ], "mendeley" : { "formattedCitation" : "[40]", "plainTextFormattedCitation" : "[40]", "previouslyFormattedCitation" : "[40]" }, "properties" : { "noteIndex" : 0 }, "schema" : "https://github.com/citation-style-language/schema/raw/master/csl-citation.json" }</w:instrText>
      </w:r>
      <w:r w:rsidR="00D117A4" w:rsidRPr="00C93121">
        <w:fldChar w:fldCharType="separate"/>
      </w:r>
      <w:r w:rsidR="00C82D09" w:rsidRPr="00C82D09">
        <w:rPr>
          <w:noProof/>
        </w:rPr>
        <w:t>[40]</w:t>
      </w:r>
      <w:r w:rsidR="00D117A4" w:rsidRPr="00C93121">
        <w:fldChar w:fldCharType="end"/>
      </w:r>
      <w:r w:rsidR="00D117A4" w:rsidRPr="00C93121">
        <w:fldChar w:fldCharType="begin" w:fldLock="1"/>
      </w:r>
      <w:r w:rsidR="00C82D09">
        <w:instrText>ADDIN CSL_CITATION { "citationItems" : [ { "id" : "ITEM-1", "itemData" : { "DOI" : "10.1016/S0002-9610(85)80065-9", "ISBN" : "0002-9610 (Print)\r0002-9610 (Linking)", "PMID" : "3970316", "abstract" : "Surgical results were analyzed in 36 patients who had undergone hepatic resection for metastases from colorectal carcinoma. Survival was not altered by the type of surgical resection nor in the presence of solitary compared with multiple lesions. No difference in survival from the time of liver resection was noted in patients staged as Dukes' B and Dukes' C (metachronous liver metastasis) in comparison to patients who presented with synchronous liver metastases. Overall median survival was 22 months with no 5 year survivors to date. There is a tendency for recurrence to occur in extrahepatic sites, which emphasizes the need for an effective chemotherapeutic agent.", "author" : [ { "dropping-particle" : "", "family" : "Petrelli", "given" : "N J", "non-dropping-particle" : "", "parse-names" : false, "suffix" : "" }, { "dropping-particle" : "", "family" : "Nambisan", "given" : "R N", "non-dropping-particle" : "", "parse-names" : false, "suffix" : "" }, { "dropping-particle" : "", "family" : "Herrera", "given" : "L", "non-dropping-particle" : "", "parse-names" : false, "suffix" : "" }, { "dropping-particle" : "", "family" : "Mittelman", "given" : "A", "non-dropping-particle" : "", "parse-names" : false, "suffix" : "" } ], "container-title" : "American Journal of Surgery", "edition" : "1985/02/01", "id" : "ITEM-1", "issue" : "2", "issued" : { "date-parts" : [ [ "1985" ] ] }, "language" : "eng", "note" : "Petrelli, N J\nNambisan, R N\nHerrera, L\nMittelman, A\nAm J Surg. 1985 Feb;149(2):205-9.", "page" : "205-209", "title" : "Hepatic resection for isolated metastasis from colorectal carcinoma", "type" : "article-journal", "volume" : "149" }, "uris" : [ "http://www.mendeley.com/documents/?uuid=99c1665d-4db0-4575-bf6b-0dd1e87ccfc8", "http://www.mendeley.com/documents/?uuid=a6968b2b-d77b-4261-a759-b005ce1c631f" ] } ], "mendeley" : { "formattedCitation" : "[41]", "plainTextFormattedCitation" : "[41]", "previouslyFormattedCitation" : "[41]" }, "properties" : { "noteIndex" : 0 }, "schema" : "https://github.com/citation-style-language/schema/raw/master/csl-citation.json" }</w:instrText>
      </w:r>
      <w:r w:rsidR="00D117A4" w:rsidRPr="00C93121">
        <w:fldChar w:fldCharType="separate"/>
      </w:r>
      <w:r w:rsidR="00C82D09" w:rsidRPr="00C82D09">
        <w:rPr>
          <w:noProof/>
        </w:rPr>
        <w:t>[41]</w:t>
      </w:r>
      <w:r w:rsidR="00D117A4" w:rsidRPr="00C93121">
        <w:fldChar w:fldCharType="end"/>
      </w:r>
      <w:r w:rsidR="00D117A4" w:rsidRPr="00C93121">
        <w:t xml:space="preserve"> </w:t>
      </w:r>
      <w:r w:rsidRPr="00C93121">
        <w:t xml:space="preserve"> Thus, we model this transition with a </w:t>
      </w:r>
      <w:r w:rsidR="00A97807" w:rsidRPr="00C93121">
        <w:t>declining</w:t>
      </w:r>
      <w:r w:rsidRPr="00C93121">
        <w:t xml:space="preserve"> hazard; as before, we choose a Weibull hazard, so that</w:t>
      </w:r>
    </w:p>
    <w:p w14:paraId="1947755B" w14:textId="77777777" w:rsidR="008C1D76" w:rsidRPr="00C93121" w:rsidRDefault="008C1D76" w:rsidP="009B3BAA">
      <w:pPr>
        <w:spacing w:line="360" w:lineRule="auto"/>
      </w:pPr>
    </w:p>
    <w:p w14:paraId="656DF4D4" w14:textId="77777777" w:rsidR="008C1D76" w:rsidRPr="00C93121" w:rsidRDefault="005E148A" w:rsidP="009B3BAA">
      <w:pPr>
        <w:spacing w:line="360" w:lineRule="auto"/>
      </w:pPr>
      <m:oMathPara>
        <m:oMath>
          <m:sSub>
            <m:sSubPr>
              <m:ctrlPr>
                <w:rPr>
                  <w:rFonts w:ascii="Cambria Math" w:hAnsi="Cambria Math"/>
                  <w:i/>
                </w:rPr>
              </m:ctrlPr>
            </m:sSubPr>
            <m:e>
              <m:r>
                <w:rPr>
                  <w:rFonts w:ascii="Cambria Math" w:hAnsi="Cambria Math"/>
                </w:rPr>
                <m:t>λ</m:t>
              </m:r>
            </m:e>
            <m:sub>
              <m:r>
                <w:rPr>
                  <w:rFonts w:ascii="Cambria Math" w:hAnsi="Cambria Math"/>
                </w:rPr>
                <m:t>23</m:t>
              </m:r>
            </m:sub>
          </m:sSub>
          <m:d>
            <m:dPr>
              <m:ctrlPr>
                <w:rPr>
                  <w:rFonts w:ascii="Cambria Math" w:hAnsi="Cambria Math"/>
                  <w:i/>
                </w:rPr>
              </m:ctrlPr>
            </m:dPr>
            <m:e>
              <m:r>
                <w:rPr>
                  <w:rFonts w:ascii="Cambria Math" w:hAnsi="Cambria Math"/>
                </w:rPr>
                <m:t>t</m:t>
              </m:r>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γ</m:t>
                  </m:r>
                </m:e>
                <m:sub>
                  <m:r>
                    <w:rPr>
                      <w:rFonts w:ascii="Cambria Math" w:hAnsi="Cambria Math"/>
                    </w:rPr>
                    <m:t>23</m:t>
                  </m:r>
                </m:sub>
              </m:sSub>
            </m:num>
            <m:den>
              <m:sSub>
                <m:sSubPr>
                  <m:ctrlPr>
                    <w:rPr>
                      <w:rFonts w:ascii="Cambria Math" w:hAnsi="Cambria Math"/>
                      <w:i/>
                    </w:rPr>
                  </m:ctrlPr>
                </m:sSubPr>
                <m:e>
                  <m:r>
                    <w:rPr>
                      <w:rFonts w:ascii="Cambria Math" w:hAnsi="Cambria Math"/>
                    </w:rPr>
                    <m:t>α</m:t>
                  </m:r>
                </m:e>
                <m:sub>
                  <m:r>
                    <w:rPr>
                      <w:rFonts w:ascii="Cambria Math" w:hAnsi="Cambria Math"/>
                    </w:rPr>
                    <m:t>23</m:t>
                  </m:r>
                </m:sub>
              </m:sSub>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α</m:t>
                          </m:r>
                        </m:e>
                        <m:sub>
                          <m:r>
                            <w:rPr>
                              <w:rFonts w:ascii="Cambria Math" w:hAnsi="Cambria Math"/>
                            </w:rPr>
                            <m:t>23</m:t>
                          </m:r>
                        </m:sub>
                      </m:sSub>
                    </m:den>
                  </m:f>
                </m:e>
              </m:d>
            </m:e>
            <m:sup>
              <m:sSub>
                <m:sSubPr>
                  <m:ctrlPr>
                    <w:rPr>
                      <w:rFonts w:ascii="Cambria Math" w:hAnsi="Cambria Math"/>
                      <w:i/>
                    </w:rPr>
                  </m:ctrlPr>
                </m:sSubPr>
                <m:e>
                  <m:r>
                    <w:rPr>
                      <w:rFonts w:ascii="Cambria Math" w:hAnsi="Cambria Math"/>
                    </w:rPr>
                    <m:t>γ</m:t>
                  </m:r>
                </m:e>
                <m:sub>
                  <m:r>
                    <w:rPr>
                      <w:rFonts w:ascii="Cambria Math" w:hAnsi="Cambria Math"/>
                    </w:rPr>
                    <m:t>23</m:t>
                  </m:r>
                </m:sub>
              </m:sSub>
              <m:r>
                <w:rPr>
                  <w:rFonts w:ascii="Cambria Math" w:hAnsi="Cambria Math"/>
                </w:rPr>
                <m:t>-1</m:t>
              </m:r>
            </m:sup>
          </m:sSup>
          <m:r>
            <w:rPr>
              <w:rFonts w:ascii="Cambria Math" w:hAnsi="Cambria Math"/>
            </w:rPr>
            <m:t>,</m:t>
          </m:r>
        </m:oMath>
      </m:oMathPara>
    </w:p>
    <w:p w14:paraId="465661E0" w14:textId="77777777" w:rsidR="008C1D76" w:rsidRPr="00C93121" w:rsidRDefault="008C1D76" w:rsidP="009B3BAA">
      <w:pPr>
        <w:spacing w:line="360" w:lineRule="auto"/>
      </w:pPr>
    </w:p>
    <w:p w14:paraId="7AF5A7B0" w14:textId="77777777" w:rsidR="008C1D76" w:rsidRPr="00C93121" w:rsidRDefault="008C1D76" w:rsidP="009B3BAA">
      <w:pPr>
        <w:spacing w:line="360" w:lineRule="auto"/>
      </w:pPr>
      <w:r w:rsidRPr="00C93121">
        <w:t xml:space="preserve">where </w:t>
      </w:r>
      <m:oMath>
        <m:r>
          <w:rPr>
            <w:rFonts w:ascii="Cambria Math" w:hAnsi="Cambria Math"/>
          </w:rPr>
          <m:t>t</m:t>
        </m:r>
      </m:oMath>
      <w:r w:rsidRPr="00C93121">
        <w:t xml:space="preserve"> is the time since initial surgery.</w:t>
      </w:r>
    </w:p>
    <w:p w14:paraId="3D2EF88F" w14:textId="77777777" w:rsidR="008C1D76" w:rsidRPr="00C93121" w:rsidRDefault="008C1D76" w:rsidP="009B3BAA">
      <w:pPr>
        <w:spacing w:line="360" w:lineRule="auto"/>
      </w:pPr>
    </w:p>
    <w:p w14:paraId="4E0255E6" w14:textId="77777777" w:rsidR="008C1D76" w:rsidRPr="00C93121" w:rsidRDefault="008C1D76" w:rsidP="009B3BAA">
      <w:pPr>
        <w:spacing w:line="360" w:lineRule="auto"/>
      </w:pPr>
      <w:r w:rsidRPr="00C93121">
        <w:t xml:space="preserve">Consider next the transitions from states 1 and 2 to state 4. These transitions both represent death from other causes; thus we assume that </w:t>
      </w:r>
      <m:oMath>
        <m:sSub>
          <m:sSubPr>
            <m:ctrlPr>
              <w:rPr>
                <w:rFonts w:ascii="Cambria Math" w:hAnsi="Cambria Math"/>
                <w:i/>
              </w:rPr>
            </m:ctrlPr>
          </m:sSubPr>
          <m:e>
            <m:r>
              <w:rPr>
                <w:rFonts w:ascii="Cambria Math" w:hAnsi="Cambria Math"/>
              </w:rPr>
              <m:t>λ</m:t>
            </m:r>
          </m:e>
          <m:sub>
            <m:r>
              <w:rPr>
                <w:rFonts w:ascii="Cambria Math" w:hAnsi="Cambria Math"/>
              </w:rPr>
              <m:t>14</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24</m:t>
            </m:r>
          </m:sub>
        </m:sSub>
        <m:d>
          <m:dPr>
            <m:ctrlPr>
              <w:rPr>
                <w:rFonts w:ascii="Cambria Math" w:hAnsi="Cambria Math"/>
                <w:i/>
              </w:rPr>
            </m:ctrlPr>
          </m:dPr>
          <m:e>
            <m:r>
              <w:rPr>
                <w:rFonts w:ascii="Cambria Math" w:hAnsi="Cambria Math"/>
              </w:rPr>
              <m:t>t</m:t>
            </m:r>
          </m:e>
        </m:d>
      </m:oMath>
      <w:r w:rsidRPr="00C93121">
        <w:t>. Moreover, we use a constant hazard with a covariate for age to model these transitions,</w:t>
      </w:r>
    </w:p>
    <w:p w14:paraId="4AA62B20" w14:textId="77777777" w:rsidR="008C1D76" w:rsidRPr="00C93121" w:rsidRDefault="008C1D76" w:rsidP="009B3BAA">
      <w:pPr>
        <w:spacing w:line="360" w:lineRule="auto"/>
      </w:pPr>
    </w:p>
    <w:p w14:paraId="63D14AE8" w14:textId="77777777" w:rsidR="008C1D76" w:rsidRPr="00C93121" w:rsidRDefault="005E148A" w:rsidP="009B3BAA">
      <w:pPr>
        <w:spacing w:line="360" w:lineRule="auto"/>
        <w:jc w:val="center"/>
      </w:pPr>
      <m:oMathPara>
        <m:oMath>
          <m:sSub>
            <m:sSubPr>
              <m:ctrlPr>
                <w:rPr>
                  <w:rFonts w:ascii="Cambria Math" w:hAnsi="Cambria Math"/>
                  <w:i/>
                </w:rPr>
              </m:ctrlPr>
            </m:sSubPr>
            <m:e>
              <m:r>
                <w:rPr>
                  <w:rFonts w:ascii="Cambria Math" w:hAnsi="Cambria Math"/>
                </w:rPr>
                <m:t>λ</m:t>
              </m:r>
            </m:e>
            <m:sub>
              <m:r>
                <w:rPr>
                  <w:rFonts w:ascii="Cambria Math" w:hAnsi="Cambria Math"/>
                </w:rPr>
                <m:t>14</m:t>
              </m:r>
            </m:sub>
          </m:sSub>
          <m:d>
            <m:dPr>
              <m:ctrlPr>
                <w:rPr>
                  <w:rFonts w:ascii="Cambria Math" w:hAnsi="Cambria Math"/>
                  <w:i/>
                </w:rPr>
              </m:ctrlPr>
            </m:dPr>
            <m:e>
              <m:r>
                <w:rPr>
                  <w:rFonts w:ascii="Cambria Math" w:hAnsi="Cambria Math"/>
                </w:rPr>
                <m:t>t</m:t>
              </m:r>
            </m:e>
          </m:d>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14</m:t>
                      </m:r>
                    </m:sub>
                  </m:sSub>
                  <m:r>
                    <w:rPr>
                      <w:rFonts w:ascii="Cambria Math" w:hAnsi="Cambria Math"/>
                    </w:rPr>
                    <m:t>(age)</m:t>
                  </m:r>
                </m:e>
              </m:d>
            </m:e>
          </m:func>
          <m:sSub>
            <m:sSubPr>
              <m:ctrlPr>
                <w:rPr>
                  <w:rFonts w:ascii="Cambria Math" w:hAnsi="Cambria Math"/>
                  <w:i/>
                </w:rPr>
              </m:ctrlPr>
            </m:sSubPr>
            <m:e>
              <m:r>
                <w:rPr>
                  <w:rFonts w:ascii="Cambria Math" w:hAnsi="Cambria Math"/>
                </w:rPr>
                <m:t>α</m:t>
              </m:r>
            </m:e>
            <m:sub>
              <m:r>
                <w:rPr>
                  <w:rFonts w:ascii="Cambria Math" w:hAnsi="Cambria Math"/>
                </w:rPr>
                <m:t>14</m:t>
              </m:r>
            </m:sub>
          </m:sSub>
          <m:r>
            <w:rPr>
              <w:rFonts w:ascii="Cambria Math" w:hAnsi="Cambria Math"/>
            </w:rPr>
            <m:t>,</m:t>
          </m:r>
        </m:oMath>
      </m:oMathPara>
    </w:p>
    <w:p w14:paraId="6F338FC7" w14:textId="77777777" w:rsidR="008C1D76" w:rsidRPr="00C93121" w:rsidRDefault="008C1D76" w:rsidP="009B3BAA">
      <w:pPr>
        <w:spacing w:line="360" w:lineRule="auto"/>
      </w:pPr>
    </w:p>
    <w:p w14:paraId="281FBBE8" w14:textId="77777777" w:rsidR="008C1D76" w:rsidRPr="00C93121" w:rsidRDefault="008C1D76" w:rsidP="009B3BAA">
      <w:pPr>
        <w:spacing w:line="360" w:lineRule="auto"/>
      </w:pPr>
      <w:r w:rsidRPr="00C93121">
        <w:t xml:space="preserve">where </w:t>
      </w:r>
      <m:oMath>
        <m:sSub>
          <m:sSubPr>
            <m:ctrlPr>
              <w:rPr>
                <w:rFonts w:ascii="Cambria Math" w:hAnsi="Cambria Math"/>
                <w:i/>
              </w:rPr>
            </m:ctrlPr>
          </m:sSubPr>
          <m:e>
            <m:r>
              <w:rPr>
                <w:rFonts w:ascii="Cambria Math" w:hAnsi="Cambria Math"/>
              </w:rPr>
              <m:t>α</m:t>
            </m:r>
          </m:e>
          <m:sub>
            <m:r>
              <w:rPr>
                <w:rFonts w:ascii="Cambria Math" w:hAnsi="Cambria Math"/>
              </w:rPr>
              <m:t>14</m:t>
            </m:r>
          </m:sub>
        </m:sSub>
      </m:oMath>
      <w:r w:rsidRPr="00C93121">
        <w:t xml:space="preserve"> is a constant rate. Lastly, we consider the transition from state 3 to state 4. A patient can make this transition by dying from other causes or by dying from cancer. Thus, we assume that </w:t>
      </w:r>
      <m:oMath>
        <m:sSub>
          <m:sSubPr>
            <m:ctrlPr>
              <w:rPr>
                <w:rFonts w:ascii="Cambria Math" w:hAnsi="Cambria Math"/>
                <w:i/>
              </w:rPr>
            </m:ctrlPr>
          </m:sSubPr>
          <m:e>
            <m:r>
              <w:rPr>
                <w:rFonts w:ascii="Cambria Math" w:hAnsi="Cambria Math"/>
              </w:rPr>
              <m:t>λ</m:t>
            </m:r>
          </m:e>
          <m:sub>
            <m:r>
              <w:rPr>
                <w:rFonts w:ascii="Cambria Math" w:hAnsi="Cambria Math"/>
              </w:rPr>
              <m:t>34</m:t>
            </m:r>
          </m:sub>
        </m:sSub>
        <m:r>
          <w:rPr>
            <w:rFonts w:ascii="Cambria Math" w:hAnsi="Cambria Math"/>
          </w:rPr>
          <m:t>(t)</m:t>
        </m:r>
      </m:oMath>
      <w:r w:rsidRPr="00C93121">
        <w:t xml:space="preserve"> has the form,</w:t>
      </w:r>
    </w:p>
    <w:p w14:paraId="64787B6F" w14:textId="77777777" w:rsidR="008C1D76" w:rsidRPr="00C93121" w:rsidRDefault="008C1D76" w:rsidP="009B3BAA">
      <w:pPr>
        <w:spacing w:line="360" w:lineRule="auto"/>
      </w:pPr>
    </w:p>
    <w:p w14:paraId="7D244E73" w14:textId="77777777" w:rsidR="008C1D76" w:rsidRPr="00C93121" w:rsidRDefault="005E148A" w:rsidP="009B3BAA">
      <w:pPr>
        <w:spacing w:line="360" w:lineRule="auto"/>
      </w:pPr>
      <m:oMathPara>
        <m:oMath>
          <m:sSub>
            <m:sSubPr>
              <m:ctrlPr>
                <w:rPr>
                  <w:rFonts w:ascii="Cambria Math" w:hAnsi="Cambria Math"/>
                  <w:i/>
                </w:rPr>
              </m:ctrlPr>
            </m:sSubPr>
            <m:e>
              <m:r>
                <w:rPr>
                  <w:rFonts w:ascii="Cambria Math" w:hAnsi="Cambria Math"/>
                </w:rPr>
                <m:t>λ</m:t>
              </m:r>
            </m:e>
            <m:sub>
              <m:r>
                <w:rPr>
                  <w:rFonts w:ascii="Cambria Math" w:hAnsi="Cambria Math"/>
                </w:rPr>
                <m:t>34</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34</m:t>
              </m:r>
            </m:sub>
          </m:sSub>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14</m:t>
                      </m:r>
                    </m:sub>
                  </m:sSub>
                  <m:r>
                    <w:rPr>
                      <w:rFonts w:ascii="Cambria Math" w:hAnsi="Cambria Math"/>
                    </w:rPr>
                    <m:t>(age)</m:t>
                  </m:r>
                </m:e>
              </m:d>
            </m:e>
          </m:func>
          <m:sSub>
            <m:sSubPr>
              <m:ctrlPr>
                <w:rPr>
                  <w:rFonts w:ascii="Cambria Math" w:hAnsi="Cambria Math"/>
                  <w:i/>
                </w:rPr>
              </m:ctrlPr>
            </m:sSubPr>
            <m:e>
              <m:r>
                <w:rPr>
                  <w:rFonts w:ascii="Cambria Math" w:hAnsi="Cambria Math"/>
                </w:rPr>
                <m:t>α</m:t>
              </m:r>
            </m:e>
            <m:sub>
              <m:r>
                <w:rPr>
                  <w:rFonts w:ascii="Cambria Math" w:hAnsi="Cambria Math"/>
                </w:rPr>
                <m:t>14</m:t>
              </m:r>
            </m:sub>
          </m:sSub>
          <m:r>
            <w:rPr>
              <w:rFonts w:ascii="Cambria Math" w:hAnsi="Cambria Math"/>
            </w:rPr>
            <m:t>,</m:t>
          </m:r>
        </m:oMath>
      </m:oMathPara>
    </w:p>
    <w:p w14:paraId="74E29F04" w14:textId="77777777" w:rsidR="008C1D76" w:rsidRPr="00C93121" w:rsidRDefault="008C1D76" w:rsidP="009B3BAA">
      <w:pPr>
        <w:spacing w:line="360" w:lineRule="auto"/>
      </w:pPr>
    </w:p>
    <w:p w14:paraId="34FB456E" w14:textId="77777777" w:rsidR="008C1D76" w:rsidRPr="00C93121" w:rsidRDefault="008C1D76" w:rsidP="009B3BAA">
      <w:pPr>
        <w:spacing w:line="360" w:lineRule="auto"/>
      </w:pPr>
      <w:r w:rsidRPr="00C93121">
        <w:t xml:space="preserve">where </w:t>
      </w:r>
      <m:oMath>
        <m:sSub>
          <m:sSubPr>
            <m:ctrlPr>
              <w:rPr>
                <w:rFonts w:ascii="Cambria Math" w:hAnsi="Cambria Math"/>
                <w:i/>
              </w:rPr>
            </m:ctrlPr>
          </m:sSubPr>
          <m:e>
            <m:r>
              <w:rPr>
                <w:rFonts w:ascii="Cambria Math" w:hAnsi="Cambria Math"/>
              </w:rPr>
              <m:t>α</m:t>
            </m:r>
          </m:e>
          <m:sub>
            <m:r>
              <w:rPr>
                <w:rFonts w:ascii="Cambria Math" w:hAnsi="Cambria Math"/>
              </w:rPr>
              <m:t>34</m:t>
            </m:r>
          </m:sub>
        </m:sSub>
      </m:oMath>
      <w:r w:rsidRPr="00C93121">
        <w:t xml:space="preserve">  is the (assumed) constant hazard of death from cancer. We then must estimate the set of natural history parameters </w:t>
      </w:r>
      <m:oMath>
        <m:r>
          <w:rPr>
            <w:rFonts w:ascii="Cambria Math" w:hAnsi="Cambria Math"/>
          </w:rPr>
          <m:t xml:space="preserve">θ=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α</m:t>
                </m:r>
              </m:e>
              <m:sub>
                <m:r>
                  <w:rPr>
                    <w:rFonts w:ascii="Cambria Math" w:hAnsi="Cambria Math"/>
                  </w:rPr>
                  <m:t>12</m:t>
                </m:r>
              </m:sub>
              <m:sup>
                <m:r>
                  <w:rPr>
                    <w:rFonts w:ascii="Cambria Math" w:hAnsi="Cambria Math"/>
                  </w:rPr>
                  <m:t>(1)</m:t>
                </m:r>
              </m:sup>
            </m:sSubSup>
            <m:r>
              <w:rPr>
                <w:rFonts w:ascii="Cambria Math" w:hAnsi="Cambria Math"/>
              </w:rPr>
              <m:t xml:space="preserve">,  </m:t>
            </m:r>
            <m:sSubSup>
              <m:sSubSupPr>
                <m:ctrlPr>
                  <w:rPr>
                    <w:rFonts w:ascii="Cambria Math" w:hAnsi="Cambria Math"/>
                    <w:i/>
                  </w:rPr>
                </m:ctrlPr>
              </m:sSubSupPr>
              <m:e>
                <m:r>
                  <w:rPr>
                    <w:rFonts w:ascii="Cambria Math" w:hAnsi="Cambria Math"/>
                  </w:rPr>
                  <m:t>γ</m:t>
                </m:r>
              </m:e>
              <m:sub>
                <m:r>
                  <w:rPr>
                    <w:rFonts w:ascii="Cambria Math" w:hAnsi="Cambria Math"/>
                  </w:rPr>
                  <m:t>12</m:t>
                </m:r>
              </m:sub>
              <m:sup>
                <m:r>
                  <w:rPr>
                    <w:rFonts w:ascii="Cambria Math" w:hAnsi="Cambria Math"/>
                  </w:rPr>
                  <m:t>(1)</m:t>
                </m:r>
              </m:sup>
            </m:sSubSup>
            <m:r>
              <w:rPr>
                <w:rFonts w:ascii="Cambria Math" w:hAnsi="Cambria Math"/>
              </w:rPr>
              <m:t xml:space="preserve">,  </m:t>
            </m:r>
            <m:sSubSup>
              <m:sSubSupPr>
                <m:ctrlPr>
                  <w:rPr>
                    <w:rFonts w:ascii="Cambria Math" w:hAnsi="Cambria Math"/>
                    <w:i/>
                  </w:rPr>
                </m:ctrlPr>
              </m:sSubSupPr>
              <m:e>
                <m:r>
                  <w:rPr>
                    <w:rFonts w:ascii="Cambria Math" w:hAnsi="Cambria Math"/>
                  </w:rPr>
                  <m:t>α</m:t>
                </m:r>
              </m:e>
              <m:sub>
                <m:r>
                  <w:rPr>
                    <w:rFonts w:ascii="Cambria Math" w:hAnsi="Cambria Math"/>
                  </w:rPr>
                  <m:t>12</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γ</m:t>
                </m:r>
              </m:e>
              <m:sub>
                <m:r>
                  <w:rPr>
                    <w:rFonts w:ascii="Cambria Math" w:hAnsi="Cambria Math"/>
                  </w:rPr>
                  <m:t>12</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s2</m:t>
                </m:r>
              </m:sup>
            </m:sSubSup>
            <m:r>
              <w:rPr>
                <w:rFonts w:ascii="Cambria Math" w:hAnsi="Cambria Math"/>
              </w:rPr>
              <m:t xml:space="preserve">,  </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s3</m:t>
                </m:r>
              </m:sup>
            </m:sSubSup>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23</m:t>
                </m:r>
              </m:sub>
            </m:sSub>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23</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14</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14</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34</m:t>
                </m:r>
              </m:sub>
            </m:sSub>
          </m:e>
        </m:d>
      </m:oMath>
      <w:r w:rsidRPr="00C93121">
        <w:t xml:space="preserve"> from the </w:t>
      </w:r>
      <w:r w:rsidR="00AD2416" w:rsidRPr="00C93121">
        <w:t xml:space="preserve">COST Trial </w:t>
      </w:r>
      <w:r w:rsidRPr="00C93121">
        <w:t xml:space="preserve">data. </w:t>
      </w:r>
    </w:p>
    <w:p w14:paraId="26A352DF" w14:textId="77777777" w:rsidR="008C1D76" w:rsidRPr="00C93121" w:rsidRDefault="008C1D76" w:rsidP="009B3BAA">
      <w:pPr>
        <w:spacing w:line="360" w:lineRule="auto"/>
      </w:pPr>
    </w:p>
    <w:p w14:paraId="62AEFA8B" w14:textId="27F8643A" w:rsidR="008C1D76" w:rsidRPr="00C93121" w:rsidRDefault="0062497E" w:rsidP="009B3BAA">
      <w:pPr>
        <w:spacing w:line="360" w:lineRule="auto"/>
      </w:pPr>
      <w:r w:rsidRPr="00C93121">
        <w:lastRenderedPageBreak/>
        <w:t>Note that in Castelli et al</w:t>
      </w:r>
      <w:r w:rsidR="008C1D76" w:rsidRPr="00C93121">
        <w:fldChar w:fldCharType="begin" w:fldLock="1"/>
      </w:r>
      <w:r w:rsidR="00C82D09">
        <w:instrText>ADDIN CSL_CITATION { "citationItems" : [ { "id" : "ITEM-1", "itemData" : { "author" : [ { "dropping-particle" : "", "family" : "Castelli", "given" : "Christel", "non-dropping-particle" : "", "parse-names" : false, "suffix" : "" }, { "dropping-particle" : "", "family" : "Combescure", "given" : "Christophe", "non-dropping-particle" : "", "parse-names" : false, "suffix" : "" }, { "dropping-particle" : "", "family" : "Foucher", "given" : "Yohann", "non-dropping-particle" : "", "parse-names" : false, "suffix" : "" }, { "dropping-particle" : "", "family" : "Daures", "given" : "Jean-Pierre", "non-dropping-particle" : "", "parse-names" : false, "suffix" : "" } ], "container-title" : "Statistics in medicine", "id" : "ITEM-1", "issue" : "30", "issued" : { "date-parts" : [ [ "2007" ] ] }, "page" : "5557-5571", "title" : "Cost-effectiveness analysis in colorectal cancer using a semi-Markov model", "type" : "article-journal", "volume" : "26" }, "uris" : [ "http://www.mendeley.com/documents/?uuid=25484f4a-85cc-43ee-9224-21eb6f3186f0", "http://www.mendeley.com/documents/?uuid=cc390b37-fbaa-4f16-bafc-e1fc8dfb11f7", "http://www.mendeley.com/documents/?uuid=88f2c303-cf1b-4126-8a67-4dc3fdbf157e" ] } ], "mendeley" : { "formattedCitation" : "[65]", "plainTextFormattedCitation" : "[65]", "previouslyFormattedCitation" : "[65]" }, "properties" : { "noteIndex" : 0 }, "schema" : "https://github.com/citation-style-language/schema/raw/master/csl-citation.json" }</w:instrText>
      </w:r>
      <w:r w:rsidR="008C1D76" w:rsidRPr="00C93121">
        <w:fldChar w:fldCharType="separate"/>
      </w:r>
      <w:r w:rsidR="00C82D09" w:rsidRPr="00C82D09">
        <w:rPr>
          <w:noProof/>
        </w:rPr>
        <w:t>[65]</w:t>
      </w:r>
      <w:r w:rsidR="008C1D76" w:rsidRPr="00C93121">
        <w:fldChar w:fldCharType="end"/>
      </w:r>
      <w:r w:rsidR="008C1D76" w:rsidRPr="00C93121">
        <w:t xml:space="preserve">, a multi-state semi-Markov model was used to model the natural history of colorectal </w:t>
      </w:r>
      <w:r w:rsidR="00A6149C">
        <w:t xml:space="preserve">cancer </w:t>
      </w:r>
      <w:r w:rsidR="008C1D76" w:rsidRPr="00C93121">
        <w:t>recurrence; this model also employed Weibull hazards for the transitions between states. However, th</w:t>
      </w:r>
      <w:r w:rsidRPr="00C93121">
        <w:t>is model</w:t>
      </w:r>
      <w:r w:rsidR="008C1D76" w:rsidRPr="00C93121">
        <w:t xml:space="preserve"> </w:t>
      </w:r>
      <w:r w:rsidR="005425D5" w:rsidRPr="00C93121">
        <w:t>utilized</w:t>
      </w:r>
      <w:r w:rsidR="008C1D76" w:rsidRPr="00C93121">
        <w:t xml:space="preserve"> a single state for recurrence and d</w:t>
      </w:r>
      <w:r w:rsidR="005425D5" w:rsidRPr="00C93121">
        <w:t>id</w:t>
      </w:r>
      <w:r w:rsidR="008C1D76" w:rsidRPr="00C93121">
        <w:t xml:space="preserve"> not differentiate between resectable and unresectable recurrences.</w:t>
      </w:r>
      <w:r w:rsidR="00CF552F" w:rsidRPr="00C93121">
        <w:t xml:space="preserve"> Furthermore, this model assumed</w:t>
      </w:r>
      <w:r w:rsidR="008C1D76" w:rsidRPr="00C93121">
        <w:t xml:space="preserve"> a single Weibull hazard for the transition between the no recurrence state and recurrence state, instead of the piecewise hazard that we use here.</w:t>
      </w:r>
    </w:p>
    <w:p w14:paraId="6DCE95E9" w14:textId="77777777" w:rsidR="008C1D76" w:rsidRPr="00C93121" w:rsidRDefault="008C1D76" w:rsidP="009B3BAA">
      <w:pPr>
        <w:spacing w:line="360" w:lineRule="auto"/>
        <w:rPr>
          <w:b/>
        </w:rPr>
      </w:pPr>
    </w:p>
    <w:p w14:paraId="295A0FAB" w14:textId="77777777" w:rsidR="008C1D76" w:rsidRPr="00C93121" w:rsidRDefault="008C1D76" w:rsidP="009B3BAA">
      <w:pPr>
        <w:spacing w:line="360" w:lineRule="auto"/>
        <w:rPr>
          <w:b/>
        </w:rPr>
      </w:pPr>
      <w:r w:rsidRPr="00C93121">
        <w:rPr>
          <w:b/>
        </w:rPr>
        <w:t>3</w:t>
      </w:r>
      <w:r w:rsidR="00BE08C4" w:rsidRPr="00C93121">
        <w:rPr>
          <w:b/>
        </w:rPr>
        <w:t>.</w:t>
      </w:r>
      <w:r w:rsidRPr="00C93121">
        <w:rPr>
          <w:b/>
        </w:rPr>
        <w:t xml:space="preserve"> Maximum likelihood estimation and misclassification</w:t>
      </w:r>
    </w:p>
    <w:p w14:paraId="7F17EF0E" w14:textId="77777777" w:rsidR="008C1D76" w:rsidRPr="00C93121" w:rsidRDefault="008C1D76" w:rsidP="009B3BAA">
      <w:pPr>
        <w:spacing w:line="360" w:lineRule="auto"/>
      </w:pPr>
    </w:p>
    <w:p w14:paraId="543AE76B" w14:textId="3D2251E1" w:rsidR="008C1D76" w:rsidRPr="00C93121" w:rsidRDefault="008C1D76" w:rsidP="009B3BAA">
      <w:pPr>
        <w:spacing w:line="360" w:lineRule="auto"/>
      </w:pPr>
      <w:r w:rsidRPr="00C93121">
        <w:t xml:space="preserve">Now suppose that we have a set of </w:t>
      </w:r>
      <w:r w:rsidRPr="00C93121">
        <w:rPr>
          <w:i/>
        </w:rPr>
        <w:t xml:space="preserve">N </w:t>
      </w:r>
      <w:r w:rsidRPr="00C93121">
        <w:t xml:space="preserve">observations from the process; the </w:t>
      </w:r>
      <w:r w:rsidRPr="00C93121">
        <w:rPr>
          <w:i/>
        </w:rPr>
        <w:t>i</w:t>
      </w:r>
      <w:r w:rsidRPr="00C93121">
        <w:t xml:space="preserve">th observation consists of a set of </w:t>
      </w: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Pr="00C93121">
        <w:t xml:space="preserve"> observation times </w:t>
      </w:r>
      <m:oMath>
        <m:sSub>
          <m:sSubPr>
            <m:ctrlPr>
              <w:rPr>
                <w:rFonts w:ascii="Cambria Math" w:hAnsi="Cambria Math"/>
                <w:i/>
              </w:rPr>
            </m:ctrlPr>
          </m:sSubPr>
          <m:e>
            <m:r>
              <w:rPr>
                <w:rFonts w:ascii="Cambria Math" w:hAnsi="Cambria Math"/>
              </w:rPr>
              <m:t>t</m:t>
            </m:r>
          </m:e>
          <m:sub>
            <m:r>
              <w:rPr>
                <w:rFonts w:ascii="Cambria Math" w:hAnsi="Cambria Math"/>
              </w:rPr>
              <m:t>k</m:t>
            </m:r>
          </m:sub>
        </m:sSub>
        <m:r>
          <w:rPr>
            <w:rFonts w:ascii="Cambria Math" w:hAnsi="Cambria Math"/>
          </w:rPr>
          <m:t>, 1 ≤k ≤</m:t>
        </m:r>
        <m:sSub>
          <m:sSubPr>
            <m:ctrlPr>
              <w:rPr>
                <w:rFonts w:ascii="Cambria Math" w:hAnsi="Cambria Math"/>
                <w:i/>
              </w:rPr>
            </m:ctrlPr>
          </m:sSubPr>
          <m:e>
            <m:r>
              <w:rPr>
                <w:rFonts w:ascii="Cambria Math" w:hAnsi="Cambria Math"/>
              </w:rPr>
              <m:t>m</m:t>
            </m:r>
          </m:e>
          <m:sub>
            <m:r>
              <w:rPr>
                <w:rFonts w:ascii="Cambria Math" w:hAnsi="Cambria Math"/>
              </w:rPr>
              <m:t>i</m:t>
            </m:r>
          </m:sub>
        </m:sSub>
      </m:oMath>
      <w:r w:rsidRPr="00C93121">
        <w:t xml:space="preserve">, and corresponding observed states </w:t>
      </w:r>
      <m:oMath>
        <m:sSub>
          <m:sSubPr>
            <m:ctrlPr>
              <w:rPr>
                <w:rFonts w:ascii="Cambria Math" w:hAnsi="Cambria Math"/>
                <w:i/>
              </w:rPr>
            </m:ctrlPr>
          </m:sSubPr>
          <m:e>
            <m:r>
              <w:rPr>
                <w:rFonts w:ascii="Cambria Math" w:hAnsi="Cambria Math"/>
              </w:rPr>
              <m:t>o</m:t>
            </m:r>
          </m:e>
          <m:sub>
            <m:r>
              <w:rPr>
                <w:rFonts w:ascii="Cambria Math" w:hAnsi="Cambria Math"/>
              </w:rPr>
              <m:t>k</m:t>
            </m:r>
          </m:sub>
        </m:sSub>
        <m:r>
          <w:rPr>
            <w:rFonts w:ascii="Cambria Math" w:hAnsi="Cambria Math"/>
          </w:rPr>
          <m:t xml:space="preserve">,  1 ≤k ≤ </m:t>
        </m:r>
        <m:sSub>
          <m:sSubPr>
            <m:ctrlPr>
              <w:rPr>
                <w:rFonts w:ascii="Cambria Math" w:hAnsi="Cambria Math"/>
                <w:i/>
              </w:rPr>
            </m:ctrlPr>
          </m:sSubPr>
          <m:e>
            <m:r>
              <w:rPr>
                <w:rFonts w:ascii="Cambria Math" w:hAnsi="Cambria Math"/>
              </w:rPr>
              <m:t>m</m:t>
            </m:r>
          </m:e>
          <m:sub>
            <m:r>
              <w:rPr>
                <w:rFonts w:ascii="Cambria Math" w:hAnsi="Cambria Math"/>
              </w:rPr>
              <m:t>i</m:t>
            </m:r>
          </m:sub>
        </m:sSub>
      </m:oMath>
      <w:r w:rsidRPr="00C93121">
        <w:t xml:space="preserve">. Note that we will differentiate here between the observed state of the process </w:t>
      </w:r>
      <m:oMath>
        <m:sSub>
          <m:sSubPr>
            <m:ctrlPr>
              <w:rPr>
                <w:rFonts w:ascii="Cambria Math" w:hAnsi="Cambria Math"/>
                <w:i/>
              </w:rPr>
            </m:ctrlPr>
          </m:sSubPr>
          <m:e>
            <m:r>
              <w:rPr>
                <w:rFonts w:ascii="Cambria Math" w:hAnsi="Cambria Math"/>
              </w:rPr>
              <m:t>o</m:t>
            </m:r>
          </m:e>
          <m:sub>
            <m:r>
              <w:rPr>
                <w:rFonts w:ascii="Cambria Math" w:hAnsi="Cambria Math"/>
              </w:rPr>
              <m:t>k</m:t>
            </m:r>
          </m:sub>
        </m:sSub>
      </m:oMath>
      <w:r w:rsidRPr="00C93121">
        <w:t xml:space="preserve"> at time </w:t>
      </w:r>
      <m:oMath>
        <m:sSub>
          <m:sSubPr>
            <m:ctrlPr>
              <w:rPr>
                <w:rFonts w:ascii="Cambria Math" w:hAnsi="Cambria Math"/>
                <w:i/>
              </w:rPr>
            </m:ctrlPr>
          </m:sSubPr>
          <m:e>
            <m:r>
              <w:rPr>
                <w:rFonts w:ascii="Cambria Math" w:hAnsi="Cambria Math"/>
              </w:rPr>
              <m:t>t</m:t>
            </m:r>
          </m:e>
          <m:sub>
            <m:r>
              <w:rPr>
                <w:rFonts w:ascii="Cambria Math" w:hAnsi="Cambria Math"/>
              </w:rPr>
              <m:t>k</m:t>
            </m:r>
          </m:sub>
        </m:sSub>
      </m:oMath>
      <w:r w:rsidRPr="00C93121">
        <w:t xml:space="preserve"> and the actual state, which we will denote by </w:t>
      </w:r>
      <m:oMath>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oMath>
      <w:r w:rsidRPr="00C93121">
        <w:t xml:space="preserve"> We make this distinction because in our application, the true disease state can only be observed indirectly through the results of a diagnostic test. Thus</w:t>
      </w:r>
      <w:r w:rsidR="006337AA">
        <w:t>,</w:t>
      </w:r>
      <w:r w:rsidRPr="00C93121">
        <w:t xml:space="preserve"> we only have information about the observed disease state at a given time, which may not correspond to the true disease state at that time, and we must account for this potential error in our parameter estimation. </w:t>
      </w:r>
    </w:p>
    <w:p w14:paraId="72CCCD1C" w14:textId="77777777" w:rsidR="008C1D76" w:rsidRPr="00C93121" w:rsidRDefault="008C1D76" w:rsidP="009B3BAA">
      <w:pPr>
        <w:spacing w:line="360" w:lineRule="auto"/>
      </w:pPr>
    </w:p>
    <w:p w14:paraId="35E591D3" w14:textId="114428C8" w:rsidR="008C1D76" w:rsidRPr="00C93121" w:rsidRDefault="008C1D76" w:rsidP="009B3BAA">
      <w:pPr>
        <w:spacing w:line="360" w:lineRule="auto"/>
      </w:pPr>
      <w:r w:rsidRPr="00C93121">
        <w:t xml:space="preserve">The problem of parameter estimation in the presence of potential misclassification has been addressed before (see for instance </w:t>
      </w:r>
      <w:r w:rsidRPr="00C93121">
        <w:fldChar w:fldCharType="begin" w:fldLock="1"/>
      </w:r>
      <w:r w:rsidR="00C82D09">
        <w:instrText>ADDIN CSL_CITATION { "citationItems" : [ { "id" : "ITEM-1", "itemData" : { "author" : [ { "dropping-particle" : "", "family" : "Jackson", "given" : "Christopher H", "non-dropping-particle" : "", "parse-names" : false, "suffix" : "" }, { "dropping-particle" : "", "family" : "Sharples", "given" : "Linda D", "non-dropping-particle" : "", "parse-names" : false, "suffix" : "" }, { "dropping-particle" : "", "family" : "Thompson", "given" : "Simon G", "non-dropping-particle" : "", "parse-names" : false, "suffix" : "" }, { "dropping-particle" : "", "family" : "Duffy", "given" : "Stephen W", "non-dropping-particle" : "", "parse-names" : false, "suffix" : "" } ], "container-title" : "The Statistician", "id" : "ITEM-1", "issue" : "2", "issued" : { "date-parts" : [ [ "2003" ] ] }, "page" : "193-209", "title" : "Multistate Markov models for disease progression with classification error", "type" : "article-journal", "volume" : "52" }, "uris" : [ "http://www.mendeley.com/documents/?uuid=20bd4898-4fc2-4d4f-a990-06501946bcfb", "http://www.mendeley.com/documents/?uuid=e14bf853-3b9a-447e-a689-b830f5c56c05", "http://www.mendeley.com/documents/?uuid=9b42422a-6212-4cad-896a-cef7c6c8d32e" ] }, { "id" : "ITEM-2", "itemData" : { "author" : [ { "dropping-particle" : "", "family" : "Jackson", "given" : "Christopher H", "non-dropping-particle" : "", "parse-names" : false, "suffix" : "" }, { "dropping-particle" : "", "family" : "Sharples", "given" : "Linda D", "non-dropping-particle" : "", "parse-names" : false, "suffix" : "" } ], "container-title" : "Statistics in Medicine", "id" : "ITEM-2", "issue" : "1", "issued" : { "date-parts" : [ [ "2002" ] ] }, "page" : "113-128", "title" : "Hidden Markov models for the onset and progression of bronchiolitis obliterans syndrome in lung transplant recipients", "type" : "article-journal", "volume" : "21" }, "uris" : [ "http://www.mendeley.com/documents/?uuid=6b59c7cf-3d06-4232-a20b-5c5b7e562072", "http://www.mendeley.com/documents/?uuid=fd07137e-2ea6-4145-aa75-75272a8036ec", "http://www.mendeley.com/documents/?uuid=fd75556b-c21c-4e7a-b7fb-0d4342be48bb", "http://www.mendeley.com/documents/?uuid=69064b7e-875d-4892-8840-080016969401", "http://www.mendeley.com/documents/?uuid=cdb3a139-4367-49cd-b226-82064ead34df" ] }, { "id" : "ITEM-3", "itemData" : { "author" : [ { "dropping-particle" : "", "family" : "Chen", "given" : "HH", "non-dropping-particle" : "", "parse-names" : false, "suffix" : "" }, { "dropping-particle" : "", "family" : "Duffy", "given" : "SW", "non-dropping-particle" : "", "parse-names" : false, "suffix" : "" }, { "dropping-particle" : "", "family" : "Tabar", "given" : "Laszlo", "non-dropping-particle" : "", "parse-names" : false, "suffix" : "" } ], "container-title" : "The Statistician", "id" : "ITEM-3", "issue" : "3", "issued" : { "date-parts" : [ [ "1996" ] ] }, "page" : "307-317", "title" : "A Markov chain method to estimate the tumor progression rate from preclinical to clinical phase, sensitivity and postiive predictive value for mammography in breast cancer screening", "type" : "article-journal", "volume" : "45" }, "uris" : [ "http://www.mendeley.com/documents/?uuid=04d1d75a-41dc-4270-984c-e466399bb240", "http://www.mendeley.com/documents/?uuid=fb73d9e1-5221-46e5-a1c4-773490dfdc0c", "http://www.mendeley.com/documents/?uuid=8ea7b60f-f114-4bb6-88fc-6e13b61758bc", "http://www.mendeley.com/documents/?uuid=76fd5570-01b2-4c47-9878-fcd8c0858568", "http://www.mendeley.com/documents/?uuid=c199c109-43b0-4685-a4d9-09831f801e9a" ] } ], "mendeley" : { "formattedCitation" : "[33, 34, 66]", "plainTextFormattedCitation" : "[33, 34, 66]", "previouslyFormattedCitation" : "[33, 34, 66]" }, "properties" : { "noteIndex" : 0 }, "schema" : "https://github.com/citation-style-language/schema/raw/master/csl-citation.json" }</w:instrText>
      </w:r>
      <w:r w:rsidRPr="00C93121">
        <w:fldChar w:fldCharType="separate"/>
      </w:r>
      <w:r w:rsidR="00C82D09" w:rsidRPr="00C82D09">
        <w:rPr>
          <w:noProof/>
        </w:rPr>
        <w:t>[33, 34, 66]</w:t>
      </w:r>
      <w:r w:rsidRPr="00C93121">
        <w:fldChar w:fldCharType="end"/>
      </w:r>
      <w:r w:rsidRPr="00C93121">
        <w:t xml:space="preserve">). Briefly, let </w:t>
      </w:r>
      <m:oMath>
        <m:r>
          <w:rPr>
            <w:rFonts w:ascii="Cambria Math" w:hAnsi="Cambria Math"/>
          </w:rPr>
          <m:t>O(t)</m:t>
        </m:r>
      </m:oMath>
      <w:r w:rsidRPr="00C93121">
        <w:t xml:space="preserve"> denote the observed disease state at time </w:t>
      </w:r>
      <m:oMath>
        <m:r>
          <w:rPr>
            <w:rFonts w:ascii="Cambria Math" w:hAnsi="Cambria Math"/>
          </w:rPr>
          <m:t>t</m:t>
        </m:r>
      </m:oMath>
      <w:r w:rsidRPr="00C93121">
        <w:t xml:space="preserve">; recall that we denote the true disease state at time </w:t>
      </w:r>
      <m:oMath>
        <m:r>
          <w:rPr>
            <w:rFonts w:ascii="Cambria Math" w:hAnsi="Cambria Math"/>
          </w:rPr>
          <m:t>t</m:t>
        </m:r>
      </m:oMath>
      <w:r w:rsidRPr="00C93121">
        <w:t xml:space="preserve"> by </w:t>
      </w:r>
      <m:oMath>
        <m:r>
          <w:rPr>
            <w:rFonts w:ascii="Cambria Math" w:hAnsi="Cambria Math"/>
          </w:rPr>
          <m:t>X(t)</m:t>
        </m:r>
      </m:oMath>
      <w:r w:rsidRPr="00C93121">
        <w:t xml:space="preserve">. The value of </w:t>
      </w:r>
      <m:oMath>
        <m:r>
          <w:rPr>
            <w:rFonts w:ascii="Cambria Math" w:hAnsi="Cambria Math"/>
          </w:rPr>
          <m:t>O(t)</m:t>
        </m:r>
      </m:oMath>
      <w:r w:rsidRPr="00C93121">
        <w:t xml:space="preserve"> is related to the value of </w:t>
      </w:r>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oMath>
      <w:r w:rsidRPr="00C93121">
        <w:t xml:space="preserve">via a series of misclassification probabilities, defined as </w:t>
      </w:r>
      <m:oMath>
        <m:r>
          <w:rPr>
            <w:rFonts w:ascii="Cambria Math" w:hAnsi="Cambria Math"/>
          </w:rPr>
          <m:t>P</m:t>
        </m:r>
        <m:d>
          <m:dPr>
            <m:endChr m:val="|"/>
            <m:ctrlPr>
              <w:rPr>
                <w:rFonts w:ascii="Cambria Math" w:hAnsi="Cambria Math"/>
                <w:i/>
              </w:rPr>
            </m:ctrlPr>
          </m:dPr>
          <m:e>
            <m:r>
              <w:rPr>
                <w:rFonts w:ascii="Cambria Math" w:hAnsi="Cambria Math"/>
              </w:rPr>
              <m:t>O</m:t>
            </m:r>
            <m:d>
              <m:dPr>
                <m:ctrlPr>
                  <w:rPr>
                    <w:rFonts w:ascii="Cambria Math" w:hAnsi="Cambria Math"/>
                    <w:i/>
                  </w:rPr>
                </m:ctrlPr>
              </m:dPr>
              <m:e>
                <m:r>
                  <w:rPr>
                    <w:rFonts w:ascii="Cambria Math" w:hAnsi="Cambria Math"/>
                  </w:rPr>
                  <m:t>t</m:t>
                </m:r>
              </m:e>
            </m:d>
            <m:r>
              <w:rPr>
                <w:rFonts w:ascii="Cambria Math" w:hAnsi="Cambria Math"/>
              </w:rPr>
              <m:t xml:space="preserve">=i </m:t>
            </m:r>
          </m:e>
        </m:d>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=j)</m:t>
        </m:r>
      </m:oMath>
      <w:r w:rsidRPr="00C93121">
        <w:t xml:space="preserve">, for any two states </w:t>
      </w:r>
      <m:oMath>
        <m:r>
          <w:rPr>
            <w:rFonts w:ascii="Cambria Math" w:hAnsi="Cambria Math"/>
          </w:rPr>
          <m:t>i</m:t>
        </m:r>
      </m:oMath>
      <w:r w:rsidRPr="00C93121">
        <w:t xml:space="preserve"> and </w:t>
      </w:r>
      <m:oMath>
        <m:r>
          <w:rPr>
            <w:rFonts w:ascii="Cambria Math" w:hAnsi="Cambria Math"/>
          </w:rPr>
          <m:t>j</m:t>
        </m:r>
      </m:oMath>
      <w:r w:rsidRPr="00C93121">
        <w:t xml:space="preserve">. </w:t>
      </w:r>
    </w:p>
    <w:p w14:paraId="43181FCC" w14:textId="77777777" w:rsidR="008C1D76" w:rsidRPr="00C93121" w:rsidRDefault="008C1D76" w:rsidP="009B3BAA">
      <w:pPr>
        <w:spacing w:line="360" w:lineRule="auto"/>
      </w:pPr>
    </w:p>
    <w:p w14:paraId="0F88AE47" w14:textId="35C968BF" w:rsidR="008C1D76" w:rsidRPr="00C93121" w:rsidRDefault="00C66BE8" w:rsidP="009B3BAA">
      <w:pPr>
        <w:spacing w:line="360" w:lineRule="auto"/>
      </w:pPr>
      <w:r w:rsidRPr="00C93121">
        <w:t>T</w:t>
      </w:r>
      <w:r w:rsidR="008C1D76" w:rsidRPr="00C93121">
        <w:t>he likelihood function which accounts for misclassification is constructed in the following manner</w:t>
      </w:r>
      <w:r w:rsidRPr="00C93121">
        <w:fldChar w:fldCharType="begin" w:fldLock="1"/>
      </w:r>
      <w:r w:rsidR="00C82D09">
        <w:instrText>ADDIN CSL_CITATION { "citationItems" : [ { "id" : "ITEM-1", "itemData" : { "author" : [ { "dropping-particle" : "", "family" : "Jackson", "given" : "Christopher H", "non-dropping-particle" : "", "parse-names" : false, "suffix" : "" }, { "dropping-particle" : "", "family" : "Sharples", "given" : "Linda D", "non-dropping-particle" : "", "parse-names" : false, "suffix" : "" }, { "dropping-particle" : "", "family" : "Thompson", "given" : "Simon G", "non-dropping-particle" : "", "parse-names" : false, "suffix" : "" }, { "dropping-particle" : "", "family" : "Duffy", "given" : "Stephen W", "non-dropping-particle" : "", "parse-names" : false, "suffix" : "" } ], "container-title" : "The Statistician", "id" : "ITEM-1", "issue" : "2", "issued" : { "date-parts" : [ [ "2003" ] ] }, "page" : "193-209", "title" : "Multistate Markov models for disease progression with classification error", "type" : "article-journal", "volume" : "52" }, "uris" : [ "http://www.mendeley.com/documents/?uuid=20bd4898-4fc2-4d4f-a990-06501946bcfb", "http://www.mendeley.com/documents/?uuid=e14bf853-3b9a-447e-a689-b830f5c56c05", "http://www.mendeley.com/documents/?uuid=9b42422a-6212-4cad-896a-cef7c6c8d32e" ] } ], "mendeley" : { "formattedCitation" : "[33]", "plainTextFormattedCitation" : "[33]", "previouslyFormattedCitation" : "[33]" }, "properties" : { "noteIndex" : 0 }, "schema" : "https://github.com/citation-style-language/schema/raw/master/csl-citation.json" }</w:instrText>
      </w:r>
      <w:r w:rsidRPr="00C93121">
        <w:fldChar w:fldCharType="separate"/>
      </w:r>
      <w:r w:rsidR="00C82D09" w:rsidRPr="00C82D09">
        <w:rPr>
          <w:noProof/>
        </w:rPr>
        <w:t>[33]</w:t>
      </w:r>
      <w:r w:rsidRPr="00C93121">
        <w:fldChar w:fldCharType="end"/>
      </w:r>
      <w:r w:rsidR="008C1D76" w:rsidRPr="00C93121">
        <w:t xml:space="preserve">: assuming that the observation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8C1D76" w:rsidRPr="00C93121">
        <w:t xml:space="preserve"> is made without error, the contribution to the likelihood for one set of observations is given by</w:t>
      </w:r>
    </w:p>
    <w:p w14:paraId="0992931E" w14:textId="77777777" w:rsidR="008C1D76" w:rsidRPr="00C93121" w:rsidRDefault="008C1D76" w:rsidP="009B3BAA">
      <w:pPr>
        <w:spacing w:line="360" w:lineRule="auto"/>
      </w:pPr>
    </w:p>
    <w:p w14:paraId="572297A6" w14:textId="77777777" w:rsidR="008C1D76" w:rsidRPr="00C93121" w:rsidRDefault="008C1D76" w:rsidP="009B3BAA">
      <w:pPr>
        <w:spacing w:line="360" w:lineRule="auto"/>
      </w:pPr>
      <m:oMathPara>
        <m:oMath>
          <m:r>
            <w:rPr>
              <w:rFonts w:ascii="Cambria Math" w:hAnsi="Cambria Math"/>
            </w:rPr>
            <w:lastRenderedPageBreak/>
            <m:t xml:space="preserve"> </m:t>
          </m:r>
          <m:sSub>
            <m:sSubPr>
              <m:ctrlPr>
                <w:rPr>
                  <w:rFonts w:ascii="Cambria Math" w:hAnsi="Cambria Math"/>
                  <w:i/>
                </w:rPr>
              </m:ctrlPr>
            </m:sSubPr>
            <m:e>
              <m:r>
                <m:rPr>
                  <m:scr m:val="script"/>
                </m:rPr>
                <w:rPr>
                  <w:rFonts w:ascii="Cambria Math" w:hAnsi="Cambria Math"/>
                </w:rPr>
                <m:t>l</m:t>
              </m:r>
            </m:e>
            <m:sub>
              <m:r>
                <w:rPr>
                  <w:rFonts w:ascii="Cambria Math" w:hAnsi="Cambria Math"/>
                </w:rPr>
                <m:t>i</m:t>
              </m:r>
            </m:sub>
          </m:sSub>
          <m:d>
            <m:dPr>
              <m:ctrlPr>
                <w:rPr>
                  <w:rFonts w:ascii="Cambria Math" w:hAnsi="Cambria Math"/>
                  <w:i/>
                </w:rPr>
              </m:ctrlPr>
            </m:dPr>
            <m:e>
              <m:r>
                <w:rPr>
                  <w:rFonts w:ascii="Cambria Math" w:hAnsi="Cambria Math"/>
                </w:rPr>
                <m:t>θ</m:t>
              </m:r>
            </m:e>
          </m:d>
          <m:r>
            <w:rPr>
              <w:rFonts w:ascii="Cambria Math" w:hAnsi="Cambria Math"/>
            </w:rPr>
            <m:t>=</m:t>
          </m:r>
          <m:nary>
            <m:naryPr>
              <m:chr m:val="∑"/>
              <m:limLoc m:val="undOvr"/>
              <m:supHide m:val="1"/>
              <m:ctrlPr>
                <w:rPr>
                  <w:rFonts w:ascii="Cambria Math" w:hAnsi="Cambria Math"/>
                  <w:i/>
                </w:rPr>
              </m:ctrlPr>
            </m:naryPr>
            <m: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mi</m:t>
                  </m:r>
                </m:sub>
              </m:sSub>
            </m:sub>
            <m:sup/>
            <m:e>
              <m:r>
                <w:rPr>
                  <w:rFonts w:ascii="Cambria Math" w:hAnsi="Cambria Math"/>
                </w:rPr>
                <m:t xml:space="preserve">  </m:t>
              </m:r>
              <m:nary>
                <m:naryPr>
                  <m:chr m:val="∏"/>
                  <m:limLoc m:val="undOvr"/>
                  <m:ctrlPr>
                    <w:rPr>
                      <w:rFonts w:ascii="Cambria Math" w:hAnsi="Cambria Math"/>
                      <w:i/>
                    </w:rPr>
                  </m:ctrlPr>
                </m:naryPr>
                <m:sub>
                  <m:r>
                    <w:rPr>
                      <w:rFonts w:ascii="Cambria Math" w:hAnsi="Cambria Math"/>
                    </w:rPr>
                    <m:t>k=2</m:t>
                  </m:r>
                </m:sub>
                <m:sup>
                  <m:sSub>
                    <m:sSubPr>
                      <m:ctrlPr>
                        <w:rPr>
                          <w:rFonts w:ascii="Cambria Math" w:hAnsi="Cambria Math"/>
                          <w:i/>
                        </w:rPr>
                      </m:ctrlPr>
                    </m:sSubPr>
                    <m:e>
                      <m:r>
                        <w:rPr>
                          <w:rFonts w:ascii="Cambria Math" w:hAnsi="Cambria Math"/>
                        </w:rPr>
                        <m:t>m</m:t>
                      </m:r>
                    </m:e>
                    <m:sub>
                      <m:r>
                        <w:rPr>
                          <w:rFonts w:ascii="Cambria Math" w:hAnsi="Cambria Math"/>
                        </w:rPr>
                        <m:t>i</m:t>
                      </m:r>
                    </m:sub>
                  </m:sSub>
                </m:sup>
                <m:e>
                  <m:r>
                    <w:rPr>
                      <w:rFonts w:ascii="Cambria Math" w:hAnsi="Cambria Math"/>
                    </w:rPr>
                    <m:t>P</m:t>
                  </m:r>
                  <m:d>
                    <m:dPr>
                      <m:endChr m:val="|"/>
                      <m:ctrlPr>
                        <w:rPr>
                          <w:rFonts w:ascii="Cambria Math" w:hAnsi="Cambria Math"/>
                          <w:i/>
                        </w:rPr>
                      </m:ctrlPr>
                    </m:dPr>
                    <m:e>
                      <m:r>
                        <w:rPr>
                          <w:rFonts w:ascii="Cambria Math" w:hAnsi="Cambria Math"/>
                        </w:rPr>
                        <m:t>O</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k</m:t>
                          </m:r>
                        </m:sub>
                      </m:sSub>
                    </m:e>
                  </m:d>
                  <m:r>
                    <w:rPr>
                      <w:rFonts w:ascii="Cambria Math" w:hAnsi="Cambria Math"/>
                    </w:rPr>
                    <m:t>X</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x</m:t>
                          </m:r>
                        </m:e>
                        <m:sub>
                          <m:r>
                            <w:rPr>
                              <w:rFonts w:ascii="Cambria Math" w:hAnsi="Cambria Math"/>
                            </w:rPr>
                            <m:t>k-1</m:t>
                          </m:r>
                        </m:sub>
                      </m:sSub>
                      <m:sSub>
                        <m:sSubPr>
                          <m:ctrlPr>
                            <w:rPr>
                              <w:rFonts w:ascii="Cambria Math" w:hAnsi="Cambria Math"/>
                              <w:i/>
                            </w:rPr>
                          </m:ctrlPr>
                        </m:sSubPr>
                        <m:e>
                          <m:r>
                            <w:rPr>
                              <w:rFonts w:ascii="Cambria Math" w:hAnsi="Cambria Math"/>
                            </w:rPr>
                            <m:t>x</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k-1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k</m:t>
                      </m:r>
                    </m:sub>
                  </m:sSub>
                  <m:r>
                    <w:rPr>
                      <w:rFonts w:ascii="Cambria Math" w:hAnsi="Cambria Math"/>
                    </w:rPr>
                    <m:t>)</m:t>
                  </m:r>
                </m:e>
              </m:nary>
            </m:e>
          </m:nary>
          <m:r>
            <w:rPr>
              <w:rFonts w:ascii="Cambria Math" w:hAnsi="Cambria Math"/>
            </w:rPr>
            <m:t>,</m:t>
          </m:r>
        </m:oMath>
      </m:oMathPara>
    </w:p>
    <w:p w14:paraId="6520AC85" w14:textId="77777777" w:rsidR="008C1D76" w:rsidRPr="00C93121" w:rsidRDefault="008C1D76" w:rsidP="009B3BAA">
      <w:pPr>
        <w:spacing w:line="360" w:lineRule="auto"/>
      </w:pPr>
    </w:p>
    <w:p w14:paraId="318755C4" w14:textId="77777777" w:rsidR="008C1D76" w:rsidRPr="00C93121" w:rsidRDefault="008C1D76" w:rsidP="009B3BAA">
      <w:pPr>
        <w:spacing w:line="360" w:lineRule="auto"/>
      </w:pPr>
      <w:r w:rsidRPr="00C93121">
        <w:t xml:space="preserve">where the summation is taken over all possible values of the true underlying states </w:t>
      </w: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x</m:t>
            </m:r>
          </m:e>
          <m:sub>
            <m:sSub>
              <m:sSubPr>
                <m:ctrlPr>
                  <w:rPr>
                    <w:rFonts w:ascii="Cambria Math" w:hAnsi="Cambria Math"/>
                    <w:i/>
                  </w:rPr>
                </m:ctrlPr>
              </m:sSubPr>
              <m:e>
                <m:r>
                  <w:rPr>
                    <w:rFonts w:ascii="Cambria Math" w:hAnsi="Cambria Math"/>
                  </w:rPr>
                  <m:t>m</m:t>
                </m:r>
              </m:e>
              <m:sub>
                <m:r>
                  <w:rPr>
                    <w:rFonts w:ascii="Cambria Math" w:hAnsi="Cambria Math"/>
                  </w:rPr>
                  <m:t>i</m:t>
                </m:r>
              </m:sub>
            </m:sSub>
          </m:sub>
        </m:sSub>
        <m:r>
          <w:rPr>
            <w:rFonts w:ascii="Cambria Math" w:hAnsi="Cambria Math"/>
          </w:rPr>
          <m:t>.</m:t>
        </m:r>
      </m:oMath>
      <w:r w:rsidRPr="00C93121">
        <w:t xml:space="preserve"> The misclassification probabilities </w:t>
      </w:r>
      <m:oMath>
        <m:r>
          <w:rPr>
            <w:rFonts w:ascii="Cambria Math" w:hAnsi="Cambria Math"/>
          </w:rPr>
          <m:t>P</m:t>
        </m:r>
        <m:d>
          <m:dPr>
            <m:endChr m:val="|"/>
            <m:ctrlPr>
              <w:rPr>
                <w:rFonts w:ascii="Cambria Math" w:hAnsi="Cambria Math"/>
                <w:i/>
              </w:rPr>
            </m:ctrlPr>
          </m:dPr>
          <m:e>
            <m:r>
              <w:rPr>
                <w:rFonts w:ascii="Cambria Math" w:hAnsi="Cambria Math"/>
              </w:rPr>
              <m:t>O</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k</m:t>
                </m:r>
              </m:sub>
            </m:sSub>
            <m:r>
              <w:rPr>
                <w:rFonts w:ascii="Cambria Math" w:hAnsi="Cambria Math"/>
              </w:rPr>
              <m:t xml:space="preserve"> </m:t>
            </m:r>
          </m:e>
        </m:d>
        <m:r>
          <w:rPr>
            <w:rFonts w:ascii="Cambria Math" w:hAnsi="Cambria Math"/>
          </w:rPr>
          <m:t>X</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oMath>
      <w:r w:rsidRPr="00C93121">
        <w:t xml:space="preserve">in our application are given by the sensitivities and specificities of the surveillance tests used to make the observations. The total likelihood for </w:t>
      </w:r>
      <m:oMath>
        <m:r>
          <w:rPr>
            <w:rFonts w:ascii="Cambria Math" w:hAnsi="Cambria Math"/>
          </w:rPr>
          <m:t>N</m:t>
        </m:r>
      </m:oMath>
      <w:r w:rsidRPr="00C93121">
        <w:t xml:space="preserve"> observations is then given by</w:t>
      </w:r>
    </w:p>
    <w:p w14:paraId="2FF205D0" w14:textId="77777777" w:rsidR="008C1D76" w:rsidRPr="00C93121" w:rsidRDefault="008C1D76" w:rsidP="009B3BAA">
      <w:pPr>
        <w:spacing w:line="360" w:lineRule="auto"/>
      </w:pPr>
    </w:p>
    <w:p w14:paraId="72D5CC95" w14:textId="77777777" w:rsidR="008C1D76" w:rsidRPr="00C93121" w:rsidRDefault="008C1D76" w:rsidP="009B3BAA">
      <w:pPr>
        <w:spacing w:line="360" w:lineRule="auto"/>
      </w:pPr>
      <m:oMathPara>
        <m:oMath>
          <m:r>
            <w:rPr>
              <w:rFonts w:ascii="Cambria Math" w:hAnsi="Cambria Math"/>
            </w:rPr>
            <m:t>L</m:t>
          </m:r>
          <m:d>
            <m:dPr>
              <m:ctrlPr>
                <w:rPr>
                  <w:rFonts w:ascii="Cambria Math" w:hAnsi="Cambria Math"/>
                  <w:i/>
                </w:rPr>
              </m:ctrlPr>
            </m:dPr>
            <m:e>
              <m:r>
                <w:rPr>
                  <w:rFonts w:ascii="Cambria Math" w:hAnsi="Cambria Math"/>
                </w:rPr>
                <m:t>θ</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m:rPr>
                      <m:scr m:val="script"/>
                    </m:rPr>
                    <w:rPr>
                      <w:rFonts w:ascii="Cambria Math" w:hAnsi="Cambria Math"/>
                    </w:rPr>
                    <m:t>l</m:t>
                  </m:r>
                </m:e>
                <m:sub>
                  <m:r>
                    <w:rPr>
                      <w:rFonts w:ascii="Cambria Math" w:hAnsi="Cambria Math"/>
                    </w:rPr>
                    <m:t>i</m:t>
                  </m:r>
                </m:sub>
              </m:sSub>
              <m:r>
                <w:rPr>
                  <w:rFonts w:ascii="Cambria Math" w:hAnsi="Cambria Math"/>
                </w:rPr>
                <m:t>(θ)</m:t>
              </m:r>
            </m:e>
          </m:nary>
          <m:r>
            <w:rPr>
              <w:rFonts w:ascii="Cambria Math" w:hAnsi="Cambria Math"/>
            </w:rPr>
            <m:t>.</m:t>
          </m:r>
        </m:oMath>
      </m:oMathPara>
    </w:p>
    <w:p w14:paraId="0F167009" w14:textId="77777777" w:rsidR="008C1D76" w:rsidRPr="00C93121" w:rsidRDefault="008C1D76" w:rsidP="009B3BAA">
      <w:pPr>
        <w:spacing w:line="360" w:lineRule="auto"/>
      </w:pPr>
    </w:p>
    <w:p w14:paraId="6AD4BF24" w14:textId="2F5F8D99" w:rsidR="008C1D76" w:rsidRPr="00C93121" w:rsidRDefault="008C1D76" w:rsidP="009B3BAA">
      <w:pPr>
        <w:spacing w:line="360" w:lineRule="auto"/>
      </w:pPr>
      <w:r w:rsidRPr="00C93121">
        <w:t xml:space="preserve">We then estimate the set of the natural history parameters </w:t>
      </w:r>
      <m:oMath>
        <m:r>
          <w:rPr>
            <w:rFonts w:ascii="Cambria Math" w:hAnsi="Cambria Math"/>
          </w:rPr>
          <m:t>θ</m:t>
        </m:r>
      </m:oMath>
      <w:r w:rsidRPr="00C93121">
        <w:t xml:space="preserve"> that maximizes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L(θ)</m:t>
            </m:r>
          </m:e>
        </m:func>
      </m:oMath>
      <w:r w:rsidRPr="00C93121">
        <w:t xml:space="preserve"> using a quasi-Newton algorithm</w:t>
      </w:r>
      <w:r w:rsidR="009E3BFD">
        <w:t>.</w:t>
      </w:r>
      <w:r w:rsidRPr="00C93121">
        <w:fldChar w:fldCharType="begin" w:fldLock="1"/>
      </w:r>
      <w:r w:rsidR="00C82D09">
        <w:instrText>ADDIN CSL_CITATION { "citationItems" : [ { "id" : "ITEM-1", "itemData" : { "author" : [ { "dropping-particle" : "", "family" : "Dennis", "given" : "JE", "non-dropping-particle" : "", "parse-names" : false, "suffix" : "" }, { "dropping-particle" : "", "family" : "Schnabel", "given" : "Robert B", "non-dropping-particle" : "", "parse-names" : false, "suffix" : "" } ], "id" : "ITEM-1", "issued" : { "date-parts" : [ [ "1996" ] ] }, "publisher" : "SIAM", "publisher-place" : "Philadephia", "title" : "Numerical Methods for Unconstrained Optimization and Nonlinear Equations", "type" : "book" }, "uris" : [ "http://www.mendeley.com/documents/?uuid=cb175fee-8cc5-4001-800a-2028edd7428e", "http://www.mendeley.com/documents/?uuid=32fd2b2a-0f33-426d-8d0d-7690445724b0", "http://www.mendeley.com/documents/?uuid=d4bb1f5a-62c4-426b-a239-93165651613c" ] } ], "mendeley" : { "formattedCitation" : "[67]", "plainTextFormattedCitation" : "[67]", "previouslyFormattedCitation" : "[67]" }, "properties" : { "noteIndex" : 0 }, "schema" : "https://github.com/citation-style-language/schema/raw/master/csl-citation.json" }</w:instrText>
      </w:r>
      <w:r w:rsidRPr="00C93121">
        <w:fldChar w:fldCharType="separate"/>
      </w:r>
      <w:r w:rsidR="00C82D09" w:rsidRPr="00C82D09">
        <w:rPr>
          <w:noProof/>
        </w:rPr>
        <w:t>[67]</w:t>
      </w:r>
      <w:r w:rsidRPr="00C93121">
        <w:fldChar w:fldCharType="end"/>
      </w:r>
    </w:p>
    <w:p w14:paraId="7EB5B8EB" w14:textId="77777777" w:rsidR="008C1D76" w:rsidRPr="00C93121" w:rsidRDefault="00B11635" w:rsidP="009B3BAA">
      <w:pPr>
        <w:spacing w:line="360" w:lineRule="auto"/>
      </w:pPr>
      <w:r w:rsidRPr="00C93121">
        <w:t xml:space="preserve">A more detailed description of maximum likelihood estimation of model parameters is provided in </w:t>
      </w:r>
      <w:r w:rsidRPr="00726510">
        <w:t>Appendix 2.</w:t>
      </w:r>
    </w:p>
    <w:p w14:paraId="1C83FE7E" w14:textId="77777777" w:rsidR="00D513F5" w:rsidRPr="00C93121" w:rsidRDefault="00D513F5" w:rsidP="009B3BAA">
      <w:pPr>
        <w:spacing w:line="360" w:lineRule="auto"/>
      </w:pPr>
    </w:p>
    <w:p w14:paraId="0EC6E9A4" w14:textId="77777777" w:rsidR="008C1D76" w:rsidRPr="00C93121" w:rsidRDefault="008C1D76" w:rsidP="009B3BAA">
      <w:pPr>
        <w:spacing w:line="360" w:lineRule="auto"/>
        <w:rPr>
          <w:b/>
        </w:rPr>
      </w:pPr>
      <w:r w:rsidRPr="00C93121">
        <w:rPr>
          <w:b/>
        </w:rPr>
        <w:t>4</w:t>
      </w:r>
      <w:r w:rsidR="00BE08C4" w:rsidRPr="00C93121">
        <w:rPr>
          <w:b/>
        </w:rPr>
        <w:t>.</w:t>
      </w:r>
      <w:r w:rsidR="00A4253D" w:rsidRPr="00C93121">
        <w:rPr>
          <w:b/>
        </w:rPr>
        <w:t xml:space="preserve"> Symptom</w:t>
      </w:r>
      <w:r w:rsidRPr="00C93121">
        <w:rPr>
          <w:b/>
        </w:rPr>
        <w:t xml:space="preserve"> parameter estimation</w:t>
      </w:r>
    </w:p>
    <w:p w14:paraId="7FFDDF16" w14:textId="77777777" w:rsidR="008C1D76" w:rsidRPr="00C93121" w:rsidRDefault="008C1D76" w:rsidP="009B3BAA">
      <w:pPr>
        <w:spacing w:line="360" w:lineRule="auto"/>
        <w:rPr>
          <w:b/>
        </w:rPr>
      </w:pPr>
    </w:p>
    <w:p w14:paraId="49645D22" w14:textId="77777777" w:rsidR="008C1D76" w:rsidRPr="00C93121" w:rsidRDefault="008C1D76" w:rsidP="009B3BAA">
      <w:pPr>
        <w:spacing w:line="360" w:lineRule="auto"/>
      </w:pPr>
      <w:r w:rsidRPr="00C93121">
        <w:t>In addition to the disease progression parameters, we also require an estimate of the rate at which patients who recur develop symptoms. We assume that patients become eligible to develop symptoms when they make the transition from state 1 to state 2 (or from state 1 to state 3, for those who do not pass through state 2). The development of symptoms does not differ based on whether a patient is in state 2 or state 3. We assume a constant hazard for the development of symptoms, that is,</w:t>
      </w:r>
    </w:p>
    <w:p w14:paraId="2A55AADC" w14:textId="77777777" w:rsidR="008C1D76" w:rsidRPr="00C93121" w:rsidRDefault="008C1D76" w:rsidP="009B3BAA">
      <w:pPr>
        <w:spacing w:line="360" w:lineRule="auto"/>
      </w:pPr>
    </w:p>
    <w:p w14:paraId="338874AB" w14:textId="77777777" w:rsidR="008C1D76" w:rsidRPr="00C93121" w:rsidRDefault="005E148A" w:rsidP="009B3BAA">
      <w:pPr>
        <w:spacing w:line="360" w:lineRule="auto"/>
      </w:pPr>
      <m:oMathPara>
        <m:oMath>
          <m:sSub>
            <m:sSubPr>
              <m:ctrlPr>
                <w:rPr>
                  <w:rFonts w:ascii="Cambria Math" w:hAnsi="Cambria Math"/>
                  <w:i/>
                </w:rPr>
              </m:ctrlPr>
            </m:sSubPr>
            <m:e>
              <m:r>
                <w:rPr>
                  <w:rFonts w:ascii="Cambria Math" w:hAnsi="Cambria Math"/>
                </w:rPr>
                <m:t>λ</m:t>
              </m:r>
            </m:e>
            <m:sub>
              <m:r>
                <w:rPr>
                  <w:rFonts w:ascii="Cambria Math" w:hAnsi="Cambria Math"/>
                </w:rPr>
                <m:t>sym</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sym</m:t>
              </m:r>
            </m:sub>
          </m:sSub>
          <m:r>
            <w:rPr>
              <w:rFonts w:ascii="Cambria Math" w:hAnsi="Cambria Math"/>
            </w:rPr>
            <m:t>.</m:t>
          </m:r>
        </m:oMath>
      </m:oMathPara>
    </w:p>
    <w:p w14:paraId="14F0872F" w14:textId="77777777" w:rsidR="008C1D76" w:rsidRPr="00C93121" w:rsidRDefault="008C1D76" w:rsidP="009B3BAA">
      <w:pPr>
        <w:spacing w:line="360" w:lineRule="auto"/>
      </w:pPr>
    </w:p>
    <w:p w14:paraId="6A7EDF5A" w14:textId="68AC0CBD" w:rsidR="008C1D76" w:rsidRPr="00C93121" w:rsidRDefault="008C1D76" w:rsidP="009B3BAA">
      <w:pPr>
        <w:spacing w:line="360" w:lineRule="auto"/>
      </w:pPr>
      <w:r w:rsidRPr="00C93121">
        <w:lastRenderedPageBreak/>
        <w:t>Our method for estimating this parameter requires an estimate of the disease progression parameters</w:t>
      </w:r>
      <w:r w:rsidR="00A4253D" w:rsidRPr="00C93121">
        <w:t xml:space="preserve"> </w:t>
      </w:r>
      <m:oMath>
        <m:r>
          <w:rPr>
            <w:rFonts w:ascii="Cambria Math" w:hAnsi="Cambria Math"/>
          </w:rPr>
          <m:t>θ</m:t>
        </m:r>
      </m:oMath>
      <w:r w:rsidRPr="00C93121">
        <w:t>; thus</w:t>
      </w:r>
      <w:r w:rsidR="006337AA">
        <w:t>,</w:t>
      </w:r>
      <w:r w:rsidRPr="00C93121">
        <w:t xml:space="preserve"> we estimate the rate of symptom</w:t>
      </w:r>
      <w:r w:rsidR="00A4253D" w:rsidRPr="00C93121">
        <w:t xml:space="preserve"> development</w:t>
      </w:r>
      <w:r w:rsidRPr="00C93121">
        <w:t xml:space="preserve"> separately after we have computed the maximum likelihood estimates of the other natural history parameters.</w:t>
      </w:r>
    </w:p>
    <w:p w14:paraId="204B7243" w14:textId="77777777" w:rsidR="008C1D76" w:rsidRPr="00C93121" w:rsidRDefault="008C1D76" w:rsidP="009B3BAA">
      <w:pPr>
        <w:spacing w:line="360" w:lineRule="auto"/>
      </w:pPr>
    </w:p>
    <w:p w14:paraId="096B43C4" w14:textId="77777777" w:rsidR="00D621B4" w:rsidRPr="00C93121" w:rsidRDefault="00D621B4" w:rsidP="009B3BAA">
      <w:pPr>
        <w:spacing w:line="360" w:lineRule="auto"/>
      </w:pPr>
      <w:r w:rsidRPr="00C93121">
        <w:t xml:space="preserve">Because the COST trial data did not include descriptions of symptom status at presentation, we used a separate dataset (available upon request) </w:t>
      </w:r>
      <w:r w:rsidR="0010631D" w:rsidRPr="00C93121">
        <w:t>based on 62</w:t>
      </w:r>
      <w:r w:rsidRPr="00C93121">
        <w:t xml:space="preserve"> curatively resected colon cancer patients at our own institution to develop the hazard rate estimate.  This internal dataset contained details on all relevant healthcare</w:t>
      </w:r>
      <w:r w:rsidR="00131AC0" w:rsidRPr="00C93121">
        <w:t xml:space="preserve"> encounters following initial C</w:t>
      </w:r>
      <w:r w:rsidRPr="00C93121">
        <w:t xml:space="preserve">C treatment and symptom status at each.  </w:t>
      </w:r>
    </w:p>
    <w:p w14:paraId="73137E5B" w14:textId="77777777" w:rsidR="00CF445C" w:rsidRPr="00C93121" w:rsidRDefault="00CF445C" w:rsidP="009B3BAA">
      <w:pPr>
        <w:spacing w:line="360" w:lineRule="auto"/>
      </w:pPr>
    </w:p>
    <w:p w14:paraId="4DE36630" w14:textId="77777777" w:rsidR="008C1D76" w:rsidRPr="00C93121" w:rsidRDefault="008C1D76" w:rsidP="009B3BAA">
      <w:pPr>
        <w:spacing w:line="360" w:lineRule="auto"/>
      </w:pPr>
      <w:r w:rsidRPr="00C93121">
        <w:t xml:space="preserve">Suppose that for each individual in a set of </w:t>
      </w:r>
      <m:oMath>
        <m:r>
          <w:rPr>
            <w:rFonts w:ascii="Cambria Math" w:hAnsi="Cambria Math"/>
          </w:rPr>
          <m:t>N</m:t>
        </m:r>
      </m:oMath>
      <w:r w:rsidRPr="00C93121">
        <w:t xml:space="preserve"> patients with recurrences, we have the time when they were last definitively known to be without recurrence (which we denote by </w:t>
      </w:r>
      <m:oMath>
        <m:sSub>
          <m:sSubPr>
            <m:ctrlPr>
              <w:rPr>
                <w:rFonts w:ascii="Cambria Math" w:hAnsi="Cambria Math"/>
                <w:i/>
              </w:rPr>
            </m:ctrlPr>
          </m:sSubPr>
          <m:e>
            <m:r>
              <w:rPr>
                <w:rFonts w:ascii="Cambria Math" w:hAnsi="Cambria Math"/>
              </w:rPr>
              <m:t>t</m:t>
            </m:r>
          </m:e>
          <m:sub>
            <m:r>
              <w:rPr>
                <w:rFonts w:ascii="Cambria Math" w:hAnsi="Cambria Math"/>
              </w:rPr>
              <m:t>lastnorm</m:t>
            </m:r>
          </m:sub>
        </m:sSub>
      </m:oMath>
      <w:r w:rsidRPr="00C93121">
        <w:t xml:space="preserve">) as well as their time of detection of recurrence (denoted </w:t>
      </w:r>
      <m:oMath>
        <m:sSub>
          <m:sSubPr>
            <m:ctrlPr>
              <w:rPr>
                <w:rFonts w:ascii="Cambria Math" w:hAnsi="Cambria Math"/>
                <w:i/>
              </w:rPr>
            </m:ctrlPr>
          </m:sSubPr>
          <m:e>
            <m:r>
              <w:rPr>
                <w:rFonts w:ascii="Cambria Math" w:hAnsi="Cambria Math"/>
              </w:rPr>
              <m:t>t</m:t>
            </m:r>
          </m:e>
          <m:sub>
            <m:r>
              <w:rPr>
                <w:rFonts w:ascii="Cambria Math" w:hAnsi="Cambria Math"/>
              </w:rPr>
              <m:t>det</m:t>
            </m:r>
          </m:sub>
        </m:sSub>
      </m:oMath>
      <w:r w:rsidRPr="00C93121">
        <w:t xml:space="preserve">); in addition, it is known whether or not the patient was symptomatic at the time of detection. For patients who were symptomatic at time of detection, we also know the time symptoms began (denoted </w:t>
      </w:r>
      <m:oMath>
        <m:sSub>
          <m:sSubPr>
            <m:ctrlPr>
              <w:rPr>
                <w:rFonts w:ascii="Cambria Math" w:hAnsi="Cambria Math"/>
                <w:i/>
              </w:rPr>
            </m:ctrlPr>
          </m:sSubPr>
          <m:e>
            <m:r>
              <w:rPr>
                <w:rFonts w:ascii="Cambria Math" w:hAnsi="Cambria Math"/>
              </w:rPr>
              <m:t>t</m:t>
            </m:r>
          </m:e>
          <m:sub>
            <m:r>
              <w:rPr>
                <w:rFonts w:ascii="Cambria Math" w:hAnsi="Cambria Math"/>
              </w:rPr>
              <m:t>sym</m:t>
            </m:r>
          </m:sub>
        </m:sSub>
      </m:oMath>
      <w:r w:rsidRPr="00C93121">
        <w:t xml:space="preserve">; note that </w:t>
      </w:r>
      <m:oMath>
        <m:sSub>
          <m:sSubPr>
            <m:ctrlPr>
              <w:rPr>
                <w:rFonts w:ascii="Cambria Math" w:hAnsi="Cambria Math"/>
                <w:i/>
              </w:rPr>
            </m:ctrlPr>
          </m:sSubPr>
          <m:e>
            <m:r>
              <w:rPr>
                <w:rFonts w:ascii="Cambria Math" w:hAnsi="Cambria Math"/>
              </w:rPr>
              <m:t>t</m:t>
            </m:r>
          </m:e>
          <m:sub>
            <m:r>
              <w:rPr>
                <w:rFonts w:ascii="Cambria Math" w:hAnsi="Cambria Math"/>
              </w:rPr>
              <m:t>sym</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det</m:t>
            </m:r>
          </m:sub>
        </m:sSub>
        <m:r>
          <w:rPr>
            <w:rFonts w:ascii="Cambria Math" w:hAnsi="Cambria Math"/>
          </w:rPr>
          <m:t>).</m:t>
        </m:r>
      </m:oMath>
    </w:p>
    <w:p w14:paraId="27D42677" w14:textId="77777777" w:rsidR="008C1D76" w:rsidRPr="00C93121" w:rsidRDefault="008C1D76" w:rsidP="009B3BAA">
      <w:pPr>
        <w:spacing w:line="360" w:lineRule="auto"/>
      </w:pPr>
    </w:p>
    <w:p w14:paraId="10D473B5" w14:textId="77777777" w:rsidR="008C1D76" w:rsidRPr="00C93121" w:rsidRDefault="008C1D76" w:rsidP="009B3BAA">
      <w:pPr>
        <w:spacing w:line="360" w:lineRule="auto"/>
      </w:pPr>
      <w:r w:rsidRPr="00C93121">
        <w:t xml:space="preserve">Denote by </w:t>
      </w:r>
      <m:oMath>
        <m:sSub>
          <m:sSubPr>
            <m:ctrlPr>
              <w:rPr>
                <w:rFonts w:ascii="Cambria Math" w:hAnsi="Cambria Math"/>
                <w:i/>
              </w:rPr>
            </m:ctrlPr>
          </m:sSubPr>
          <m:e>
            <m:r>
              <w:rPr>
                <w:rFonts w:ascii="Cambria Math" w:hAnsi="Cambria Math"/>
              </w:rPr>
              <m:t>p</m:t>
            </m:r>
          </m:e>
          <m:sub>
            <m:r>
              <w:rPr>
                <w:rFonts w:ascii="Cambria Math" w:hAnsi="Cambria Math"/>
              </w:rPr>
              <m:t>1</m:t>
            </m:r>
            <m:d>
              <m:dPr>
                <m:ctrlPr>
                  <w:rPr>
                    <w:rFonts w:ascii="Cambria Math" w:hAnsi="Cambria Math"/>
                    <w:i/>
                  </w:rPr>
                </m:ctrlPr>
              </m:dPr>
              <m:e>
                <m:r>
                  <w:rPr>
                    <w:rFonts w:ascii="Cambria Math" w:hAnsi="Cambria Math"/>
                  </w:rPr>
                  <m:t>nosym</m:t>
                </m:r>
              </m:e>
            </m:d>
          </m:sub>
        </m:sSub>
        <m:r>
          <w:rPr>
            <w:rFonts w:ascii="Cambria Math" w:hAnsi="Cambria Math"/>
          </w:rPr>
          <m:t>(s,t)</m:t>
        </m:r>
      </m:oMath>
      <w:r w:rsidRPr="00C93121">
        <w:t xml:space="preserve"> the probability that an individual who recurred between times </w:t>
      </w:r>
      <m:oMath>
        <m:r>
          <w:rPr>
            <w:rFonts w:ascii="Cambria Math" w:hAnsi="Cambria Math"/>
          </w:rPr>
          <m:t>s</m:t>
        </m:r>
      </m:oMath>
      <w:r w:rsidRPr="00C93121">
        <w:t xml:space="preserve"> and </w:t>
      </w:r>
      <m:oMath>
        <m:r>
          <w:rPr>
            <w:rFonts w:ascii="Cambria Math" w:hAnsi="Cambria Math"/>
          </w:rPr>
          <m:t>t</m:t>
        </m:r>
      </m:oMath>
      <w:r w:rsidRPr="00C93121">
        <w:t xml:space="preserve"> did not develop symptoms. Note that </w:t>
      </w:r>
      <m:oMath>
        <m:sSub>
          <m:sSubPr>
            <m:ctrlPr>
              <w:rPr>
                <w:rFonts w:ascii="Cambria Math" w:hAnsi="Cambria Math"/>
                <w:i/>
              </w:rPr>
            </m:ctrlPr>
          </m:sSubPr>
          <m:e>
            <m:r>
              <w:rPr>
                <w:rFonts w:ascii="Cambria Math" w:hAnsi="Cambria Math"/>
              </w:rPr>
              <m:t>p</m:t>
            </m:r>
          </m:e>
          <m:sub>
            <m:r>
              <w:rPr>
                <w:rFonts w:ascii="Cambria Math" w:hAnsi="Cambria Math"/>
              </w:rPr>
              <m:t>1</m:t>
            </m:r>
            <m:d>
              <m:dPr>
                <m:ctrlPr>
                  <w:rPr>
                    <w:rFonts w:ascii="Cambria Math" w:hAnsi="Cambria Math"/>
                    <w:i/>
                  </w:rPr>
                </m:ctrlPr>
              </m:dPr>
              <m:e>
                <m:r>
                  <w:rPr>
                    <w:rFonts w:ascii="Cambria Math" w:hAnsi="Cambria Math"/>
                  </w:rPr>
                  <m:t>nosym</m:t>
                </m:r>
              </m:e>
            </m:d>
          </m:sub>
        </m:sSub>
        <m:r>
          <w:rPr>
            <w:rFonts w:ascii="Cambria Math" w:hAnsi="Cambria Math"/>
          </w:rPr>
          <m:t>(s,t)</m:t>
        </m:r>
      </m:oMath>
      <w:r w:rsidRPr="00C93121">
        <w:t xml:space="preserve"> is a function of </w:t>
      </w:r>
      <m:oMath>
        <m:sSub>
          <m:sSubPr>
            <m:ctrlPr>
              <w:rPr>
                <w:rFonts w:ascii="Cambria Math" w:hAnsi="Cambria Math"/>
                <w:i/>
              </w:rPr>
            </m:ctrlPr>
          </m:sSubPr>
          <m:e>
            <m:r>
              <w:rPr>
                <w:rFonts w:ascii="Cambria Math" w:hAnsi="Cambria Math"/>
              </w:rPr>
              <m:t>α</m:t>
            </m:r>
          </m:e>
          <m:sub>
            <m:r>
              <w:rPr>
                <w:rFonts w:ascii="Cambria Math" w:hAnsi="Cambria Math"/>
              </w:rPr>
              <m:t>sym</m:t>
            </m:r>
          </m:sub>
        </m:sSub>
      </m:oMath>
      <w:r w:rsidRPr="00C93121">
        <w:t xml:space="preserve"> as well as the disease progression parameters. Similarly, define </w:t>
      </w:r>
      <m:oMath>
        <m:sSub>
          <m:sSubPr>
            <m:ctrlPr>
              <w:rPr>
                <w:rFonts w:ascii="Cambria Math" w:hAnsi="Cambria Math"/>
                <w:i/>
              </w:rPr>
            </m:ctrlPr>
          </m:sSubPr>
          <m:e>
            <m:r>
              <w:rPr>
                <w:rFonts w:ascii="Cambria Math" w:hAnsi="Cambria Math"/>
              </w:rPr>
              <m:t>p</m:t>
            </m:r>
          </m:e>
          <m:sub>
            <m:d>
              <m:dPr>
                <m:ctrlPr>
                  <w:rPr>
                    <w:rFonts w:ascii="Cambria Math" w:hAnsi="Cambria Math"/>
                    <w:i/>
                  </w:rPr>
                </m:ctrlPr>
              </m:dPr>
              <m:e>
                <m:r>
                  <w:rPr>
                    <w:rFonts w:ascii="Cambria Math" w:hAnsi="Cambria Math"/>
                  </w:rPr>
                  <m:t>nosym</m:t>
                </m:r>
              </m:e>
            </m:d>
            <m:d>
              <m:dPr>
                <m:ctrlPr>
                  <w:rPr>
                    <w:rFonts w:ascii="Cambria Math" w:hAnsi="Cambria Math"/>
                    <w:i/>
                  </w:rPr>
                </m:ctrlPr>
              </m:dPr>
              <m:e>
                <m:r>
                  <w:rPr>
                    <w:rFonts w:ascii="Cambria Math" w:hAnsi="Cambria Math"/>
                  </w:rPr>
                  <m:t>sym</m:t>
                </m:r>
              </m:e>
            </m:d>
          </m:sub>
        </m:sSub>
        <m:d>
          <m:dPr>
            <m:ctrlPr>
              <w:rPr>
                <w:rFonts w:ascii="Cambria Math" w:hAnsi="Cambria Math"/>
                <w:i/>
              </w:rPr>
            </m:ctrlPr>
          </m:dPr>
          <m:e>
            <m:r>
              <w:rPr>
                <w:rFonts w:ascii="Cambria Math" w:hAnsi="Cambria Math"/>
              </w:rPr>
              <m:t>s,t</m:t>
            </m:r>
          </m:e>
        </m:d>
        <m:r>
          <w:rPr>
            <w:rFonts w:ascii="Cambria Math" w:hAnsi="Cambria Math"/>
          </w:rPr>
          <m:t xml:space="preserve"> </m:t>
        </m:r>
      </m:oMath>
      <w:r w:rsidRPr="00C93121">
        <w:t xml:space="preserve">to be the probability that a patient with recurrence develops symptoms between times </w:t>
      </w:r>
      <m:oMath>
        <m:r>
          <w:rPr>
            <w:rFonts w:ascii="Cambria Math" w:hAnsi="Cambria Math"/>
          </w:rPr>
          <m:t>s</m:t>
        </m:r>
      </m:oMath>
      <w:r w:rsidRPr="00C93121">
        <w:t xml:space="preserve"> and </w:t>
      </w:r>
      <m:oMath>
        <m:r>
          <w:rPr>
            <w:rFonts w:ascii="Cambria Math" w:hAnsi="Cambria Math"/>
          </w:rPr>
          <m:t>t</m:t>
        </m:r>
      </m:oMath>
      <w:r w:rsidRPr="00C93121">
        <w:t xml:space="preserve">. This probability only depends on the value  </w:t>
      </w:r>
      <m:oMath>
        <m:sSub>
          <m:sSubPr>
            <m:ctrlPr>
              <w:rPr>
                <w:rFonts w:ascii="Cambria Math" w:hAnsi="Cambria Math"/>
                <w:i/>
              </w:rPr>
            </m:ctrlPr>
          </m:sSubPr>
          <m:e>
            <m:r>
              <w:rPr>
                <w:rFonts w:ascii="Cambria Math" w:hAnsi="Cambria Math"/>
              </w:rPr>
              <m:t>α</m:t>
            </m:r>
          </m:e>
          <m:sub>
            <m:r>
              <w:rPr>
                <w:rFonts w:ascii="Cambria Math" w:hAnsi="Cambria Math"/>
              </w:rPr>
              <m:t>sym</m:t>
            </m:r>
          </m:sub>
        </m:sSub>
        <m:r>
          <w:rPr>
            <w:rFonts w:ascii="Cambria Math" w:hAnsi="Cambria Math"/>
          </w:rPr>
          <m:t>.</m:t>
        </m:r>
      </m:oMath>
      <w:r w:rsidRPr="00C93121">
        <w:t xml:space="preserve">  We compute the maximum likelihood estimate of </w:t>
      </w:r>
      <m:oMath>
        <m:sSub>
          <m:sSubPr>
            <m:ctrlPr>
              <w:rPr>
                <w:rFonts w:ascii="Cambria Math" w:hAnsi="Cambria Math"/>
                <w:i/>
              </w:rPr>
            </m:ctrlPr>
          </m:sSubPr>
          <m:e>
            <m:r>
              <w:rPr>
                <w:rFonts w:ascii="Cambria Math" w:hAnsi="Cambria Math"/>
              </w:rPr>
              <m:t>α</m:t>
            </m:r>
          </m:e>
          <m:sub>
            <m:r>
              <w:rPr>
                <w:rFonts w:ascii="Cambria Math" w:hAnsi="Cambria Math"/>
              </w:rPr>
              <m:t>sym</m:t>
            </m:r>
          </m:sub>
        </m:sSub>
        <m:r>
          <w:rPr>
            <w:rFonts w:ascii="Cambria Math" w:hAnsi="Cambria Math"/>
          </w:rPr>
          <m:t xml:space="preserve">. </m:t>
        </m:r>
      </m:oMath>
      <w:r w:rsidRPr="00C93121">
        <w:t>For an individual who recurred but had not developed symptoms by their time of detection, the contribution to the likelihood is given by</w:t>
      </w:r>
    </w:p>
    <w:p w14:paraId="41679D60" w14:textId="77777777" w:rsidR="008C1D76" w:rsidRPr="00C93121" w:rsidRDefault="008C1D76" w:rsidP="009B3BAA">
      <w:pPr>
        <w:spacing w:line="360" w:lineRule="auto"/>
      </w:pPr>
    </w:p>
    <w:p w14:paraId="3F0D55AD" w14:textId="77777777" w:rsidR="008C1D76" w:rsidRPr="00C93121" w:rsidRDefault="005E148A" w:rsidP="009B3BAA">
      <w:pPr>
        <w:spacing w:line="360" w:lineRule="auto"/>
      </w:pPr>
      <m:oMathPara>
        <m:oMath>
          <m:sSub>
            <m:sSubPr>
              <m:ctrlPr>
                <w:rPr>
                  <w:rFonts w:ascii="Cambria Math" w:hAnsi="Cambria Math"/>
                  <w:i/>
                </w:rPr>
              </m:ctrlPr>
            </m:sSubPr>
            <m:e>
              <m:r>
                <m:rPr>
                  <m:scr m:val="script"/>
                </m:rPr>
                <w:rPr>
                  <w:rFonts w:ascii="Cambria Math" w:hAnsi="Cambria Math"/>
                </w:rPr>
                <m:t>l</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sym</m:t>
                  </m:r>
                </m:sub>
              </m:sSub>
            </m:e>
          </m: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1</m:t>
              </m:r>
              <m:d>
                <m:dPr>
                  <m:ctrlPr>
                    <w:rPr>
                      <w:rFonts w:ascii="Cambria Math" w:hAnsi="Cambria Math"/>
                      <w:i/>
                    </w:rPr>
                  </m:ctrlPr>
                </m:dPr>
                <m:e>
                  <m:r>
                    <w:rPr>
                      <w:rFonts w:ascii="Cambria Math" w:hAnsi="Cambria Math"/>
                    </w:rPr>
                    <m:t>nosym</m:t>
                  </m:r>
                </m:e>
              </m:d>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lastnorm</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det</m:t>
                  </m:r>
                </m:sub>
              </m:sSub>
            </m:e>
          </m:d>
          <m:r>
            <w:rPr>
              <w:rFonts w:ascii="Cambria Math" w:hAnsi="Cambria Math"/>
            </w:rPr>
            <m:t>.</m:t>
          </m:r>
        </m:oMath>
      </m:oMathPara>
    </w:p>
    <w:p w14:paraId="7D9C939A" w14:textId="77777777" w:rsidR="008C1D76" w:rsidRPr="00C93121" w:rsidRDefault="008C1D76" w:rsidP="009B3BAA">
      <w:pPr>
        <w:spacing w:line="360" w:lineRule="auto"/>
      </w:pPr>
    </w:p>
    <w:p w14:paraId="7AD77F44" w14:textId="77777777" w:rsidR="008C1D76" w:rsidRPr="00C93121" w:rsidRDefault="008C1D76" w:rsidP="009B3BAA">
      <w:pPr>
        <w:spacing w:line="360" w:lineRule="auto"/>
      </w:pPr>
      <w:r w:rsidRPr="00C93121">
        <w:t>The contribution to the likelihood by an individual who recurred and had developed symptoms before they were detected is given by</w:t>
      </w:r>
    </w:p>
    <w:p w14:paraId="383A4B84" w14:textId="77777777" w:rsidR="008C1D76" w:rsidRPr="00C93121" w:rsidRDefault="008C1D76" w:rsidP="009B3BAA">
      <w:pPr>
        <w:spacing w:line="360" w:lineRule="auto"/>
      </w:pPr>
    </w:p>
    <w:p w14:paraId="2F6FCB84" w14:textId="77777777" w:rsidR="008C1D76" w:rsidRPr="00C93121" w:rsidRDefault="005E148A" w:rsidP="009B3BAA">
      <w:pPr>
        <w:spacing w:line="360" w:lineRule="auto"/>
      </w:pPr>
      <m:oMathPara>
        <m:oMath>
          <m:sSub>
            <m:sSubPr>
              <m:ctrlPr>
                <w:rPr>
                  <w:rFonts w:ascii="Cambria Math" w:hAnsi="Cambria Math"/>
                  <w:i/>
                </w:rPr>
              </m:ctrlPr>
            </m:sSubPr>
            <m:e>
              <m:r>
                <m:rPr>
                  <m:scr m:val="script"/>
                </m:rPr>
                <w:rPr>
                  <w:rFonts w:ascii="Cambria Math" w:hAnsi="Cambria Math"/>
                </w:rPr>
                <m:t>l</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sym</m:t>
                  </m:r>
                </m:sub>
              </m:sSub>
            </m:e>
          </m: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1</m:t>
              </m:r>
              <m:d>
                <m:dPr>
                  <m:ctrlPr>
                    <w:rPr>
                      <w:rFonts w:ascii="Cambria Math" w:hAnsi="Cambria Math"/>
                      <w:i/>
                    </w:rPr>
                  </m:ctrlPr>
                </m:dPr>
                <m:e>
                  <m:r>
                    <w:rPr>
                      <w:rFonts w:ascii="Cambria Math" w:hAnsi="Cambria Math"/>
                    </w:rPr>
                    <m:t>nosym</m:t>
                  </m:r>
                </m:e>
              </m:d>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lastnorm</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sym</m:t>
                  </m:r>
                </m:sub>
              </m:sSub>
              <m:r>
                <w:rPr>
                  <w:rFonts w:ascii="Cambria Math" w:hAnsi="Cambria Math"/>
                </w:rPr>
                <m:t>-d</m:t>
              </m:r>
            </m:e>
          </m:d>
          <m:sSub>
            <m:sSubPr>
              <m:ctrlPr>
                <w:rPr>
                  <w:rFonts w:ascii="Cambria Math" w:hAnsi="Cambria Math"/>
                  <w:i/>
                </w:rPr>
              </m:ctrlPr>
            </m:sSubPr>
            <m:e>
              <m:r>
                <w:rPr>
                  <w:rFonts w:ascii="Cambria Math" w:hAnsi="Cambria Math"/>
                </w:rPr>
                <m:t>p</m:t>
              </m:r>
            </m:e>
            <m:sub>
              <m:d>
                <m:dPr>
                  <m:ctrlPr>
                    <w:rPr>
                      <w:rFonts w:ascii="Cambria Math" w:hAnsi="Cambria Math"/>
                      <w:i/>
                    </w:rPr>
                  </m:ctrlPr>
                </m:dPr>
                <m:e>
                  <m:r>
                    <w:rPr>
                      <w:rFonts w:ascii="Cambria Math" w:hAnsi="Cambria Math"/>
                    </w:rPr>
                    <m:t>nosym</m:t>
                  </m:r>
                </m:e>
              </m:d>
              <m:d>
                <m:dPr>
                  <m:ctrlPr>
                    <w:rPr>
                      <w:rFonts w:ascii="Cambria Math" w:hAnsi="Cambria Math"/>
                      <w:i/>
                    </w:rPr>
                  </m:ctrlPr>
                </m:dPr>
                <m:e>
                  <m:r>
                    <w:rPr>
                      <w:rFonts w:ascii="Cambria Math" w:hAnsi="Cambria Math"/>
                    </w:rPr>
                    <m:t>sym</m:t>
                  </m:r>
                </m:e>
              </m:d>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sym</m:t>
                  </m:r>
                </m:sub>
              </m:sSub>
              <m:r>
                <w:rPr>
                  <w:rFonts w:ascii="Cambria Math" w:hAnsi="Cambria Math"/>
                </w:rPr>
                <m:t xml:space="preserve">-d, </m:t>
              </m:r>
              <m:sSub>
                <m:sSubPr>
                  <m:ctrlPr>
                    <w:rPr>
                      <w:rFonts w:ascii="Cambria Math" w:hAnsi="Cambria Math"/>
                      <w:i/>
                    </w:rPr>
                  </m:ctrlPr>
                </m:sSubPr>
                <m:e>
                  <m:r>
                    <w:rPr>
                      <w:rFonts w:ascii="Cambria Math" w:hAnsi="Cambria Math"/>
                    </w:rPr>
                    <m:t>t</m:t>
                  </m:r>
                </m:e>
                <m:sub>
                  <m:r>
                    <w:rPr>
                      <w:rFonts w:ascii="Cambria Math" w:hAnsi="Cambria Math"/>
                    </w:rPr>
                    <m:t>sym</m:t>
                  </m:r>
                </m:sub>
              </m:sSub>
            </m:e>
          </m:d>
          <m:r>
            <w:rPr>
              <w:rFonts w:ascii="Cambria Math" w:hAnsi="Cambria Math"/>
            </w:rPr>
            <m:t>,</m:t>
          </m:r>
        </m:oMath>
      </m:oMathPara>
    </w:p>
    <w:p w14:paraId="6EDF4225" w14:textId="77777777" w:rsidR="008C1D76" w:rsidRPr="00C93121" w:rsidRDefault="008C1D76" w:rsidP="009B3BAA">
      <w:pPr>
        <w:spacing w:line="360" w:lineRule="auto"/>
        <w:rPr>
          <w:sz w:val="23"/>
          <w:szCs w:val="23"/>
        </w:rPr>
      </w:pPr>
    </w:p>
    <w:p w14:paraId="05F97251" w14:textId="77777777" w:rsidR="008C1D76" w:rsidRPr="00C93121" w:rsidRDefault="008C1D76" w:rsidP="009B3BAA">
      <w:pPr>
        <w:spacing w:line="360" w:lineRule="auto"/>
        <w:rPr>
          <w:sz w:val="23"/>
          <w:szCs w:val="23"/>
        </w:rPr>
      </w:pPr>
      <w:r w:rsidRPr="00C93121">
        <w:rPr>
          <w:sz w:val="23"/>
          <w:szCs w:val="23"/>
        </w:rPr>
        <w:t xml:space="preserve">where </w:t>
      </w:r>
      <m:oMath>
        <m:r>
          <w:rPr>
            <w:rFonts w:ascii="Cambria Math" w:hAnsi="Cambria Math"/>
            <w:sz w:val="23"/>
            <w:szCs w:val="23"/>
          </w:rPr>
          <m:t>d</m:t>
        </m:r>
      </m:oMath>
      <w:r w:rsidRPr="00C93121">
        <w:rPr>
          <w:sz w:val="23"/>
          <w:szCs w:val="23"/>
        </w:rPr>
        <w:t xml:space="preserve"> represents one day. The total likelihood is then given by</w:t>
      </w:r>
    </w:p>
    <w:p w14:paraId="4DA33E0E" w14:textId="77777777" w:rsidR="008C1D76" w:rsidRPr="00C93121" w:rsidRDefault="008C1D76" w:rsidP="009B3BAA">
      <w:pPr>
        <w:spacing w:line="360" w:lineRule="auto"/>
        <w:rPr>
          <w:sz w:val="23"/>
          <w:szCs w:val="23"/>
        </w:rPr>
      </w:pPr>
    </w:p>
    <w:p w14:paraId="0A907482" w14:textId="77777777" w:rsidR="008C1D76" w:rsidRPr="00C93121" w:rsidRDefault="008C1D76" w:rsidP="009B3BAA">
      <w:pPr>
        <w:spacing w:line="360" w:lineRule="auto"/>
        <w:jc w:val="center"/>
        <w:rPr>
          <w:sz w:val="23"/>
          <w:szCs w:val="23"/>
        </w:rPr>
      </w:pPr>
      <m:oMathPara>
        <m:oMath>
          <m:r>
            <w:rPr>
              <w:rFonts w:ascii="Cambria Math" w:hAnsi="Cambria Math"/>
              <w:sz w:val="23"/>
              <w:szCs w:val="23"/>
            </w:rPr>
            <m:t>L</m:t>
          </m:r>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α</m:t>
                  </m:r>
                </m:e>
                <m:sub>
                  <m:r>
                    <w:rPr>
                      <w:rFonts w:ascii="Cambria Math" w:hAnsi="Cambria Math"/>
                      <w:sz w:val="23"/>
                      <w:szCs w:val="23"/>
                    </w:rPr>
                    <m:t>sym</m:t>
                  </m:r>
                </m:sub>
              </m:sSub>
            </m:e>
          </m:d>
          <m:r>
            <w:rPr>
              <w:rFonts w:ascii="Cambria Math" w:hAnsi="Cambria Math"/>
              <w:sz w:val="23"/>
              <w:szCs w:val="23"/>
            </w:rPr>
            <m:t>=</m:t>
          </m:r>
          <m:nary>
            <m:naryPr>
              <m:chr m:val="∏"/>
              <m:limLoc m:val="undOvr"/>
              <m:ctrlPr>
                <w:rPr>
                  <w:rFonts w:ascii="Cambria Math" w:hAnsi="Cambria Math"/>
                  <w:i/>
                  <w:sz w:val="23"/>
                  <w:szCs w:val="23"/>
                </w:rPr>
              </m:ctrlPr>
            </m:naryPr>
            <m:sub>
              <m:r>
                <w:rPr>
                  <w:rFonts w:ascii="Cambria Math" w:hAnsi="Cambria Math"/>
                  <w:sz w:val="23"/>
                  <w:szCs w:val="23"/>
                </w:rPr>
                <m:t>i=1</m:t>
              </m:r>
            </m:sub>
            <m:sup>
              <m:r>
                <w:rPr>
                  <w:rFonts w:ascii="Cambria Math" w:hAnsi="Cambria Math"/>
                  <w:sz w:val="23"/>
                  <w:szCs w:val="23"/>
                </w:rPr>
                <m:t>N</m:t>
              </m:r>
            </m:sup>
            <m:e>
              <m:sSub>
                <m:sSubPr>
                  <m:ctrlPr>
                    <w:rPr>
                      <w:rFonts w:ascii="Cambria Math" w:hAnsi="Cambria Math"/>
                      <w:i/>
                      <w:sz w:val="23"/>
                      <w:szCs w:val="23"/>
                    </w:rPr>
                  </m:ctrlPr>
                </m:sSubPr>
                <m:e>
                  <m:r>
                    <m:rPr>
                      <m:scr m:val="script"/>
                    </m:rPr>
                    <w:rPr>
                      <w:rFonts w:ascii="Cambria Math" w:hAnsi="Cambria Math"/>
                      <w:sz w:val="23"/>
                      <w:szCs w:val="23"/>
                    </w:rPr>
                    <m:t>l</m:t>
                  </m:r>
                </m:e>
                <m:sub>
                  <m:r>
                    <w:rPr>
                      <w:rFonts w:ascii="Cambria Math" w:hAnsi="Cambria Math"/>
                      <w:sz w:val="23"/>
                      <w:szCs w:val="23"/>
                    </w:rPr>
                    <m:t>i</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α</m:t>
                  </m:r>
                </m:e>
                <m:sub>
                  <m:r>
                    <w:rPr>
                      <w:rFonts w:ascii="Cambria Math" w:hAnsi="Cambria Math"/>
                      <w:sz w:val="23"/>
                      <w:szCs w:val="23"/>
                    </w:rPr>
                    <m:t>sym</m:t>
                  </m:r>
                </m:sub>
              </m:sSub>
              <m:r>
                <w:rPr>
                  <w:rFonts w:ascii="Cambria Math" w:hAnsi="Cambria Math"/>
                  <w:sz w:val="23"/>
                  <w:szCs w:val="23"/>
                </w:rPr>
                <m:t>)</m:t>
              </m:r>
            </m:e>
          </m:nary>
          <m:r>
            <w:rPr>
              <w:rFonts w:ascii="Cambria Math" w:hAnsi="Cambria Math"/>
              <w:sz w:val="23"/>
              <w:szCs w:val="23"/>
            </w:rPr>
            <m:t>.</m:t>
          </m:r>
        </m:oMath>
      </m:oMathPara>
    </w:p>
    <w:p w14:paraId="62D25566" w14:textId="77777777" w:rsidR="008C1D76" w:rsidRPr="00C93121" w:rsidRDefault="008C1D76" w:rsidP="009B3BAA">
      <w:pPr>
        <w:spacing w:line="360" w:lineRule="auto"/>
        <w:jc w:val="center"/>
        <w:rPr>
          <w:sz w:val="23"/>
          <w:szCs w:val="23"/>
        </w:rPr>
      </w:pPr>
    </w:p>
    <w:p w14:paraId="3A231068" w14:textId="77777777" w:rsidR="008C1D76" w:rsidRPr="00C93121" w:rsidRDefault="008C1D76" w:rsidP="009B3BAA">
      <w:pPr>
        <w:spacing w:line="360" w:lineRule="auto"/>
        <w:rPr>
          <w:sz w:val="23"/>
          <w:szCs w:val="23"/>
        </w:rPr>
      </w:pPr>
      <w:r w:rsidRPr="00C93121">
        <w:rPr>
          <w:sz w:val="23"/>
          <w:szCs w:val="23"/>
        </w:rPr>
        <w:t xml:space="preserve">We find the value of </w:t>
      </w:r>
      <m:oMath>
        <m:sSub>
          <m:sSubPr>
            <m:ctrlPr>
              <w:rPr>
                <w:rFonts w:ascii="Cambria Math" w:hAnsi="Cambria Math"/>
                <w:i/>
                <w:sz w:val="23"/>
                <w:szCs w:val="23"/>
              </w:rPr>
            </m:ctrlPr>
          </m:sSubPr>
          <m:e>
            <m:r>
              <w:rPr>
                <w:rFonts w:ascii="Cambria Math" w:hAnsi="Cambria Math"/>
                <w:sz w:val="23"/>
                <w:szCs w:val="23"/>
              </w:rPr>
              <m:t>α</m:t>
            </m:r>
          </m:e>
          <m:sub>
            <m:r>
              <w:rPr>
                <w:rFonts w:ascii="Cambria Math" w:hAnsi="Cambria Math"/>
                <w:sz w:val="23"/>
                <w:szCs w:val="23"/>
              </w:rPr>
              <m:t>sym</m:t>
            </m:r>
          </m:sub>
        </m:sSub>
        <m:r>
          <w:rPr>
            <w:rFonts w:ascii="Cambria Math" w:hAnsi="Cambria Math"/>
            <w:sz w:val="23"/>
            <w:szCs w:val="23"/>
          </w:rPr>
          <m:t xml:space="preserve"> </m:t>
        </m:r>
      </m:oMath>
      <w:r w:rsidRPr="00C93121">
        <w:rPr>
          <w:sz w:val="23"/>
          <w:szCs w:val="23"/>
        </w:rPr>
        <w:t xml:space="preserve">that maximizes </w:t>
      </w:r>
      <m:oMath>
        <m:r>
          <w:rPr>
            <w:rFonts w:ascii="Cambria Math" w:hAnsi="Cambria Math"/>
            <w:sz w:val="23"/>
            <w:szCs w:val="23"/>
          </w:rPr>
          <m:t>L</m:t>
        </m:r>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α</m:t>
                </m:r>
              </m:e>
              <m:sub>
                <m:r>
                  <w:rPr>
                    <w:rFonts w:ascii="Cambria Math" w:hAnsi="Cambria Math"/>
                    <w:sz w:val="23"/>
                    <w:szCs w:val="23"/>
                  </w:rPr>
                  <m:t>sym</m:t>
                </m:r>
              </m:sub>
            </m:sSub>
          </m:e>
        </m:d>
      </m:oMath>
      <w:r w:rsidRPr="00C93121">
        <w:rPr>
          <w:sz w:val="23"/>
          <w:szCs w:val="23"/>
        </w:rPr>
        <w:t xml:space="preserve"> using a quasi-Newton algorithm.</w:t>
      </w:r>
    </w:p>
    <w:p w14:paraId="6E394443" w14:textId="77777777" w:rsidR="008C1D76" w:rsidRPr="00C93121" w:rsidRDefault="008C1D76" w:rsidP="009B3BAA">
      <w:pPr>
        <w:spacing w:line="360" w:lineRule="auto"/>
        <w:rPr>
          <w:b/>
          <w:sz w:val="23"/>
          <w:szCs w:val="23"/>
        </w:rPr>
      </w:pPr>
    </w:p>
    <w:p w14:paraId="25FCC06B" w14:textId="77777777" w:rsidR="008C1D76" w:rsidRPr="00C93121" w:rsidRDefault="008C1D76" w:rsidP="009B3BAA">
      <w:pPr>
        <w:spacing w:line="360" w:lineRule="auto"/>
        <w:rPr>
          <w:b/>
          <w:sz w:val="23"/>
          <w:szCs w:val="23"/>
        </w:rPr>
      </w:pPr>
      <w:r w:rsidRPr="00C93121">
        <w:rPr>
          <w:b/>
          <w:sz w:val="23"/>
          <w:szCs w:val="23"/>
        </w:rPr>
        <w:t>5</w:t>
      </w:r>
      <w:r w:rsidR="00BE08C4" w:rsidRPr="00C93121">
        <w:rPr>
          <w:b/>
          <w:sz w:val="23"/>
          <w:szCs w:val="23"/>
        </w:rPr>
        <w:t>.</w:t>
      </w:r>
      <w:r w:rsidRPr="00C93121">
        <w:rPr>
          <w:b/>
          <w:sz w:val="23"/>
          <w:szCs w:val="23"/>
        </w:rPr>
        <w:t xml:space="preserve"> Survival for recurrers with curative surgery</w:t>
      </w:r>
    </w:p>
    <w:p w14:paraId="6C6E88EF" w14:textId="77777777" w:rsidR="008C1D76" w:rsidRPr="00C93121" w:rsidRDefault="008C1D76" w:rsidP="009B3BAA">
      <w:pPr>
        <w:spacing w:line="360" w:lineRule="auto"/>
        <w:rPr>
          <w:b/>
          <w:sz w:val="23"/>
          <w:szCs w:val="23"/>
        </w:rPr>
      </w:pPr>
    </w:p>
    <w:p w14:paraId="67881E46" w14:textId="5FE3EFEF" w:rsidR="008C1D76" w:rsidRPr="00C93121" w:rsidRDefault="008C1D76" w:rsidP="009B3BAA">
      <w:pPr>
        <w:spacing w:line="360" w:lineRule="auto"/>
        <w:rPr>
          <w:sz w:val="23"/>
          <w:szCs w:val="23"/>
        </w:rPr>
      </w:pPr>
      <w:r w:rsidRPr="00C93121">
        <w:rPr>
          <w:sz w:val="23"/>
          <w:szCs w:val="23"/>
        </w:rPr>
        <w:t>Recall that when we computed the natural history parameters, we computed an estimate for the rate of transition from state 3 to</w:t>
      </w:r>
      <w:r w:rsidR="00D32270" w:rsidRPr="00C93121">
        <w:rPr>
          <w:sz w:val="23"/>
          <w:szCs w:val="23"/>
        </w:rPr>
        <w:t xml:space="preserve"> state 4</w:t>
      </w:r>
      <w:r w:rsidRPr="00C93121">
        <w:rPr>
          <w:sz w:val="23"/>
          <w:szCs w:val="23"/>
        </w:rPr>
        <w:t>. Thus</w:t>
      </w:r>
      <w:r w:rsidR="005060AF">
        <w:rPr>
          <w:sz w:val="23"/>
          <w:szCs w:val="23"/>
        </w:rPr>
        <w:t xml:space="preserve">, </w:t>
      </w:r>
      <w:r w:rsidRPr="00C93121">
        <w:rPr>
          <w:sz w:val="23"/>
          <w:szCs w:val="23"/>
        </w:rPr>
        <w:t>we already have an estimate for the rate of survival for recurrers who were detected after their recurrence had become unresectable. However, we have not considered survival for recurrers who undergo curative</w:t>
      </w:r>
      <w:r w:rsidR="009C2872" w:rsidRPr="00C93121">
        <w:rPr>
          <w:sz w:val="23"/>
          <w:szCs w:val="23"/>
        </w:rPr>
        <w:t>-</w:t>
      </w:r>
      <w:r w:rsidR="005C528E" w:rsidRPr="00C93121">
        <w:rPr>
          <w:sz w:val="23"/>
          <w:szCs w:val="23"/>
        </w:rPr>
        <w:t>intent</w:t>
      </w:r>
      <w:r w:rsidRPr="00C93121">
        <w:rPr>
          <w:sz w:val="23"/>
          <w:szCs w:val="23"/>
        </w:rPr>
        <w:t xml:space="preserve"> surgery</w:t>
      </w:r>
      <w:r w:rsidR="009C2872" w:rsidRPr="00C93121">
        <w:rPr>
          <w:sz w:val="23"/>
          <w:szCs w:val="23"/>
        </w:rPr>
        <w:t xml:space="preserve"> (i.e. who are detected in state 2)</w:t>
      </w:r>
      <w:r w:rsidRPr="00C93121">
        <w:rPr>
          <w:sz w:val="23"/>
          <w:szCs w:val="23"/>
        </w:rPr>
        <w:t xml:space="preserve">. </w:t>
      </w:r>
    </w:p>
    <w:p w14:paraId="6BFE6188" w14:textId="5072642B" w:rsidR="008C1D76" w:rsidRPr="00C93121" w:rsidRDefault="008C1D76" w:rsidP="009B3BAA">
      <w:pPr>
        <w:spacing w:line="360" w:lineRule="auto"/>
        <w:rPr>
          <w:sz w:val="23"/>
          <w:szCs w:val="23"/>
        </w:rPr>
      </w:pPr>
    </w:p>
    <w:p w14:paraId="18F09326" w14:textId="77777777" w:rsidR="008C1D76" w:rsidRPr="00C93121" w:rsidRDefault="008C1D76" w:rsidP="009B3BAA">
      <w:pPr>
        <w:spacing w:line="360" w:lineRule="auto"/>
        <w:rPr>
          <w:sz w:val="23"/>
          <w:szCs w:val="23"/>
        </w:rPr>
      </w:pPr>
      <w:r w:rsidRPr="00C93121">
        <w:rPr>
          <w:sz w:val="23"/>
          <w:szCs w:val="23"/>
        </w:rPr>
        <w:t xml:space="preserve">For patients who underwent curative surgery for recurrence, we have time of detection as well as time of death or the time they were last known to be alive. We fit an exponential survival model to this data, giving us the rate of survival post-recurrence diagnosis for patients who were detected while their recurrence was still potentially resectable. </w:t>
      </w:r>
    </w:p>
    <w:p w14:paraId="6049CC47" w14:textId="77777777" w:rsidR="008C1D76" w:rsidRPr="00C93121" w:rsidRDefault="008C1D76" w:rsidP="009B3BAA">
      <w:pPr>
        <w:spacing w:line="360" w:lineRule="auto"/>
      </w:pPr>
    </w:p>
    <w:p w14:paraId="0A2EB7D5" w14:textId="77777777" w:rsidR="00CA392B" w:rsidRPr="00C93121" w:rsidRDefault="00CA392B" w:rsidP="009B3BAA">
      <w:pPr>
        <w:spacing w:line="360" w:lineRule="auto"/>
      </w:pPr>
      <w:r w:rsidRPr="00C93121">
        <w:rPr>
          <w:noProof/>
        </w:rPr>
        <w:lastRenderedPageBreak/>
        <w:drawing>
          <wp:inline distT="0" distB="0" distL="0" distR="0" wp14:anchorId="0E8FCDE6" wp14:editId="3DDAA109">
            <wp:extent cx="5710428" cy="4050792"/>
            <wp:effectExtent l="0" t="0" r="508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c_diagram.jpg"/>
                    <pic:cNvPicPr/>
                  </pic:nvPicPr>
                  <pic:blipFill>
                    <a:blip r:embed="rId9">
                      <a:extLst>
                        <a:ext uri="{28A0092B-C50C-407E-A947-70E740481C1C}">
                          <a14:useLocalDpi xmlns:a14="http://schemas.microsoft.com/office/drawing/2010/main" val="0"/>
                        </a:ext>
                      </a:extLst>
                    </a:blip>
                    <a:stretch>
                      <a:fillRect/>
                    </a:stretch>
                  </pic:blipFill>
                  <pic:spPr>
                    <a:xfrm>
                      <a:off x="0" y="0"/>
                      <a:ext cx="5710428" cy="4050792"/>
                    </a:xfrm>
                    <a:prstGeom prst="rect">
                      <a:avLst/>
                    </a:prstGeom>
                  </pic:spPr>
                </pic:pic>
              </a:graphicData>
            </a:graphic>
          </wp:inline>
        </w:drawing>
      </w:r>
    </w:p>
    <w:p w14:paraId="3D4F1968" w14:textId="77777777" w:rsidR="00CA392B" w:rsidRPr="00C93121" w:rsidRDefault="00CA392B" w:rsidP="009B3BAA">
      <w:pPr>
        <w:spacing w:line="360" w:lineRule="auto"/>
      </w:pPr>
      <w:r w:rsidRPr="00C93121">
        <w:t xml:space="preserve">Figure A1. State transition diagram for disease states of the model; the arrows indicate possible transitions. </w:t>
      </w:r>
    </w:p>
    <w:p w14:paraId="1E8E7902" w14:textId="77777777" w:rsidR="00CA392B" w:rsidRPr="00C93121" w:rsidRDefault="00CA392B" w:rsidP="009B3BAA">
      <w:pPr>
        <w:spacing w:line="360" w:lineRule="auto"/>
      </w:pPr>
    </w:p>
    <w:p w14:paraId="5AC50D7A" w14:textId="77777777" w:rsidR="009B3BAA" w:rsidRPr="00C93121" w:rsidRDefault="009B3BAA" w:rsidP="009B3BAA">
      <w:pPr>
        <w:spacing w:line="360" w:lineRule="auto"/>
      </w:pPr>
    </w:p>
    <w:p w14:paraId="54A2F3A9" w14:textId="77777777" w:rsidR="009B3BAA" w:rsidRPr="00C93121" w:rsidRDefault="009B3BAA" w:rsidP="009B3BAA">
      <w:pPr>
        <w:spacing w:line="360" w:lineRule="auto"/>
      </w:pPr>
    </w:p>
    <w:p w14:paraId="0A6A7B48" w14:textId="77777777" w:rsidR="009B3BAA" w:rsidRPr="00C93121" w:rsidRDefault="009B3BAA" w:rsidP="009B3BAA">
      <w:pPr>
        <w:spacing w:line="360" w:lineRule="auto"/>
      </w:pPr>
    </w:p>
    <w:p w14:paraId="32082750" w14:textId="77777777" w:rsidR="009B3BAA" w:rsidRPr="00C93121" w:rsidRDefault="009B3BAA" w:rsidP="009B3BAA">
      <w:pPr>
        <w:spacing w:line="360" w:lineRule="auto"/>
      </w:pPr>
    </w:p>
    <w:p w14:paraId="7DD8FDB4" w14:textId="77777777" w:rsidR="009B3BAA" w:rsidRPr="00C93121" w:rsidRDefault="009B3BAA" w:rsidP="009B3BAA">
      <w:pPr>
        <w:spacing w:line="360" w:lineRule="auto"/>
      </w:pPr>
    </w:p>
    <w:p w14:paraId="0889D3D6" w14:textId="77777777" w:rsidR="009B3BAA" w:rsidRPr="00C93121" w:rsidRDefault="009B3BAA" w:rsidP="009B3BAA">
      <w:pPr>
        <w:spacing w:line="360" w:lineRule="auto"/>
      </w:pPr>
    </w:p>
    <w:p w14:paraId="2A906C85" w14:textId="77777777" w:rsidR="009B3BAA" w:rsidRPr="00C93121" w:rsidRDefault="009B3BAA" w:rsidP="009B3BAA">
      <w:pPr>
        <w:spacing w:line="360" w:lineRule="auto"/>
      </w:pPr>
    </w:p>
    <w:p w14:paraId="4896DC52" w14:textId="5E8F159F" w:rsidR="00090535" w:rsidRDefault="00090535">
      <w:pPr>
        <w:rPr>
          <w:noProof/>
        </w:rPr>
      </w:pPr>
    </w:p>
    <w:p w14:paraId="323D5AD1" w14:textId="76D1C689" w:rsidR="00090535" w:rsidRDefault="00090535">
      <w:pPr>
        <w:rPr>
          <w:noProof/>
        </w:rPr>
      </w:pPr>
    </w:p>
    <w:p w14:paraId="68BA61F7" w14:textId="514D25A8" w:rsidR="00090535" w:rsidRDefault="00090535">
      <w:pPr>
        <w:rPr>
          <w:noProof/>
        </w:rPr>
      </w:pPr>
    </w:p>
    <w:p w14:paraId="17AA9193" w14:textId="059F6B54" w:rsidR="00090535" w:rsidRDefault="00090535">
      <w:pPr>
        <w:rPr>
          <w:noProof/>
        </w:rPr>
      </w:pPr>
    </w:p>
    <w:p w14:paraId="4FE52E76" w14:textId="26344082" w:rsidR="00090535" w:rsidRDefault="00090535">
      <w:pPr>
        <w:rPr>
          <w:noProof/>
        </w:rPr>
      </w:pPr>
    </w:p>
    <w:p w14:paraId="3D9B7453" w14:textId="66F628F0" w:rsidR="00090535" w:rsidRDefault="004E2626" w:rsidP="004E2626">
      <w:pPr>
        <w:jc w:val="center"/>
        <w:rPr>
          <w:noProof/>
        </w:rPr>
      </w:pPr>
      <w:r>
        <w:rPr>
          <w:noProof/>
        </w:rPr>
        <w:t>INSERT APPENDIX 2</w:t>
      </w:r>
    </w:p>
    <w:p w14:paraId="60866200" w14:textId="1E6A8453" w:rsidR="00090535" w:rsidRDefault="00090535">
      <w:pPr>
        <w:rPr>
          <w:noProof/>
        </w:rPr>
      </w:pPr>
    </w:p>
    <w:p w14:paraId="77633453" w14:textId="33DB3BA1" w:rsidR="00090535" w:rsidRDefault="00090535">
      <w:pPr>
        <w:rPr>
          <w:noProof/>
        </w:rPr>
      </w:pPr>
      <w:bookmarkStart w:id="4" w:name="_GoBack"/>
      <w:bookmarkEnd w:id="4"/>
    </w:p>
    <w:p w14:paraId="7C8B637B" w14:textId="0A745747" w:rsidR="00090535" w:rsidRDefault="00090535">
      <w:pPr>
        <w:rPr>
          <w:noProof/>
        </w:rPr>
      </w:pPr>
    </w:p>
    <w:p w14:paraId="2C45005B" w14:textId="6E2B7A6C" w:rsidR="00090535" w:rsidRDefault="00090535">
      <w:pPr>
        <w:rPr>
          <w:noProof/>
        </w:rPr>
      </w:pPr>
    </w:p>
    <w:p w14:paraId="1504797F" w14:textId="67B5C524" w:rsidR="00090535" w:rsidRDefault="00090535">
      <w:pPr>
        <w:rPr>
          <w:noProof/>
        </w:rPr>
      </w:pPr>
    </w:p>
    <w:p w14:paraId="4358E546" w14:textId="4460772F" w:rsidR="00090535" w:rsidRDefault="00090535">
      <w:pPr>
        <w:rPr>
          <w:noProof/>
        </w:rPr>
      </w:pPr>
    </w:p>
    <w:p w14:paraId="43C92E3A" w14:textId="17FF2CFB" w:rsidR="00090535" w:rsidRDefault="00090535">
      <w:pPr>
        <w:rPr>
          <w:noProof/>
        </w:rPr>
      </w:pPr>
    </w:p>
    <w:p w14:paraId="336D5EB8" w14:textId="05D781E7" w:rsidR="00090535" w:rsidRDefault="00090535">
      <w:pPr>
        <w:rPr>
          <w:noProof/>
        </w:rPr>
      </w:pPr>
    </w:p>
    <w:p w14:paraId="379F3237" w14:textId="715643C4" w:rsidR="00090535" w:rsidRDefault="00090535">
      <w:pPr>
        <w:rPr>
          <w:noProof/>
        </w:rPr>
      </w:pPr>
    </w:p>
    <w:p w14:paraId="1572A39A" w14:textId="69FB05E9" w:rsidR="00090535" w:rsidRDefault="00090535">
      <w:pPr>
        <w:rPr>
          <w:noProof/>
        </w:rPr>
      </w:pPr>
    </w:p>
    <w:p w14:paraId="5E1EB9F9" w14:textId="5BD168BC" w:rsidR="00090535" w:rsidRDefault="00090535">
      <w:pPr>
        <w:rPr>
          <w:noProof/>
        </w:rPr>
      </w:pPr>
    </w:p>
    <w:p w14:paraId="0BABE7FD" w14:textId="5CEF99C5" w:rsidR="00090535" w:rsidRDefault="00090535">
      <w:pPr>
        <w:rPr>
          <w:noProof/>
        </w:rPr>
      </w:pPr>
    </w:p>
    <w:p w14:paraId="6EEAF1A1" w14:textId="4644B03D" w:rsidR="00090535" w:rsidRDefault="00090535">
      <w:pPr>
        <w:rPr>
          <w:noProof/>
        </w:rPr>
      </w:pPr>
    </w:p>
    <w:p w14:paraId="5429ECA6" w14:textId="676889FF" w:rsidR="00090535" w:rsidRDefault="00090535">
      <w:pPr>
        <w:rPr>
          <w:noProof/>
        </w:rPr>
      </w:pPr>
    </w:p>
    <w:p w14:paraId="3082F8D8" w14:textId="2B913DF4" w:rsidR="00090535" w:rsidRDefault="00090535">
      <w:pPr>
        <w:rPr>
          <w:noProof/>
        </w:rPr>
      </w:pPr>
    </w:p>
    <w:p w14:paraId="7E02780D" w14:textId="3FC496B0" w:rsidR="00090535" w:rsidRDefault="00090535">
      <w:pPr>
        <w:rPr>
          <w:noProof/>
        </w:rPr>
      </w:pPr>
    </w:p>
    <w:p w14:paraId="73D5C376" w14:textId="6AB88ACA" w:rsidR="00090535" w:rsidRDefault="00090535">
      <w:pPr>
        <w:rPr>
          <w:noProof/>
        </w:rPr>
      </w:pPr>
    </w:p>
    <w:p w14:paraId="44B14A37" w14:textId="6078E9DC" w:rsidR="00090535" w:rsidRDefault="00090535">
      <w:pPr>
        <w:rPr>
          <w:noProof/>
        </w:rPr>
      </w:pPr>
    </w:p>
    <w:p w14:paraId="19B07A83" w14:textId="2258A20C" w:rsidR="00090535" w:rsidRDefault="00090535">
      <w:pPr>
        <w:rPr>
          <w:noProof/>
        </w:rPr>
      </w:pPr>
    </w:p>
    <w:p w14:paraId="3D4D7183" w14:textId="5F088F8C" w:rsidR="00090535" w:rsidRDefault="00090535">
      <w:pPr>
        <w:rPr>
          <w:noProof/>
        </w:rPr>
      </w:pPr>
    </w:p>
    <w:p w14:paraId="6677C958" w14:textId="1C742CDB" w:rsidR="00090535" w:rsidRDefault="00090535">
      <w:pPr>
        <w:rPr>
          <w:noProof/>
        </w:rPr>
      </w:pPr>
    </w:p>
    <w:p w14:paraId="2FE99903" w14:textId="2F9FDE8F" w:rsidR="00090535" w:rsidRDefault="00090535">
      <w:pPr>
        <w:rPr>
          <w:noProof/>
        </w:rPr>
      </w:pPr>
    </w:p>
    <w:p w14:paraId="2329DEF4" w14:textId="185B09AA" w:rsidR="00090535" w:rsidRDefault="00090535">
      <w:pPr>
        <w:rPr>
          <w:noProof/>
        </w:rPr>
      </w:pPr>
    </w:p>
    <w:p w14:paraId="778E7C1F" w14:textId="303CA866" w:rsidR="00090535" w:rsidRDefault="00090535">
      <w:pPr>
        <w:rPr>
          <w:noProof/>
        </w:rPr>
      </w:pPr>
    </w:p>
    <w:p w14:paraId="221523B4" w14:textId="20077148" w:rsidR="00090535" w:rsidRDefault="00090535">
      <w:pPr>
        <w:rPr>
          <w:noProof/>
        </w:rPr>
      </w:pPr>
    </w:p>
    <w:p w14:paraId="5891962B" w14:textId="643AE69B" w:rsidR="00090535" w:rsidRDefault="00090535">
      <w:pPr>
        <w:rPr>
          <w:noProof/>
        </w:rPr>
      </w:pPr>
    </w:p>
    <w:p w14:paraId="42ADB33B" w14:textId="1CC1BFFE" w:rsidR="00090535" w:rsidRDefault="00090535">
      <w:pPr>
        <w:rPr>
          <w:noProof/>
        </w:rPr>
      </w:pPr>
    </w:p>
    <w:p w14:paraId="4FEF39C8" w14:textId="27888493" w:rsidR="00090535" w:rsidRDefault="00090535">
      <w:pPr>
        <w:rPr>
          <w:noProof/>
        </w:rPr>
      </w:pPr>
    </w:p>
    <w:p w14:paraId="3B52C9DA" w14:textId="721690DA" w:rsidR="00090535" w:rsidRDefault="00090535">
      <w:pPr>
        <w:rPr>
          <w:noProof/>
        </w:rPr>
      </w:pPr>
    </w:p>
    <w:p w14:paraId="66BFE12C" w14:textId="6A2E3710" w:rsidR="00090535" w:rsidRDefault="00090535">
      <w:pPr>
        <w:rPr>
          <w:noProof/>
        </w:rPr>
      </w:pPr>
    </w:p>
    <w:p w14:paraId="0A03581A" w14:textId="3D579784" w:rsidR="00090535" w:rsidRDefault="00090535">
      <w:pPr>
        <w:rPr>
          <w:noProof/>
        </w:rPr>
      </w:pPr>
    </w:p>
    <w:p w14:paraId="645C7406" w14:textId="49DBF88C" w:rsidR="00090535" w:rsidRDefault="00090535">
      <w:pPr>
        <w:rPr>
          <w:noProof/>
        </w:rPr>
      </w:pPr>
    </w:p>
    <w:p w14:paraId="16DB020E" w14:textId="6AEA9BD7" w:rsidR="00090535" w:rsidRDefault="00090535">
      <w:pPr>
        <w:rPr>
          <w:noProof/>
        </w:rPr>
      </w:pPr>
    </w:p>
    <w:p w14:paraId="45696F41" w14:textId="78DDFD08" w:rsidR="00090535" w:rsidRDefault="00090535">
      <w:pPr>
        <w:rPr>
          <w:noProof/>
        </w:rPr>
      </w:pPr>
    </w:p>
    <w:p w14:paraId="774115BD" w14:textId="16EBDAFD" w:rsidR="00090535" w:rsidRDefault="00090535">
      <w:pPr>
        <w:rPr>
          <w:noProof/>
        </w:rPr>
      </w:pPr>
    </w:p>
    <w:p w14:paraId="713CE1F7" w14:textId="47B5BA90" w:rsidR="00090535" w:rsidRDefault="00090535">
      <w:pPr>
        <w:rPr>
          <w:noProof/>
        </w:rPr>
      </w:pPr>
    </w:p>
    <w:p w14:paraId="21C30DA4" w14:textId="52EF128F" w:rsidR="00090535" w:rsidRDefault="00090535">
      <w:pPr>
        <w:rPr>
          <w:noProof/>
        </w:rPr>
      </w:pPr>
    </w:p>
    <w:p w14:paraId="38A7EAD1" w14:textId="1CE818DD" w:rsidR="00090535" w:rsidRDefault="00090535">
      <w:pPr>
        <w:rPr>
          <w:noProof/>
        </w:rPr>
      </w:pPr>
    </w:p>
    <w:p w14:paraId="0F0E8DF6" w14:textId="3C68C845" w:rsidR="00090535" w:rsidRDefault="00090535">
      <w:pPr>
        <w:rPr>
          <w:noProof/>
        </w:rPr>
      </w:pPr>
    </w:p>
    <w:p w14:paraId="1AD7D7DC" w14:textId="6580CFC3" w:rsidR="00090535" w:rsidRDefault="00090535">
      <w:pPr>
        <w:rPr>
          <w:noProof/>
        </w:rPr>
      </w:pPr>
    </w:p>
    <w:p w14:paraId="19AF5890" w14:textId="76E5554A" w:rsidR="00090535" w:rsidRDefault="00090535">
      <w:pPr>
        <w:rPr>
          <w:noProof/>
        </w:rPr>
      </w:pPr>
    </w:p>
    <w:p w14:paraId="5705F4F0" w14:textId="1A927B2C" w:rsidR="00090535" w:rsidRDefault="00090535">
      <w:pPr>
        <w:rPr>
          <w:noProof/>
        </w:rPr>
      </w:pPr>
    </w:p>
    <w:p w14:paraId="008C149D" w14:textId="18FF8568" w:rsidR="00090535" w:rsidRDefault="00090535">
      <w:pPr>
        <w:rPr>
          <w:noProof/>
        </w:rPr>
      </w:pPr>
    </w:p>
    <w:p w14:paraId="1DADAD5E" w14:textId="2AE0B22C" w:rsidR="00090535" w:rsidRDefault="00090535">
      <w:pPr>
        <w:rPr>
          <w:noProof/>
        </w:rPr>
      </w:pPr>
    </w:p>
    <w:p w14:paraId="09201AF7" w14:textId="2FB730D0" w:rsidR="00090535" w:rsidRDefault="00090535">
      <w:pPr>
        <w:rPr>
          <w:noProof/>
        </w:rPr>
      </w:pPr>
    </w:p>
    <w:p w14:paraId="21D86ACD" w14:textId="06860465" w:rsidR="00090535" w:rsidRDefault="00090535">
      <w:pPr>
        <w:rPr>
          <w:noProof/>
        </w:rPr>
      </w:pPr>
    </w:p>
    <w:p w14:paraId="5E633E37" w14:textId="2056A9EC" w:rsidR="00090535" w:rsidRDefault="00090535">
      <w:pPr>
        <w:rPr>
          <w:noProof/>
        </w:rPr>
      </w:pPr>
    </w:p>
    <w:p w14:paraId="37C18E1D" w14:textId="1775BE09" w:rsidR="00090535" w:rsidRDefault="00090535">
      <w:pPr>
        <w:rPr>
          <w:noProof/>
        </w:rPr>
      </w:pPr>
    </w:p>
    <w:p w14:paraId="1B082E65" w14:textId="23E8AB57" w:rsidR="00090535" w:rsidRDefault="00090535">
      <w:pPr>
        <w:rPr>
          <w:noProof/>
        </w:rPr>
      </w:pPr>
    </w:p>
    <w:p w14:paraId="3001E97F" w14:textId="54676C27" w:rsidR="00090535" w:rsidRDefault="00090535">
      <w:pPr>
        <w:rPr>
          <w:noProof/>
        </w:rPr>
      </w:pPr>
    </w:p>
    <w:p w14:paraId="1EACE4CB" w14:textId="69D2044E" w:rsidR="00090535" w:rsidRDefault="00090535">
      <w:pPr>
        <w:rPr>
          <w:noProof/>
        </w:rPr>
      </w:pPr>
    </w:p>
    <w:p w14:paraId="38FC05E5" w14:textId="377AE8B3" w:rsidR="00090535" w:rsidRDefault="00090535">
      <w:pPr>
        <w:rPr>
          <w:noProof/>
        </w:rPr>
      </w:pPr>
    </w:p>
    <w:p w14:paraId="013DF1F3" w14:textId="40779F5D" w:rsidR="00090535" w:rsidRDefault="00090535">
      <w:pPr>
        <w:rPr>
          <w:noProof/>
        </w:rPr>
      </w:pPr>
    </w:p>
    <w:p w14:paraId="48299372" w14:textId="7E0A477D" w:rsidR="00090535" w:rsidRDefault="00090535">
      <w:pPr>
        <w:rPr>
          <w:noProof/>
        </w:rPr>
      </w:pPr>
    </w:p>
    <w:p w14:paraId="6B6586C3" w14:textId="30EFC686" w:rsidR="00090535" w:rsidRDefault="00090535">
      <w:pPr>
        <w:rPr>
          <w:noProof/>
        </w:rPr>
      </w:pPr>
    </w:p>
    <w:p w14:paraId="799FDADE" w14:textId="049C6ED6" w:rsidR="00090535" w:rsidRDefault="00090535">
      <w:pPr>
        <w:rPr>
          <w:noProof/>
        </w:rPr>
      </w:pPr>
    </w:p>
    <w:p w14:paraId="0054C8B6" w14:textId="4FA48DBC" w:rsidR="00090535" w:rsidRDefault="00090535">
      <w:pPr>
        <w:rPr>
          <w:noProof/>
        </w:rPr>
      </w:pPr>
    </w:p>
    <w:p w14:paraId="76DE5829" w14:textId="4AE91694" w:rsidR="00090535" w:rsidRDefault="00090535">
      <w:pPr>
        <w:rPr>
          <w:noProof/>
        </w:rPr>
      </w:pPr>
    </w:p>
    <w:p w14:paraId="6B140501" w14:textId="7A10DE03" w:rsidR="00090535" w:rsidRDefault="00090535">
      <w:pPr>
        <w:rPr>
          <w:noProof/>
        </w:rPr>
      </w:pPr>
    </w:p>
    <w:p w14:paraId="74221398" w14:textId="5A56ADD2" w:rsidR="00090535" w:rsidRDefault="00090535">
      <w:pPr>
        <w:rPr>
          <w:noProof/>
        </w:rPr>
      </w:pPr>
    </w:p>
    <w:p w14:paraId="4A573804" w14:textId="0F0CCC6B" w:rsidR="00090535" w:rsidRDefault="00090535">
      <w:pPr>
        <w:rPr>
          <w:noProof/>
        </w:rPr>
      </w:pPr>
    </w:p>
    <w:p w14:paraId="790AEBFA" w14:textId="330BBE1F" w:rsidR="00090535" w:rsidRDefault="00090535">
      <w:pPr>
        <w:rPr>
          <w:noProof/>
        </w:rPr>
      </w:pPr>
    </w:p>
    <w:p w14:paraId="64897F1B" w14:textId="09DE1278" w:rsidR="00090535" w:rsidRDefault="00090535">
      <w:pPr>
        <w:rPr>
          <w:noProof/>
        </w:rPr>
      </w:pPr>
    </w:p>
    <w:p w14:paraId="27772909" w14:textId="216E14E4" w:rsidR="00090535" w:rsidRDefault="00090535">
      <w:pPr>
        <w:rPr>
          <w:noProof/>
        </w:rPr>
      </w:pPr>
    </w:p>
    <w:p w14:paraId="17242168" w14:textId="60225D8F" w:rsidR="00090535" w:rsidRDefault="00090535">
      <w:pPr>
        <w:rPr>
          <w:noProof/>
        </w:rPr>
      </w:pPr>
    </w:p>
    <w:p w14:paraId="216C1B6E" w14:textId="4B6514B1" w:rsidR="00090535" w:rsidRDefault="00090535">
      <w:pPr>
        <w:rPr>
          <w:noProof/>
        </w:rPr>
      </w:pPr>
    </w:p>
    <w:p w14:paraId="7FD799F2" w14:textId="0D39DC57" w:rsidR="00090535" w:rsidRDefault="00090535">
      <w:pPr>
        <w:rPr>
          <w:noProof/>
        </w:rPr>
      </w:pPr>
    </w:p>
    <w:p w14:paraId="7FC6C028" w14:textId="06C6B479" w:rsidR="00090535" w:rsidRDefault="00090535">
      <w:pPr>
        <w:rPr>
          <w:noProof/>
        </w:rPr>
      </w:pPr>
    </w:p>
    <w:p w14:paraId="100635D7" w14:textId="594C2F34" w:rsidR="00090535" w:rsidRDefault="00090535">
      <w:pPr>
        <w:rPr>
          <w:noProof/>
        </w:rPr>
      </w:pPr>
    </w:p>
    <w:p w14:paraId="5ABBBD46" w14:textId="6F590908" w:rsidR="00090535" w:rsidRDefault="00090535">
      <w:pPr>
        <w:rPr>
          <w:noProof/>
        </w:rPr>
      </w:pPr>
    </w:p>
    <w:p w14:paraId="45BC799B" w14:textId="6A921954" w:rsidR="00090535" w:rsidRDefault="00090535">
      <w:pPr>
        <w:rPr>
          <w:noProof/>
        </w:rPr>
      </w:pPr>
    </w:p>
    <w:p w14:paraId="01E2AC8C" w14:textId="70022217" w:rsidR="00090535" w:rsidRDefault="00090535">
      <w:pPr>
        <w:rPr>
          <w:noProof/>
        </w:rPr>
      </w:pPr>
    </w:p>
    <w:p w14:paraId="1CE2C525" w14:textId="42B1DF81" w:rsidR="00090535" w:rsidRDefault="00090535">
      <w:pPr>
        <w:rPr>
          <w:noProof/>
        </w:rPr>
      </w:pPr>
    </w:p>
    <w:p w14:paraId="3CD82125" w14:textId="4A7C54A5" w:rsidR="00090535" w:rsidRDefault="00090535">
      <w:pPr>
        <w:rPr>
          <w:noProof/>
        </w:rPr>
      </w:pPr>
    </w:p>
    <w:p w14:paraId="1EC80D5E" w14:textId="7BB5974D" w:rsidR="00090535" w:rsidRDefault="00090535">
      <w:pPr>
        <w:rPr>
          <w:noProof/>
        </w:rPr>
      </w:pPr>
    </w:p>
    <w:p w14:paraId="007A621B" w14:textId="72126678" w:rsidR="00090535" w:rsidRDefault="00090535">
      <w:pPr>
        <w:rPr>
          <w:noProof/>
        </w:rPr>
      </w:pPr>
    </w:p>
    <w:p w14:paraId="46F2006E" w14:textId="4D07647C" w:rsidR="00090535" w:rsidRDefault="00090535">
      <w:pPr>
        <w:rPr>
          <w:noProof/>
        </w:rPr>
      </w:pPr>
    </w:p>
    <w:p w14:paraId="2FA6D1CC" w14:textId="2DCB5667" w:rsidR="00090535" w:rsidRDefault="00090535">
      <w:pPr>
        <w:rPr>
          <w:noProof/>
        </w:rPr>
      </w:pPr>
    </w:p>
    <w:p w14:paraId="6CBE7858" w14:textId="621BBA62" w:rsidR="00090535" w:rsidRDefault="00090535">
      <w:pPr>
        <w:rPr>
          <w:noProof/>
        </w:rPr>
      </w:pPr>
    </w:p>
    <w:p w14:paraId="5CCA2987" w14:textId="52A7F769" w:rsidR="00090535" w:rsidRDefault="00090535">
      <w:pPr>
        <w:rPr>
          <w:noProof/>
        </w:rPr>
      </w:pPr>
    </w:p>
    <w:p w14:paraId="10CB490B" w14:textId="61BDF2ED" w:rsidR="00090535" w:rsidRDefault="00090535">
      <w:pPr>
        <w:rPr>
          <w:noProof/>
        </w:rPr>
      </w:pPr>
    </w:p>
    <w:p w14:paraId="4F1D5653" w14:textId="33857B08" w:rsidR="00090535" w:rsidRDefault="00090535">
      <w:pPr>
        <w:rPr>
          <w:noProof/>
        </w:rPr>
      </w:pPr>
    </w:p>
    <w:p w14:paraId="22CDA352" w14:textId="45FF4A38" w:rsidR="00090535" w:rsidRDefault="00090535">
      <w:pPr>
        <w:rPr>
          <w:noProof/>
        </w:rPr>
      </w:pPr>
    </w:p>
    <w:p w14:paraId="6DCF207B" w14:textId="3E1DFC3B" w:rsidR="00090535" w:rsidRDefault="00090535">
      <w:pPr>
        <w:rPr>
          <w:noProof/>
        </w:rPr>
      </w:pPr>
    </w:p>
    <w:p w14:paraId="1F622C7E" w14:textId="14519513" w:rsidR="00090535" w:rsidRDefault="00090535">
      <w:pPr>
        <w:rPr>
          <w:noProof/>
        </w:rPr>
      </w:pPr>
    </w:p>
    <w:p w14:paraId="18D0AF54" w14:textId="18E2F08D" w:rsidR="00090535" w:rsidRDefault="00090535">
      <w:pPr>
        <w:rPr>
          <w:noProof/>
        </w:rPr>
      </w:pPr>
    </w:p>
    <w:p w14:paraId="55330C31" w14:textId="22678BC5" w:rsidR="00090535" w:rsidRDefault="00090535">
      <w:pPr>
        <w:rPr>
          <w:noProof/>
        </w:rPr>
      </w:pPr>
    </w:p>
    <w:p w14:paraId="7969C17B" w14:textId="69307F5F" w:rsidR="00090535" w:rsidRDefault="00090535">
      <w:pPr>
        <w:rPr>
          <w:noProof/>
        </w:rPr>
      </w:pPr>
    </w:p>
    <w:p w14:paraId="04934ABD" w14:textId="21A6E55E" w:rsidR="00090535" w:rsidRDefault="00090535">
      <w:pPr>
        <w:rPr>
          <w:noProof/>
        </w:rPr>
      </w:pPr>
    </w:p>
    <w:p w14:paraId="1AB9FD2D" w14:textId="6C325966" w:rsidR="00090535" w:rsidRDefault="00090535">
      <w:pPr>
        <w:rPr>
          <w:noProof/>
        </w:rPr>
      </w:pPr>
    </w:p>
    <w:p w14:paraId="629C84C8" w14:textId="299EC7B2" w:rsidR="00090535" w:rsidRDefault="00090535">
      <w:pPr>
        <w:rPr>
          <w:noProof/>
        </w:rPr>
      </w:pPr>
    </w:p>
    <w:p w14:paraId="4B5FC5BD" w14:textId="3431C7D7" w:rsidR="00090535" w:rsidRDefault="00090535">
      <w:pPr>
        <w:rPr>
          <w:noProof/>
        </w:rPr>
      </w:pPr>
    </w:p>
    <w:p w14:paraId="74CC5752" w14:textId="5E3EEB49" w:rsidR="00090535" w:rsidRDefault="00090535">
      <w:pPr>
        <w:rPr>
          <w:noProof/>
        </w:rPr>
      </w:pPr>
    </w:p>
    <w:p w14:paraId="2ED52B29" w14:textId="42E57CFD" w:rsidR="00090535" w:rsidRDefault="00090535">
      <w:pPr>
        <w:rPr>
          <w:noProof/>
        </w:rPr>
      </w:pPr>
    </w:p>
    <w:p w14:paraId="78F8DF7B" w14:textId="7EA26F43" w:rsidR="00090535" w:rsidRDefault="00090535">
      <w:pPr>
        <w:rPr>
          <w:noProof/>
        </w:rPr>
      </w:pPr>
    </w:p>
    <w:p w14:paraId="389347AA" w14:textId="05311503" w:rsidR="00090535" w:rsidRDefault="00090535">
      <w:pPr>
        <w:rPr>
          <w:noProof/>
        </w:rPr>
      </w:pPr>
    </w:p>
    <w:p w14:paraId="46FFB5CF" w14:textId="5AEE95FF" w:rsidR="00090535" w:rsidRDefault="00090535">
      <w:pPr>
        <w:rPr>
          <w:noProof/>
        </w:rPr>
      </w:pPr>
    </w:p>
    <w:p w14:paraId="0DFD42A3" w14:textId="47F22960" w:rsidR="00090535" w:rsidRDefault="00090535">
      <w:pPr>
        <w:rPr>
          <w:noProof/>
        </w:rPr>
      </w:pPr>
    </w:p>
    <w:p w14:paraId="302A30A0" w14:textId="5D98416A" w:rsidR="00090535" w:rsidRDefault="00090535">
      <w:pPr>
        <w:rPr>
          <w:noProof/>
        </w:rPr>
      </w:pPr>
    </w:p>
    <w:p w14:paraId="351270CD" w14:textId="1F7E3487" w:rsidR="00090535" w:rsidRDefault="00090535">
      <w:pPr>
        <w:rPr>
          <w:noProof/>
        </w:rPr>
      </w:pPr>
    </w:p>
    <w:p w14:paraId="47B1E088" w14:textId="0DFF91CF" w:rsidR="00090535" w:rsidRDefault="00090535">
      <w:pPr>
        <w:rPr>
          <w:noProof/>
        </w:rPr>
      </w:pPr>
    </w:p>
    <w:p w14:paraId="208961DB" w14:textId="517BD61D" w:rsidR="00090535" w:rsidRDefault="00090535">
      <w:pPr>
        <w:rPr>
          <w:noProof/>
        </w:rPr>
      </w:pPr>
    </w:p>
    <w:p w14:paraId="16D20249" w14:textId="11AE65A4" w:rsidR="00090535" w:rsidRDefault="00090535">
      <w:pPr>
        <w:rPr>
          <w:noProof/>
        </w:rPr>
      </w:pPr>
    </w:p>
    <w:p w14:paraId="6A7E041D" w14:textId="7F70CDEF" w:rsidR="00090535" w:rsidRDefault="00090535">
      <w:pPr>
        <w:rPr>
          <w:noProof/>
        </w:rPr>
      </w:pPr>
    </w:p>
    <w:p w14:paraId="25993E44" w14:textId="02F674AC" w:rsidR="00090535" w:rsidRDefault="00090535">
      <w:pPr>
        <w:rPr>
          <w:noProof/>
        </w:rPr>
      </w:pPr>
    </w:p>
    <w:p w14:paraId="43E6A647" w14:textId="0285C9B1" w:rsidR="00090535" w:rsidRDefault="00090535">
      <w:pPr>
        <w:rPr>
          <w:noProof/>
        </w:rPr>
      </w:pPr>
    </w:p>
    <w:p w14:paraId="619731E3" w14:textId="0061C037" w:rsidR="00090535" w:rsidRDefault="00090535">
      <w:pPr>
        <w:rPr>
          <w:noProof/>
        </w:rPr>
      </w:pPr>
    </w:p>
    <w:p w14:paraId="4117B3EE" w14:textId="455E82E9" w:rsidR="00090535" w:rsidRDefault="00090535">
      <w:pPr>
        <w:rPr>
          <w:noProof/>
        </w:rPr>
      </w:pPr>
    </w:p>
    <w:p w14:paraId="55D0F784" w14:textId="4CB458BF" w:rsidR="00090535" w:rsidRDefault="00090535">
      <w:pPr>
        <w:rPr>
          <w:noProof/>
        </w:rPr>
      </w:pPr>
    </w:p>
    <w:p w14:paraId="3DBD7067" w14:textId="278DF12B" w:rsidR="00090535" w:rsidRDefault="00090535">
      <w:pPr>
        <w:rPr>
          <w:noProof/>
        </w:rPr>
      </w:pPr>
    </w:p>
    <w:p w14:paraId="0B69B89E" w14:textId="71DC4F80" w:rsidR="00090535" w:rsidRDefault="00090535">
      <w:pPr>
        <w:rPr>
          <w:noProof/>
        </w:rPr>
      </w:pPr>
    </w:p>
    <w:p w14:paraId="2BE2D3FE" w14:textId="37EB7FBB" w:rsidR="00090535" w:rsidRDefault="00090535">
      <w:pPr>
        <w:rPr>
          <w:noProof/>
        </w:rPr>
      </w:pPr>
    </w:p>
    <w:p w14:paraId="608FF535" w14:textId="0DBEEF03" w:rsidR="00090535" w:rsidRDefault="00090535">
      <w:pPr>
        <w:rPr>
          <w:noProof/>
        </w:rPr>
      </w:pPr>
    </w:p>
    <w:p w14:paraId="70E40A1F" w14:textId="776544C3" w:rsidR="00090535" w:rsidRDefault="00090535">
      <w:pPr>
        <w:rPr>
          <w:noProof/>
        </w:rPr>
      </w:pPr>
    </w:p>
    <w:p w14:paraId="030BF6A3" w14:textId="7D018030" w:rsidR="00090535" w:rsidRDefault="00090535">
      <w:pPr>
        <w:rPr>
          <w:noProof/>
        </w:rPr>
      </w:pPr>
    </w:p>
    <w:p w14:paraId="3D9F9B64" w14:textId="2F190FBD" w:rsidR="00090535" w:rsidRDefault="00090535">
      <w:pPr>
        <w:rPr>
          <w:noProof/>
        </w:rPr>
      </w:pPr>
    </w:p>
    <w:p w14:paraId="6F7D9947" w14:textId="406E2DE8" w:rsidR="00090535" w:rsidRDefault="00090535">
      <w:pPr>
        <w:rPr>
          <w:noProof/>
        </w:rPr>
      </w:pPr>
    </w:p>
    <w:p w14:paraId="5DE3F386" w14:textId="0D023825" w:rsidR="00090535" w:rsidRDefault="00090535">
      <w:pPr>
        <w:rPr>
          <w:noProof/>
        </w:rPr>
      </w:pPr>
    </w:p>
    <w:p w14:paraId="29309C77" w14:textId="48EF3D79" w:rsidR="00090535" w:rsidRDefault="00090535">
      <w:pPr>
        <w:rPr>
          <w:noProof/>
        </w:rPr>
      </w:pPr>
    </w:p>
    <w:p w14:paraId="1D16264C" w14:textId="75C7F531" w:rsidR="00090535" w:rsidRDefault="00090535">
      <w:pPr>
        <w:rPr>
          <w:noProof/>
        </w:rPr>
      </w:pPr>
    </w:p>
    <w:p w14:paraId="131652DD" w14:textId="5A7597B7" w:rsidR="00090535" w:rsidRDefault="00090535">
      <w:pPr>
        <w:rPr>
          <w:noProof/>
        </w:rPr>
      </w:pPr>
    </w:p>
    <w:p w14:paraId="6C4A207E" w14:textId="72CD79E1" w:rsidR="00090535" w:rsidRDefault="00090535">
      <w:pPr>
        <w:rPr>
          <w:noProof/>
        </w:rPr>
      </w:pPr>
    </w:p>
    <w:p w14:paraId="4FC9B389" w14:textId="07F95FEC" w:rsidR="00090535" w:rsidRDefault="00090535">
      <w:pPr>
        <w:rPr>
          <w:noProof/>
        </w:rPr>
      </w:pPr>
    </w:p>
    <w:p w14:paraId="04E18959" w14:textId="5B5EE00A" w:rsidR="00090535" w:rsidRDefault="00090535">
      <w:pPr>
        <w:rPr>
          <w:noProof/>
        </w:rPr>
      </w:pPr>
    </w:p>
    <w:p w14:paraId="61C5CF20" w14:textId="7CA7E340" w:rsidR="00090535" w:rsidRDefault="00090535">
      <w:pPr>
        <w:rPr>
          <w:noProof/>
        </w:rPr>
      </w:pPr>
    </w:p>
    <w:p w14:paraId="4FC60C47" w14:textId="7BD1EDB6" w:rsidR="00090535" w:rsidRDefault="00090535">
      <w:pPr>
        <w:rPr>
          <w:noProof/>
        </w:rPr>
      </w:pPr>
    </w:p>
    <w:p w14:paraId="3F994ADD" w14:textId="76D9E1EA" w:rsidR="00090535" w:rsidRDefault="00090535">
      <w:pPr>
        <w:rPr>
          <w:noProof/>
        </w:rPr>
      </w:pPr>
    </w:p>
    <w:p w14:paraId="1FBCC1D9" w14:textId="276574C8" w:rsidR="00090535" w:rsidRDefault="00090535">
      <w:pPr>
        <w:rPr>
          <w:noProof/>
        </w:rPr>
      </w:pPr>
    </w:p>
    <w:p w14:paraId="7A3DD30D" w14:textId="30D694FB" w:rsidR="00090535" w:rsidRDefault="00090535">
      <w:pPr>
        <w:rPr>
          <w:noProof/>
        </w:rPr>
      </w:pPr>
    </w:p>
    <w:p w14:paraId="331E3362" w14:textId="28A5F40B" w:rsidR="00090535" w:rsidRDefault="00090535">
      <w:pPr>
        <w:rPr>
          <w:noProof/>
        </w:rPr>
      </w:pPr>
    </w:p>
    <w:p w14:paraId="019021BE" w14:textId="116B1E0A" w:rsidR="00090535" w:rsidRDefault="00090535">
      <w:pPr>
        <w:rPr>
          <w:noProof/>
        </w:rPr>
      </w:pPr>
    </w:p>
    <w:p w14:paraId="556C18F5" w14:textId="2F06649B" w:rsidR="00090535" w:rsidRDefault="00090535">
      <w:pPr>
        <w:rPr>
          <w:noProof/>
        </w:rPr>
      </w:pPr>
    </w:p>
    <w:p w14:paraId="234E5831" w14:textId="0F9A0707" w:rsidR="00090535" w:rsidRDefault="00090535">
      <w:pPr>
        <w:rPr>
          <w:noProof/>
        </w:rPr>
      </w:pPr>
    </w:p>
    <w:p w14:paraId="230C4600" w14:textId="28E63928" w:rsidR="00090535" w:rsidRDefault="00090535">
      <w:pPr>
        <w:rPr>
          <w:noProof/>
        </w:rPr>
      </w:pPr>
    </w:p>
    <w:p w14:paraId="232B6E21" w14:textId="542C9D1D" w:rsidR="00090535" w:rsidRDefault="00090535">
      <w:pPr>
        <w:rPr>
          <w:noProof/>
        </w:rPr>
      </w:pPr>
    </w:p>
    <w:p w14:paraId="4E94330E" w14:textId="267791E7" w:rsidR="00090535" w:rsidRDefault="00090535">
      <w:pPr>
        <w:rPr>
          <w:noProof/>
        </w:rPr>
      </w:pPr>
    </w:p>
    <w:p w14:paraId="54252162" w14:textId="2F7E9DF8" w:rsidR="00090535" w:rsidRDefault="00090535">
      <w:pPr>
        <w:rPr>
          <w:noProof/>
        </w:rPr>
      </w:pPr>
    </w:p>
    <w:p w14:paraId="277F061E" w14:textId="4F1A6A44" w:rsidR="00090535" w:rsidRDefault="00090535">
      <w:pPr>
        <w:rPr>
          <w:noProof/>
        </w:rPr>
      </w:pPr>
    </w:p>
    <w:p w14:paraId="436B837A" w14:textId="0E9FB1D2" w:rsidR="00090535" w:rsidRDefault="00090535">
      <w:pPr>
        <w:rPr>
          <w:noProof/>
        </w:rPr>
      </w:pPr>
    </w:p>
    <w:p w14:paraId="1F75783E" w14:textId="7892A9C7" w:rsidR="00090535" w:rsidRDefault="00090535">
      <w:pPr>
        <w:rPr>
          <w:noProof/>
        </w:rPr>
      </w:pPr>
    </w:p>
    <w:p w14:paraId="2D882D88" w14:textId="5C478628" w:rsidR="00090535" w:rsidRDefault="00090535">
      <w:pPr>
        <w:rPr>
          <w:noProof/>
        </w:rPr>
      </w:pPr>
    </w:p>
    <w:p w14:paraId="3EF29EDF" w14:textId="7CC5B1E4" w:rsidR="00090535" w:rsidRDefault="00090535">
      <w:pPr>
        <w:rPr>
          <w:noProof/>
        </w:rPr>
      </w:pPr>
    </w:p>
    <w:p w14:paraId="474672B6" w14:textId="74AB85C2" w:rsidR="00090535" w:rsidRDefault="00090535">
      <w:pPr>
        <w:rPr>
          <w:noProof/>
        </w:rPr>
      </w:pPr>
    </w:p>
    <w:p w14:paraId="733754EA" w14:textId="2CC19583" w:rsidR="00090535" w:rsidRDefault="00090535">
      <w:pPr>
        <w:rPr>
          <w:noProof/>
        </w:rPr>
      </w:pPr>
    </w:p>
    <w:p w14:paraId="199189D9" w14:textId="7F6219B4" w:rsidR="00090535" w:rsidRDefault="00090535">
      <w:pPr>
        <w:rPr>
          <w:noProof/>
        </w:rPr>
      </w:pPr>
    </w:p>
    <w:p w14:paraId="7181005B" w14:textId="7CF78789" w:rsidR="00090535" w:rsidRDefault="00090535">
      <w:pPr>
        <w:rPr>
          <w:noProof/>
        </w:rPr>
      </w:pPr>
    </w:p>
    <w:p w14:paraId="3F1782F0" w14:textId="040707E2" w:rsidR="00090535" w:rsidRDefault="00090535">
      <w:pPr>
        <w:rPr>
          <w:noProof/>
        </w:rPr>
      </w:pPr>
    </w:p>
    <w:p w14:paraId="1CC622A6" w14:textId="782C00F5" w:rsidR="00090535" w:rsidRDefault="00090535">
      <w:pPr>
        <w:rPr>
          <w:noProof/>
        </w:rPr>
      </w:pPr>
    </w:p>
    <w:p w14:paraId="4B2DC238" w14:textId="3580CB11" w:rsidR="00090535" w:rsidRDefault="00090535">
      <w:pPr>
        <w:rPr>
          <w:noProof/>
        </w:rPr>
      </w:pPr>
    </w:p>
    <w:p w14:paraId="28FB1428" w14:textId="43411939" w:rsidR="00090535" w:rsidRDefault="00090535">
      <w:pPr>
        <w:rPr>
          <w:noProof/>
        </w:rPr>
      </w:pPr>
    </w:p>
    <w:p w14:paraId="33717F9E" w14:textId="2439970F" w:rsidR="00090535" w:rsidRDefault="00090535">
      <w:pPr>
        <w:rPr>
          <w:noProof/>
        </w:rPr>
      </w:pPr>
    </w:p>
    <w:p w14:paraId="5064D8F0" w14:textId="47E35BC2" w:rsidR="00090535" w:rsidRDefault="00090535">
      <w:pPr>
        <w:rPr>
          <w:noProof/>
        </w:rPr>
      </w:pPr>
    </w:p>
    <w:p w14:paraId="784402E1" w14:textId="642F7709" w:rsidR="00090535" w:rsidRDefault="00090535">
      <w:pPr>
        <w:rPr>
          <w:noProof/>
        </w:rPr>
      </w:pPr>
    </w:p>
    <w:p w14:paraId="0BF67382" w14:textId="08B9F089" w:rsidR="00090535" w:rsidRDefault="00090535">
      <w:pPr>
        <w:rPr>
          <w:noProof/>
        </w:rPr>
      </w:pPr>
    </w:p>
    <w:p w14:paraId="604D74FC" w14:textId="168DD0C0" w:rsidR="00090535" w:rsidRDefault="00090535">
      <w:pPr>
        <w:rPr>
          <w:noProof/>
        </w:rPr>
      </w:pPr>
    </w:p>
    <w:p w14:paraId="598E0A20" w14:textId="39274631" w:rsidR="00090535" w:rsidRDefault="00090535">
      <w:pPr>
        <w:rPr>
          <w:noProof/>
        </w:rPr>
      </w:pPr>
    </w:p>
    <w:p w14:paraId="32BC941A" w14:textId="078A7C2B" w:rsidR="00090535" w:rsidRDefault="00090535">
      <w:pPr>
        <w:rPr>
          <w:noProof/>
        </w:rPr>
      </w:pPr>
    </w:p>
    <w:p w14:paraId="66CA457A" w14:textId="78D83A93" w:rsidR="00090535" w:rsidRDefault="00090535">
      <w:pPr>
        <w:rPr>
          <w:noProof/>
        </w:rPr>
      </w:pPr>
    </w:p>
    <w:p w14:paraId="1A4C10C4" w14:textId="732BF050" w:rsidR="00090535" w:rsidRDefault="00090535">
      <w:pPr>
        <w:rPr>
          <w:noProof/>
        </w:rPr>
      </w:pPr>
    </w:p>
    <w:p w14:paraId="77AF2758" w14:textId="15854598" w:rsidR="00090535" w:rsidRDefault="00090535">
      <w:pPr>
        <w:rPr>
          <w:noProof/>
        </w:rPr>
      </w:pPr>
    </w:p>
    <w:p w14:paraId="34CB9DFA" w14:textId="02785DC9" w:rsidR="00090535" w:rsidRDefault="00090535">
      <w:pPr>
        <w:rPr>
          <w:noProof/>
        </w:rPr>
      </w:pPr>
    </w:p>
    <w:p w14:paraId="5EB292F4" w14:textId="03BC778F" w:rsidR="00090535" w:rsidRDefault="00090535">
      <w:pPr>
        <w:rPr>
          <w:noProof/>
        </w:rPr>
      </w:pPr>
    </w:p>
    <w:p w14:paraId="7043560E" w14:textId="62493E43" w:rsidR="00090535" w:rsidRDefault="00090535">
      <w:pPr>
        <w:rPr>
          <w:noProof/>
        </w:rPr>
      </w:pPr>
    </w:p>
    <w:p w14:paraId="2EE66ED3" w14:textId="5936705D" w:rsidR="00090535" w:rsidRDefault="00090535">
      <w:pPr>
        <w:rPr>
          <w:noProof/>
        </w:rPr>
      </w:pPr>
    </w:p>
    <w:p w14:paraId="18818637" w14:textId="3C06AB12" w:rsidR="00090535" w:rsidRDefault="00090535">
      <w:pPr>
        <w:rPr>
          <w:noProof/>
        </w:rPr>
      </w:pPr>
    </w:p>
    <w:p w14:paraId="66DDA921" w14:textId="60AE3DCA" w:rsidR="00090535" w:rsidRDefault="00090535">
      <w:pPr>
        <w:rPr>
          <w:noProof/>
        </w:rPr>
      </w:pPr>
    </w:p>
    <w:p w14:paraId="17855051" w14:textId="7066F669" w:rsidR="00090535" w:rsidRDefault="00090535">
      <w:pPr>
        <w:rPr>
          <w:noProof/>
        </w:rPr>
      </w:pPr>
    </w:p>
    <w:p w14:paraId="390802D2" w14:textId="036102B1" w:rsidR="00090535" w:rsidRDefault="00090535">
      <w:pPr>
        <w:rPr>
          <w:noProof/>
        </w:rPr>
      </w:pPr>
    </w:p>
    <w:p w14:paraId="3BB0EFF5" w14:textId="0DF25190" w:rsidR="00090535" w:rsidRDefault="00090535">
      <w:pPr>
        <w:rPr>
          <w:noProof/>
        </w:rPr>
      </w:pPr>
    </w:p>
    <w:p w14:paraId="242FC6B3" w14:textId="57E67C25" w:rsidR="00090535" w:rsidRDefault="00090535">
      <w:pPr>
        <w:rPr>
          <w:noProof/>
        </w:rPr>
      </w:pPr>
    </w:p>
    <w:p w14:paraId="40357D58" w14:textId="5F167401" w:rsidR="00090535" w:rsidRDefault="00090535">
      <w:pPr>
        <w:rPr>
          <w:noProof/>
        </w:rPr>
      </w:pPr>
    </w:p>
    <w:p w14:paraId="7B6D3ECC" w14:textId="290F22A7" w:rsidR="00090535" w:rsidRDefault="00090535">
      <w:pPr>
        <w:rPr>
          <w:noProof/>
        </w:rPr>
      </w:pPr>
    </w:p>
    <w:p w14:paraId="44B134F6" w14:textId="5D49A878" w:rsidR="00090535" w:rsidRDefault="00090535">
      <w:pPr>
        <w:rPr>
          <w:noProof/>
        </w:rPr>
      </w:pPr>
    </w:p>
    <w:p w14:paraId="6DD0DB08" w14:textId="006FC124" w:rsidR="00090535" w:rsidRDefault="00090535">
      <w:pPr>
        <w:rPr>
          <w:noProof/>
        </w:rPr>
      </w:pPr>
    </w:p>
    <w:p w14:paraId="5A511FAC" w14:textId="75390005" w:rsidR="00090535" w:rsidRDefault="00090535">
      <w:pPr>
        <w:rPr>
          <w:noProof/>
        </w:rPr>
      </w:pPr>
    </w:p>
    <w:p w14:paraId="26C2B2C2" w14:textId="16508888" w:rsidR="00090535" w:rsidRDefault="00090535">
      <w:pPr>
        <w:rPr>
          <w:noProof/>
        </w:rPr>
      </w:pPr>
    </w:p>
    <w:p w14:paraId="2A928AE5" w14:textId="52E74397" w:rsidR="00090535" w:rsidRDefault="00090535">
      <w:pPr>
        <w:rPr>
          <w:noProof/>
        </w:rPr>
      </w:pPr>
    </w:p>
    <w:p w14:paraId="0D18CDE0" w14:textId="0B9ED1EF" w:rsidR="00090535" w:rsidRDefault="00090535">
      <w:pPr>
        <w:rPr>
          <w:noProof/>
        </w:rPr>
      </w:pPr>
    </w:p>
    <w:p w14:paraId="66E88335" w14:textId="00FE69BD" w:rsidR="00090535" w:rsidRDefault="00090535">
      <w:pPr>
        <w:rPr>
          <w:noProof/>
        </w:rPr>
      </w:pPr>
    </w:p>
    <w:p w14:paraId="3B2B3733" w14:textId="03F17A92" w:rsidR="00090535" w:rsidRDefault="00090535">
      <w:pPr>
        <w:rPr>
          <w:noProof/>
        </w:rPr>
      </w:pPr>
    </w:p>
    <w:p w14:paraId="61F7E637" w14:textId="7E47A824" w:rsidR="00090535" w:rsidRDefault="00090535">
      <w:pPr>
        <w:rPr>
          <w:noProof/>
        </w:rPr>
      </w:pPr>
    </w:p>
    <w:p w14:paraId="1E0A56F4" w14:textId="0DB69B72" w:rsidR="00090535" w:rsidRDefault="00090535">
      <w:pPr>
        <w:rPr>
          <w:noProof/>
        </w:rPr>
      </w:pPr>
    </w:p>
    <w:p w14:paraId="31761EDC" w14:textId="1B8AAB7A" w:rsidR="00090535" w:rsidRDefault="00090535">
      <w:pPr>
        <w:rPr>
          <w:noProof/>
        </w:rPr>
      </w:pPr>
    </w:p>
    <w:p w14:paraId="31E11AB9" w14:textId="23CAF5EA" w:rsidR="00090535" w:rsidRDefault="00090535">
      <w:pPr>
        <w:rPr>
          <w:noProof/>
        </w:rPr>
      </w:pPr>
    </w:p>
    <w:p w14:paraId="3C48C928" w14:textId="4F59D162" w:rsidR="00090535" w:rsidRDefault="00090535">
      <w:pPr>
        <w:rPr>
          <w:noProof/>
        </w:rPr>
      </w:pPr>
    </w:p>
    <w:p w14:paraId="43C26BE0" w14:textId="14B150F6" w:rsidR="00090535" w:rsidRDefault="00090535">
      <w:pPr>
        <w:rPr>
          <w:noProof/>
        </w:rPr>
      </w:pPr>
    </w:p>
    <w:p w14:paraId="717BA603" w14:textId="2F9CA738" w:rsidR="00090535" w:rsidRDefault="00090535">
      <w:pPr>
        <w:rPr>
          <w:noProof/>
        </w:rPr>
      </w:pPr>
    </w:p>
    <w:p w14:paraId="27C7D900" w14:textId="38DC9DAE" w:rsidR="00090535" w:rsidRDefault="00090535">
      <w:pPr>
        <w:rPr>
          <w:noProof/>
        </w:rPr>
      </w:pPr>
    </w:p>
    <w:p w14:paraId="0299FD66" w14:textId="689AD5B8" w:rsidR="00090535" w:rsidRDefault="00090535">
      <w:pPr>
        <w:rPr>
          <w:noProof/>
        </w:rPr>
      </w:pPr>
    </w:p>
    <w:p w14:paraId="1705DF5F" w14:textId="5756FCBA" w:rsidR="00090535" w:rsidRDefault="00090535">
      <w:pPr>
        <w:rPr>
          <w:noProof/>
        </w:rPr>
      </w:pPr>
    </w:p>
    <w:p w14:paraId="3F2A54C5" w14:textId="5602E44E" w:rsidR="00090535" w:rsidRDefault="00090535">
      <w:pPr>
        <w:rPr>
          <w:noProof/>
        </w:rPr>
      </w:pPr>
    </w:p>
    <w:p w14:paraId="47FD5CE7" w14:textId="5DE1D837" w:rsidR="00090535" w:rsidRDefault="00090535">
      <w:pPr>
        <w:rPr>
          <w:noProof/>
        </w:rPr>
      </w:pPr>
    </w:p>
    <w:p w14:paraId="3C30AF11" w14:textId="32B8E708" w:rsidR="00090535" w:rsidRDefault="00090535">
      <w:pPr>
        <w:rPr>
          <w:noProof/>
        </w:rPr>
      </w:pPr>
    </w:p>
    <w:p w14:paraId="7A83FF29" w14:textId="34E0BF42" w:rsidR="00090535" w:rsidRDefault="00090535">
      <w:pPr>
        <w:rPr>
          <w:noProof/>
        </w:rPr>
      </w:pPr>
    </w:p>
    <w:p w14:paraId="7C991E0D" w14:textId="1922C4C6" w:rsidR="00090535" w:rsidRDefault="00090535">
      <w:pPr>
        <w:rPr>
          <w:noProof/>
        </w:rPr>
      </w:pPr>
    </w:p>
    <w:p w14:paraId="65E390B5" w14:textId="77777777" w:rsidR="00090535" w:rsidRDefault="00090535">
      <w:pPr>
        <w:rPr>
          <w:noProof/>
        </w:rPr>
      </w:pPr>
    </w:p>
    <w:p w14:paraId="52A783B7" w14:textId="77777777" w:rsidR="00090535" w:rsidRPr="00C93121" w:rsidRDefault="00090535" w:rsidP="009B3BAA">
      <w:pPr>
        <w:spacing w:line="360" w:lineRule="auto"/>
      </w:pPr>
    </w:p>
    <w:p w14:paraId="2BF3A82E" w14:textId="2AC80E80" w:rsidR="00551941" w:rsidRDefault="00551941">
      <w:pPr>
        <w:rPr>
          <w:noProof/>
        </w:rPr>
      </w:pPr>
    </w:p>
    <w:p w14:paraId="58D9A21D" w14:textId="7E340012" w:rsidR="005236FA" w:rsidRPr="00C93121" w:rsidRDefault="005236FA" w:rsidP="009B3BAA">
      <w:pPr>
        <w:spacing w:line="360" w:lineRule="auto"/>
        <w:rPr>
          <w:noProof/>
        </w:rPr>
      </w:pPr>
      <w:r w:rsidRPr="00C93121">
        <w:rPr>
          <w:noProof/>
        </w:rPr>
        <w:lastRenderedPageBreak/>
        <w:t>APPENDIX 3 – Utilization submodel algorithms</w:t>
      </w:r>
    </w:p>
    <w:p w14:paraId="302D1897" w14:textId="778C0EB5" w:rsidR="005236FA" w:rsidRPr="00C93121" w:rsidRDefault="005236FA" w:rsidP="009B3BAA">
      <w:pPr>
        <w:spacing w:line="360" w:lineRule="auto"/>
        <w:rPr>
          <w:i/>
          <w:noProof/>
        </w:rPr>
      </w:pPr>
      <w:r w:rsidRPr="00C93121">
        <w:rPr>
          <w:i/>
          <w:noProof/>
        </w:rPr>
        <w:t>Note that empty ovals represent exit points for an algorithm whereby an individual returns to “waiting” for the next event.</w:t>
      </w:r>
      <w:r w:rsidR="00070D1D">
        <w:rPr>
          <w:i/>
          <w:noProof/>
        </w:rPr>
        <w:t xml:space="preserve">  </w:t>
      </w:r>
      <w:r w:rsidR="00070D1D" w:rsidRPr="00070D1D">
        <w:rPr>
          <w:i/>
          <w:noProof/>
        </w:rPr>
        <w:t>CEA = carcinoembryonic antigen; CT = computed tomography; PET = positron emission tomography; MRI = magnetic resonance imaging</w:t>
      </w:r>
    </w:p>
    <w:p w14:paraId="4D153278" w14:textId="77777777" w:rsidR="005236FA" w:rsidRPr="00C93121" w:rsidRDefault="005236FA" w:rsidP="009B3BAA">
      <w:pPr>
        <w:pStyle w:val="ListParagraph"/>
        <w:numPr>
          <w:ilvl w:val="0"/>
          <w:numId w:val="11"/>
        </w:numPr>
        <w:spacing w:line="360" w:lineRule="auto"/>
        <w:rPr>
          <w:noProof/>
        </w:rPr>
      </w:pPr>
      <w:r w:rsidRPr="00C93121">
        <w:rPr>
          <w:noProof/>
        </w:rPr>
        <w:t>Surveillance CEA Testing</w:t>
      </w:r>
    </w:p>
    <w:p w14:paraId="413E08B9" w14:textId="77777777" w:rsidR="005236FA" w:rsidRPr="00C93121" w:rsidRDefault="005236FA" w:rsidP="009B3BAA">
      <w:pPr>
        <w:spacing w:line="360" w:lineRule="auto"/>
      </w:pPr>
      <w:r w:rsidRPr="00C93121">
        <w:rPr>
          <w:noProof/>
        </w:rPr>
        <w:drawing>
          <wp:inline distT="0" distB="0" distL="0" distR="0" wp14:anchorId="07609DC1" wp14:editId="2090B388">
            <wp:extent cx="5720316" cy="45744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866" cy="4583655"/>
                    </a:xfrm>
                    <a:prstGeom prst="rect">
                      <a:avLst/>
                    </a:prstGeom>
                  </pic:spPr>
                </pic:pic>
              </a:graphicData>
            </a:graphic>
          </wp:inline>
        </w:drawing>
      </w:r>
    </w:p>
    <w:p w14:paraId="03E186F7" w14:textId="77777777" w:rsidR="005236FA" w:rsidRPr="00C93121" w:rsidRDefault="005236FA" w:rsidP="009B3BAA">
      <w:pPr>
        <w:spacing w:line="360" w:lineRule="auto"/>
      </w:pPr>
    </w:p>
    <w:p w14:paraId="18FFD314" w14:textId="5D4A3228" w:rsidR="005236FA" w:rsidRDefault="005236FA" w:rsidP="009B3BAA">
      <w:pPr>
        <w:spacing w:line="360" w:lineRule="auto"/>
      </w:pPr>
    </w:p>
    <w:p w14:paraId="027321B2" w14:textId="77777777" w:rsidR="00070D1D" w:rsidRPr="00C93121" w:rsidRDefault="00070D1D" w:rsidP="009B3BAA">
      <w:pPr>
        <w:spacing w:line="360" w:lineRule="auto"/>
      </w:pPr>
    </w:p>
    <w:p w14:paraId="29515B2B" w14:textId="77777777" w:rsidR="005236FA" w:rsidRPr="00C93121" w:rsidRDefault="005236FA" w:rsidP="009B3BAA">
      <w:pPr>
        <w:spacing w:line="360" w:lineRule="auto"/>
      </w:pPr>
    </w:p>
    <w:p w14:paraId="31233D3D" w14:textId="77777777" w:rsidR="005236FA" w:rsidRPr="00C93121" w:rsidRDefault="005236FA" w:rsidP="009B3BAA">
      <w:pPr>
        <w:spacing w:line="360" w:lineRule="auto"/>
      </w:pPr>
    </w:p>
    <w:p w14:paraId="2FF124FA" w14:textId="77777777" w:rsidR="005236FA" w:rsidRPr="00C93121" w:rsidRDefault="005236FA" w:rsidP="009B3BAA">
      <w:pPr>
        <w:pStyle w:val="ListParagraph"/>
        <w:numPr>
          <w:ilvl w:val="0"/>
          <w:numId w:val="11"/>
        </w:numPr>
        <w:spacing w:line="360" w:lineRule="auto"/>
      </w:pPr>
      <w:r w:rsidRPr="00C93121">
        <w:lastRenderedPageBreak/>
        <w:t>Surveillance CT</w:t>
      </w:r>
    </w:p>
    <w:p w14:paraId="5124602A" w14:textId="77777777" w:rsidR="002453F8" w:rsidRPr="00C93121" w:rsidRDefault="002453F8" w:rsidP="009B3BAA">
      <w:pPr>
        <w:spacing w:line="360" w:lineRule="auto"/>
      </w:pPr>
      <w:r w:rsidRPr="00C93121">
        <w:rPr>
          <w:noProof/>
        </w:rPr>
        <w:drawing>
          <wp:inline distT="0" distB="0" distL="0" distR="0" wp14:anchorId="6A4427A5" wp14:editId="53B1CA78">
            <wp:extent cx="4890977" cy="4556551"/>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06580" cy="4571087"/>
                    </a:xfrm>
                    <a:prstGeom prst="rect">
                      <a:avLst/>
                    </a:prstGeom>
                  </pic:spPr>
                </pic:pic>
              </a:graphicData>
            </a:graphic>
          </wp:inline>
        </w:drawing>
      </w:r>
    </w:p>
    <w:p w14:paraId="7B8A00D3" w14:textId="77777777" w:rsidR="005236FA" w:rsidRPr="00C93121" w:rsidRDefault="005236FA" w:rsidP="009B3BAA">
      <w:pPr>
        <w:spacing w:line="360" w:lineRule="auto"/>
        <w:rPr>
          <w:noProof/>
        </w:rPr>
      </w:pPr>
    </w:p>
    <w:p w14:paraId="784E891F" w14:textId="77777777" w:rsidR="002453F8" w:rsidRPr="00C93121" w:rsidRDefault="002453F8" w:rsidP="009B3BAA">
      <w:pPr>
        <w:spacing w:line="360" w:lineRule="auto"/>
      </w:pPr>
    </w:p>
    <w:p w14:paraId="77EF6ECF" w14:textId="77777777" w:rsidR="005236FA" w:rsidRPr="00C93121" w:rsidRDefault="005236FA" w:rsidP="009B3BAA">
      <w:pPr>
        <w:spacing w:line="360" w:lineRule="auto"/>
      </w:pPr>
    </w:p>
    <w:p w14:paraId="377AE17A" w14:textId="77777777" w:rsidR="005236FA" w:rsidRPr="00C93121" w:rsidRDefault="005236FA" w:rsidP="009B3BAA">
      <w:pPr>
        <w:spacing w:line="360" w:lineRule="auto"/>
      </w:pPr>
    </w:p>
    <w:p w14:paraId="0028DCEA" w14:textId="77777777" w:rsidR="009B3BAA" w:rsidRPr="00C93121" w:rsidRDefault="009B3BAA" w:rsidP="009B3BAA">
      <w:pPr>
        <w:spacing w:line="360" w:lineRule="auto"/>
      </w:pPr>
    </w:p>
    <w:p w14:paraId="3AAFBD72" w14:textId="77777777" w:rsidR="005236FA" w:rsidRPr="00C93121" w:rsidRDefault="005236FA" w:rsidP="009B3BAA">
      <w:pPr>
        <w:spacing w:line="360" w:lineRule="auto"/>
      </w:pPr>
    </w:p>
    <w:p w14:paraId="0303A05A" w14:textId="77777777" w:rsidR="005236FA" w:rsidRPr="00C93121" w:rsidRDefault="005236FA" w:rsidP="009B3BAA">
      <w:pPr>
        <w:spacing w:line="360" w:lineRule="auto"/>
      </w:pPr>
    </w:p>
    <w:p w14:paraId="3D2B47B4" w14:textId="77777777" w:rsidR="005236FA" w:rsidRPr="00C93121" w:rsidRDefault="005236FA" w:rsidP="009B3BAA">
      <w:pPr>
        <w:spacing w:line="360" w:lineRule="auto"/>
      </w:pPr>
    </w:p>
    <w:p w14:paraId="406AA846" w14:textId="77777777" w:rsidR="009B3BAA" w:rsidRPr="00C93121" w:rsidRDefault="009B3BAA" w:rsidP="009B3BAA">
      <w:pPr>
        <w:spacing w:line="360" w:lineRule="auto"/>
      </w:pPr>
    </w:p>
    <w:p w14:paraId="56C654C7" w14:textId="77777777" w:rsidR="005236FA" w:rsidRPr="00C93121" w:rsidRDefault="005236FA" w:rsidP="009B3BAA">
      <w:pPr>
        <w:pStyle w:val="ListParagraph"/>
        <w:numPr>
          <w:ilvl w:val="0"/>
          <w:numId w:val="11"/>
        </w:numPr>
        <w:spacing w:line="360" w:lineRule="auto"/>
      </w:pPr>
      <w:r w:rsidRPr="00C93121">
        <w:lastRenderedPageBreak/>
        <w:t>Surveillance Colonoscopy</w:t>
      </w:r>
    </w:p>
    <w:p w14:paraId="11AF3DD9" w14:textId="77777777" w:rsidR="00755540" w:rsidRPr="00C93121" w:rsidRDefault="00755540" w:rsidP="009B3BAA">
      <w:pPr>
        <w:spacing w:line="360" w:lineRule="auto"/>
      </w:pPr>
      <w:r w:rsidRPr="00C93121">
        <w:rPr>
          <w:noProof/>
        </w:rPr>
        <w:drawing>
          <wp:inline distT="0" distB="0" distL="0" distR="0" wp14:anchorId="66B13C27" wp14:editId="385D86D9">
            <wp:extent cx="6250231" cy="4724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53334" cy="4726746"/>
                    </a:xfrm>
                    <a:prstGeom prst="rect">
                      <a:avLst/>
                    </a:prstGeom>
                  </pic:spPr>
                </pic:pic>
              </a:graphicData>
            </a:graphic>
          </wp:inline>
        </w:drawing>
      </w:r>
    </w:p>
    <w:p w14:paraId="0AE4625C" w14:textId="77777777" w:rsidR="005236FA" w:rsidRPr="00C93121" w:rsidRDefault="005236FA" w:rsidP="009B3BAA">
      <w:pPr>
        <w:spacing w:line="360" w:lineRule="auto"/>
      </w:pPr>
    </w:p>
    <w:p w14:paraId="769E238F" w14:textId="77777777" w:rsidR="005236FA" w:rsidRPr="00C93121" w:rsidRDefault="005236FA" w:rsidP="009B3BAA">
      <w:pPr>
        <w:spacing w:line="360" w:lineRule="auto"/>
      </w:pPr>
    </w:p>
    <w:p w14:paraId="2BC7115F" w14:textId="77777777" w:rsidR="005236FA" w:rsidRPr="00C93121" w:rsidRDefault="005236FA" w:rsidP="009B3BAA">
      <w:pPr>
        <w:spacing w:line="360" w:lineRule="auto"/>
      </w:pPr>
    </w:p>
    <w:p w14:paraId="0EF23D0F" w14:textId="77777777" w:rsidR="005236FA" w:rsidRPr="00C93121" w:rsidRDefault="005236FA" w:rsidP="009B3BAA">
      <w:pPr>
        <w:spacing w:line="360" w:lineRule="auto"/>
      </w:pPr>
    </w:p>
    <w:p w14:paraId="7E1D303A" w14:textId="77777777" w:rsidR="009B3BAA" w:rsidRPr="00C93121" w:rsidRDefault="009B3BAA" w:rsidP="009B3BAA">
      <w:pPr>
        <w:spacing w:line="360" w:lineRule="auto"/>
      </w:pPr>
    </w:p>
    <w:p w14:paraId="40D021B9" w14:textId="77777777" w:rsidR="005236FA" w:rsidRPr="00C93121" w:rsidRDefault="005236FA" w:rsidP="009B3BAA">
      <w:pPr>
        <w:spacing w:line="360" w:lineRule="auto"/>
      </w:pPr>
    </w:p>
    <w:p w14:paraId="0BAA8B67" w14:textId="77777777" w:rsidR="005236FA" w:rsidRPr="00C93121" w:rsidRDefault="005236FA" w:rsidP="009B3BAA">
      <w:pPr>
        <w:spacing w:line="360" w:lineRule="auto"/>
      </w:pPr>
    </w:p>
    <w:p w14:paraId="28B2B60D" w14:textId="77777777" w:rsidR="005236FA" w:rsidRPr="00C93121" w:rsidRDefault="005236FA" w:rsidP="009B3BAA">
      <w:pPr>
        <w:spacing w:line="360" w:lineRule="auto"/>
      </w:pPr>
    </w:p>
    <w:p w14:paraId="6AFEDD13" w14:textId="77777777" w:rsidR="005236FA" w:rsidRPr="00C93121" w:rsidRDefault="005236FA" w:rsidP="009B3BAA">
      <w:pPr>
        <w:pStyle w:val="ListParagraph"/>
        <w:numPr>
          <w:ilvl w:val="0"/>
          <w:numId w:val="11"/>
        </w:numPr>
        <w:spacing w:line="360" w:lineRule="auto"/>
      </w:pPr>
      <w:r w:rsidRPr="00C93121">
        <w:lastRenderedPageBreak/>
        <w:t>Follow-up CT</w:t>
      </w:r>
    </w:p>
    <w:p w14:paraId="4E73FF43" w14:textId="77777777" w:rsidR="005236FA" w:rsidRPr="00C93121" w:rsidRDefault="005236FA" w:rsidP="009B3BAA">
      <w:pPr>
        <w:spacing w:line="360" w:lineRule="auto"/>
      </w:pPr>
      <w:r w:rsidRPr="00C93121">
        <w:rPr>
          <w:noProof/>
        </w:rPr>
        <w:drawing>
          <wp:inline distT="0" distB="0" distL="0" distR="0" wp14:anchorId="770B1523" wp14:editId="7F36C58A">
            <wp:extent cx="5880538" cy="4145905"/>
            <wp:effectExtent l="0" t="0" r="635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83587" cy="4148054"/>
                    </a:xfrm>
                    <a:prstGeom prst="rect">
                      <a:avLst/>
                    </a:prstGeom>
                  </pic:spPr>
                </pic:pic>
              </a:graphicData>
            </a:graphic>
          </wp:inline>
        </w:drawing>
      </w:r>
    </w:p>
    <w:p w14:paraId="531493C4" w14:textId="77777777" w:rsidR="005236FA" w:rsidRPr="00C93121" w:rsidRDefault="005236FA" w:rsidP="009B3BAA">
      <w:pPr>
        <w:spacing w:line="360" w:lineRule="auto"/>
      </w:pPr>
    </w:p>
    <w:p w14:paraId="5775ABA8" w14:textId="77777777" w:rsidR="005236FA" w:rsidRPr="00C93121" w:rsidRDefault="005236FA" w:rsidP="009B3BAA">
      <w:pPr>
        <w:spacing w:line="360" w:lineRule="auto"/>
      </w:pPr>
    </w:p>
    <w:p w14:paraId="5847239F" w14:textId="77777777" w:rsidR="005236FA" w:rsidRPr="00C93121" w:rsidRDefault="005236FA" w:rsidP="009B3BAA">
      <w:pPr>
        <w:spacing w:line="360" w:lineRule="auto"/>
      </w:pPr>
    </w:p>
    <w:p w14:paraId="3C2E7190" w14:textId="77777777" w:rsidR="005236FA" w:rsidRPr="00C93121" w:rsidRDefault="005236FA" w:rsidP="009B3BAA">
      <w:pPr>
        <w:spacing w:line="360" w:lineRule="auto"/>
      </w:pPr>
    </w:p>
    <w:p w14:paraId="5CC7833E" w14:textId="77777777" w:rsidR="005236FA" w:rsidRPr="00C93121" w:rsidRDefault="005236FA" w:rsidP="009B3BAA">
      <w:pPr>
        <w:spacing w:line="360" w:lineRule="auto"/>
      </w:pPr>
    </w:p>
    <w:p w14:paraId="6D02CADF" w14:textId="77777777" w:rsidR="005236FA" w:rsidRPr="00C93121" w:rsidRDefault="005236FA" w:rsidP="009B3BAA">
      <w:pPr>
        <w:spacing w:line="360" w:lineRule="auto"/>
      </w:pPr>
    </w:p>
    <w:p w14:paraId="1F2DB5B0" w14:textId="77777777" w:rsidR="005236FA" w:rsidRPr="00C93121" w:rsidRDefault="005236FA" w:rsidP="009B3BAA">
      <w:pPr>
        <w:spacing w:line="360" w:lineRule="auto"/>
      </w:pPr>
    </w:p>
    <w:p w14:paraId="379FF156" w14:textId="77777777" w:rsidR="005236FA" w:rsidRPr="00C93121" w:rsidRDefault="005236FA" w:rsidP="009B3BAA">
      <w:pPr>
        <w:spacing w:line="360" w:lineRule="auto"/>
      </w:pPr>
    </w:p>
    <w:p w14:paraId="0DFA4643" w14:textId="77777777" w:rsidR="005236FA" w:rsidRPr="00C93121" w:rsidRDefault="005236FA" w:rsidP="009B3BAA">
      <w:pPr>
        <w:spacing w:line="360" w:lineRule="auto"/>
      </w:pPr>
    </w:p>
    <w:p w14:paraId="55663FE5" w14:textId="77777777" w:rsidR="005236FA" w:rsidRPr="00C93121" w:rsidRDefault="005236FA" w:rsidP="009B3BAA">
      <w:pPr>
        <w:spacing w:line="360" w:lineRule="auto"/>
      </w:pPr>
    </w:p>
    <w:p w14:paraId="4EAE1FF0" w14:textId="77777777" w:rsidR="005236FA" w:rsidRPr="00C93121" w:rsidRDefault="005236FA" w:rsidP="009B3BAA">
      <w:pPr>
        <w:pStyle w:val="ListParagraph"/>
        <w:numPr>
          <w:ilvl w:val="0"/>
          <w:numId w:val="11"/>
        </w:numPr>
        <w:spacing w:line="360" w:lineRule="auto"/>
      </w:pPr>
      <w:r w:rsidRPr="00C93121">
        <w:lastRenderedPageBreak/>
        <w:t>CT after Positive Colonoscopy</w:t>
      </w:r>
    </w:p>
    <w:p w14:paraId="090C1BAC" w14:textId="77777777" w:rsidR="005236FA" w:rsidRPr="00C93121" w:rsidRDefault="005236FA" w:rsidP="009B3BAA">
      <w:pPr>
        <w:spacing w:line="360" w:lineRule="auto"/>
      </w:pPr>
      <w:r w:rsidRPr="00C93121">
        <w:rPr>
          <w:noProof/>
        </w:rPr>
        <w:drawing>
          <wp:inline distT="0" distB="0" distL="0" distR="0" wp14:anchorId="734539A3" wp14:editId="41C121D1">
            <wp:extent cx="5803271" cy="4140411"/>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09131" cy="4144592"/>
                    </a:xfrm>
                    <a:prstGeom prst="rect">
                      <a:avLst/>
                    </a:prstGeom>
                  </pic:spPr>
                </pic:pic>
              </a:graphicData>
            </a:graphic>
          </wp:inline>
        </w:drawing>
      </w:r>
    </w:p>
    <w:p w14:paraId="308E5506" w14:textId="77777777" w:rsidR="005236FA" w:rsidRPr="00C93121" w:rsidRDefault="005236FA" w:rsidP="009B3BAA">
      <w:pPr>
        <w:spacing w:line="360" w:lineRule="auto"/>
      </w:pPr>
    </w:p>
    <w:p w14:paraId="5F60A237" w14:textId="77777777" w:rsidR="005236FA" w:rsidRPr="00C93121" w:rsidRDefault="005236FA" w:rsidP="009B3BAA">
      <w:pPr>
        <w:spacing w:line="360" w:lineRule="auto"/>
      </w:pPr>
    </w:p>
    <w:p w14:paraId="193C0C6C" w14:textId="77777777" w:rsidR="005236FA" w:rsidRPr="00C93121" w:rsidRDefault="005236FA" w:rsidP="009B3BAA">
      <w:pPr>
        <w:spacing w:line="360" w:lineRule="auto"/>
      </w:pPr>
    </w:p>
    <w:p w14:paraId="2FB5490D" w14:textId="77777777" w:rsidR="005236FA" w:rsidRPr="00C93121" w:rsidRDefault="005236FA" w:rsidP="009B3BAA">
      <w:pPr>
        <w:spacing w:line="360" w:lineRule="auto"/>
      </w:pPr>
    </w:p>
    <w:p w14:paraId="58C04BF1" w14:textId="77777777" w:rsidR="005236FA" w:rsidRPr="00C93121" w:rsidRDefault="005236FA" w:rsidP="009B3BAA">
      <w:pPr>
        <w:spacing w:line="360" w:lineRule="auto"/>
      </w:pPr>
    </w:p>
    <w:p w14:paraId="642E3CAF" w14:textId="77777777" w:rsidR="005236FA" w:rsidRPr="00C93121" w:rsidRDefault="005236FA" w:rsidP="009B3BAA">
      <w:pPr>
        <w:spacing w:line="360" w:lineRule="auto"/>
      </w:pPr>
    </w:p>
    <w:p w14:paraId="5CDAE123" w14:textId="77777777" w:rsidR="005236FA" w:rsidRPr="00C93121" w:rsidRDefault="005236FA" w:rsidP="009B3BAA">
      <w:pPr>
        <w:spacing w:line="360" w:lineRule="auto"/>
      </w:pPr>
    </w:p>
    <w:p w14:paraId="53FBD434" w14:textId="77777777" w:rsidR="005236FA" w:rsidRPr="00C93121" w:rsidRDefault="005236FA" w:rsidP="009B3BAA">
      <w:pPr>
        <w:spacing w:line="360" w:lineRule="auto"/>
      </w:pPr>
    </w:p>
    <w:p w14:paraId="7F08BC95" w14:textId="77777777" w:rsidR="005236FA" w:rsidRPr="00C93121" w:rsidRDefault="005236FA" w:rsidP="009B3BAA">
      <w:pPr>
        <w:spacing w:line="360" w:lineRule="auto"/>
      </w:pPr>
    </w:p>
    <w:p w14:paraId="0D379D56" w14:textId="77777777" w:rsidR="005236FA" w:rsidRPr="00C93121" w:rsidRDefault="005236FA" w:rsidP="009B3BAA">
      <w:pPr>
        <w:spacing w:line="360" w:lineRule="auto"/>
      </w:pPr>
    </w:p>
    <w:p w14:paraId="299BB3CD" w14:textId="77777777" w:rsidR="005236FA" w:rsidRPr="00C93121" w:rsidRDefault="005236FA" w:rsidP="009B3BAA">
      <w:pPr>
        <w:pStyle w:val="ListParagraph"/>
        <w:numPr>
          <w:ilvl w:val="0"/>
          <w:numId w:val="11"/>
        </w:numPr>
        <w:spacing w:line="360" w:lineRule="auto"/>
      </w:pPr>
      <w:r w:rsidRPr="00C93121">
        <w:lastRenderedPageBreak/>
        <w:t>Follow-up Liver MRI after CT showing possible liver metastases</w:t>
      </w:r>
    </w:p>
    <w:p w14:paraId="554D84DB" w14:textId="77777777" w:rsidR="005236FA" w:rsidRPr="00C93121" w:rsidRDefault="005236FA" w:rsidP="009B3BAA">
      <w:pPr>
        <w:spacing w:line="360" w:lineRule="auto"/>
      </w:pPr>
      <w:r w:rsidRPr="00C93121">
        <w:rPr>
          <w:noProof/>
        </w:rPr>
        <w:drawing>
          <wp:inline distT="0" distB="0" distL="0" distR="0" wp14:anchorId="293B35A7" wp14:editId="5F8622A1">
            <wp:extent cx="2517599" cy="33274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49624" cy="3369726"/>
                    </a:xfrm>
                    <a:prstGeom prst="rect">
                      <a:avLst/>
                    </a:prstGeom>
                  </pic:spPr>
                </pic:pic>
              </a:graphicData>
            </a:graphic>
          </wp:inline>
        </w:drawing>
      </w:r>
    </w:p>
    <w:p w14:paraId="19EEA70B" w14:textId="77777777" w:rsidR="005236FA" w:rsidRPr="00C93121" w:rsidRDefault="005236FA" w:rsidP="009B3BAA">
      <w:pPr>
        <w:spacing w:line="360" w:lineRule="auto"/>
      </w:pPr>
    </w:p>
    <w:p w14:paraId="738B1088" w14:textId="77777777" w:rsidR="005236FA" w:rsidRPr="00C93121" w:rsidRDefault="005236FA" w:rsidP="009B3BAA">
      <w:pPr>
        <w:spacing w:line="360" w:lineRule="auto"/>
      </w:pPr>
    </w:p>
    <w:p w14:paraId="390632CF" w14:textId="77777777" w:rsidR="005236FA" w:rsidRPr="00C93121" w:rsidRDefault="005236FA" w:rsidP="009B3BAA">
      <w:pPr>
        <w:spacing w:line="360" w:lineRule="auto"/>
      </w:pPr>
    </w:p>
    <w:p w14:paraId="3DD7FD5A" w14:textId="77777777" w:rsidR="005236FA" w:rsidRPr="00C93121" w:rsidRDefault="005236FA" w:rsidP="009B3BAA">
      <w:pPr>
        <w:spacing w:line="360" w:lineRule="auto"/>
      </w:pPr>
    </w:p>
    <w:p w14:paraId="221F2A7B" w14:textId="77777777" w:rsidR="005236FA" w:rsidRPr="00C93121" w:rsidRDefault="005236FA" w:rsidP="009B3BAA">
      <w:pPr>
        <w:spacing w:line="360" w:lineRule="auto"/>
      </w:pPr>
    </w:p>
    <w:p w14:paraId="20AD80C9" w14:textId="77777777" w:rsidR="005236FA" w:rsidRPr="00C93121" w:rsidRDefault="005236FA" w:rsidP="009B3BAA">
      <w:pPr>
        <w:spacing w:line="360" w:lineRule="auto"/>
      </w:pPr>
    </w:p>
    <w:p w14:paraId="3B32592A" w14:textId="77777777" w:rsidR="005236FA" w:rsidRPr="00C93121" w:rsidRDefault="005236FA" w:rsidP="009B3BAA">
      <w:pPr>
        <w:spacing w:line="360" w:lineRule="auto"/>
      </w:pPr>
    </w:p>
    <w:p w14:paraId="1593784D" w14:textId="77777777" w:rsidR="005236FA" w:rsidRPr="00C93121" w:rsidRDefault="005236FA" w:rsidP="009B3BAA">
      <w:pPr>
        <w:spacing w:line="360" w:lineRule="auto"/>
      </w:pPr>
    </w:p>
    <w:p w14:paraId="557AE5DB" w14:textId="77777777" w:rsidR="005236FA" w:rsidRPr="00C93121" w:rsidRDefault="005236FA" w:rsidP="009B3BAA">
      <w:pPr>
        <w:spacing w:line="360" w:lineRule="auto"/>
      </w:pPr>
    </w:p>
    <w:p w14:paraId="66D0F220" w14:textId="4DD83D84" w:rsidR="005236FA" w:rsidRPr="00C93121" w:rsidRDefault="005236FA" w:rsidP="009B3BAA">
      <w:pPr>
        <w:spacing w:line="360" w:lineRule="auto"/>
      </w:pPr>
      <w:r w:rsidRPr="00C93121">
        <w:br/>
      </w:r>
    </w:p>
    <w:p w14:paraId="78E5A138" w14:textId="224AC074" w:rsidR="005236FA" w:rsidRPr="00C93121" w:rsidRDefault="005236FA" w:rsidP="009B3BAA">
      <w:pPr>
        <w:spacing w:line="360" w:lineRule="auto"/>
      </w:pPr>
    </w:p>
    <w:p w14:paraId="1C66DB41" w14:textId="1206F756" w:rsidR="005236FA" w:rsidRPr="00C93121" w:rsidRDefault="005236FA" w:rsidP="009B3BAA">
      <w:pPr>
        <w:pStyle w:val="ListParagraph"/>
        <w:numPr>
          <w:ilvl w:val="0"/>
          <w:numId w:val="11"/>
        </w:numPr>
        <w:spacing w:line="360" w:lineRule="auto"/>
      </w:pPr>
      <w:r w:rsidRPr="00C93121">
        <w:lastRenderedPageBreak/>
        <w:t>Colonoscopy after Negative CT</w:t>
      </w:r>
    </w:p>
    <w:p w14:paraId="30F61479" w14:textId="7AE64A50" w:rsidR="005236FA" w:rsidRPr="00C93121" w:rsidRDefault="005236FA" w:rsidP="009B3BAA">
      <w:pPr>
        <w:spacing w:line="360" w:lineRule="auto"/>
      </w:pPr>
      <w:r w:rsidRPr="00C93121">
        <w:rPr>
          <w:noProof/>
        </w:rPr>
        <w:drawing>
          <wp:inline distT="0" distB="0" distL="0" distR="0" wp14:anchorId="37EB67F6" wp14:editId="6FBDD36C">
            <wp:extent cx="5649362" cy="4662534"/>
            <wp:effectExtent l="0" t="0" r="889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6111" cy="4668104"/>
                    </a:xfrm>
                    <a:prstGeom prst="rect">
                      <a:avLst/>
                    </a:prstGeom>
                  </pic:spPr>
                </pic:pic>
              </a:graphicData>
            </a:graphic>
          </wp:inline>
        </w:drawing>
      </w:r>
    </w:p>
    <w:p w14:paraId="6B7C20D9" w14:textId="77777777" w:rsidR="005236FA" w:rsidRPr="00C93121" w:rsidRDefault="005236FA" w:rsidP="009B3BAA">
      <w:pPr>
        <w:spacing w:line="360" w:lineRule="auto"/>
      </w:pPr>
    </w:p>
    <w:p w14:paraId="14051C32" w14:textId="77777777" w:rsidR="005236FA" w:rsidRPr="00C93121" w:rsidRDefault="005236FA" w:rsidP="009B3BAA">
      <w:pPr>
        <w:spacing w:line="360" w:lineRule="auto"/>
      </w:pPr>
    </w:p>
    <w:p w14:paraId="23176B47" w14:textId="77777777" w:rsidR="005236FA" w:rsidRPr="00C93121" w:rsidRDefault="005236FA" w:rsidP="009B3BAA">
      <w:pPr>
        <w:spacing w:line="360" w:lineRule="auto"/>
      </w:pPr>
    </w:p>
    <w:p w14:paraId="547B56B6" w14:textId="77777777" w:rsidR="005236FA" w:rsidRPr="00C93121" w:rsidRDefault="005236FA" w:rsidP="009B3BAA">
      <w:pPr>
        <w:spacing w:line="360" w:lineRule="auto"/>
      </w:pPr>
    </w:p>
    <w:p w14:paraId="1ABA6EBE" w14:textId="77777777" w:rsidR="009B3BAA" w:rsidRPr="00C93121" w:rsidRDefault="009B3BAA" w:rsidP="009B3BAA">
      <w:pPr>
        <w:spacing w:line="360" w:lineRule="auto"/>
      </w:pPr>
    </w:p>
    <w:p w14:paraId="7D3734B4" w14:textId="77777777" w:rsidR="005236FA" w:rsidRPr="00C93121" w:rsidRDefault="005236FA" w:rsidP="009B3BAA">
      <w:pPr>
        <w:spacing w:line="360" w:lineRule="auto"/>
      </w:pPr>
    </w:p>
    <w:p w14:paraId="49EDDABF" w14:textId="6F55E830" w:rsidR="005236FA" w:rsidRPr="00C93121" w:rsidRDefault="005236FA" w:rsidP="009B3BAA">
      <w:pPr>
        <w:spacing w:line="360" w:lineRule="auto"/>
      </w:pPr>
    </w:p>
    <w:p w14:paraId="44EDA6E1" w14:textId="6546282D" w:rsidR="005236FA" w:rsidRPr="00C93121" w:rsidRDefault="005236FA" w:rsidP="009B3BAA">
      <w:pPr>
        <w:spacing w:line="360" w:lineRule="auto"/>
      </w:pPr>
    </w:p>
    <w:p w14:paraId="6C27E93E" w14:textId="50474B48" w:rsidR="005236FA" w:rsidRPr="00C93121" w:rsidRDefault="005236FA" w:rsidP="009B3BAA">
      <w:pPr>
        <w:pStyle w:val="ListParagraph"/>
        <w:numPr>
          <w:ilvl w:val="0"/>
          <w:numId w:val="11"/>
        </w:numPr>
        <w:spacing w:line="360" w:lineRule="auto"/>
      </w:pPr>
      <w:r w:rsidRPr="00C93121">
        <w:lastRenderedPageBreak/>
        <w:t>Follow-up PET</w:t>
      </w:r>
    </w:p>
    <w:p w14:paraId="522BD1C1" w14:textId="0057D3F3" w:rsidR="005236FA" w:rsidRPr="00C93121" w:rsidRDefault="005236FA" w:rsidP="009B3BAA">
      <w:pPr>
        <w:spacing w:line="360" w:lineRule="auto"/>
      </w:pPr>
      <w:r w:rsidRPr="00C93121">
        <w:rPr>
          <w:noProof/>
        </w:rPr>
        <w:drawing>
          <wp:inline distT="0" distB="0" distL="0" distR="0" wp14:anchorId="6598262E" wp14:editId="446AB578">
            <wp:extent cx="5621533" cy="536027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34319" cy="5372468"/>
                    </a:xfrm>
                    <a:prstGeom prst="rect">
                      <a:avLst/>
                    </a:prstGeom>
                  </pic:spPr>
                </pic:pic>
              </a:graphicData>
            </a:graphic>
          </wp:inline>
        </w:drawing>
      </w:r>
    </w:p>
    <w:p w14:paraId="761AB80B" w14:textId="77777777" w:rsidR="005236FA" w:rsidRPr="00C93121" w:rsidRDefault="005236FA" w:rsidP="009B3BAA">
      <w:pPr>
        <w:spacing w:line="360" w:lineRule="auto"/>
      </w:pPr>
    </w:p>
    <w:p w14:paraId="7A138384" w14:textId="77777777" w:rsidR="005236FA" w:rsidRPr="00C93121" w:rsidRDefault="005236FA" w:rsidP="009B3BAA">
      <w:pPr>
        <w:spacing w:line="360" w:lineRule="auto"/>
      </w:pPr>
    </w:p>
    <w:p w14:paraId="59A9532A" w14:textId="77777777" w:rsidR="005236FA" w:rsidRPr="00C93121" w:rsidRDefault="005236FA" w:rsidP="009B3BAA">
      <w:pPr>
        <w:spacing w:line="360" w:lineRule="auto"/>
      </w:pPr>
    </w:p>
    <w:p w14:paraId="4FE867F8" w14:textId="77777777" w:rsidR="005236FA" w:rsidRPr="00C93121" w:rsidRDefault="005236FA" w:rsidP="009B3BAA">
      <w:pPr>
        <w:spacing w:line="360" w:lineRule="auto"/>
      </w:pPr>
    </w:p>
    <w:p w14:paraId="21E97CA6" w14:textId="77777777" w:rsidR="005236FA" w:rsidRPr="00C93121" w:rsidRDefault="005236FA" w:rsidP="009B3BAA">
      <w:pPr>
        <w:spacing w:line="360" w:lineRule="auto"/>
      </w:pPr>
    </w:p>
    <w:p w14:paraId="155FA0D5" w14:textId="77777777" w:rsidR="005236FA" w:rsidRPr="00C93121" w:rsidRDefault="005236FA" w:rsidP="009B3BAA">
      <w:pPr>
        <w:spacing w:line="360" w:lineRule="auto"/>
      </w:pPr>
    </w:p>
    <w:p w14:paraId="10A9CB85" w14:textId="77777777" w:rsidR="005236FA" w:rsidRPr="00C93121" w:rsidRDefault="005236FA" w:rsidP="009B3BAA">
      <w:pPr>
        <w:spacing w:line="360" w:lineRule="auto"/>
      </w:pPr>
    </w:p>
    <w:p w14:paraId="5CF1735F" w14:textId="77777777" w:rsidR="005236FA" w:rsidRPr="00C93121" w:rsidRDefault="005236FA" w:rsidP="009B3BAA">
      <w:pPr>
        <w:pStyle w:val="ListParagraph"/>
        <w:numPr>
          <w:ilvl w:val="0"/>
          <w:numId w:val="11"/>
        </w:numPr>
        <w:spacing w:line="360" w:lineRule="auto"/>
      </w:pPr>
      <w:r w:rsidRPr="00C93121">
        <w:lastRenderedPageBreak/>
        <w:t>PET after Positive Colonoscopy</w:t>
      </w:r>
    </w:p>
    <w:p w14:paraId="35E3FD59" w14:textId="77777777" w:rsidR="005236FA" w:rsidRPr="00C93121" w:rsidRDefault="00A54138" w:rsidP="009B3BAA">
      <w:pPr>
        <w:spacing w:line="360" w:lineRule="auto"/>
      </w:pPr>
      <w:r w:rsidRPr="00C93121">
        <w:rPr>
          <w:noProof/>
        </w:rPr>
        <w:drawing>
          <wp:inline distT="0" distB="0" distL="0" distR="0" wp14:anchorId="537E5DF4" wp14:editId="31E73042">
            <wp:extent cx="3870251" cy="32660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86509" cy="3279755"/>
                    </a:xfrm>
                    <a:prstGeom prst="rect">
                      <a:avLst/>
                    </a:prstGeom>
                  </pic:spPr>
                </pic:pic>
              </a:graphicData>
            </a:graphic>
          </wp:inline>
        </w:drawing>
      </w:r>
    </w:p>
    <w:p w14:paraId="067B0026" w14:textId="77777777" w:rsidR="005236FA" w:rsidRPr="00C93121" w:rsidRDefault="005236FA" w:rsidP="009B3BAA">
      <w:pPr>
        <w:spacing w:line="360" w:lineRule="auto"/>
      </w:pPr>
    </w:p>
    <w:p w14:paraId="37C169DA" w14:textId="77777777" w:rsidR="005236FA" w:rsidRPr="00C93121" w:rsidRDefault="005236FA" w:rsidP="009B3BAA">
      <w:pPr>
        <w:spacing w:line="360" w:lineRule="auto"/>
      </w:pPr>
    </w:p>
    <w:p w14:paraId="1206A4F1" w14:textId="77777777" w:rsidR="005236FA" w:rsidRPr="00C93121" w:rsidRDefault="005236FA" w:rsidP="009B3BAA">
      <w:pPr>
        <w:spacing w:line="360" w:lineRule="auto"/>
      </w:pPr>
    </w:p>
    <w:p w14:paraId="23F275BD" w14:textId="77777777" w:rsidR="005236FA" w:rsidRPr="00C93121" w:rsidRDefault="005236FA" w:rsidP="009B3BAA">
      <w:pPr>
        <w:spacing w:line="360" w:lineRule="auto"/>
      </w:pPr>
    </w:p>
    <w:p w14:paraId="279B9261" w14:textId="77777777" w:rsidR="009B3BAA" w:rsidRPr="00C93121" w:rsidRDefault="009B3BAA" w:rsidP="009B3BAA">
      <w:pPr>
        <w:spacing w:line="360" w:lineRule="auto"/>
      </w:pPr>
    </w:p>
    <w:p w14:paraId="164B47FE" w14:textId="77777777" w:rsidR="00A54138" w:rsidRPr="00C93121" w:rsidRDefault="00A54138" w:rsidP="009B3BAA">
      <w:pPr>
        <w:spacing w:line="360" w:lineRule="auto"/>
      </w:pPr>
    </w:p>
    <w:p w14:paraId="611589F4" w14:textId="77777777" w:rsidR="00A54138" w:rsidRPr="00C93121" w:rsidRDefault="00A54138" w:rsidP="009B3BAA">
      <w:pPr>
        <w:spacing w:line="360" w:lineRule="auto"/>
      </w:pPr>
    </w:p>
    <w:p w14:paraId="125A35B4" w14:textId="77777777" w:rsidR="00E8475F" w:rsidRPr="00C93121" w:rsidRDefault="00E8475F" w:rsidP="009B3BAA">
      <w:pPr>
        <w:spacing w:line="360" w:lineRule="auto"/>
      </w:pPr>
    </w:p>
    <w:p w14:paraId="29CAE8A0" w14:textId="77777777" w:rsidR="005236FA" w:rsidRPr="00C93121" w:rsidRDefault="005236FA" w:rsidP="009B3BAA">
      <w:pPr>
        <w:spacing w:line="360" w:lineRule="auto"/>
      </w:pPr>
    </w:p>
    <w:p w14:paraId="684AF85F" w14:textId="77777777" w:rsidR="005236FA" w:rsidRPr="00C93121" w:rsidRDefault="005236FA" w:rsidP="009B3BAA">
      <w:pPr>
        <w:spacing w:line="360" w:lineRule="auto"/>
      </w:pPr>
    </w:p>
    <w:p w14:paraId="1F2741D6" w14:textId="77777777" w:rsidR="005236FA" w:rsidRPr="00C93121" w:rsidRDefault="005236FA" w:rsidP="009B3BAA">
      <w:pPr>
        <w:spacing w:line="360" w:lineRule="auto"/>
      </w:pPr>
    </w:p>
    <w:p w14:paraId="401562BE" w14:textId="77777777" w:rsidR="005236FA" w:rsidRPr="00C93121" w:rsidRDefault="005236FA" w:rsidP="009B3BAA">
      <w:pPr>
        <w:spacing w:line="360" w:lineRule="auto"/>
      </w:pPr>
    </w:p>
    <w:p w14:paraId="0F79EF1D" w14:textId="77777777" w:rsidR="005236FA" w:rsidRDefault="005236FA" w:rsidP="009B3BAA">
      <w:pPr>
        <w:spacing w:line="240" w:lineRule="auto"/>
      </w:pPr>
      <w:r w:rsidRPr="00C93121">
        <w:lastRenderedPageBreak/>
        <w:t>REFERENCES</w:t>
      </w:r>
    </w:p>
    <w:p w14:paraId="1891A122" w14:textId="27CAB3FF" w:rsidR="00C82D09" w:rsidRPr="00C82D09" w:rsidRDefault="00F54672" w:rsidP="00C82D09">
      <w:pPr>
        <w:widowControl w:val="0"/>
        <w:autoSpaceDE w:val="0"/>
        <w:autoSpaceDN w:val="0"/>
        <w:adjustRightInd w:val="0"/>
        <w:spacing w:line="24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00C82D09" w:rsidRPr="00C82D09">
        <w:rPr>
          <w:rFonts w:ascii="Calibri" w:hAnsi="Calibri" w:cs="Times New Roman"/>
          <w:noProof/>
          <w:szCs w:val="24"/>
        </w:rPr>
        <w:t xml:space="preserve">1. </w:t>
      </w:r>
      <w:r w:rsidR="00C82D09" w:rsidRPr="00C82D09">
        <w:rPr>
          <w:rFonts w:ascii="Calibri" w:hAnsi="Calibri" w:cs="Times New Roman"/>
          <w:noProof/>
          <w:szCs w:val="24"/>
        </w:rPr>
        <w:tab/>
        <w:t>Siegel RL, Miller KD, Jemal A (2016) Cancer statistics, 2016. CA Cancer J Clin 66:7–30 . doi: 10.3322/caac.21332</w:t>
      </w:r>
    </w:p>
    <w:p w14:paraId="25DF60F5"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2. </w:t>
      </w:r>
      <w:r w:rsidRPr="00C82D09">
        <w:rPr>
          <w:rFonts w:ascii="Calibri" w:hAnsi="Calibri" w:cs="Times New Roman"/>
          <w:noProof/>
          <w:szCs w:val="24"/>
        </w:rPr>
        <w:tab/>
        <w:t>Primrose JN, Perera R, Gray A, et al (2014) Effect of 3 to 5 years of scheduled CEA and CT follow-up to detect recurrence of colorectal cancer: the FACS randomized clinical trial. JAMA 311:263–70 . doi: 10.1001/jama.2013.285718</w:t>
      </w:r>
    </w:p>
    <w:p w14:paraId="0597550C"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3. </w:t>
      </w:r>
      <w:r w:rsidRPr="00C82D09">
        <w:rPr>
          <w:rFonts w:ascii="Calibri" w:hAnsi="Calibri" w:cs="Times New Roman"/>
          <w:noProof/>
          <w:szCs w:val="24"/>
        </w:rPr>
        <w:tab/>
        <w:t>Cunningham D, Atkin W, Lenz HJ, et al (2010) Colorectal cancer. Lancet 375:1030–1047 . doi: 10.1016/S0140-6736(10)60353-4</w:t>
      </w:r>
    </w:p>
    <w:p w14:paraId="19A67020"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4. </w:t>
      </w:r>
      <w:r w:rsidRPr="00C82D09">
        <w:rPr>
          <w:rFonts w:ascii="Calibri" w:hAnsi="Calibri" w:cs="Times New Roman"/>
          <w:noProof/>
          <w:szCs w:val="24"/>
        </w:rPr>
        <w:tab/>
        <w:t>Formica V, Roselli M (2015) Targeted therapy in first line treatment of RAS wild type colorectal cancer. World J Gastroenterol 21:2871–2874 . doi: 10.3748/wjg.v21.i10.2871</w:t>
      </w:r>
    </w:p>
    <w:p w14:paraId="21282909"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5. </w:t>
      </w:r>
      <w:r w:rsidRPr="00C82D09">
        <w:rPr>
          <w:rFonts w:ascii="Calibri" w:hAnsi="Calibri" w:cs="Times New Roman"/>
          <w:noProof/>
          <w:szCs w:val="24"/>
        </w:rPr>
        <w:tab/>
        <w:t>Renehan AG, Egger M, Saunders MP, O’Dwyer ST (2002) Impact on survival of intensive follow up after curative resection for colorectal cancer: systematic review and meta-analysis of randomised trials. BMJ 324:813 . doi: 10.1136/bmj.324.7341.813</w:t>
      </w:r>
    </w:p>
    <w:p w14:paraId="1CBAF498"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6. </w:t>
      </w:r>
      <w:r w:rsidRPr="00C82D09">
        <w:rPr>
          <w:rFonts w:ascii="Calibri" w:hAnsi="Calibri" w:cs="Times New Roman"/>
          <w:noProof/>
          <w:szCs w:val="24"/>
        </w:rPr>
        <w:tab/>
        <w:t>Jeffery M, Hickey BE, Hider PN (2007) Follow-up strategies for patients treated for non-metastatic colorectal cancer. Cochrane Database Syst Rev CD002200 . doi: 10.1002/14651858.CD002200.pub2</w:t>
      </w:r>
    </w:p>
    <w:p w14:paraId="4B463925"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7. </w:t>
      </w:r>
      <w:r w:rsidRPr="00C82D09">
        <w:rPr>
          <w:rFonts w:ascii="Calibri" w:hAnsi="Calibri" w:cs="Times New Roman"/>
          <w:noProof/>
          <w:szCs w:val="24"/>
        </w:rPr>
        <w:tab/>
        <w:t>Mokhles S, Macbeth F, Farewell V, et al (2016) Meta-analysis of colorectal cancer follow-up after potentially curative resection. Br J Surg 103:1259–1268 . doi: 10.1002/bjs.10233</w:t>
      </w:r>
    </w:p>
    <w:p w14:paraId="600B16AF"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8. </w:t>
      </w:r>
      <w:r w:rsidRPr="00C82D09">
        <w:rPr>
          <w:rFonts w:ascii="Calibri" w:hAnsi="Calibri" w:cs="Times New Roman"/>
          <w:noProof/>
          <w:szCs w:val="24"/>
        </w:rPr>
        <w:tab/>
        <w:t>Rodriguez-Moranta F, Salo J, Arcusa A, et al (2006) Postoperative surveillance in patients with colorectal cancer who have undergone curative resection: a prospective, multicenter, randomized, controlled trial. J Clin Oncol 24:386–393 . doi: 10.1200/JCO.2005.02.0826</w:t>
      </w:r>
    </w:p>
    <w:p w14:paraId="2472140A"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9. </w:t>
      </w:r>
      <w:r w:rsidRPr="00C82D09">
        <w:rPr>
          <w:rFonts w:ascii="Calibri" w:hAnsi="Calibri" w:cs="Times New Roman"/>
          <w:noProof/>
          <w:szCs w:val="24"/>
        </w:rPr>
        <w:tab/>
        <w:t>Rosati G, Ambrosini G, Barni S, et al (2016) A randomized trial of intensive versus minimal surveillance of patients with resected Dukes B2-C colorectal carcinoma. Ann Oncol 27:274–280 . doi: 10.1093/annonc/mdv541</w:t>
      </w:r>
    </w:p>
    <w:p w14:paraId="47777CA7"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10. </w:t>
      </w:r>
      <w:r w:rsidRPr="00C82D09">
        <w:rPr>
          <w:rFonts w:ascii="Calibri" w:hAnsi="Calibri" w:cs="Times New Roman"/>
          <w:noProof/>
          <w:szCs w:val="24"/>
        </w:rPr>
        <w:tab/>
        <w:t>Secco GB, Fardelli R, Rovida S, et al (2000) Is intensive follow-up really able to improve prognosis of patients with local recurrence after curative surgery for rectal cancer? Ann Surg Oncol 7:32–37 . doi: 10.1007/s10434-000-0032-y</w:t>
      </w:r>
    </w:p>
    <w:p w14:paraId="4DF5F546"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11. </w:t>
      </w:r>
      <w:r w:rsidRPr="00C82D09">
        <w:rPr>
          <w:rFonts w:ascii="Calibri" w:hAnsi="Calibri" w:cs="Times New Roman"/>
          <w:noProof/>
          <w:szCs w:val="24"/>
        </w:rPr>
        <w:tab/>
        <w:t>Pietra N, Sarli L, Costi R, et al (1998) Role of follow-up in management of local recurrences of colorectal cancer: a prospective, randomized study. Dis Colon Rectum 41:1127–1133 . doi: 10.1007/BF02239434</w:t>
      </w:r>
    </w:p>
    <w:p w14:paraId="6FCF59C4"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12. </w:t>
      </w:r>
      <w:r w:rsidRPr="00C82D09">
        <w:rPr>
          <w:rFonts w:ascii="Calibri" w:hAnsi="Calibri" w:cs="Times New Roman"/>
          <w:noProof/>
          <w:szCs w:val="24"/>
        </w:rPr>
        <w:tab/>
        <w:t>Schoemaker D, Black R, Giles L, Toouli J (1998) Yearly colonoscopy, liver CT, and chest radiography do not influence 5-year survival of colorectal cancer patients. Gastroenterology 114:7–14 . doi: 10.1016/S0016-5085(98)70626-2</w:t>
      </w:r>
    </w:p>
    <w:p w14:paraId="00B39E28"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13. </w:t>
      </w:r>
      <w:r w:rsidRPr="00C82D09">
        <w:rPr>
          <w:rFonts w:ascii="Calibri" w:hAnsi="Calibri" w:cs="Times New Roman"/>
          <w:noProof/>
          <w:szCs w:val="24"/>
        </w:rPr>
        <w:tab/>
        <w:t>Makela JT, Laitinen SO, Kairaluoma MI (1995) Five-year follow-up after radical surgery for colorectal cancer. Results of a prospective randomized trial. Arch Surg 130:1062–1067 . doi: 10.1001/archsurg.1995.01430100040009</w:t>
      </w:r>
    </w:p>
    <w:p w14:paraId="05C71204"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14. </w:t>
      </w:r>
      <w:r w:rsidRPr="00C82D09">
        <w:rPr>
          <w:rFonts w:ascii="Calibri" w:hAnsi="Calibri" w:cs="Times New Roman"/>
          <w:noProof/>
          <w:szCs w:val="24"/>
        </w:rPr>
        <w:tab/>
        <w:t xml:space="preserve">Verberne CJ, Zhan Z, Van Den Heuvel E, et al (2015) Intensified follow-up in colorectal cancer patients using frequent Carcino-Embryonic Antigen (CEA) measurements and CEA-triggered imaging: Results of the randomized &amp;quot; CEAwatch &amp;quot; trial. doi: </w:t>
      </w:r>
      <w:r w:rsidRPr="00C82D09">
        <w:rPr>
          <w:rFonts w:ascii="Calibri" w:hAnsi="Calibri" w:cs="Times New Roman"/>
          <w:noProof/>
          <w:szCs w:val="24"/>
        </w:rPr>
        <w:lastRenderedPageBreak/>
        <w:t>10.1016/j.ejso.2015.06.008</w:t>
      </w:r>
    </w:p>
    <w:p w14:paraId="410AE0BF"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15. </w:t>
      </w:r>
      <w:r w:rsidRPr="00C82D09">
        <w:rPr>
          <w:rFonts w:ascii="Calibri" w:hAnsi="Calibri" w:cs="Times New Roman"/>
          <w:noProof/>
          <w:szCs w:val="24"/>
        </w:rPr>
        <w:tab/>
        <w:t>Ohlsson B, Breland U, Ekberg H, et al (1995) Follow-up after curative surgery for colorectal carcinoma. Randomized comparison with no follow-up. Dis Colon Rectum 38:619–626 . doi: 10.1007/BF02054122</w:t>
      </w:r>
    </w:p>
    <w:p w14:paraId="595CD4B0"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16. </w:t>
      </w:r>
      <w:r w:rsidRPr="00C82D09">
        <w:rPr>
          <w:rFonts w:ascii="Calibri" w:hAnsi="Calibri" w:cs="Times New Roman"/>
          <w:noProof/>
          <w:szCs w:val="24"/>
        </w:rPr>
        <w:tab/>
        <w:t>Labianca R, Nordlinger B, Beretta GD, et al (2013) Early colon cancer: ESMO clinical practice guidelines for diagnosis, treatment and follow-up. Ann Oncol 24: . doi: 10.1093/annonc/mdt354</w:t>
      </w:r>
    </w:p>
    <w:p w14:paraId="59584199"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17. </w:t>
      </w:r>
      <w:r w:rsidRPr="00C82D09">
        <w:rPr>
          <w:rFonts w:ascii="Calibri" w:hAnsi="Calibri" w:cs="Times New Roman"/>
          <w:noProof/>
          <w:szCs w:val="24"/>
        </w:rPr>
        <w:tab/>
        <w:t>Glynne-Jones R, Wyrwicz L, Tiret E, et al (2017) Rectal cancer: ESMO Clinical Practice Guidelines for diagnosis, treatment and follow-up. Ann Oncol 28:iv22-iv40 . doi: 10.1093/annonc/mdx224</w:t>
      </w:r>
    </w:p>
    <w:p w14:paraId="29D9665F"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18. </w:t>
      </w:r>
      <w:r w:rsidRPr="00C82D09">
        <w:rPr>
          <w:rFonts w:ascii="Calibri" w:hAnsi="Calibri" w:cs="Times New Roman"/>
          <w:noProof/>
          <w:szCs w:val="24"/>
        </w:rPr>
        <w:tab/>
        <w:t>NICE. National Institute for Health and Care Excellence (2011) Colorectal cancer: diagnosis and  management Clinical guideline. Natl Inst Heal Care Excell 1–48</w:t>
      </w:r>
    </w:p>
    <w:p w14:paraId="1439118C"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19. </w:t>
      </w:r>
      <w:r w:rsidRPr="00C82D09">
        <w:rPr>
          <w:rFonts w:ascii="Calibri" w:hAnsi="Calibri" w:cs="Times New Roman"/>
          <w:noProof/>
          <w:szCs w:val="24"/>
        </w:rPr>
        <w:tab/>
        <w:t>Rex DK, Kahi CJ, Levin B, et al (2006) Guidelines for colonoscopy surveillance after cancer resection: a consensus update by the American Cancer Society and the US Multi-Society Task Force on Colorectal Cancer. Gastroenterology 130:1865–1871 . doi: 10.1053/j.gastro.2006.03.013</w:t>
      </w:r>
    </w:p>
    <w:p w14:paraId="6C62E2D3" w14:textId="57E11858"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20. </w:t>
      </w:r>
      <w:r w:rsidRPr="00C82D09">
        <w:rPr>
          <w:rFonts w:ascii="Calibri" w:hAnsi="Calibri" w:cs="Times New Roman"/>
          <w:noProof/>
          <w:szCs w:val="24"/>
        </w:rPr>
        <w:tab/>
      </w:r>
      <w:r w:rsidR="00672E71">
        <w:rPr>
          <w:rFonts w:ascii="Calibri" w:hAnsi="Calibri" w:cs="Times New Roman"/>
          <w:noProof/>
          <w:szCs w:val="24"/>
        </w:rPr>
        <w:t xml:space="preserve">National Comprehensive Cancer </w:t>
      </w:r>
      <w:r w:rsidRPr="00C82D09">
        <w:rPr>
          <w:rFonts w:ascii="Calibri" w:hAnsi="Calibri" w:cs="Times New Roman"/>
          <w:noProof/>
          <w:szCs w:val="24"/>
        </w:rPr>
        <w:t>Network (2016) NCCN Clinical Practice Guidelines in Oncology: Colon Cancer. http://www.nccn.org/professionals/physician_gls/pdf/colon.pdf</w:t>
      </w:r>
    </w:p>
    <w:p w14:paraId="28A4B6FC" w14:textId="716FCB9F"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21. </w:t>
      </w:r>
      <w:r w:rsidRPr="00C82D09">
        <w:rPr>
          <w:rFonts w:ascii="Calibri" w:hAnsi="Calibri" w:cs="Times New Roman"/>
          <w:noProof/>
          <w:szCs w:val="24"/>
        </w:rPr>
        <w:tab/>
      </w:r>
      <w:r w:rsidR="00672E71">
        <w:rPr>
          <w:rFonts w:ascii="Calibri" w:hAnsi="Calibri" w:cs="Times New Roman"/>
          <w:noProof/>
          <w:szCs w:val="24"/>
        </w:rPr>
        <w:t xml:space="preserve">National Comprehensive Cancer </w:t>
      </w:r>
      <w:r w:rsidR="00672E71" w:rsidRPr="00C82D09">
        <w:rPr>
          <w:rFonts w:ascii="Calibri" w:hAnsi="Calibri" w:cs="Times New Roman"/>
          <w:noProof/>
          <w:szCs w:val="24"/>
        </w:rPr>
        <w:t>Network</w:t>
      </w:r>
      <w:r w:rsidR="00672E71" w:rsidRPr="00C82D09" w:rsidDel="00672E71">
        <w:rPr>
          <w:rFonts w:ascii="Calibri" w:hAnsi="Calibri" w:cs="Times New Roman"/>
          <w:noProof/>
          <w:szCs w:val="24"/>
        </w:rPr>
        <w:t xml:space="preserve"> </w:t>
      </w:r>
      <w:r w:rsidRPr="00C82D09">
        <w:rPr>
          <w:rFonts w:ascii="Calibri" w:hAnsi="Calibri" w:cs="Times New Roman"/>
          <w:noProof/>
          <w:szCs w:val="24"/>
        </w:rPr>
        <w:t xml:space="preserve"> (2014) NCCN Clinical Practice Guidelines in Oncology: Rectal Cancer. http://www.nccn.org/professionals/physician_gls/pdf/rectal.pdf</w:t>
      </w:r>
    </w:p>
    <w:p w14:paraId="520C9E9D"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22. </w:t>
      </w:r>
      <w:r w:rsidRPr="00C82D09">
        <w:rPr>
          <w:rFonts w:ascii="Calibri" w:hAnsi="Calibri" w:cs="Times New Roman"/>
          <w:noProof/>
          <w:szCs w:val="24"/>
        </w:rPr>
        <w:tab/>
        <w:t>Meyerhardt JA, Mangu PB, Flynn PJ, et al (2013) Follow-up care, surveillance protocol, and secondary prevention measures for survivors of colorectal cancer: American society of clinical oncology clinical practice guideline endorsement. J Clin Oncol 31:4465–4470 . doi: 10.1200/JCO.2013.50.7442</w:t>
      </w:r>
    </w:p>
    <w:p w14:paraId="492DC84C"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23. </w:t>
      </w:r>
      <w:r w:rsidRPr="00C82D09">
        <w:rPr>
          <w:rFonts w:ascii="Calibri" w:hAnsi="Calibri" w:cs="Times New Roman"/>
          <w:noProof/>
          <w:szCs w:val="24"/>
        </w:rPr>
        <w:tab/>
        <w:t>Weiser MR, Landmann RG, Kattan MW, et al (2008) Individualized prediction of colon cancer recurrence using a nomogram. J Clin Oncol 26:380–385 . doi: 10.1200/JCO.2007.14.1291</w:t>
      </w:r>
    </w:p>
    <w:p w14:paraId="7C69EE96"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24. </w:t>
      </w:r>
      <w:r w:rsidRPr="00C82D09">
        <w:rPr>
          <w:rFonts w:ascii="Calibri" w:hAnsi="Calibri" w:cs="Times New Roman"/>
          <w:noProof/>
          <w:szCs w:val="24"/>
        </w:rPr>
        <w:tab/>
        <w:t>Huh JW, Lee JH, Kim HR, Kim YJ (2013) Prognostic significance of lymphovascular or perineural invasion in patients with locally advanced colorectal cancer. Am J Surg 206:758–763 . doi: 10.1016/j.amjsurg.2013.02.010</w:t>
      </w:r>
    </w:p>
    <w:p w14:paraId="06F2EEAD"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25. </w:t>
      </w:r>
      <w:r w:rsidRPr="00C82D09">
        <w:rPr>
          <w:rFonts w:ascii="Calibri" w:hAnsi="Calibri" w:cs="Times New Roman"/>
          <w:noProof/>
          <w:szCs w:val="24"/>
        </w:rPr>
        <w:tab/>
        <w:t>Lanza G, Gafà R, Maestri I, et al (2002) Immunohistochemical pattern of MLH1/MSH2 expression is related to clinical and pathological features in colorectal adenocarcinomas with microsatellite instability. Mod Pathol 15:741–9 . doi: 10.1097/01.MP.0000018979.68686.B2</w:t>
      </w:r>
    </w:p>
    <w:p w14:paraId="30BB11D4"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26. </w:t>
      </w:r>
      <w:r w:rsidRPr="00C82D09">
        <w:rPr>
          <w:rFonts w:ascii="Calibri" w:hAnsi="Calibri" w:cs="Times New Roman"/>
          <w:noProof/>
          <w:szCs w:val="24"/>
        </w:rPr>
        <w:tab/>
        <w:t>Belt EJT, Stockmann HBAC, Abis GSA, et al (2012) Peri-Operative Bowel Perforation in Early Stage Colon Cancer is Associated with an Adverse Oncological Outcome. J Gastrointest Surg 16:2260–2266 . doi: 10.1007/s11605-012-2053-9</w:t>
      </w:r>
    </w:p>
    <w:p w14:paraId="13A7C796"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27. </w:t>
      </w:r>
      <w:r w:rsidRPr="00C82D09">
        <w:rPr>
          <w:rFonts w:ascii="Calibri" w:hAnsi="Calibri" w:cs="Times New Roman"/>
          <w:noProof/>
          <w:szCs w:val="24"/>
        </w:rPr>
        <w:tab/>
        <w:t>Krarup P-M, Nordholm-Carstensen A, Jorgensen LN, Harling H (2014) Anastomotic Leak Increases Distant Recurrence and Long-Term Mortality After Curative Resection for Colonic Cancer. Ann Surg 259:930–938 . doi: 10.1097/SLA.0b013e3182a6f2fc</w:t>
      </w:r>
    </w:p>
    <w:p w14:paraId="26A0899B"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28. </w:t>
      </w:r>
      <w:r w:rsidRPr="00C82D09">
        <w:rPr>
          <w:rFonts w:ascii="Calibri" w:hAnsi="Calibri" w:cs="Times New Roman"/>
          <w:noProof/>
          <w:szCs w:val="24"/>
        </w:rPr>
        <w:tab/>
        <w:t>Vargas GM, Sheffield KM, Parmar AD, et al (2013) Physician follow-up and observation of guidelines in the post treatment surveillance of colorectal cancer. Surg (United States) 154:244–255 . doi: 10.1016/j.surg.2013.04.013</w:t>
      </w:r>
    </w:p>
    <w:p w14:paraId="77CBB70D"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29. </w:t>
      </w:r>
      <w:r w:rsidRPr="00C82D09">
        <w:rPr>
          <w:rFonts w:ascii="Calibri" w:hAnsi="Calibri" w:cs="Times New Roman"/>
          <w:noProof/>
          <w:szCs w:val="24"/>
        </w:rPr>
        <w:tab/>
        <w:t xml:space="preserve">van der Stok EP, Spaander MCW, Grunhagen DJ, et al (2016) Surveillance after curative treatment </w:t>
      </w:r>
      <w:r w:rsidRPr="00C82D09">
        <w:rPr>
          <w:rFonts w:ascii="Calibri" w:hAnsi="Calibri" w:cs="Times New Roman"/>
          <w:noProof/>
          <w:szCs w:val="24"/>
        </w:rPr>
        <w:lastRenderedPageBreak/>
        <w:t>for colorectal cancer. Nat Rev Clin Oncol. doi: 10.1038/nrclinonc.2016.199</w:t>
      </w:r>
    </w:p>
    <w:p w14:paraId="5D3A7351"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30. </w:t>
      </w:r>
      <w:r w:rsidRPr="00C82D09">
        <w:rPr>
          <w:rFonts w:ascii="Calibri" w:hAnsi="Calibri" w:cs="Times New Roman"/>
          <w:noProof/>
          <w:szCs w:val="24"/>
        </w:rPr>
        <w:tab/>
        <w:t>Gilardoni E, Bernasconi DP, Poli S, et al (2015) Surveillance for early stages of colon cancer: potentials for optimizing follow-up protocols. World J Surg Oncol 13:260 . doi: 10.1186/s12957-015-0674-7</w:t>
      </w:r>
    </w:p>
    <w:p w14:paraId="2666E589"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31. </w:t>
      </w:r>
      <w:r w:rsidRPr="00C82D09">
        <w:rPr>
          <w:rFonts w:ascii="Calibri" w:hAnsi="Calibri" w:cs="Times New Roman"/>
          <w:noProof/>
          <w:szCs w:val="24"/>
        </w:rPr>
        <w:tab/>
        <w:t>Rose J, Augestad KM, Kong CY, et al (2014) A simulation model of colorectal cancer surveillance and recurrence. BMC Med Inform Decis Mak 14:29 . doi: 10.1186/1472-6947-14-29</w:t>
      </w:r>
    </w:p>
    <w:p w14:paraId="54807CF4"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32. </w:t>
      </w:r>
      <w:r w:rsidRPr="00C82D09">
        <w:rPr>
          <w:rFonts w:ascii="Calibri" w:hAnsi="Calibri" w:cs="Times New Roman"/>
          <w:noProof/>
          <w:szCs w:val="24"/>
        </w:rPr>
        <w:tab/>
        <w:t>Uhry Z, Hedelin G, Colonna M, et al (2010) Multi-state Markov models in cancer screening evaluation: a brief review and case study. Stat Methods Med Res 19:463–486</w:t>
      </w:r>
    </w:p>
    <w:p w14:paraId="604681B8"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33. </w:t>
      </w:r>
      <w:r w:rsidRPr="00C82D09">
        <w:rPr>
          <w:rFonts w:ascii="Calibri" w:hAnsi="Calibri" w:cs="Times New Roman"/>
          <w:noProof/>
          <w:szCs w:val="24"/>
        </w:rPr>
        <w:tab/>
        <w:t>Jackson CH, Sharples LD, Thompson SG, Duffy SW (2003) Multistate Markov models for disease progression with classification error. Stat 52:193–209</w:t>
      </w:r>
    </w:p>
    <w:p w14:paraId="0BEB4AF6"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34. </w:t>
      </w:r>
      <w:r w:rsidRPr="00C82D09">
        <w:rPr>
          <w:rFonts w:ascii="Calibri" w:hAnsi="Calibri" w:cs="Times New Roman"/>
          <w:noProof/>
          <w:szCs w:val="24"/>
        </w:rPr>
        <w:tab/>
        <w:t>Chen H, Duffy S, Tabar L (1996) A Markov chain method to estimate the tumor progression rate from preclinical to clinical phase, sensitivity and postiive predictive value for mammography in breast cancer screening. Stat 45:307–317</w:t>
      </w:r>
    </w:p>
    <w:p w14:paraId="5CA76E0C"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35. </w:t>
      </w:r>
      <w:r w:rsidRPr="00C82D09">
        <w:rPr>
          <w:rFonts w:ascii="Calibri" w:hAnsi="Calibri" w:cs="Times New Roman"/>
          <w:noProof/>
          <w:szCs w:val="24"/>
        </w:rPr>
        <w:tab/>
        <w:t>Putter H, van der Hage J, de Bock GH, et al (2006) Estimation and Prediction in a Multi-State Model for Breast Cancer. Biometrical J 48:366–380</w:t>
      </w:r>
    </w:p>
    <w:p w14:paraId="1E35A26B"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36. </w:t>
      </w:r>
      <w:r w:rsidRPr="00C82D09">
        <w:rPr>
          <w:rFonts w:ascii="Calibri" w:hAnsi="Calibri" w:cs="Times New Roman"/>
          <w:noProof/>
          <w:szCs w:val="24"/>
        </w:rPr>
        <w:tab/>
        <w:t>Dancourt V, Quantin C, Abrahamowicz M, et al (2004) Modeling recurrence in colorectal cancer. J Clin Epidemiol 57:243–251</w:t>
      </w:r>
    </w:p>
    <w:p w14:paraId="0AA4B778"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37. </w:t>
      </w:r>
      <w:r w:rsidRPr="00C82D09">
        <w:rPr>
          <w:rFonts w:ascii="Calibri" w:hAnsi="Calibri" w:cs="Times New Roman"/>
          <w:noProof/>
          <w:szCs w:val="24"/>
        </w:rPr>
        <w:tab/>
        <w:t>Clinical T, Therapy S, Group S (2004) A Comparison of Laparoscopically Assisted and Open Colectomy for Colon Cancer. N Engl J Med 350:2050–2059 . doi: 10.1056/NEJMoa032651</w:t>
      </w:r>
    </w:p>
    <w:p w14:paraId="6C1F2CD7"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38. </w:t>
      </w:r>
      <w:r w:rsidRPr="00C82D09">
        <w:rPr>
          <w:rFonts w:ascii="Calibri" w:hAnsi="Calibri" w:cs="Times New Roman"/>
          <w:noProof/>
          <w:szCs w:val="24"/>
        </w:rPr>
        <w:tab/>
        <w:t>O’Connell MJ, Campbell ME, Goldberg RM, et al (2008) Survival following recurrence in stage II and III colon cancer: findings from the ACCENT data set. J Clin Oncol 26:2336–2341 . doi: 10.1200/JCO.2007.15.8261</w:t>
      </w:r>
    </w:p>
    <w:p w14:paraId="0308216E"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39. </w:t>
      </w:r>
      <w:r w:rsidRPr="00C82D09">
        <w:rPr>
          <w:rFonts w:ascii="Calibri" w:hAnsi="Calibri" w:cs="Times New Roman"/>
          <w:noProof/>
          <w:szCs w:val="24"/>
        </w:rPr>
        <w:tab/>
        <w:t>Hughes KS, Rosenstein RB, Songhorabodi S, et al (1988) Resection of the liver for colorectal carcinoma metastases. A multi-institutional study of long-term survivors. Dis Colon Rectum 31:1–4 . doi: 10.1007/BF02552560</w:t>
      </w:r>
    </w:p>
    <w:p w14:paraId="69F72D09"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40. </w:t>
      </w:r>
      <w:r w:rsidRPr="00C82D09">
        <w:rPr>
          <w:rFonts w:ascii="Calibri" w:hAnsi="Calibri" w:cs="Times New Roman"/>
          <w:noProof/>
          <w:szCs w:val="24"/>
        </w:rPr>
        <w:tab/>
        <w:t>Olak J, Wexler MJ, Rodriguez J, McLean AP (1986) Hepatic resection for metastatic disease. Can J Surg 29:435–439</w:t>
      </w:r>
    </w:p>
    <w:p w14:paraId="4A879554"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41. </w:t>
      </w:r>
      <w:r w:rsidRPr="00C82D09">
        <w:rPr>
          <w:rFonts w:ascii="Calibri" w:hAnsi="Calibri" w:cs="Times New Roman"/>
          <w:noProof/>
          <w:szCs w:val="24"/>
        </w:rPr>
        <w:tab/>
        <w:t>Petrelli NJ, Nambisan RN, Herrera L, Mittelman A (1985) Hepatic resection for isolated metastasis from colorectal carcinoma. Am J Surg 149:205–209 . doi: 10.1016/S0002-9610(85)80065-9</w:t>
      </w:r>
    </w:p>
    <w:p w14:paraId="4E7886F0"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42. </w:t>
      </w:r>
      <w:r w:rsidRPr="00C82D09">
        <w:rPr>
          <w:rFonts w:ascii="Calibri" w:hAnsi="Calibri" w:cs="Times New Roman"/>
          <w:noProof/>
          <w:szCs w:val="24"/>
        </w:rPr>
        <w:tab/>
        <w:t>Surveillance, Epidemiology  and ER (SEER) P (2017) SEER 18 Regs Research Data + Hurricane Katrina Impacted Louisiana Cases, Nov 2016 Sub (1973-2014 varying) - Linked To County Attributes - Total U.S., 1969-2015 Counties, National Cancer Institute, DCCPS</w:t>
      </w:r>
    </w:p>
    <w:p w14:paraId="00DD93B6"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43. </w:t>
      </w:r>
      <w:r w:rsidRPr="00C82D09">
        <w:rPr>
          <w:rFonts w:ascii="Calibri" w:hAnsi="Calibri" w:cs="Times New Roman"/>
          <w:noProof/>
          <w:szCs w:val="24"/>
        </w:rPr>
        <w:tab/>
        <w:t>American Joint Committee on Cancer (2010) AJCC Cancer Staging Handbook</w:t>
      </w:r>
    </w:p>
    <w:p w14:paraId="4F785D85"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44. </w:t>
      </w:r>
      <w:r w:rsidRPr="00C82D09">
        <w:rPr>
          <w:rFonts w:ascii="Calibri" w:hAnsi="Calibri" w:cs="Times New Roman"/>
          <w:noProof/>
          <w:szCs w:val="24"/>
        </w:rPr>
        <w:tab/>
        <w:t>Lawless JF, Fredette M (2005) Frequentist prediction intervals and predictive distributions. Biometrika 92:529–542 . doi: 10.1093/biomet/92.3.529</w:t>
      </w:r>
    </w:p>
    <w:p w14:paraId="57A89E31"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45. </w:t>
      </w:r>
      <w:r w:rsidRPr="00C82D09">
        <w:rPr>
          <w:rFonts w:ascii="Calibri" w:hAnsi="Calibri" w:cs="Times New Roman"/>
          <w:noProof/>
          <w:szCs w:val="24"/>
        </w:rPr>
        <w:tab/>
        <w:t>Steyerberg EW, Vickers AJ, Cook NR, et al (2010) Assessing the performance of prediction models : A framework for some traditional and novel measures. Epidemiology 21:128–138 . doi: 10.1097/EDE.0b013e3181c30fb2.Assessing</w:t>
      </w:r>
    </w:p>
    <w:p w14:paraId="7AC9B229"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lastRenderedPageBreak/>
        <w:t xml:space="preserve">46. </w:t>
      </w:r>
      <w:r w:rsidRPr="00C82D09">
        <w:rPr>
          <w:rFonts w:ascii="Calibri" w:hAnsi="Calibri" w:cs="Times New Roman"/>
          <w:noProof/>
          <w:szCs w:val="24"/>
        </w:rPr>
        <w:tab/>
        <w:t>Miller ME, Langefeld CD, Tierney WM, et al (1993) Validation of probabilistic predictions. Med Decis Making 13:49–58 . doi: 10.1177/0272989X9301300107</w:t>
      </w:r>
    </w:p>
    <w:p w14:paraId="26C4D278" w14:textId="68E382ED"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47. </w:t>
      </w:r>
      <w:r w:rsidRPr="00C82D09">
        <w:rPr>
          <w:rFonts w:ascii="Calibri" w:hAnsi="Calibri" w:cs="Times New Roman"/>
          <w:noProof/>
          <w:szCs w:val="24"/>
        </w:rPr>
        <w:tab/>
      </w:r>
      <w:r w:rsidR="006B6935">
        <w:rPr>
          <w:rFonts w:ascii="Calibri" w:hAnsi="Calibri" w:cs="Times New Roman"/>
          <w:noProof/>
          <w:szCs w:val="24"/>
        </w:rPr>
        <w:t>Clinical Outcomes of Surgical Therapy Trial Group</w:t>
      </w:r>
      <w:r w:rsidRPr="00C82D09">
        <w:rPr>
          <w:rFonts w:ascii="Calibri" w:hAnsi="Calibri" w:cs="Times New Roman"/>
          <w:noProof/>
          <w:szCs w:val="24"/>
        </w:rPr>
        <w:t xml:space="preserve"> (2004) A comparison of laparoscopically assisted and open colectomy for colon cancer. N Engl J Med 350:2050–2059 . doi: 10.1007/s11725-012-0360-7</w:t>
      </w:r>
    </w:p>
    <w:p w14:paraId="67CB1DEF"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48. </w:t>
      </w:r>
      <w:r w:rsidRPr="00C82D09">
        <w:rPr>
          <w:rFonts w:ascii="Calibri" w:hAnsi="Calibri" w:cs="Times New Roman"/>
          <w:noProof/>
          <w:szCs w:val="24"/>
        </w:rPr>
        <w:tab/>
        <w:t>Mallett S, Royston P, Waters R, et al (2010) Reporting performance of prognostic models in cancer: a review. BMC Med 8:21 . doi: 1741-7015-8-21 [pii] 10.1186/1741-7015-8-21</w:t>
      </w:r>
    </w:p>
    <w:p w14:paraId="76483994"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49. </w:t>
      </w:r>
      <w:r w:rsidRPr="00C82D09">
        <w:rPr>
          <w:rFonts w:ascii="Calibri" w:hAnsi="Calibri" w:cs="Times New Roman"/>
          <w:noProof/>
          <w:szCs w:val="24"/>
        </w:rPr>
        <w:tab/>
        <w:t>Surveillance, Epidemiology  and ERD (2017) Cancer Stat Facts: Colorectal Cancer. https://seer.cancer.gov/statfacts/html/colorect.html. Accessed 17 Mar 2018</w:t>
      </w:r>
    </w:p>
    <w:p w14:paraId="4BD5E836"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50. </w:t>
      </w:r>
      <w:r w:rsidRPr="00C82D09">
        <w:rPr>
          <w:rFonts w:ascii="Calibri" w:hAnsi="Calibri" w:cs="Times New Roman"/>
          <w:noProof/>
          <w:szCs w:val="24"/>
        </w:rPr>
        <w:tab/>
        <w:t>Altman DG, Vergouwe Y, Royston P, Moons KGM (2009) Prognosis and prognostic research: validating a prognostic model. BMJ 338:b605 . doi: 10.1136/bmj.b605</w:t>
      </w:r>
    </w:p>
    <w:p w14:paraId="683A4CC9"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51. </w:t>
      </w:r>
      <w:r w:rsidRPr="00C82D09">
        <w:rPr>
          <w:rFonts w:ascii="Calibri" w:hAnsi="Calibri" w:cs="Times New Roman"/>
          <w:noProof/>
          <w:szCs w:val="24"/>
        </w:rPr>
        <w:tab/>
        <w:t>Gazelle GS, Hunink MG, Kuntz KM, et al (2003) Cost-effectiveness of hepatic metastasectomy in patients with metastatic colorectal carcinoma: a state-transition Monte Carlo decision analysis. Ann Surg 237:544–555 . doi: 10.1097/01.SLA.0000059989.55280.33</w:t>
      </w:r>
    </w:p>
    <w:p w14:paraId="1FA0ADD0"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52. </w:t>
      </w:r>
      <w:r w:rsidRPr="00C82D09">
        <w:rPr>
          <w:rFonts w:ascii="Calibri" w:hAnsi="Calibri" w:cs="Times New Roman"/>
          <w:noProof/>
          <w:szCs w:val="24"/>
        </w:rPr>
        <w:tab/>
        <w:t>Borie F, Combescure C, Daures JP, et al (2004) Cost-effectiveness of two follow-up strategies for curative resection of colorectal cancer: comparative study using a Markov model. World J Surg 28:563–569 . doi: 10.1007/s00268-004-7256-0</w:t>
      </w:r>
    </w:p>
    <w:p w14:paraId="7238C287"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53. </w:t>
      </w:r>
      <w:r w:rsidRPr="00C82D09">
        <w:rPr>
          <w:rFonts w:ascii="Calibri" w:hAnsi="Calibri" w:cs="Times New Roman"/>
          <w:noProof/>
          <w:szCs w:val="24"/>
        </w:rPr>
        <w:tab/>
        <w:t>Erenay FS, Alagoz O, Banerjee R, et al (2016) Cost-effectiveness of alternative colonoscopy surveillance strategies to mitigate metachronous colorectal cancer incidence. Cancer 122:2560–2570 . doi: 10.1002/cncr.30091</w:t>
      </w:r>
    </w:p>
    <w:p w14:paraId="068B9734"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54. </w:t>
      </w:r>
      <w:r w:rsidRPr="00C82D09">
        <w:rPr>
          <w:rFonts w:ascii="Calibri" w:hAnsi="Calibri" w:cs="Times New Roman"/>
          <w:noProof/>
          <w:szCs w:val="24"/>
        </w:rPr>
        <w:tab/>
        <w:t>Renehan AG, O’Dwyer ST, Whynes DK (2004) Cost effectiveness analysis of intensive versus conventional follow up after curative resection for colorectal cancer. BMJ 328:81 . doi: 10.1136/bmj.328.7431.81</w:t>
      </w:r>
    </w:p>
    <w:p w14:paraId="34345792"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55. </w:t>
      </w:r>
      <w:r w:rsidRPr="00C82D09">
        <w:rPr>
          <w:rFonts w:ascii="Calibri" w:hAnsi="Calibri" w:cs="Times New Roman"/>
          <w:noProof/>
          <w:szCs w:val="24"/>
        </w:rPr>
        <w:tab/>
        <w:t>Tan E, Gouvas N, Nicholls RJ, et al (2009) Diagnostic precision of carcinoembryonic antigen in the detection of recurrence of colorectal cancer. Surg Oncol 18:15–24 . doi: S0960-7404(08)00049-2 [pii]10.1016/j.suronc.2008.05.008</w:t>
      </w:r>
    </w:p>
    <w:p w14:paraId="57103FEC"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56. </w:t>
      </w:r>
      <w:r w:rsidRPr="00C82D09">
        <w:rPr>
          <w:rFonts w:ascii="Calibri" w:hAnsi="Calibri" w:cs="Times New Roman"/>
          <w:noProof/>
          <w:szCs w:val="24"/>
        </w:rPr>
        <w:tab/>
        <w:t>Valk PE, Abella-Columna E, Haseman MK, et al (1999) Whole-body PET imaging with [18F]fluorodeoxyglucose in management of recurrent colorectal cancer. Arch Surg 134:503</w:t>
      </w:r>
    </w:p>
    <w:p w14:paraId="2571304E"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57. </w:t>
      </w:r>
      <w:r w:rsidRPr="00C82D09">
        <w:rPr>
          <w:rFonts w:ascii="Calibri" w:hAnsi="Calibri" w:cs="Times New Roman"/>
          <w:noProof/>
          <w:szCs w:val="24"/>
        </w:rPr>
        <w:tab/>
        <w:t>Floriani I, Torri V, Rulli E, et al (2010) Performance of imaging modalities in diagnosis of liver metastases from colorectal cancer: A systematic review and meta-analysis. J Magn Reson Imaging 31:19–31 . doi: 10.1002/jmri.22010</w:t>
      </w:r>
    </w:p>
    <w:p w14:paraId="0256E593" w14:textId="7B22BB26"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58. </w:t>
      </w:r>
      <w:r w:rsidRPr="00C82D09">
        <w:rPr>
          <w:rFonts w:ascii="Calibri" w:hAnsi="Calibri" w:cs="Times New Roman"/>
          <w:noProof/>
          <w:szCs w:val="24"/>
        </w:rPr>
        <w:tab/>
        <w:t>Young PE, Womeldorph CM, Johnson EK, et al (2014) Early detection of colorectal cancer recurrence in patients undergoing surgery with curative intent: Current status and challenges. J Cancer 5:262–271. doi: 10.7150/jca.7988</w:t>
      </w:r>
    </w:p>
    <w:p w14:paraId="5AB1E595"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59. </w:t>
      </w:r>
      <w:r w:rsidRPr="00C82D09">
        <w:rPr>
          <w:rFonts w:ascii="Calibri" w:hAnsi="Calibri" w:cs="Times New Roman"/>
          <w:noProof/>
          <w:szCs w:val="24"/>
        </w:rPr>
        <w:tab/>
        <w:t>Horton K, Ross A, Fishman E (2000) Spiral CT of Colon Cancer: Imaging Features and Role in Management. In: Radiographics. http://pubs.rsna.org/doi/pdf/10.1148/radiographics.20.2.g00mc14419. Accessed 10 Jan 2016</w:t>
      </w:r>
    </w:p>
    <w:p w14:paraId="75C17346"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60. </w:t>
      </w:r>
      <w:r w:rsidRPr="00C82D09">
        <w:rPr>
          <w:rFonts w:ascii="Calibri" w:hAnsi="Calibri" w:cs="Times New Roman"/>
          <w:noProof/>
          <w:szCs w:val="24"/>
        </w:rPr>
        <w:tab/>
        <w:t>Frazier AL, Colditz GA, Fuchs CS, Kuntz KM (2000) Cost-effectiveness of screening for colorectal cancer in the general population. JAMA 284:1954–1961 . doi: 10.1001/jama.284.15.1954</w:t>
      </w:r>
    </w:p>
    <w:p w14:paraId="32D1CB4F" w14:textId="4D78F2AA" w:rsidR="008B6ABD"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lastRenderedPageBreak/>
        <w:t xml:space="preserve">61. </w:t>
      </w:r>
      <w:r w:rsidRPr="00C82D09">
        <w:rPr>
          <w:rFonts w:ascii="Calibri" w:hAnsi="Calibri" w:cs="Times New Roman"/>
          <w:noProof/>
          <w:szCs w:val="24"/>
        </w:rPr>
        <w:tab/>
      </w:r>
      <w:r w:rsidR="008B6ABD" w:rsidRPr="008B6ABD">
        <w:rPr>
          <w:rFonts w:ascii="Calibri" w:hAnsi="Calibri" w:cs="Times New Roman"/>
          <w:noProof/>
          <w:szCs w:val="24"/>
        </w:rPr>
        <w:t xml:space="preserve">Van Rijn, J. C., Reitsma, J. B., Stoker, J., Bossuyt, P. M., Van Deventer, S. J., &amp; Dekker, E. (2006) Polyp miss rate determined by tandem colonoscopy: A systematic review. American Journal of Gastroenterology. </w:t>
      </w:r>
      <w:r w:rsidR="00A93587" w:rsidRPr="00A93587">
        <w:rPr>
          <w:rFonts w:ascii="Calibri" w:hAnsi="Calibri" w:cs="Times New Roman"/>
          <w:noProof/>
          <w:szCs w:val="24"/>
        </w:rPr>
        <w:t>101(2):343-50</w:t>
      </w:r>
      <w:r w:rsidR="00A93587">
        <w:rPr>
          <w:rFonts w:ascii="Calibri" w:hAnsi="Calibri" w:cs="Times New Roman"/>
          <w:noProof/>
          <w:szCs w:val="24"/>
        </w:rPr>
        <w:t xml:space="preserve">..  </w:t>
      </w:r>
      <w:r w:rsidR="008B6ABD" w:rsidRPr="008B6ABD">
        <w:rPr>
          <w:rFonts w:ascii="Calibri" w:hAnsi="Calibri" w:cs="Times New Roman"/>
          <w:noProof/>
          <w:szCs w:val="24"/>
        </w:rPr>
        <w:t>https://doi.org/10.1111/j.1572-0241.2006.00390.x</w:t>
      </w:r>
      <w:r w:rsidR="008B6ABD" w:rsidRPr="008B6ABD" w:rsidDel="008B6ABD">
        <w:rPr>
          <w:rFonts w:ascii="Calibri" w:hAnsi="Calibri" w:cs="Times New Roman"/>
          <w:noProof/>
          <w:szCs w:val="24"/>
        </w:rPr>
        <w:t xml:space="preserve"> </w:t>
      </w:r>
    </w:p>
    <w:p w14:paraId="00C9C643"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62. </w:t>
      </w:r>
      <w:r w:rsidRPr="00C82D09">
        <w:rPr>
          <w:rFonts w:ascii="Calibri" w:hAnsi="Calibri" w:cs="Times New Roman"/>
          <w:noProof/>
          <w:szCs w:val="24"/>
        </w:rPr>
        <w:tab/>
        <w:t>Potter KC, Husband JE, Houghton SL, et al (2009) Diagnostic accuracy of serial ct/magnetic resonance imaging review vs. positron emission tomography/ct in colorectal cancer patients with suspected and known recurrence. Dis Colon Rectum 52:253–259 . doi: 10.1007/DCR.0b013e31819d11e6</w:t>
      </w:r>
    </w:p>
    <w:p w14:paraId="57C7B9D3"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63. </w:t>
      </w:r>
      <w:r w:rsidRPr="00C82D09">
        <w:rPr>
          <w:rFonts w:ascii="Calibri" w:hAnsi="Calibri" w:cs="Times New Roman"/>
          <w:noProof/>
          <w:szCs w:val="24"/>
        </w:rPr>
        <w:tab/>
        <w:t>Bhattacharya RN, Waymire EC (2009) Stochastic Processes with Applications. SIAM, Philadephia</w:t>
      </w:r>
    </w:p>
    <w:p w14:paraId="2430CA6B"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64. </w:t>
      </w:r>
      <w:r w:rsidRPr="00C82D09">
        <w:rPr>
          <w:rFonts w:ascii="Calibri" w:hAnsi="Calibri" w:cs="Times New Roman"/>
          <w:noProof/>
          <w:szCs w:val="24"/>
        </w:rPr>
        <w:tab/>
        <w:t>Perez-Ocon R, Ruiz-Castro JE, Gamiz-Perez ML (2001) Non-homogeneous Markov models in the analysis of survival after breast cancer. Appl Stat 50:111–124</w:t>
      </w:r>
    </w:p>
    <w:p w14:paraId="7ED225FC"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65. </w:t>
      </w:r>
      <w:r w:rsidRPr="00C82D09">
        <w:rPr>
          <w:rFonts w:ascii="Calibri" w:hAnsi="Calibri" w:cs="Times New Roman"/>
          <w:noProof/>
          <w:szCs w:val="24"/>
        </w:rPr>
        <w:tab/>
        <w:t>Castelli C, Combescure C, Foucher Y, Daures J-P (2007) Cost-effectiveness analysis in colorectal cancer using a semi-Markov model. Stat Med 26:5557–5571</w:t>
      </w:r>
    </w:p>
    <w:p w14:paraId="5F0840D0" w14:textId="77777777" w:rsidR="00C82D09" w:rsidRPr="00C82D09" w:rsidRDefault="00C82D09" w:rsidP="00C82D09">
      <w:pPr>
        <w:widowControl w:val="0"/>
        <w:autoSpaceDE w:val="0"/>
        <w:autoSpaceDN w:val="0"/>
        <w:adjustRightInd w:val="0"/>
        <w:spacing w:line="240" w:lineRule="auto"/>
        <w:ind w:left="640" w:hanging="640"/>
        <w:rPr>
          <w:rFonts w:ascii="Calibri" w:hAnsi="Calibri" w:cs="Times New Roman"/>
          <w:noProof/>
          <w:szCs w:val="24"/>
        </w:rPr>
      </w:pPr>
      <w:r w:rsidRPr="00C82D09">
        <w:rPr>
          <w:rFonts w:ascii="Calibri" w:hAnsi="Calibri" w:cs="Times New Roman"/>
          <w:noProof/>
          <w:szCs w:val="24"/>
        </w:rPr>
        <w:t xml:space="preserve">66. </w:t>
      </w:r>
      <w:r w:rsidRPr="00C82D09">
        <w:rPr>
          <w:rFonts w:ascii="Calibri" w:hAnsi="Calibri" w:cs="Times New Roman"/>
          <w:noProof/>
          <w:szCs w:val="24"/>
        </w:rPr>
        <w:tab/>
        <w:t>Jackson CH, Sharples LD (2002) Hidden Markov models for the onset and progression of bronchiolitis obliterans syndrome in lung transplant recipients. Stat Med 21:113–128</w:t>
      </w:r>
    </w:p>
    <w:p w14:paraId="5AAB4699" w14:textId="77777777" w:rsidR="00C82D09" w:rsidRPr="00C82D09" w:rsidRDefault="00C82D09" w:rsidP="00C82D09">
      <w:pPr>
        <w:widowControl w:val="0"/>
        <w:autoSpaceDE w:val="0"/>
        <w:autoSpaceDN w:val="0"/>
        <w:adjustRightInd w:val="0"/>
        <w:spacing w:line="240" w:lineRule="auto"/>
        <w:ind w:left="640" w:hanging="640"/>
        <w:rPr>
          <w:rFonts w:ascii="Calibri" w:hAnsi="Calibri"/>
          <w:noProof/>
        </w:rPr>
      </w:pPr>
      <w:r w:rsidRPr="00C82D09">
        <w:rPr>
          <w:rFonts w:ascii="Calibri" w:hAnsi="Calibri" w:cs="Times New Roman"/>
          <w:noProof/>
          <w:szCs w:val="24"/>
        </w:rPr>
        <w:t xml:space="preserve">67. </w:t>
      </w:r>
      <w:r w:rsidRPr="00C82D09">
        <w:rPr>
          <w:rFonts w:ascii="Calibri" w:hAnsi="Calibri" w:cs="Times New Roman"/>
          <w:noProof/>
          <w:szCs w:val="24"/>
        </w:rPr>
        <w:tab/>
        <w:t>Dennis J, Schnabel RB (1996) Numerical Methods for Unconstrained Optimization and Nonlinear Equations. SIAM, Philadephia</w:t>
      </w:r>
    </w:p>
    <w:p w14:paraId="1F1A9B29" w14:textId="6466ACA7" w:rsidR="00AB2B41" w:rsidRPr="00C93121" w:rsidRDefault="00F54672" w:rsidP="00EC6662">
      <w:pPr>
        <w:widowControl w:val="0"/>
        <w:autoSpaceDE w:val="0"/>
        <w:autoSpaceDN w:val="0"/>
        <w:adjustRightInd w:val="0"/>
        <w:spacing w:line="240" w:lineRule="auto"/>
        <w:ind w:left="640" w:hanging="640"/>
      </w:pPr>
      <w:r>
        <w:fldChar w:fldCharType="end"/>
      </w:r>
      <w:r w:rsidR="00914EFC">
        <w:tab/>
      </w:r>
    </w:p>
    <w:sectPr w:rsidR="00AB2B41" w:rsidRPr="00C93121">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1228F" w14:textId="77777777" w:rsidR="005E148A" w:rsidRDefault="005E148A" w:rsidP="008E56FD">
      <w:pPr>
        <w:spacing w:after="0" w:line="240" w:lineRule="auto"/>
      </w:pPr>
      <w:r>
        <w:separator/>
      </w:r>
    </w:p>
  </w:endnote>
  <w:endnote w:type="continuationSeparator" w:id="0">
    <w:p w14:paraId="4427AC05" w14:textId="77777777" w:rsidR="005E148A" w:rsidRDefault="005E148A" w:rsidP="008E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B539" w14:textId="77777777" w:rsidR="00415FFC" w:rsidRDefault="00415FFC" w:rsidP="0061572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445F6" w14:textId="77777777" w:rsidR="00415FFC" w:rsidRDefault="00415FFC" w:rsidP="00B038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01045" w14:textId="77777777" w:rsidR="00415FFC" w:rsidRDefault="00415FFC" w:rsidP="0061572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AE38BFA" w14:textId="77777777" w:rsidR="00415FFC" w:rsidRDefault="00415FFC" w:rsidP="00B038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8F7C6" w14:textId="77777777" w:rsidR="005E148A" w:rsidRDefault="005E148A" w:rsidP="008E56FD">
      <w:pPr>
        <w:spacing w:after="0" w:line="240" w:lineRule="auto"/>
      </w:pPr>
      <w:r>
        <w:separator/>
      </w:r>
    </w:p>
  </w:footnote>
  <w:footnote w:type="continuationSeparator" w:id="0">
    <w:p w14:paraId="0A778490" w14:textId="77777777" w:rsidR="005E148A" w:rsidRDefault="005E148A" w:rsidP="008E5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4A17"/>
    <w:multiLevelType w:val="hybridMultilevel"/>
    <w:tmpl w:val="C2061A5E"/>
    <w:lvl w:ilvl="0" w:tplc="F7CCDB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F1FFE"/>
    <w:multiLevelType w:val="hybridMultilevel"/>
    <w:tmpl w:val="DBA03206"/>
    <w:lvl w:ilvl="0" w:tplc="1DCA47F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7126F"/>
    <w:multiLevelType w:val="hybridMultilevel"/>
    <w:tmpl w:val="C1CC4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65FAB"/>
    <w:multiLevelType w:val="hybridMultilevel"/>
    <w:tmpl w:val="17768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F3495"/>
    <w:multiLevelType w:val="hybridMultilevel"/>
    <w:tmpl w:val="F6327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64FE1"/>
    <w:multiLevelType w:val="hybridMultilevel"/>
    <w:tmpl w:val="B4BE84E8"/>
    <w:lvl w:ilvl="0" w:tplc="109A3EC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56527"/>
    <w:multiLevelType w:val="hybridMultilevel"/>
    <w:tmpl w:val="418E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C5375"/>
    <w:multiLevelType w:val="hybridMultilevel"/>
    <w:tmpl w:val="6CBA90FC"/>
    <w:lvl w:ilvl="0" w:tplc="C44ADF5C">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12CDC"/>
    <w:multiLevelType w:val="hybridMultilevel"/>
    <w:tmpl w:val="6E16CF6C"/>
    <w:lvl w:ilvl="0" w:tplc="E2C8A3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75B64"/>
    <w:multiLevelType w:val="hybridMultilevel"/>
    <w:tmpl w:val="530EA248"/>
    <w:lvl w:ilvl="0" w:tplc="D4D8EC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4275E"/>
    <w:multiLevelType w:val="hybridMultilevel"/>
    <w:tmpl w:val="86060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9501C"/>
    <w:multiLevelType w:val="hybridMultilevel"/>
    <w:tmpl w:val="05EEE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A4575"/>
    <w:multiLevelType w:val="hybridMultilevel"/>
    <w:tmpl w:val="39365138"/>
    <w:lvl w:ilvl="0" w:tplc="FC527A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46DAD"/>
    <w:multiLevelType w:val="hybridMultilevel"/>
    <w:tmpl w:val="5678BE8A"/>
    <w:lvl w:ilvl="0" w:tplc="85C2EF2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E20517"/>
    <w:multiLevelType w:val="hybridMultilevel"/>
    <w:tmpl w:val="095C6B72"/>
    <w:lvl w:ilvl="0" w:tplc="19BCA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A9180F"/>
    <w:multiLevelType w:val="hybridMultilevel"/>
    <w:tmpl w:val="7048DADC"/>
    <w:lvl w:ilvl="0" w:tplc="90F0DF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8"/>
  </w:num>
  <w:num w:numId="5">
    <w:abstractNumId w:val="4"/>
  </w:num>
  <w:num w:numId="6">
    <w:abstractNumId w:val="3"/>
  </w:num>
  <w:num w:numId="7">
    <w:abstractNumId w:val="12"/>
  </w:num>
  <w:num w:numId="8">
    <w:abstractNumId w:val="14"/>
  </w:num>
  <w:num w:numId="9">
    <w:abstractNumId w:val="2"/>
  </w:num>
  <w:num w:numId="10">
    <w:abstractNumId w:val="10"/>
  </w:num>
  <w:num w:numId="11">
    <w:abstractNumId w:val="15"/>
  </w:num>
  <w:num w:numId="12">
    <w:abstractNumId w:val="7"/>
  </w:num>
  <w:num w:numId="13">
    <w:abstractNumId w:val="1"/>
  </w:num>
  <w:num w:numId="14">
    <w:abstractNumId w:val="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E9"/>
    <w:rsid w:val="00000050"/>
    <w:rsid w:val="00000915"/>
    <w:rsid w:val="00002DD1"/>
    <w:rsid w:val="00003109"/>
    <w:rsid w:val="00005D5A"/>
    <w:rsid w:val="0000761A"/>
    <w:rsid w:val="00010139"/>
    <w:rsid w:val="0001085F"/>
    <w:rsid w:val="00011FD0"/>
    <w:rsid w:val="000126B8"/>
    <w:rsid w:val="00015676"/>
    <w:rsid w:val="0002149F"/>
    <w:rsid w:val="00026887"/>
    <w:rsid w:val="00030FBD"/>
    <w:rsid w:val="00031723"/>
    <w:rsid w:val="00032619"/>
    <w:rsid w:val="000329B9"/>
    <w:rsid w:val="00033028"/>
    <w:rsid w:val="00033A7E"/>
    <w:rsid w:val="00034723"/>
    <w:rsid w:val="0003557B"/>
    <w:rsid w:val="00037510"/>
    <w:rsid w:val="000401CA"/>
    <w:rsid w:val="000407E8"/>
    <w:rsid w:val="00041729"/>
    <w:rsid w:val="00042F9B"/>
    <w:rsid w:val="00044A67"/>
    <w:rsid w:val="00044BA5"/>
    <w:rsid w:val="00044FFC"/>
    <w:rsid w:val="00045E31"/>
    <w:rsid w:val="00045F3C"/>
    <w:rsid w:val="00047F1C"/>
    <w:rsid w:val="00050422"/>
    <w:rsid w:val="000509F9"/>
    <w:rsid w:val="00050E64"/>
    <w:rsid w:val="00050F1A"/>
    <w:rsid w:val="00051D5B"/>
    <w:rsid w:val="000542D1"/>
    <w:rsid w:val="00054EC7"/>
    <w:rsid w:val="00054F9F"/>
    <w:rsid w:val="00055588"/>
    <w:rsid w:val="000562E3"/>
    <w:rsid w:val="000576C2"/>
    <w:rsid w:val="00057C4C"/>
    <w:rsid w:val="00060A7F"/>
    <w:rsid w:val="00060BAC"/>
    <w:rsid w:val="00060EE9"/>
    <w:rsid w:val="00062CC4"/>
    <w:rsid w:val="00063548"/>
    <w:rsid w:val="00064D50"/>
    <w:rsid w:val="000672BD"/>
    <w:rsid w:val="00067730"/>
    <w:rsid w:val="00070D1D"/>
    <w:rsid w:val="000711B9"/>
    <w:rsid w:val="00071229"/>
    <w:rsid w:val="000717AD"/>
    <w:rsid w:val="0007214B"/>
    <w:rsid w:val="00072212"/>
    <w:rsid w:val="00073DF5"/>
    <w:rsid w:val="00074645"/>
    <w:rsid w:val="00076603"/>
    <w:rsid w:val="0007680D"/>
    <w:rsid w:val="00076E75"/>
    <w:rsid w:val="000770E5"/>
    <w:rsid w:val="00080880"/>
    <w:rsid w:val="00080D15"/>
    <w:rsid w:val="00081781"/>
    <w:rsid w:val="00082E0B"/>
    <w:rsid w:val="00082F8E"/>
    <w:rsid w:val="000838E0"/>
    <w:rsid w:val="00084D2A"/>
    <w:rsid w:val="000865BC"/>
    <w:rsid w:val="0009003E"/>
    <w:rsid w:val="00090535"/>
    <w:rsid w:val="000929A9"/>
    <w:rsid w:val="00092BBD"/>
    <w:rsid w:val="00093DC8"/>
    <w:rsid w:val="00094916"/>
    <w:rsid w:val="00095059"/>
    <w:rsid w:val="000963FC"/>
    <w:rsid w:val="000977D7"/>
    <w:rsid w:val="000A0632"/>
    <w:rsid w:val="000A097A"/>
    <w:rsid w:val="000A1F64"/>
    <w:rsid w:val="000A2044"/>
    <w:rsid w:val="000A23EB"/>
    <w:rsid w:val="000A2F0D"/>
    <w:rsid w:val="000A315A"/>
    <w:rsid w:val="000A44CC"/>
    <w:rsid w:val="000A4743"/>
    <w:rsid w:val="000A6A71"/>
    <w:rsid w:val="000A6C27"/>
    <w:rsid w:val="000A74C9"/>
    <w:rsid w:val="000B011B"/>
    <w:rsid w:val="000B0424"/>
    <w:rsid w:val="000B2624"/>
    <w:rsid w:val="000B28AC"/>
    <w:rsid w:val="000B2AF4"/>
    <w:rsid w:val="000B3269"/>
    <w:rsid w:val="000B40D9"/>
    <w:rsid w:val="000B5AB8"/>
    <w:rsid w:val="000B6EA8"/>
    <w:rsid w:val="000B7539"/>
    <w:rsid w:val="000B75B3"/>
    <w:rsid w:val="000B7A3F"/>
    <w:rsid w:val="000C012B"/>
    <w:rsid w:val="000C086E"/>
    <w:rsid w:val="000C14C5"/>
    <w:rsid w:val="000C165B"/>
    <w:rsid w:val="000C1E51"/>
    <w:rsid w:val="000C4F39"/>
    <w:rsid w:val="000C628D"/>
    <w:rsid w:val="000C7DA0"/>
    <w:rsid w:val="000C7F4A"/>
    <w:rsid w:val="000D06FA"/>
    <w:rsid w:val="000D1793"/>
    <w:rsid w:val="000D182F"/>
    <w:rsid w:val="000D3FB1"/>
    <w:rsid w:val="000D462A"/>
    <w:rsid w:val="000D4ACA"/>
    <w:rsid w:val="000D4BD9"/>
    <w:rsid w:val="000D5051"/>
    <w:rsid w:val="000D5D99"/>
    <w:rsid w:val="000D60F2"/>
    <w:rsid w:val="000D706B"/>
    <w:rsid w:val="000D7669"/>
    <w:rsid w:val="000E05ED"/>
    <w:rsid w:val="000E0F52"/>
    <w:rsid w:val="000E14F4"/>
    <w:rsid w:val="000E2561"/>
    <w:rsid w:val="000E3BC7"/>
    <w:rsid w:val="000E48DC"/>
    <w:rsid w:val="000E5DA1"/>
    <w:rsid w:val="000E75B2"/>
    <w:rsid w:val="000F0047"/>
    <w:rsid w:val="000F13E0"/>
    <w:rsid w:val="000F24D1"/>
    <w:rsid w:val="000F28BA"/>
    <w:rsid w:val="000F2AE4"/>
    <w:rsid w:val="000F4E94"/>
    <w:rsid w:val="000F5E13"/>
    <w:rsid w:val="000F7ECF"/>
    <w:rsid w:val="001006FE"/>
    <w:rsid w:val="00100D83"/>
    <w:rsid w:val="001018C9"/>
    <w:rsid w:val="00103403"/>
    <w:rsid w:val="001036F5"/>
    <w:rsid w:val="00104353"/>
    <w:rsid w:val="00106073"/>
    <w:rsid w:val="0010631D"/>
    <w:rsid w:val="0010783C"/>
    <w:rsid w:val="00107E49"/>
    <w:rsid w:val="00110012"/>
    <w:rsid w:val="00110535"/>
    <w:rsid w:val="001106B2"/>
    <w:rsid w:val="00111076"/>
    <w:rsid w:val="001112E6"/>
    <w:rsid w:val="00112173"/>
    <w:rsid w:val="001123EC"/>
    <w:rsid w:val="001124CD"/>
    <w:rsid w:val="001134EC"/>
    <w:rsid w:val="001138B3"/>
    <w:rsid w:val="0011396F"/>
    <w:rsid w:val="001147E2"/>
    <w:rsid w:val="001165E3"/>
    <w:rsid w:val="00116899"/>
    <w:rsid w:val="001212AB"/>
    <w:rsid w:val="00121604"/>
    <w:rsid w:val="001230B5"/>
    <w:rsid w:val="00125579"/>
    <w:rsid w:val="00125F08"/>
    <w:rsid w:val="00126256"/>
    <w:rsid w:val="001266D6"/>
    <w:rsid w:val="001268AD"/>
    <w:rsid w:val="00130400"/>
    <w:rsid w:val="00130C08"/>
    <w:rsid w:val="001318D4"/>
    <w:rsid w:val="00131AC0"/>
    <w:rsid w:val="001328E7"/>
    <w:rsid w:val="00132A41"/>
    <w:rsid w:val="00132E14"/>
    <w:rsid w:val="00134803"/>
    <w:rsid w:val="00134B2E"/>
    <w:rsid w:val="00134BE4"/>
    <w:rsid w:val="00134E85"/>
    <w:rsid w:val="0013522A"/>
    <w:rsid w:val="0014266B"/>
    <w:rsid w:val="001429A2"/>
    <w:rsid w:val="00144BE6"/>
    <w:rsid w:val="00144EEC"/>
    <w:rsid w:val="0014635A"/>
    <w:rsid w:val="00147FE9"/>
    <w:rsid w:val="001508EC"/>
    <w:rsid w:val="00151060"/>
    <w:rsid w:val="00151D5B"/>
    <w:rsid w:val="00151FB9"/>
    <w:rsid w:val="00152BF2"/>
    <w:rsid w:val="00152F54"/>
    <w:rsid w:val="00155A3B"/>
    <w:rsid w:val="001561B6"/>
    <w:rsid w:val="00156619"/>
    <w:rsid w:val="001602B4"/>
    <w:rsid w:val="00160502"/>
    <w:rsid w:val="00163E35"/>
    <w:rsid w:val="00164873"/>
    <w:rsid w:val="00165F5F"/>
    <w:rsid w:val="0016735C"/>
    <w:rsid w:val="00167F59"/>
    <w:rsid w:val="001705E8"/>
    <w:rsid w:val="00170D5C"/>
    <w:rsid w:val="00172B92"/>
    <w:rsid w:val="00173C18"/>
    <w:rsid w:val="001756FC"/>
    <w:rsid w:val="0017579D"/>
    <w:rsid w:val="00176AB0"/>
    <w:rsid w:val="00176E07"/>
    <w:rsid w:val="00176E88"/>
    <w:rsid w:val="001773C7"/>
    <w:rsid w:val="00180663"/>
    <w:rsid w:val="0018086C"/>
    <w:rsid w:val="001809EA"/>
    <w:rsid w:val="00181369"/>
    <w:rsid w:val="001815BF"/>
    <w:rsid w:val="00182CF1"/>
    <w:rsid w:val="00182D90"/>
    <w:rsid w:val="001837E9"/>
    <w:rsid w:val="00184F05"/>
    <w:rsid w:val="00186D28"/>
    <w:rsid w:val="00186E62"/>
    <w:rsid w:val="00187EAB"/>
    <w:rsid w:val="00187F5D"/>
    <w:rsid w:val="0019088A"/>
    <w:rsid w:val="00192747"/>
    <w:rsid w:val="00193688"/>
    <w:rsid w:val="00196DEB"/>
    <w:rsid w:val="001A0A76"/>
    <w:rsid w:val="001A0B59"/>
    <w:rsid w:val="001A18DE"/>
    <w:rsid w:val="001A1A65"/>
    <w:rsid w:val="001A4C05"/>
    <w:rsid w:val="001A4F83"/>
    <w:rsid w:val="001A5A95"/>
    <w:rsid w:val="001A71F1"/>
    <w:rsid w:val="001A7CD6"/>
    <w:rsid w:val="001B0164"/>
    <w:rsid w:val="001B24CD"/>
    <w:rsid w:val="001B42AF"/>
    <w:rsid w:val="001B4548"/>
    <w:rsid w:val="001B4F32"/>
    <w:rsid w:val="001B4F5D"/>
    <w:rsid w:val="001B547D"/>
    <w:rsid w:val="001B558D"/>
    <w:rsid w:val="001B63F3"/>
    <w:rsid w:val="001B792F"/>
    <w:rsid w:val="001B7D0A"/>
    <w:rsid w:val="001B7E13"/>
    <w:rsid w:val="001C16FC"/>
    <w:rsid w:val="001C1EF5"/>
    <w:rsid w:val="001C2FDC"/>
    <w:rsid w:val="001C3ACD"/>
    <w:rsid w:val="001C4379"/>
    <w:rsid w:val="001C46A2"/>
    <w:rsid w:val="001C4A7E"/>
    <w:rsid w:val="001C6076"/>
    <w:rsid w:val="001C6537"/>
    <w:rsid w:val="001C6787"/>
    <w:rsid w:val="001C74E2"/>
    <w:rsid w:val="001D0AC1"/>
    <w:rsid w:val="001D2408"/>
    <w:rsid w:val="001D28F7"/>
    <w:rsid w:val="001D2C61"/>
    <w:rsid w:val="001D34F8"/>
    <w:rsid w:val="001D50E7"/>
    <w:rsid w:val="001D539D"/>
    <w:rsid w:val="001D5508"/>
    <w:rsid w:val="001D6407"/>
    <w:rsid w:val="001D6508"/>
    <w:rsid w:val="001D6C2F"/>
    <w:rsid w:val="001D7F95"/>
    <w:rsid w:val="001E26E9"/>
    <w:rsid w:val="001E465A"/>
    <w:rsid w:val="001E497E"/>
    <w:rsid w:val="001E5EB0"/>
    <w:rsid w:val="001E722D"/>
    <w:rsid w:val="001E74FB"/>
    <w:rsid w:val="001F0487"/>
    <w:rsid w:val="001F0886"/>
    <w:rsid w:val="001F13F7"/>
    <w:rsid w:val="001F21E6"/>
    <w:rsid w:val="001F2343"/>
    <w:rsid w:val="001F2ECE"/>
    <w:rsid w:val="001F309E"/>
    <w:rsid w:val="001F310A"/>
    <w:rsid w:val="001F3DDC"/>
    <w:rsid w:val="001F4457"/>
    <w:rsid w:val="001F504F"/>
    <w:rsid w:val="001F6F91"/>
    <w:rsid w:val="002001F3"/>
    <w:rsid w:val="002033A8"/>
    <w:rsid w:val="00204B24"/>
    <w:rsid w:val="00204C14"/>
    <w:rsid w:val="00205A8A"/>
    <w:rsid w:val="00206499"/>
    <w:rsid w:val="002065AD"/>
    <w:rsid w:val="0020792A"/>
    <w:rsid w:val="00211FC5"/>
    <w:rsid w:val="00212B96"/>
    <w:rsid w:val="002136E2"/>
    <w:rsid w:val="00213CEB"/>
    <w:rsid w:val="00214170"/>
    <w:rsid w:val="00214D50"/>
    <w:rsid w:val="00216822"/>
    <w:rsid w:val="00217280"/>
    <w:rsid w:val="00221ECA"/>
    <w:rsid w:val="00222955"/>
    <w:rsid w:val="002237B0"/>
    <w:rsid w:val="00224CD1"/>
    <w:rsid w:val="002254FC"/>
    <w:rsid w:val="002259EA"/>
    <w:rsid w:val="0022605B"/>
    <w:rsid w:val="00226416"/>
    <w:rsid w:val="002270EE"/>
    <w:rsid w:val="00230BA9"/>
    <w:rsid w:val="00233B96"/>
    <w:rsid w:val="00233C77"/>
    <w:rsid w:val="00233F63"/>
    <w:rsid w:val="00234591"/>
    <w:rsid w:val="00235CF8"/>
    <w:rsid w:val="002368FA"/>
    <w:rsid w:val="00236A90"/>
    <w:rsid w:val="00240638"/>
    <w:rsid w:val="00242A0B"/>
    <w:rsid w:val="0024363A"/>
    <w:rsid w:val="00244616"/>
    <w:rsid w:val="00244C12"/>
    <w:rsid w:val="002453F8"/>
    <w:rsid w:val="0024540C"/>
    <w:rsid w:val="00246CC2"/>
    <w:rsid w:val="00246E80"/>
    <w:rsid w:val="00247C8D"/>
    <w:rsid w:val="00247F7B"/>
    <w:rsid w:val="00250406"/>
    <w:rsid w:val="00251A4C"/>
    <w:rsid w:val="00252AA5"/>
    <w:rsid w:val="002531BB"/>
    <w:rsid w:val="002554FD"/>
    <w:rsid w:val="00255C41"/>
    <w:rsid w:val="002562E1"/>
    <w:rsid w:val="002565D0"/>
    <w:rsid w:val="0025685B"/>
    <w:rsid w:val="00256EBC"/>
    <w:rsid w:val="0025755B"/>
    <w:rsid w:val="002611DA"/>
    <w:rsid w:val="002612EC"/>
    <w:rsid w:val="002615D4"/>
    <w:rsid w:val="00261FDD"/>
    <w:rsid w:val="0026236C"/>
    <w:rsid w:val="0026260D"/>
    <w:rsid w:val="00262918"/>
    <w:rsid w:val="00263AA7"/>
    <w:rsid w:val="00263B33"/>
    <w:rsid w:val="00263DF8"/>
    <w:rsid w:val="00264A81"/>
    <w:rsid w:val="00264EE5"/>
    <w:rsid w:val="002651A2"/>
    <w:rsid w:val="00267642"/>
    <w:rsid w:val="00271ED6"/>
    <w:rsid w:val="0027281F"/>
    <w:rsid w:val="002736F7"/>
    <w:rsid w:val="00273C92"/>
    <w:rsid w:val="00274439"/>
    <w:rsid w:val="00274A5E"/>
    <w:rsid w:val="002752E4"/>
    <w:rsid w:val="00275CA4"/>
    <w:rsid w:val="00277737"/>
    <w:rsid w:val="00277B92"/>
    <w:rsid w:val="002819C2"/>
    <w:rsid w:val="002831DB"/>
    <w:rsid w:val="002837FB"/>
    <w:rsid w:val="00284698"/>
    <w:rsid w:val="002847F6"/>
    <w:rsid w:val="00285222"/>
    <w:rsid w:val="0028578C"/>
    <w:rsid w:val="00285D16"/>
    <w:rsid w:val="00285DED"/>
    <w:rsid w:val="00287195"/>
    <w:rsid w:val="0028724B"/>
    <w:rsid w:val="00287C24"/>
    <w:rsid w:val="00287E74"/>
    <w:rsid w:val="00290132"/>
    <w:rsid w:val="002921A6"/>
    <w:rsid w:val="00292A07"/>
    <w:rsid w:val="00293189"/>
    <w:rsid w:val="00293E89"/>
    <w:rsid w:val="00295231"/>
    <w:rsid w:val="00295953"/>
    <w:rsid w:val="00295F49"/>
    <w:rsid w:val="0029631F"/>
    <w:rsid w:val="00296593"/>
    <w:rsid w:val="00297295"/>
    <w:rsid w:val="0029779B"/>
    <w:rsid w:val="002A2DDD"/>
    <w:rsid w:val="002A2E34"/>
    <w:rsid w:val="002A441B"/>
    <w:rsid w:val="002A4752"/>
    <w:rsid w:val="002A5CE2"/>
    <w:rsid w:val="002B065F"/>
    <w:rsid w:val="002B070C"/>
    <w:rsid w:val="002B0879"/>
    <w:rsid w:val="002B14B5"/>
    <w:rsid w:val="002B3332"/>
    <w:rsid w:val="002B3C87"/>
    <w:rsid w:val="002B48A4"/>
    <w:rsid w:val="002B4C38"/>
    <w:rsid w:val="002B4DD0"/>
    <w:rsid w:val="002B4E33"/>
    <w:rsid w:val="002B7EE6"/>
    <w:rsid w:val="002C071A"/>
    <w:rsid w:val="002C0DF4"/>
    <w:rsid w:val="002C15B8"/>
    <w:rsid w:val="002C1E5C"/>
    <w:rsid w:val="002C1F83"/>
    <w:rsid w:val="002C22C2"/>
    <w:rsid w:val="002C3115"/>
    <w:rsid w:val="002C4BD7"/>
    <w:rsid w:val="002C74DB"/>
    <w:rsid w:val="002C77A5"/>
    <w:rsid w:val="002D007B"/>
    <w:rsid w:val="002D099C"/>
    <w:rsid w:val="002D335D"/>
    <w:rsid w:val="002D6256"/>
    <w:rsid w:val="002D70F4"/>
    <w:rsid w:val="002D79F9"/>
    <w:rsid w:val="002E1FC8"/>
    <w:rsid w:val="002E2B8F"/>
    <w:rsid w:val="002E2C64"/>
    <w:rsid w:val="002E2F88"/>
    <w:rsid w:val="002E3D9B"/>
    <w:rsid w:val="002E3E0D"/>
    <w:rsid w:val="002E406A"/>
    <w:rsid w:val="002E6167"/>
    <w:rsid w:val="002F1458"/>
    <w:rsid w:val="002F1D7C"/>
    <w:rsid w:val="002F22AE"/>
    <w:rsid w:val="002F2862"/>
    <w:rsid w:val="002F3EF9"/>
    <w:rsid w:val="002F4CFD"/>
    <w:rsid w:val="002F5A8B"/>
    <w:rsid w:val="002F5FE8"/>
    <w:rsid w:val="002F6BFD"/>
    <w:rsid w:val="003001EA"/>
    <w:rsid w:val="00300840"/>
    <w:rsid w:val="00301BC7"/>
    <w:rsid w:val="00303599"/>
    <w:rsid w:val="00303645"/>
    <w:rsid w:val="00304AD6"/>
    <w:rsid w:val="00305C28"/>
    <w:rsid w:val="00305E4B"/>
    <w:rsid w:val="003070CA"/>
    <w:rsid w:val="00307301"/>
    <w:rsid w:val="00307909"/>
    <w:rsid w:val="00312189"/>
    <w:rsid w:val="00312247"/>
    <w:rsid w:val="00314A57"/>
    <w:rsid w:val="00314F7B"/>
    <w:rsid w:val="00320282"/>
    <w:rsid w:val="00322224"/>
    <w:rsid w:val="00323C31"/>
    <w:rsid w:val="00323D17"/>
    <w:rsid w:val="0032424D"/>
    <w:rsid w:val="003258CC"/>
    <w:rsid w:val="00325DC0"/>
    <w:rsid w:val="00326869"/>
    <w:rsid w:val="00327AA6"/>
    <w:rsid w:val="00327DB8"/>
    <w:rsid w:val="00331A85"/>
    <w:rsid w:val="00331C3B"/>
    <w:rsid w:val="00332B17"/>
    <w:rsid w:val="00332B38"/>
    <w:rsid w:val="0033387B"/>
    <w:rsid w:val="00333A21"/>
    <w:rsid w:val="00336E08"/>
    <w:rsid w:val="00337F6D"/>
    <w:rsid w:val="00340E6C"/>
    <w:rsid w:val="00342856"/>
    <w:rsid w:val="00342D94"/>
    <w:rsid w:val="0034373F"/>
    <w:rsid w:val="00343DF0"/>
    <w:rsid w:val="003448DC"/>
    <w:rsid w:val="00345B1B"/>
    <w:rsid w:val="00345C29"/>
    <w:rsid w:val="00345C34"/>
    <w:rsid w:val="00346926"/>
    <w:rsid w:val="00350AEB"/>
    <w:rsid w:val="00351E61"/>
    <w:rsid w:val="003526B4"/>
    <w:rsid w:val="003527F0"/>
    <w:rsid w:val="00352B29"/>
    <w:rsid w:val="00353580"/>
    <w:rsid w:val="00353907"/>
    <w:rsid w:val="00356604"/>
    <w:rsid w:val="00356B80"/>
    <w:rsid w:val="00360AFD"/>
    <w:rsid w:val="00360EC7"/>
    <w:rsid w:val="003612DA"/>
    <w:rsid w:val="003622D9"/>
    <w:rsid w:val="0036239F"/>
    <w:rsid w:val="00363452"/>
    <w:rsid w:val="00364333"/>
    <w:rsid w:val="0036763D"/>
    <w:rsid w:val="00367C4A"/>
    <w:rsid w:val="00370051"/>
    <w:rsid w:val="00370E53"/>
    <w:rsid w:val="00373CAD"/>
    <w:rsid w:val="003759B8"/>
    <w:rsid w:val="00377B90"/>
    <w:rsid w:val="00380813"/>
    <w:rsid w:val="003809BC"/>
    <w:rsid w:val="003826F9"/>
    <w:rsid w:val="003832B1"/>
    <w:rsid w:val="003839F6"/>
    <w:rsid w:val="00383A4A"/>
    <w:rsid w:val="00384A8D"/>
    <w:rsid w:val="0038592C"/>
    <w:rsid w:val="00385B78"/>
    <w:rsid w:val="00385CB3"/>
    <w:rsid w:val="00386E14"/>
    <w:rsid w:val="00387A1C"/>
    <w:rsid w:val="00387F0C"/>
    <w:rsid w:val="0039004F"/>
    <w:rsid w:val="00391041"/>
    <w:rsid w:val="003921C7"/>
    <w:rsid w:val="00392576"/>
    <w:rsid w:val="00395264"/>
    <w:rsid w:val="00396111"/>
    <w:rsid w:val="00396803"/>
    <w:rsid w:val="00397A7D"/>
    <w:rsid w:val="003A002A"/>
    <w:rsid w:val="003A1E1B"/>
    <w:rsid w:val="003A21AF"/>
    <w:rsid w:val="003A2E80"/>
    <w:rsid w:val="003A35B5"/>
    <w:rsid w:val="003A5539"/>
    <w:rsid w:val="003A5B2C"/>
    <w:rsid w:val="003A5B42"/>
    <w:rsid w:val="003A5F63"/>
    <w:rsid w:val="003A62EB"/>
    <w:rsid w:val="003A68BE"/>
    <w:rsid w:val="003A6E41"/>
    <w:rsid w:val="003A7392"/>
    <w:rsid w:val="003A7DC6"/>
    <w:rsid w:val="003B099D"/>
    <w:rsid w:val="003B28AD"/>
    <w:rsid w:val="003B3E2A"/>
    <w:rsid w:val="003B3F57"/>
    <w:rsid w:val="003B4128"/>
    <w:rsid w:val="003B4EC8"/>
    <w:rsid w:val="003B5B73"/>
    <w:rsid w:val="003B71D4"/>
    <w:rsid w:val="003B777B"/>
    <w:rsid w:val="003C1282"/>
    <w:rsid w:val="003C1E94"/>
    <w:rsid w:val="003C291F"/>
    <w:rsid w:val="003C392F"/>
    <w:rsid w:val="003C4AD5"/>
    <w:rsid w:val="003C55C4"/>
    <w:rsid w:val="003C72D9"/>
    <w:rsid w:val="003C74AA"/>
    <w:rsid w:val="003C775B"/>
    <w:rsid w:val="003C7EA1"/>
    <w:rsid w:val="003D0072"/>
    <w:rsid w:val="003D02F8"/>
    <w:rsid w:val="003D04CC"/>
    <w:rsid w:val="003D35FB"/>
    <w:rsid w:val="003D3EB4"/>
    <w:rsid w:val="003D4613"/>
    <w:rsid w:val="003D7CBE"/>
    <w:rsid w:val="003E2051"/>
    <w:rsid w:val="003E4BCA"/>
    <w:rsid w:val="003E4D9C"/>
    <w:rsid w:val="003E5F74"/>
    <w:rsid w:val="003E60B3"/>
    <w:rsid w:val="003E707A"/>
    <w:rsid w:val="003F0CF2"/>
    <w:rsid w:val="003F3360"/>
    <w:rsid w:val="003F4E00"/>
    <w:rsid w:val="003F515D"/>
    <w:rsid w:val="003F5CF5"/>
    <w:rsid w:val="004020AE"/>
    <w:rsid w:val="00402759"/>
    <w:rsid w:val="0040492E"/>
    <w:rsid w:val="00404D0F"/>
    <w:rsid w:val="00405579"/>
    <w:rsid w:val="0040616D"/>
    <w:rsid w:val="004065EB"/>
    <w:rsid w:val="004068D3"/>
    <w:rsid w:val="00406A34"/>
    <w:rsid w:val="0040789C"/>
    <w:rsid w:val="00407CDE"/>
    <w:rsid w:val="00410E02"/>
    <w:rsid w:val="00411575"/>
    <w:rsid w:val="00411BEC"/>
    <w:rsid w:val="00413496"/>
    <w:rsid w:val="004143BC"/>
    <w:rsid w:val="0041444D"/>
    <w:rsid w:val="00415709"/>
    <w:rsid w:val="004158C1"/>
    <w:rsid w:val="00415FFC"/>
    <w:rsid w:val="00416506"/>
    <w:rsid w:val="004167FB"/>
    <w:rsid w:val="00417589"/>
    <w:rsid w:val="00420015"/>
    <w:rsid w:val="00421A67"/>
    <w:rsid w:val="00423A2E"/>
    <w:rsid w:val="004240DB"/>
    <w:rsid w:val="004255C2"/>
    <w:rsid w:val="00426D87"/>
    <w:rsid w:val="00430F33"/>
    <w:rsid w:val="00431899"/>
    <w:rsid w:val="004336DB"/>
    <w:rsid w:val="00433BC1"/>
    <w:rsid w:val="004343BA"/>
    <w:rsid w:val="004346AB"/>
    <w:rsid w:val="00434CF0"/>
    <w:rsid w:val="004407D9"/>
    <w:rsid w:val="0044088F"/>
    <w:rsid w:val="00440A85"/>
    <w:rsid w:val="00440F1F"/>
    <w:rsid w:val="0044117E"/>
    <w:rsid w:val="00441623"/>
    <w:rsid w:val="00442419"/>
    <w:rsid w:val="00442504"/>
    <w:rsid w:val="00442ADF"/>
    <w:rsid w:val="00442D33"/>
    <w:rsid w:val="00445338"/>
    <w:rsid w:val="004468E2"/>
    <w:rsid w:val="004474F0"/>
    <w:rsid w:val="00450326"/>
    <w:rsid w:val="004513D8"/>
    <w:rsid w:val="00451669"/>
    <w:rsid w:val="00451D6A"/>
    <w:rsid w:val="0045364F"/>
    <w:rsid w:val="00454725"/>
    <w:rsid w:val="00455F94"/>
    <w:rsid w:val="00456F10"/>
    <w:rsid w:val="00457EC0"/>
    <w:rsid w:val="00460371"/>
    <w:rsid w:val="00460959"/>
    <w:rsid w:val="0046106D"/>
    <w:rsid w:val="00461CCA"/>
    <w:rsid w:val="00462769"/>
    <w:rsid w:val="004627E8"/>
    <w:rsid w:val="00462EFF"/>
    <w:rsid w:val="00463146"/>
    <w:rsid w:val="0046419E"/>
    <w:rsid w:val="00464BA3"/>
    <w:rsid w:val="004651FF"/>
    <w:rsid w:val="0046605C"/>
    <w:rsid w:val="004672BF"/>
    <w:rsid w:val="00467A5F"/>
    <w:rsid w:val="00470327"/>
    <w:rsid w:val="004706EB"/>
    <w:rsid w:val="00470A04"/>
    <w:rsid w:val="00470A27"/>
    <w:rsid w:val="00471088"/>
    <w:rsid w:val="004711D6"/>
    <w:rsid w:val="0047396A"/>
    <w:rsid w:val="00474D1D"/>
    <w:rsid w:val="00474DF0"/>
    <w:rsid w:val="004762D7"/>
    <w:rsid w:val="0047739D"/>
    <w:rsid w:val="00477671"/>
    <w:rsid w:val="00480AB6"/>
    <w:rsid w:val="0048157C"/>
    <w:rsid w:val="004817B8"/>
    <w:rsid w:val="00482FE1"/>
    <w:rsid w:val="00484401"/>
    <w:rsid w:val="0048447D"/>
    <w:rsid w:val="00485E5D"/>
    <w:rsid w:val="00487183"/>
    <w:rsid w:val="00487D53"/>
    <w:rsid w:val="004900A1"/>
    <w:rsid w:val="004903CB"/>
    <w:rsid w:val="00491676"/>
    <w:rsid w:val="00493480"/>
    <w:rsid w:val="00493D69"/>
    <w:rsid w:val="00494B27"/>
    <w:rsid w:val="0049654E"/>
    <w:rsid w:val="00496F52"/>
    <w:rsid w:val="004970EE"/>
    <w:rsid w:val="004A0B69"/>
    <w:rsid w:val="004A2607"/>
    <w:rsid w:val="004A4400"/>
    <w:rsid w:val="004A4745"/>
    <w:rsid w:val="004A4850"/>
    <w:rsid w:val="004A4917"/>
    <w:rsid w:val="004A4B34"/>
    <w:rsid w:val="004A57E1"/>
    <w:rsid w:val="004B15C7"/>
    <w:rsid w:val="004B4362"/>
    <w:rsid w:val="004B4F08"/>
    <w:rsid w:val="004B734C"/>
    <w:rsid w:val="004B7BC1"/>
    <w:rsid w:val="004C2067"/>
    <w:rsid w:val="004C3761"/>
    <w:rsid w:val="004C41BD"/>
    <w:rsid w:val="004C5795"/>
    <w:rsid w:val="004C59D9"/>
    <w:rsid w:val="004C67EA"/>
    <w:rsid w:val="004C784B"/>
    <w:rsid w:val="004D00DD"/>
    <w:rsid w:val="004D26C4"/>
    <w:rsid w:val="004D3AFC"/>
    <w:rsid w:val="004D4223"/>
    <w:rsid w:val="004D632C"/>
    <w:rsid w:val="004D6F91"/>
    <w:rsid w:val="004E0EE1"/>
    <w:rsid w:val="004E11FE"/>
    <w:rsid w:val="004E1F5B"/>
    <w:rsid w:val="004E2626"/>
    <w:rsid w:val="004E297B"/>
    <w:rsid w:val="004E3D0B"/>
    <w:rsid w:val="004E4432"/>
    <w:rsid w:val="004E502B"/>
    <w:rsid w:val="004E564B"/>
    <w:rsid w:val="004E57D7"/>
    <w:rsid w:val="004E6CC3"/>
    <w:rsid w:val="004E71CD"/>
    <w:rsid w:val="004F379F"/>
    <w:rsid w:val="004F3A45"/>
    <w:rsid w:val="004F46F2"/>
    <w:rsid w:val="004F4FA8"/>
    <w:rsid w:val="005004AD"/>
    <w:rsid w:val="00500E8A"/>
    <w:rsid w:val="00501AA1"/>
    <w:rsid w:val="0050226E"/>
    <w:rsid w:val="005024D5"/>
    <w:rsid w:val="0050277E"/>
    <w:rsid w:val="00502CA6"/>
    <w:rsid w:val="005041F4"/>
    <w:rsid w:val="005060AF"/>
    <w:rsid w:val="0051026B"/>
    <w:rsid w:val="0051032A"/>
    <w:rsid w:val="005117DD"/>
    <w:rsid w:val="00511C46"/>
    <w:rsid w:val="005136E9"/>
    <w:rsid w:val="00513C48"/>
    <w:rsid w:val="00515793"/>
    <w:rsid w:val="00515A3F"/>
    <w:rsid w:val="00517ADF"/>
    <w:rsid w:val="00520B9E"/>
    <w:rsid w:val="00523451"/>
    <w:rsid w:val="005236FA"/>
    <w:rsid w:val="005267F7"/>
    <w:rsid w:val="0053138E"/>
    <w:rsid w:val="005318F1"/>
    <w:rsid w:val="00533DFD"/>
    <w:rsid w:val="00535432"/>
    <w:rsid w:val="00536DD9"/>
    <w:rsid w:val="00537CED"/>
    <w:rsid w:val="00540AFD"/>
    <w:rsid w:val="00540C34"/>
    <w:rsid w:val="00541215"/>
    <w:rsid w:val="005425D5"/>
    <w:rsid w:val="00545175"/>
    <w:rsid w:val="0054578F"/>
    <w:rsid w:val="00545879"/>
    <w:rsid w:val="00545B89"/>
    <w:rsid w:val="005465A4"/>
    <w:rsid w:val="005467A4"/>
    <w:rsid w:val="0055157D"/>
    <w:rsid w:val="00551596"/>
    <w:rsid w:val="00551941"/>
    <w:rsid w:val="00551B07"/>
    <w:rsid w:val="00552A96"/>
    <w:rsid w:val="005534A3"/>
    <w:rsid w:val="005543FC"/>
    <w:rsid w:val="005554E8"/>
    <w:rsid w:val="005561ED"/>
    <w:rsid w:val="0055689B"/>
    <w:rsid w:val="005578AB"/>
    <w:rsid w:val="00557ADA"/>
    <w:rsid w:val="00562656"/>
    <w:rsid w:val="00562AD0"/>
    <w:rsid w:val="00564E3A"/>
    <w:rsid w:val="00566BFC"/>
    <w:rsid w:val="00570C2F"/>
    <w:rsid w:val="0057105E"/>
    <w:rsid w:val="00573D72"/>
    <w:rsid w:val="005749A4"/>
    <w:rsid w:val="00574D74"/>
    <w:rsid w:val="00575141"/>
    <w:rsid w:val="0057514F"/>
    <w:rsid w:val="00576022"/>
    <w:rsid w:val="005810BE"/>
    <w:rsid w:val="00583CA4"/>
    <w:rsid w:val="00584C24"/>
    <w:rsid w:val="00585294"/>
    <w:rsid w:val="00585A90"/>
    <w:rsid w:val="00585E0E"/>
    <w:rsid w:val="00586513"/>
    <w:rsid w:val="00592B6E"/>
    <w:rsid w:val="00592F69"/>
    <w:rsid w:val="00593385"/>
    <w:rsid w:val="00593CF0"/>
    <w:rsid w:val="005952FF"/>
    <w:rsid w:val="0059554B"/>
    <w:rsid w:val="00595737"/>
    <w:rsid w:val="00597466"/>
    <w:rsid w:val="005A02CC"/>
    <w:rsid w:val="005A1950"/>
    <w:rsid w:val="005A2794"/>
    <w:rsid w:val="005A28FD"/>
    <w:rsid w:val="005A3C8C"/>
    <w:rsid w:val="005A4CE7"/>
    <w:rsid w:val="005A51BD"/>
    <w:rsid w:val="005A5354"/>
    <w:rsid w:val="005A6FB7"/>
    <w:rsid w:val="005B020C"/>
    <w:rsid w:val="005B13B5"/>
    <w:rsid w:val="005B1BDC"/>
    <w:rsid w:val="005B1D3C"/>
    <w:rsid w:val="005B271B"/>
    <w:rsid w:val="005B359C"/>
    <w:rsid w:val="005B3701"/>
    <w:rsid w:val="005B3AF6"/>
    <w:rsid w:val="005B43DE"/>
    <w:rsid w:val="005B5826"/>
    <w:rsid w:val="005B5C4D"/>
    <w:rsid w:val="005B6AC0"/>
    <w:rsid w:val="005C0665"/>
    <w:rsid w:val="005C0AD9"/>
    <w:rsid w:val="005C1638"/>
    <w:rsid w:val="005C21E3"/>
    <w:rsid w:val="005C2604"/>
    <w:rsid w:val="005C35B4"/>
    <w:rsid w:val="005C3752"/>
    <w:rsid w:val="005C3DBB"/>
    <w:rsid w:val="005C41C7"/>
    <w:rsid w:val="005C528E"/>
    <w:rsid w:val="005C554C"/>
    <w:rsid w:val="005C5665"/>
    <w:rsid w:val="005C58BE"/>
    <w:rsid w:val="005C668F"/>
    <w:rsid w:val="005C729F"/>
    <w:rsid w:val="005D00A6"/>
    <w:rsid w:val="005D1EEB"/>
    <w:rsid w:val="005D3870"/>
    <w:rsid w:val="005D3B79"/>
    <w:rsid w:val="005D435A"/>
    <w:rsid w:val="005D47B1"/>
    <w:rsid w:val="005D4BB9"/>
    <w:rsid w:val="005D4FA9"/>
    <w:rsid w:val="005D6421"/>
    <w:rsid w:val="005D7145"/>
    <w:rsid w:val="005D727E"/>
    <w:rsid w:val="005D7AC7"/>
    <w:rsid w:val="005D7FD8"/>
    <w:rsid w:val="005E148A"/>
    <w:rsid w:val="005E1F4A"/>
    <w:rsid w:val="005E3D37"/>
    <w:rsid w:val="005E48A6"/>
    <w:rsid w:val="005E4AED"/>
    <w:rsid w:val="005E58E0"/>
    <w:rsid w:val="005F14A7"/>
    <w:rsid w:val="005F187A"/>
    <w:rsid w:val="005F26E5"/>
    <w:rsid w:val="005F3535"/>
    <w:rsid w:val="005F51C2"/>
    <w:rsid w:val="005F64FD"/>
    <w:rsid w:val="005F65FD"/>
    <w:rsid w:val="005F68B1"/>
    <w:rsid w:val="005F70B2"/>
    <w:rsid w:val="005F7852"/>
    <w:rsid w:val="00600744"/>
    <w:rsid w:val="0060137C"/>
    <w:rsid w:val="00601A41"/>
    <w:rsid w:val="00603696"/>
    <w:rsid w:val="00603EF5"/>
    <w:rsid w:val="0060493F"/>
    <w:rsid w:val="00604D4C"/>
    <w:rsid w:val="00606291"/>
    <w:rsid w:val="00607FAA"/>
    <w:rsid w:val="00610101"/>
    <w:rsid w:val="00610B0C"/>
    <w:rsid w:val="006111EE"/>
    <w:rsid w:val="00612A64"/>
    <w:rsid w:val="00613406"/>
    <w:rsid w:val="00615229"/>
    <w:rsid w:val="00615580"/>
    <w:rsid w:val="0061572F"/>
    <w:rsid w:val="00615CF9"/>
    <w:rsid w:val="00616D10"/>
    <w:rsid w:val="00617236"/>
    <w:rsid w:val="00620683"/>
    <w:rsid w:val="006208E2"/>
    <w:rsid w:val="006209FA"/>
    <w:rsid w:val="00621429"/>
    <w:rsid w:val="00621DEA"/>
    <w:rsid w:val="00622977"/>
    <w:rsid w:val="006232EA"/>
    <w:rsid w:val="00623977"/>
    <w:rsid w:val="006241B9"/>
    <w:rsid w:val="006242E5"/>
    <w:rsid w:val="0062482F"/>
    <w:rsid w:val="0062497E"/>
    <w:rsid w:val="00625E03"/>
    <w:rsid w:val="00630DDE"/>
    <w:rsid w:val="006322B4"/>
    <w:rsid w:val="00633437"/>
    <w:rsid w:val="006337AA"/>
    <w:rsid w:val="0063415F"/>
    <w:rsid w:val="00636AA0"/>
    <w:rsid w:val="00636BB5"/>
    <w:rsid w:val="006370ED"/>
    <w:rsid w:val="0064033B"/>
    <w:rsid w:val="0064159E"/>
    <w:rsid w:val="006423BE"/>
    <w:rsid w:val="00642A57"/>
    <w:rsid w:val="00643E4A"/>
    <w:rsid w:val="00645ABB"/>
    <w:rsid w:val="00645E11"/>
    <w:rsid w:val="00646111"/>
    <w:rsid w:val="006467F5"/>
    <w:rsid w:val="00647737"/>
    <w:rsid w:val="00647809"/>
    <w:rsid w:val="00647D32"/>
    <w:rsid w:val="00651C6F"/>
    <w:rsid w:val="00651E89"/>
    <w:rsid w:val="00653970"/>
    <w:rsid w:val="00653C0C"/>
    <w:rsid w:val="00654370"/>
    <w:rsid w:val="00656F36"/>
    <w:rsid w:val="00657135"/>
    <w:rsid w:val="00660527"/>
    <w:rsid w:val="00661D74"/>
    <w:rsid w:val="006627FA"/>
    <w:rsid w:val="00662B69"/>
    <w:rsid w:val="00662CD1"/>
    <w:rsid w:val="00662E15"/>
    <w:rsid w:val="00663BEA"/>
    <w:rsid w:val="0066446B"/>
    <w:rsid w:val="00665592"/>
    <w:rsid w:val="0066621D"/>
    <w:rsid w:val="00666EFB"/>
    <w:rsid w:val="00667B25"/>
    <w:rsid w:val="006713AC"/>
    <w:rsid w:val="0067223B"/>
    <w:rsid w:val="0067281E"/>
    <w:rsid w:val="00672E71"/>
    <w:rsid w:val="00673DBE"/>
    <w:rsid w:val="00674A49"/>
    <w:rsid w:val="00674D70"/>
    <w:rsid w:val="00674E21"/>
    <w:rsid w:val="00675C02"/>
    <w:rsid w:val="00675E48"/>
    <w:rsid w:val="00675EE7"/>
    <w:rsid w:val="0067685F"/>
    <w:rsid w:val="00677EE0"/>
    <w:rsid w:val="0068089C"/>
    <w:rsid w:val="0068095B"/>
    <w:rsid w:val="00681EB9"/>
    <w:rsid w:val="00681EE6"/>
    <w:rsid w:val="00683335"/>
    <w:rsid w:val="006849E9"/>
    <w:rsid w:val="0068513C"/>
    <w:rsid w:val="00687BC7"/>
    <w:rsid w:val="00690120"/>
    <w:rsid w:val="0069099B"/>
    <w:rsid w:val="0069135B"/>
    <w:rsid w:val="0069146F"/>
    <w:rsid w:val="00693B7C"/>
    <w:rsid w:val="00693F5B"/>
    <w:rsid w:val="0069434F"/>
    <w:rsid w:val="00695096"/>
    <w:rsid w:val="00696965"/>
    <w:rsid w:val="00696D54"/>
    <w:rsid w:val="00696DC7"/>
    <w:rsid w:val="0069730A"/>
    <w:rsid w:val="00697927"/>
    <w:rsid w:val="00697B8D"/>
    <w:rsid w:val="006A0AB3"/>
    <w:rsid w:val="006A23B1"/>
    <w:rsid w:val="006A3AF2"/>
    <w:rsid w:val="006A5268"/>
    <w:rsid w:val="006B0358"/>
    <w:rsid w:val="006B1359"/>
    <w:rsid w:val="006B1C3B"/>
    <w:rsid w:val="006B26BF"/>
    <w:rsid w:val="006B2872"/>
    <w:rsid w:val="006B55EC"/>
    <w:rsid w:val="006B5B7C"/>
    <w:rsid w:val="006B6375"/>
    <w:rsid w:val="006B6935"/>
    <w:rsid w:val="006B6A87"/>
    <w:rsid w:val="006B7A7D"/>
    <w:rsid w:val="006C0068"/>
    <w:rsid w:val="006C162A"/>
    <w:rsid w:val="006C1DF5"/>
    <w:rsid w:val="006C1FDC"/>
    <w:rsid w:val="006C63AB"/>
    <w:rsid w:val="006C64C4"/>
    <w:rsid w:val="006C676A"/>
    <w:rsid w:val="006C6804"/>
    <w:rsid w:val="006D0166"/>
    <w:rsid w:val="006D09D0"/>
    <w:rsid w:val="006D10BE"/>
    <w:rsid w:val="006D14BF"/>
    <w:rsid w:val="006D1A2E"/>
    <w:rsid w:val="006D2521"/>
    <w:rsid w:val="006D5775"/>
    <w:rsid w:val="006D5C41"/>
    <w:rsid w:val="006D6A8A"/>
    <w:rsid w:val="006D71A9"/>
    <w:rsid w:val="006E07C3"/>
    <w:rsid w:val="006E19DF"/>
    <w:rsid w:val="006E2351"/>
    <w:rsid w:val="006E271F"/>
    <w:rsid w:val="006E3086"/>
    <w:rsid w:val="006E386D"/>
    <w:rsid w:val="006E52EE"/>
    <w:rsid w:val="006E5491"/>
    <w:rsid w:val="006E5652"/>
    <w:rsid w:val="006E5C57"/>
    <w:rsid w:val="006E67E5"/>
    <w:rsid w:val="006E6C60"/>
    <w:rsid w:val="006E7476"/>
    <w:rsid w:val="006E77AF"/>
    <w:rsid w:val="006F029F"/>
    <w:rsid w:val="006F48E9"/>
    <w:rsid w:val="006F491A"/>
    <w:rsid w:val="006F4C89"/>
    <w:rsid w:val="006F4E45"/>
    <w:rsid w:val="0070269B"/>
    <w:rsid w:val="007038E2"/>
    <w:rsid w:val="00704E0E"/>
    <w:rsid w:val="00707079"/>
    <w:rsid w:val="007072BA"/>
    <w:rsid w:val="00707F93"/>
    <w:rsid w:val="00710117"/>
    <w:rsid w:val="00711748"/>
    <w:rsid w:val="007126F7"/>
    <w:rsid w:val="0071336C"/>
    <w:rsid w:val="007134AD"/>
    <w:rsid w:val="00713A6D"/>
    <w:rsid w:val="00714F51"/>
    <w:rsid w:val="00717A9F"/>
    <w:rsid w:val="00721190"/>
    <w:rsid w:val="00721219"/>
    <w:rsid w:val="0072216B"/>
    <w:rsid w:val="0072271D"/>
    <w:rsid w:val="00724509"/>
    <w:rsid w:val="007262AA"/>
    <w:rsid w:val="00726510"/>
    <w:rsid w:val="00726DAE"/>
    <w:rsid w:val="0072731C"/>
    <w:rsid w:val="00730594"/>
    <w:rsid w:val="007308FB"/>
    <w:rsid w:val="007309EA"/>
    <w:rsid w:val="00730E0C"/>
    <w:rsid w:val="007317B2"/>
    <w:rsid w:val="00731F38"/>
    <w:rsid w:val="007322B7"/>
    <w:rsid w:val="007323EF"/>
    <w:rsid w:val="0073305A"/>
    <w:rsid w:val="007352C5"/>
    <w:rsid w:val="00735B21"/>
    <w:rsid w:val="00736D14"/>
    <w:rsid w:val="00740561"/>
    <w:rsid w:val="00741B77"/>
    <w:rsid w:val="00741C11"/>
    <w:rsid w:val="00743AE1"/>
    <w:rsid w:val="00743FBD"/>
    <w:rsid w:val="0074531F"/>
    <w:rsid w:val="00745572"/>
    <w:rsid w:val="007463F3"/>
    <w:rsid w:val="00746FE0"/>
    <w:rsid w:val="00747E93"/>
    <w:rsid w:val="00750176"/>
    <w:rsid w:val="00750BB1"/>
    <w:rsid w:val="00752826"/>
    <w:rsid w:val="007534D7"/>
    <w:rsid w:val="007534EF"/>
    <w:rsid w:val="00753562"/>
    <w:rsid w:val="00754161"/>
    <w:rsid w:val="00754641"/>
    <w:rsid w:val="00755540"/>
    <w:rsid w:val="007568BB"/>
    <w:rsid w:val="00757335"/>
    <w:rsid w:val="0076084D"/>
    <w:rsid w:val="00762723"/>
    <w:rsid w:val="00763752"/>
    <w:rsid w:val="00764461"/>
    <w:rsid w:val="00764793"/>
    <w:rsid w:val="00764B71"/>
    <w:rsid w:val="00764B94"/>
    <w:rsid w:val="00764D37"/>
    <w:rsid w:val="00764E8D"/>
    <w:rsid w:val="007655C6"/>
    <w:rsid w:val="00766581"/>
    <w:rsid w:val="00766809"/>
    <w:rsid w:val="00767657"/>
    <w:rsid w:val="00772AFF"/>
    <w:rsid w:val="00773F85"/>
    <w:rsid w:val="00774612"/>
    <w:rsid w:val="00776DE2"/>
    <w:rsid w:val="00777556"/>
    <w:rsid w:val="007776DB"/>
    <w:rsid w:val="007809FA"/>
    <w:rsid w:val="00781B67"/>
    <w:rsid w:val="00781F25"/>
    <w:rsid w:val="00782313"/>
    <w:rsid w:val="0078317A"/>
    <w:rsid w:val="007833D5"/>
    <w:rsid w:val="00783692"/>
    <w:rsid w:val="00784162"/>
    <w:rsid w:val="00784321"/>
    <w:rsid w:val="00785CD1"/>
    <w:rsid w:val="00785DF0"/>
    <w:rsid w:val="00785FC5"/>
    <w:rsid w:val="00787EC5"/>
    <w:rsid w:val="00787F0A"/>
    <w:rsid w:val="00790115"/>
    <w:rsid w:val="007908C7"/>
    <w:rsid w:val="007909C3"/>
    <w:rsid w:val="00790BB0"/>
    <w:rsid w:val="0079115D"/>
    <w:rsid w:val="0079221B"/>
    <w:rsid w:val="00792CB9"/>
    <w:rsid w:val="00792F75"/>
    <w:rsid w:val="0079316D"/>
    <w:rsid w:val="00793360"/>
    <w:rsid w:val="007955A9"/>
    <w:rsid w:val="007966C6"/>
    <w:rsid w:val="007A0000"/>
    <w:rsid w:val="007A0BA1"/>
    <w:rsid w:val="007A0C59"/>
    <w:rsid w:val="007A1085"/>
    <w:rsid w:val="007A38E3"/>
    <w:rsid w:val="007A416A"/>
    <w:rsid w:val="007A5403"/>
    <w:rsid w:val="007A6144"/>
    <w:rsid w:val="007A666F"/>
    <w:rsid w:val="007A747D"/>
    <w:rsid w:val="007B079F"/>
    <w:rsid w:val="007B2214"/>
    <w:rsid w:val="007B3551"/>
    <w:rsid w:val="007B4F5A"/>
    <w:rsid w:val="007B550A"/>
    <w:rsid w:val="007B5EB9"/>
    <w:rsid w:val="007B671F"/>
    <w:rsid w:val="007B7A95"/>
    <w:rsid w:val="007B7AEA"/>
    <w:rsid w:val="007C05BD"/>
    <w:rsid w:val="007C0982"/>
    <w:rsid w:val="007C0A39"/>
    <w:rsid w:val="007C1476"/>
    <w:rsid w:val="007C398E"/>
    <w:rsid w:val="007C433C"/>
    <w:rsid w:val="007C485B"/>
    <w:rsid w:val="007C55C7"/>
    <w:rsid w:val="007C5F08"/>
    <w:rsid w:val="007C6B03"/>
    <w:rsid w:val="007C7037"/>
    <w:rsid w:val="007C76D7"/>
    <w:rsid w:val="007C7838"/>
    <w:rsid w:val="007C7C91"/>
    <w:rsid w:val="007C7D21"/>
    <w:rsid w:val="007D172A"/>
    <w:rsid w:val="007D2D7E"/>
    <w:rsid w:val="007D36A9"/>
    <w:rsid w:val="007D4CD6"/>
    <w:rsid w:val="007D71D3"/>
    <w:rsid w:val="007D7495"/>
    <w:rsid w:val="007E09AD"/>
    <w:rsid w:val="007E10A3"/>
    <w:rsid w:val="007E1523"/>
    <w:rsid w:val="007E2B3D"/>
    <w:rsid w:val="007E3222"/>
    <w:rsid w:val="007E32D4"/>
    <w:rsid w:val="007E43E1"/>
    <w:rsid w:val="007E70AA"/>
    <w:rsid w:val="007E740D"/>
    <w:rsid w:val="007E760A"/>
    <w:rsid w:val="007E78BF"/>
    <w:rsid w:val="007F0FAF"/>
    <w:rsid w:val="007F1B98"/>
    <w:rsid w:val="007F2719"/>
    <w:rsid w:val="007F2929"/>
    <w:rsid w:val="007F4AA9"/>
    <w:rsid w:val="007F6C70"/>
    <w:rsid w:val="007F7528"/>
    <w:rsid w:val="00800EB6"/>
    <w:rsid w:val="0080427D"/>
    <w:rsid w:val="0080446C"/>
    <w:rsid w:val="00805245"/>
    <w:rsid w:val="00806025"/>
    <w:rsid w:val="0080701D"/>
    <w:rsid w:val="00810759"/>
    <w:rsid w:val="0081090C"/>
    <w:rsid w:val="008111DB"/>
    <w:rsid w:val="00812FA2"/>
    <w:rsid w:val="008139C0"/>
    <w:rsid w:val="0081424A"/>
    <w:rsid w:val="0081541E"/>
    <w:rsid w:val="00815542"/>
    <w:rsid w:val="00815D77"/>
    <w:rsid w:val="00815D82"/>
    <w:rsid w:val="00815F46"/>
    <w:rsid w:val="00816AA0"/>
    <w:rsid w:val="00823269"/>
    <w:rsid w:val="00824171"/>
    <w:rsid w:val="00824B1B"/>
    <w:rsid w:val="00824B4F"/>
    <w:rsid w:val="008252FB"/>
    <w:rsid w:val="008260E6"/>
    <w:rsid w:val="00827130"/>
    <w:rsid w:val="00827871"/>
    <w:rsid w:val="00827A1A"/>
    <w:rsid w:val="00827EBA"/>
    <w:rsid w:val="008301D5"/>
    <w:rsid w:val="00830316"/>
    <w:rsid w:val="008329C2"/>
    <w:rsid w:val="00832EB9"/>
    <w:rsid w:val="00834959"/>
    <w:rsid w:val="00836A3D"/>
    <w:rsid w:val="00840343"/>
    <w:rsid w:val="00840B22"/>
    <w:rsid w:val="00841047"/>
    <w:rsid w:val="0084158D"/>
    <w:rsid w:val="00842579"/>
    <w:rsid w:val="008431E6"/>
    <w:rsid w:val="008435B9"/>
    <w:rsid w:val="008437DF"/>
    <w:rsid w:val="00843D7A"/>
    <w:rsid w:val="008451FD"/>
    <w:rsid w:val="008471F5"/>
    <w:rsid w:val="0085154F"/>
    <w:rsid w:val="00851BE3"/>
    <w:rsid w:val="00851C6D"/>
    <w:rsid w:val="008521D4"/>
    <w:rsid w:val="008528DD"/>
    <w:rsid w:val="008532D4"/>
    <w:rsid w:val="008537ED"/>
    <w:rsid w:val="00855CD7"/>
    <w:rsid w:val="008565F7"/>
    <w:rsid w:val="00857558"/>
    <w:rsid w:val="00860625"/>
    <w:rsid w:val="00861066"/>
    <w:rsid w:val="00861BFA"/>
    <w:rsid w:val="008626C1"/>
    <w:rsid w:val="008648B6"/>
    <w:rsid w:val="0086645E"/>
    <w:rsid w:val="008672B0"/>
    <w:rsid w:val="008708FF"/>
    <w:rsid w:val="00870F3F"/>
    <w:rsid w:val="008737C5"/>
    <w:rsid w:val="00873BBA"/>
    <w:rsid w:val="008741FF"/>
    <w:rsid w:val="00874E43"/>
    <w:rsid w:val="0087762F"/>
    <w:rsid w:val="008800A9"/>
    <w:rsid w:val="008800C8"/>
    <w:rsid w:val="00880826"/>
    <w:rsid w:val="008817E7"/>
    <w:rsid w:val="00881CE7"/>
    <w:rsid w:val="008823ED"/>
    <w:rsid w:val="00884DAE"/>
    <w:rsid w:val="00885413"/>
    <w:rsid w:val="008863A1"/>
    <w:rsid w:val="00886548"/>
    <w:rsid w:val="008867D2"/>
    <w:rsid w:val="00887B26"/>
    <w:rsid w:val="00894F1E"/>
    <w:rsid w:val="008960B7"/>
    <w:rsid w:val="00896817"/>
    <w:rsid w:val="00896BC7"/>
    <w:rsid w:val="00897CBB"/>
    <w:rsid w:val="008A26F5"/>
    <w:rsid w:val="008A3D91"/>
    <w:rsid w:val="008A5B42"/>
    <w:rsid w:val="008A5FED"/>
    <w:rsid w:val="008B21D0"/>
    <w:rsid w:val="008B3363"/>
    <w:rsid w:val="008B4222"/>
    <w:rsid w:val="008B462D"/>
    <w:rsid w:val="008B4824"/>
    <w:rsid w:val="008B52BE"/>
    <w:rsid w:val="008B5C02"/>
    <w:rsid w:val="008B603C"/>
    <w:rsid w:val="008B624C"/>
    <w:rsid w:val="008B6ABD"/>
    <w:rsid w:val="008C09A2"/>
    <w:rsid w:val="008C1CCA"/>
    <w:rsid w:val="008C1D76"/>
    <w:rsid w:val="008C1E30"/>
    <w:rsid w:val="008C1FCB"/>
    <w:rsid w:val="008C2C0F"/>
    <w:rsid w:val="008C45D2"/>
    <w:rsid w:val="008C4701"/>
    <w:rsid w:val="008C4E3F"/>
    <w:rsid w:val="008C56E4"/>
    <w:rsid w:val="008C68AA"/>
    <w:rsid w:val="008C7394"/>
    <w:rsid w:val="008C7558"/>
    <w:rsid w:val="008D057C"/>
    <w:rsid w:val="008D2644"/>
    <w:rsid w:val="008D4168"/>
    <w:rsid w:val="008D716C"/>
    <w:rsid w:val="008E0AE5"/>
    <w:rsid w:val="008E18D5"/>
    <w:rsid w:val="008E234E"/>
    <w:rsid w:val="008E24A3"/>
    <w:rsid w:val="008E3225"/>
    <w:rsid w:val="008E344D"/>
    <w:rsid w:val="008E52C6"/>
    <w:rsid w:val="008E56FD"/>
    <w:rsid w:val="008F25C9"/>
    <w:rsid w:val="008F35F3"/>
    <w:rsid w:val="008F3DA0"/>
    <w:rsid w:val="008F4044"/>
    <w:rsid w:val="008F40A9"/>
    <w:rsid w:val="008F4D3B"/>
    <w:rsid w:val="008F513B"/>
    <w:rsid w:val="008F585C"/>
    <w:rsid w:val="008F5AC5"/>
    <w:rsid w:val="008F5E8A"/>
    <w:rsid w:val="008F640E"/>
    <w:rsid w:val="008F6A77"/>
    <w:rsid w:val="008F6C13"/>
    <w:rsid w:val="00900084"/>
    <w:rsid w:val="0090277B"/>
    <w:rsid w:val="00903688"/>
    <w:rsid w:val="00903802"/>
    <w:rsid w:val="00905866"/>
    <w:rsid w:val="00906C93"/>
    <w:rsid w:val="0091139B"/>
    <w:rsid w:val="0091339F"/>
    <w:rsid w:val="0091439E"/>
    <w:rsid w:val="00914EFC"/>
    <w:rsid w:val="009150B4"/>
    <w:rsid w:val="00916E5A"/>
    <w:rsid w:val="0092038A"/>
    <w:rsid w:val="009211DA"/>
    <w:rsid w:val="00922D70"/>
    <w:rsid w:val="00922F0E"/>
    <w:rsid w:val="009236B8"/>
    <w:rsid w:val="00923A0E"/>
    <w:rsid w:val="00923A0F"/>
    <w:rsid w:val="0092490E"/>
    <w:rsid w:val="009258A9"/>
    <w:rsid w:val="00925DC8"/>
    <w:rsid w:val="0092601F"/>
    <w:rsid w:val="009266B5"/>
    <w:rsid w:val="00926808"/>
    <w:rsid w:val="00926AF8"/>
    <w:rsid w:val="0092744B"/>
    <w:rsid w:val="00930336"/>
    <w:rsid w:val="00930A68"/>
    <w:rsid w:val="00932117"/>
    <w:rsid w:val="00932CDE"/>
    <w:rsid w:val="00934FEA"/>
    <w:rsid w:val="00936B4A"/>
    <w:rsid w:val="00937400"/>
    <w:rsid w:val="00937563"/>
    <w:rsid w:val="00937B3B"/>
    <w:rsid w:val="00937F15"/>
    <w:rsid w:val="009401BE"/>
    <w:rsid w:val="00943785"/>
    <w:rsid w:val="0094396D"/>
    <w:rsid w:val="00943DB3"/>
    <w:rsid w:val="00943F5B"/>
    <w:rsid w:val="00943FC4"/>
    <w:rsid w:val="00944346"/>
    <w:rsid w:val="009515B5"/>
    <w:rsid w:val="00951BA7"/>
    <w:rsid w:val="00952082"/>
    <w:rsid w:val="00955A7A"/>
    <w:rsid w:val="00956109"/>
    <w:rsid w:val="00956991"/>
    <w:rsid w:val="00957085"/>
    <w:rsid w:val="009572D4"/>
    <w:rsid w:val="00960F01"/>
    <w:rsid w:val="00961644"/>
    <w:rsid w:val="0096293A"/>
    <w:rsid w:val="00962D5B"/>
    <w:rsid w:val="00963556"/>
    <w:rsid w:val="009636E0"/>
    <w:rsid w:val="00963785"/>
    <w:rsid w:val="0096437E"/>
    <w:rsid w:val="0096444D"/>
    <w:rsid w:val="00964C0B"/>
    <w:rsid w:val="00965515"/>
    <w:rsid w:val="00966950"/>
    <w:rsid w:val="0096723F"/>
    <w:rsid w:val="00967F23"/>
    <w:rsid w:val="00971529"/>
    <w:rsid w:val="009715C5"/>
    <w:rsid w:val="00971604"/>
    <w:rsid w:val="00971C78"/>
    <w:rsid w:val="00972282"/>
    <w:rsid w:val="00972AF4"/>
    <w:rsid w:val="00973D68"/>
    <w:rsid w:val="00977C5C"/>
    <w:rsid w:val="00977FF9"/>
    <w:rsid w:val="009801B0"/>
    <w:rsid w:val="00980E9F"/>
    <w:rsid w:val="00981EB5"/>
    <w:rsid w:val="00982BEF"/>
    <w:rsid w:val="00984E56"/>
    <w:rsid w:val="00985846"/>
    <w:rsid w:val="0098665A"/>
    <w:rsid w:val="009871AE"/>
    <w:rsid w:val="00987ACC"/>
    <w:rsid w:val="00987D79"/>
    <w:rsid w:val="00990A18"/>
    <w:rsid w:val="009926B5"/>
    <w:rsid w:val="009927CB"/>
    <w:rsid w:val="009935A6"/>
    <w:rsid w:val="00993EB9"/>
    <w:rsid w:val="009966C2"/>
    <w:rsid w:val="00997111"/>
    <w:rsid w:val="0099797D"/>
    <w:rsid w:val="009A1F7A"/>
    <w:rsid w:val="009A2900"/>
    <w:rsid w:val="009A39DC"/>
    <w:rsid w:val="009A3CFE"/>
    <w:rsid w:val="009A43C2"/>
    <w:rsid w:val="009A57A1"/>
    <w:rsid w:val="009A5F67"/>
    <w:rsid w:val="009B0071"/>
    <w:rsid w:val="009B039F"/>
    <w:rsid w:val="009B0D0C"/>
    <w:rsid w:val="009B1149"/>
    <w:rsid w:val="009B125E"/>
    <w:rsid w:val="009B12CC"/>
    <w:rsid w:val="009B1516"/>
    <w:rsid w:val="009B2DA7"/>
    <w:rsid w:val="009B3BAA"/>
    <w:rsid w:val="009B3ED4"/>
    <w:rsid w:val="009B3FCB"/>
    <w:rsid w:val="009B44E1"/>
    <w:rsid w:val="009B4707"/>
    <w:rsid w:val="009B60E5"/>
    <w:rsid w:val="009B69BD"/>
    <w:rsid w:val="009C0F2D"/>
    <w:rsid w:val="009C2872"/>
    <w:rsid w:val="009C4C38"/>
    <w:rsid w:val="009C5C45"/>
    <w:rsid w:val="009C61F3"/>
    <w:rsid w:val="009C6FAB"/>
    <w:rsid w:val="009C75A6"/>
    <w:rsid w:val="009D01B7"/>
    <w:rsid w:val="009D2B6E"/>
    <w:rsid w:val="009D6372"/>
    <w:rsid w:val="009D730E"/>
    <w:rsid w:val="009D7665"/>
    <w:rsid w:val="009D77C5"/>
    <w:rsid w:val="009E027A"/>
    <w:rsid w:val="009E15ED"/>
    <w:rsid w:val="009E3BFD"/>
    <w:rsid w:val="009E3CDC"/>
    <w:rsid w:val="009E572E"/>
    <w:rsid w:val="009E669D"/>
    <w:rsid w:val="009E6F1F"/>
    <w:rsid w:val="009E7B58"/>
    <w:rsid w:val="009F14E3"/>
    <w:rsid w:val="009F16F2"/>
    <w:rsid w:val="009F2832"/>
    <w:rsid w:val="009F2986"/>
    <w:rsid w:val="009F5A4D"/>
    <w:rsid w:val="009F5C4C"/>
    <w:rsid w:val="009F5D2E"/>
    <w:rsid w:val="009F6530"/>
    <w:rsid w:val="00A02ABC"/>
    <w:rsid w:val="00A02E79"/>
    <w:rsid w:val="00A0379C"/>
    <w:rsid w:val="00A058B5"/>
    <w:rsid w:val="00A06615"/>
    <w:rsid w:val="00A06B96"/>
    <w:rsid w:val="00A06ED6"/>
    <w:rsid w:val="00A10430"/>
    <w:rsid w:val="00A10662"/>
    <w:rsid w:val="00A11528"/>
    <w:rsid w:val="00A1274A"/>
    <w:rsid w:val="00A12F2B"/>
    <w:rsid w:val="00A13DC4"/>
    <w:rsid w:val="00A13F46"/>
    <w:rsid w:val="00A168D6"/>
    <w:rsid w:val="00A16A9A"/>
    <w:rsid w:val="00A1798D"/>
    <w:rsid w:val="00A17BB6"/>
    <w:rsid w:val="00A20A5B"/>
    <w:rsid w:val="00A20F34"/>
    <w:rsid w:val="00A220CB"/>
    <w:rsid w:val="00A2215B"/>
    <w:rsid w:val="00A22F37"/>
    <w:rsid w:val="00A234AC"/>
    <w:rsid w:val="00A2604E"/>
    <w:rsid w:val="00A26795"/>
    <w:rsid w:val="00A313ED"/>
    <w:rsid w:val="00A314FE"/>
    <w:rsid w:val="00A31E9A"/>
    <w:rsid w:val="00A329CC"/>
    <w:rsid w:val="00A32D94"/>
    <w:rsid w:val="00A335BF"/>
    <w:rsid w:val="00A35218"/>
    <w:rsid w:val="00A36B70"/>
    <w:rsid w:val="00A36D2A"/>
    <w:rsid w:val="00A3711A"/>
    <w:rsid w:val="00A37271"/>
    <w:rsid w:val="00A37CEC"/>
    <w:rsid w:val="00A41FE4"/>
    <w:rsid w:val="00A4253D"/>
    <w:rsid w:val="00A470D7"/>
    <w:rsid w:val="00A514D8"/>
    <w:rsid w:val="00A517C5"/>
    <w:rsid w:val="00A51D2B"/>
    <w:rsid w:val="00A51D32"/>
    <w:rsid w:val="00A523C6"/>
    <w:rsid w:val="00A529A6"/>
    <w:rsid w:val="00A52CEC"/>
    <w:rsid w:val="00A52D15"/>
    <w:rsid w:val="00A52F95"/>
    <w:rsid w:val="00A53151"/>
    <w:rsid w:val="00A53D08"/>
    <w:rsid w:val="00A54138"/>
    <w:rsid w:val="00A553CA"/>
    <w:rsid w:val="00A56625"/>
    <w:rsid w:val="00A57303"/>
    <w:rsid w:val="00A574A2"/>
    <w:rsid w:val="00A57DF1"/>
    <w:rsid w:val="00A57EC3"/>
    <w:rsid w:val="00A6149C"/>
    <w:rsid w:val="00A61835"/>
    <w:rsid w:val="00A63291"/>
    <w:rsid w:val="00A63B41"/>
    <w:rsid w:val="00A6634C"/>
    <w:rsid w:val="00A71C9B"/>
    <w:rsid w:val="00A71DD6"/>
    <w:rsid w:val="00A75A1A"/>
    <w:rsid w:val="00A75A6F"/>
    <w:rsid w:val="00A75BB7"/>
    <w:rsid w:val="00A76B55"/>
    <w:rsid w:val="00A76CF4"/>
    <w:rsid w:val="00A77B40"/>
    <w:rsid w:val="00A80BCF"/>
    <w:rsid w:val="00A80DAE"/>
    <w:rsid w:val="00A80E2C"/>
    <w:rsid w:val="00A8200F"/>
    <w:rsid w:val="00A825CA"/>
    <w:rsid w:val="00A82684"/>
    <w:rsid w:val="00A85067"/>
    <w:rsid w:val="00A85442"/>
    <w:rsid w:val="00A91F1B"/>
    <w:rsid w:val="00A92946"/>
    <w:rsid w:val="00A93587"/>
    <w:rsid w:val="00A94FC5"/>
    <w:rsid w:val="00A957CF"/>
    <w:rsid w:val="00A97807"/>
    <w:rsid w:val="00A97C32"/>
    <w:rsid w:val="00AA056A"/>
    <w:rsid w:val="00AA09D5"/>
    <w:rsid w:val="00AA1D1F"/>
    <w:rsid w:val="00AA2CB8"/>
    <w:rsid w:val="00AA5B1B"/>
    <w:rsid w:val="00AA6527"/>
    <w:rsid w:val="00AB081B"/>
    <w:rsid w:val="00AB0DA0"/>
    <w:rsid w:val="00AB16D2"/>
    <w:rsid w:val="00AB18A3"/>
    <w:rsid w:val="00AB263E"/>
    <w:rsid w:val="00AB2B41"/>
    <w:rsid w:val="00AB44A6"/>
    <w:rsid w:val="00AB6721"/>
    <w:rsid w:val="00AB7060"/>
    <w:rsid w:val="00AC043F"/>
    <w:rsid w:val="00AC0498"/>
    <w:rsid w:val="00AC07FD"/>
    <w:rsid w:val="00AC187D"/>
    <w:rsid w:val="00AC21EB"/>
    <w:rsid w:val="00AC2207"/>
    <w:rsid w:val="00AC2310"/>
    <w:rsid w:val="00AC38BA"/>
    <w:rsid w:val="00AC4948"/>
    <w:rsid w:val="00AC5656"/>
    <w:rsid w:val="00AC575A"/>
    <w:rsid w:val="00AC6D3A"/>
    <w:rsid w:val="00AC6E55"/>
    <w:rsid w:val="00AD0993"/>
    <w:rsid w:val="00AD2416"/>
    <w:rsid w:val="00AD2965"/>
    <w:rsid w:val="00AD2970"/>
    <w:rsid w:val="00AD2FE6"/>
    <w:rsid w:val="00AD3112"/>
    <w:rsid w:val="00AD46A8"/>
    <w:rsid w:val="00AD55B2"/>
    <w:rsid w:val="00AD6015"/>
    <w:rsid w:val="00AD764C"/>
    <w:rsid w:val="00AD76FB"/>
    <w:rsid w:val="00AE112E"/>
    <w:rsid w:val="00AE1CEA"/>
    <w:rsid w:val="00AE23A5"/>
    <w:rsid w:val="00AE2FDB"/>
    <w:rsid w:val="00AE3B96"/>
    <w:rsid w:val="00AE44FB"/>
    <w:rsid w:val="00AE76B1"/>
    <w:rsid w:val="00AF03D2"/>
    <w:rsid w:val="00AF08C4"/>
    <w:rsid w:val="00AF0C55"/>
    <w:rsid w:val="00AF10F5"/>
    <w:rsid w:val="00AF3AF4"/>
    <w:rsid w:val="00AF5E29"/>
    <w:rsid w:val="00AF6D70"/>
    <w:rsid w:val="00AF7D11"/>
    <w:rsid w:val="00B000A2"/>
    <w:rsid w:val="00B00103"/>
    <w:rsid w:val="00B002A0"/>
    <w:rsid w:val="00B009F3"/>
    <w:rsid w:val="00B014F7"/>
    <w:rsid w:val="00B01D75"/>
    <w:rsid w:val="00B02721"/>
    <w:rsid w:val="00B0278A"/>
    <w:rsid w:val="00B03243"/>
    <w:rsid w:val="00B03879"/>
    <w:rsid w:val="00B04907"/>
    <w:rsid w:val="00B06290"/>
    <w:rsid w:val="00B063CA"/>
    <w:rsid w:val="00B07459"/>
    <w:rsid w:val="00B07A21"/>
    <w:rsid w:val="00B10656"/>
    <w:rsid w:val="00B10681"/>
    <w:rsid w:val="00B10E09"/>
    <w:rsid w:val="00B114FF"/>
    <w:rsid w:val="00B11635"/>
    <w:rsid w:val="00B11B31"/>
    <w:rsid w:val="00B11DCA"/>
    <w:rsid w:val="00B1235F"/>
    <w:rsid w:val="00B13907"/>
    <w:rsid w:val="00B13F15"/>
    <w:rsid w:val="00B14E25"/>
    <w:rsid w:val="00B15321"/>
    <w:rsid w:val="00B157E0"/>
    <w:rsid w:val="00B1631F"/>
    <w:rsid w:val="00B16A90"/>
    <w:rsid w:val="00B176D7"/>
    <w:rsid w:val="00B1788A"/>
    <w:rsid w:val="00B21438"/>
    <w:rsid w:val="00B21478"/>
    <w:rsid w:val="00B215BE"/>
    <w:rsid w:val="00B21C23"/>
    <w:rsid w:val="00B2227C"/>
    <w:rsid w:val="00B23C89"/>
    <w:rsid w:val="00B2425E"/>
    <w:rsid w:val="00B268CF"/>
    <w:rsid w:val="00B26A2F"/>
    <w:rsid w:val="00B27927"/>
    <w:rsid w:val="00B27FFD"/>
    <w:rsid w:val="00B30815"/>
    <w:rsid w:val="00B30F8F"/>
    <w:rsid w:val="00B313D6"/>
    <w:rsid w:val="00B322CC"/>
    <w:rsid w:val="00B3575E"/>
    <w:rsid w:val="00B426FD"/>
    <w:rsid w:val="00B430D1"/>
    <w:rsid w:val="00B43615"/>
    <w:rsid w:val="00B43ACF"/>
    <w:rsid w:val="00B45A47"/>
    <w:rsid w:val="00B45A4B"/>
    <w:rsid w:val="00B47BA5"/>
    <w:rsid w:val="00B47DB6"/>
    <w:rsid w:val="00B502B4"/>
    <w:rsid w:val="00B52F1B"/>
    <w:rsid w:val="00B5405B"/>
    <w:rsid w:val="00B547E2"/>
    <w:rsid w:val="00B55759"/>
    <w:rsid w:val="00B558B2"/>
    <w:rsid w:val="00B55BEF"/>
    <w:rsid w:val="00B55FC6"/>
    <w:rsid w:val="00B563B8"/>
    <w:rsid w:val="00B5646C"/>
    <w:rsid w:val="00B57640"/>
    <w:rsid w:val="00B60D02"/>
    <w:rsid w:val="00B61FAF"/>
    <w:rsid w:val="00B621C3"/>
    <w:rsid w:val="00B63752"/>
    <w:rsid w:val="00B6424E"/>
    <w:rsid w:val="00B65146"/>
    <w:rsid w:val="00B67E64"/>
    <w:rsid w:val="00B7070C"/>
    <w:rsid w:val="00B70836"/>
    <w:rsid w:val="00B70A09"/>
    <w:rsid w:val="00B70A6F"/>
    <w:rsid w:val="00B71456"/>
    <w:rsid w:val="00B71679"/>
    <w:rsid w:val="00B71C4C"/>
    <w:rsid w:val="00B7223B"/>
    <w:rsid w:val="00B72A49"/>
    <w:rsid w:val="00B74854"/>
    <w:rsid w:val="00B749D9"/>
    <w:rsid w:val="00B75299"/>
    <w:rsid w:val="00B755DA"/>
    <w:rsid w:val="00B75FA9"/>
    <w:rsid w:val="00B77B44"/>
    <w:rsid w:val="00B80118"/>
    <w:rsid w:val="00B80269"/>
    <w:rsid w:val="00B81B75"/>
    <w:rsid w:val="00B82E63"/>
    <w:rsid w:val="00B834C5"/>
    <w:rsid w:val="00B83DA9"/>
    <w:rsid w:val="00B84024"/>
    <w:rsid w:val="00B85C46"/>
    <w:rsid w:val="00B91176"/>
    <w:rsid w:val="00B91D90"/>
    <w:rsid w:val="00B93D46"/>
    <w:rsid w:val="00B94237"/>
    <w:rsid w:val="00B94448"/>
    <w:rsid w:val="00B95D5D"/>
    <w:rsid w:val="00B974F6"/>
    <w:rsid w:val="00BA0108"/>
    <w:rsid w:val="00BA0774"/>
    <w:rsid w:val="00BA136B"/>
    <w:rsid w:val="00BA2143"/>
    <w:rsid w:val="00BA35C5"/>
    <w:rsid w:val="00BA55EF"/>
    <w:rsid w:val="00BA5926"/>
    <w:rsid w:val="00BA7422"/>
    <w:rsid w:val="00BB0BAC"/>
    <w:rsid w:val="00BB1ED7"/>
    <w:rsid w:val="00BB253A"/>
    <w:rsid w:val="00BB2C47"/>
    <w:rsid w:val="00BB3159"/>
    <w:rsid w:val="00BB338B"/>
    <w:rsid w:val="00BB3EEE"/>
    <w:rsid w:val="00BB4264"/>
    <w:rsid w:val="00BB44F7"/>
    <w:rsid w:val="00BB4AE8"/>
    <w:rsid w:val="00BB5C44"/>
    <w:rsid w:val="00BB68AB"/>
    <w:rsid w:val="00BB6A74"/>
    <w:rsid w:val="00BB7647"/>
    <w:rsid w:val="00BB76FC"/>
    <w:rsid w:val="00BB77DC"/>
    <w:rsid w:val="00BC06B0"/>
    <w:rsid w:val="00BC4BD4"/>
    <w:rsid w:val="00BC58E6"/>
    <w:rsid w:val="00BC6BAC"/>
    <w:rsid w:val="00BC7FD5"/>
    <w:rsid w:val="00BD0024"/>
    <w:rsid w:val="00BD0BA7"/>
    <w:rsid w:val="00BD20D0"/>
    <w:rsid w:val="00BD3E88"/>
    <w:rsid w:val="00BD4AF7"/>
    <w:rsid w:val="00BD5119"/>
    <w:rsid w:val="00BD5290"/>
    <w:rsid w:val="00BE08C4"/>
    <w:rsid w:val="00BE0F26"/>
    <w:rsid w:val="00BE2345"/>
    <w:rsid w:val="00BE322B"/>
    <w:rsid w:val="00BE3339"/>
    <w:rsid w:val="00BE46FB"/>
    <w:rsid w:val="00BE68AA"/>
    <w:rsid w:val="00BE78ED"/>
    <w:rsid w:val="00BF035B"/>
    <w:rsid w:val="00BF05F6"/>
    <w:rsid w:val="00BF16D5"/>
    <w:rsid w:val="00BF1E09"/>
    <w:rsid w:val="00BF1EDF"/>
    <w:rsid w:val="00BF635E"/>
    <w:rsid w:val="00C00AC7"/>
    <w:rsid w:val="00C025F6"/>
    <w:rsid w:val="00C032FC"/>
    <w:rsid w:val="00C03C8C"/>
    <w:rsid w:val="00C04BD7"/>
    <w:rsid w:val="00C06CC9"/>
    <w:rsid w:val="00C07C1D"/>
    <w:rsid w:val="00C11DB2"/>
    <w:rsid w:val="00C12470"/>
    <w:rsid w:val="00C1247A"/>
    <w:rsid w:val="00C13FAA"/>
    <w:rsid w:val="00C16233"/>
    <w:rsid w:val="00C16630"/>
    <w:rsid w:val="00C1798F"/>
    <w:rsid w:val="00C20EE3"/>
    <w:rsid w:val="00C22076"/>
    <w:rsid w:val="00C232DF"/>
    <w:rsid w:val="00C23650"/>
    <w:rsid w:val="00C24252"/>
    <w:rsid w:val="00C248E8"/>
    <w:rsid w:val="00C24995"/>
    <w:rsid w:val="00C24FD3"/>
    <w:rsid w:val="00C27059"/>
    <w:rsid w:val="00C27686"/>
    <w:rsid w:val="00C27E6E"/>
    <w:rsid w:val="00C32645"/>
    <w:rsid w:val="00C32A0D"/>
    <w:rsid w:val="00C33329"/>
    <w:rsid w:val="00C34140"/>
    <w:rsid w:val="00C34B3E"/>
    <w:rsid w:val="00C362A8"/>
    <w:rsid w:val="00C368AA"/>
    <w:rsid w:val="00C36C54"/>
    <w:rsid w:val="00C37291"/>
    <w:rsid w:val="00C40765"/>
    <w:rsid w:val="00C418A5"/>
    <w:rsid w:val="00C42C39"/>
    <w:rsid w:val="00C42E5F"/>
    <w:rsid w:val="00C43658"/>
    <w:rsid w:val="00C44193"/>
    <w:rsid w:val="00C455D5"/>
    <w:rsid w:val="00C47425"/>
    <w:rsid w:val="00C47944"/>
    <w:rsid w:val="00C531D4"/>
    <w:rsid w:val="00C53612"/>
    <w:rsid w:val="00C53B43"/>
    <w:rsid w:val="00C53C8B"/>
    <w:rsid w:val="00C53D67"/>
    <w:rsid w:val="00C55752"/>
    <w:rsid w:val="00C56567"/>
    <w:rsid w:val="00C56A8F"/>
    <w:rsid w:val="00C575BD"/>
    <w:rsid w:val="00C5783B"/>
    <w:rsid w:val="00C579D5"/>
    <w:rsid w:val="00C6029C"/>
    <w:rsid w:val="00C606C1"/>
    <w:rsid w:val="00C60A99"/>
    <w:rsid w:val="00C60ADD"/>
    <w:rsid w:val="00C62266"/>
    <w:rsid w:val="00C62810"/>
    <w:rsid w:val="00C6303E"/>
    <w:rsid w:val="00C636F1"/>
    <w:rsid w:val="00C63D8B"/>
    <w:rsid w:val="00C651C1"/>
    <w:rsid w:val="00C66BE8"/>
    <w:rsid w:val="00C677CF"/>
    <w:rsid w:val="00C6786B"/>
    <w:rsid w:val="00C67AC8"/>
    <w:rsid w:val="00C70CAA"/>
    <w:rsid w:val="00C717E3"/>
    <w:rsid w:val="00C72285"/>
    <w:rsid w:val="00C73AF4"/>
    <w:rsid w:val="00C73DE3"/>
    <w:rsid w:val="00C775A4"/>
    <w:rsid w:val="00C77AD1"/>
    <w:rsid w:val="00C80BDE"/>
    <w:rsid w:val="00C822F0"/>
    <w:rsid w:val="00C823A6"/>
    <w:rsid w:val="00C82D09"/>
    <w:rsid w:val="00C84F21"/>
    <w:rsid w:val="00C866AA"/>
    <w:rsid w:val="00C87114"/>
    <w:rsid w:val="00C90C6E"/>
    <w:rsid w:val="00C92037"/>
    <w:rsid w:val="00C93121"/>
    <w:rsid w:val="00C936A2"/>
    <w:rsid w:val="00C93A05"/>
    <w:rsid w:val="00C943D3"/>
    <w:rsid w:val="00C96958"/>
    <w:rsid w:val="00C96CA9"/>
    <w:rsid w:val="00C9788B"/>
    <w:rsid w:val="00CA07D0"/>
    <w:rsid w:val="00CA392B"/>
    <w:rsid w:val="00CA46EA"/>
    <w:rsid w:val="00CA473D"/>
    <w:rsid w:val="00CA4BE1"/>
    <w:rsid w:val="00CA51BF"/>
    <w:rsid w:val="00CA7241"/>
    <w:rsid w:val="00CA7A3C"/>
    <w:rsid w:val="00CB0F71"/>
    <w:rsid w:val="00CB15EF"/>
    <w:rsid w:val="00CB317A"/>
    <w:rsid w:val="00CB69DF"/>
    <w:rsid w:val="00CB70FB"/>
    <w:rsid w:val="00CB7D65"/>
    <w:rsid w:val="00CB7EAC"/>
    <w:rsid w:val="00CC117A"/>
    <w:rsid w:val="00CC1383"/>
    <w:rsid w:val="00CC5FEB"/>
    <w:rsid w:val="00CD2C7A"/>
    <w:rsid w:val="00CD2E43"/>
    <w:rsid w:val="00CD3621"/>
    <w:rsid w:val="00CD400A"/>
    <w:rsid w:val="00CD4054"/>
    <w:rsid w:val="00CD455D"/>
    <w:rsid w:val="00CD54AB"/>
    <w:rsid w:val="00CD5665"/>
    <w:rsid w:val="00CD69B6"/>
    <w:rsid w:val="00CD69BD"/>
    <w:rsid w:val="00CE1066"/>
    <w:rsid w:val="00CE161A"/>
    <w:rsid w:val="00CE17CB"/>
    <w:rsid w:val="00CE21BD"/>
    <w:rsid w:val="00CE2C9E"/>
    <w:rsid w:val="00CE322C"/>
    <w:rsid w:val="00CE39FF"/>
    <w:rsid w:val="00CE460C"/>
    <w:rsid w:val="00CE5EBF"/>
    <w:rsid w:val="00CE7591"/>
    <w:rsid w:val="00CE7D82"/>
    <w:rsid w:val="00CF043C"/>
    <w:rsid w:val="00CF1BCE"/>
    <w:rsid w:val="00CF3F18"/>
    <w:rsid w:val="00CF445C"/>
    <w:rsid w:val="00CF4491"/>
    <w:rsid w:val="00CF4918"/>
    <w:rsid w:val="00CF552F"/>
    <w:rsid w:val="00CF5ABD"/>
    <w:rsid w:val="00D0005A"/>
    <w:rsid w:val="00D0361F"/>
    <w:rsid w:val="00D05345"/>
    <w:rsid w:val="00D0618D"/>
    <w:rsid w:val="00D066DF"/>
    <w:rsid w:val="00D068AE"/>
    <w:rsid w:val="00D06D0D"/>
    <w:rsid w:val="00D074C0"/>
    <w:rsid w:val="00D07AFF"/>
    <w:rsid w:val="00D11024"/>
    <w:rsid w:val="00D11216"/>
    <w:rsid w:val="00D117A4"/>
    <w:rsid w:val="00D12478"/>
    <w:rsid w:val="00D1364A"/>
    <w:rsid w:val="00D138AC"/>
    <w:rsid w:val="00D14407"/>
    <w:rsid w:val="00D153C0"/>
    <w:rsid w:val="00D1662D"/>
    <w:rsid w:val="00D1787B"/>
    <w:rsid w:val="00D205F8"/>
    <w:rsid w:val="00D20E58"/>
    <w:rsid w:val="00D22210"/>
    <w:rsid w:val="00D2415D"/>
    <w:rsid w:val="00D2450C"/>
    <w:rsid w:val="00D269E2"/>
    <w:rsid w:val="00D272E6"/>
    <w:rsid w:val="00D27911"/>
    <w:rsid w:val="00D30749"/>
    <w:rsid w:val="00D31C71"/>
    <w:rsid w:val="00D3220A"/>
    <w:rsid w:val="00D32270"/>
    <w:rsid w:val="00D32D02"/>
    <w:rsid w:val="00D33B20"/>
    <w:rsid w:val="00D343E2"/>
    <w:rsid w:val="00D36153"/>
    <w:rsid w:val="00D37AE4"/>
    <w:rsid w:val="00D426CA"/>
    <w:rsid w:val="00D42DCC"/>
    <w:rsid w:val="00D4313B"/>
    <w:rsid w:val="00D434C1"/>
    <w:rsid w:val="00D43510"/>
    <w:rsid w:val="00D44350"/>
    <w:rsid w:val="00D44F4B"/>
    <w:rsid w:val="00D4522F"/>
    <w:rsid w:val="00D45D5A"/>
    <w:rsid w:val="00D46BF0"/>
    <w:rsid w:val="00D476C2"/>
    <w:rsid w:val="00D50D70"/>
    <w:rsid w:val="00D50E31"/>
    <w:rsid w:val="00D513F5"/>
    <w:rsid w:val="00D518B9"/>
    <w:rsid w:val="00D51E0C"/>
    <w:rsid w:val="00D53461"/>
    <w:rsid w:val="00D53874"/>
    <w:rsid w:val="00D55081"/>
    <w:rsid w:val="00D55AA1"/>
    <w:rsid w:val="00D5772A"/>
    <w:rsid w:val="00D57C63"/>
    <w:rsid w:val="00D604D8"/>
    <w:rsid w:val="00D60CDC"/>
    <w:rsid w:val="00D613D3"/>
    <w:rsid w:val="00D61AFE"/>
    <w:rsid w:val="00D621B4"/>
    <w:rsid w:val="00D641A9"/>
    <w:rsid w:val="00D66AFC"/>
    <w:rsid w:val="00D67133"/>
    <w:rsid w:val="00D6729F"/>
    <w:rsid w:val="00D677B6"/>
    <w:rsid w:val="00D67F6F"/>
    <w:rsid w:val="00D70027"/>
    <w:rsid w:val="00D701C6"/>
    <w:rsid w:val="00D7052B"/>
    <w:rsid w:val="00D70A59"/>
    <w:rsid w:val="00D713E1"/>
    <w:rsid w:val="00D7281D"/>
    <w:rsid w:val="00D74845"/>
    <w:rsid w:val="00D75E13"/>
    <w:rsid w:val="00D767B1"/>
    <w:rsid w:val="00D76D30"/>
    <w:rsid w:val="00D77309"/>
    <w:rsid w:val="00D77560"/>
    <w:rsid w:val="00D776C2"/>
    <w:rsid w:val="00D80008"/>
    <w:rsid w:val="00D80105"/>
    <w:rsid w:val="00D80A3B"/>
    <w:rsid w:val="00D81F17"/>
    <w:rsid w:val="00D82ADF"/>
    <w:rsid w:val="00D83599"/>
    <w:rsid w:val="00D83B7D"/>
    <w:rsid w:val="00D83CA8"/>
    <w:rsid w:val="00D85590"/>
    <w:rsid w:val="00D86799"/>
    <w:rsid w:val="00D87149"/>
    <w:rsid w:val="00D87A53"/>
    <w:rsid w:val="00D93244"/>
    <w:rsid w:val="00D94D31"/>
    <w:rsid w:val="00D963BB"/>
    <w:rsid w:val="00D97B5B"/>
    <w:rsid w:val="00D97C8F"/>
    <w:rsid w:val="00DA05DD"/>
    <w:rsid w:val="00DA22C0"/>
    <w:rsid w:val="00DA2D96"/>
    <w:rsid w:val="00DA32C5"/>
    <w:rsid w:val="00DA3509"/>
    <w:rsid w:val="00DA391C"/>
    <w:rsid w:val="00DA410E"/>
    <w:rsid w:val="00DA52E9"/>
    <w:rsid w:val="00DA6C5A"/>
    <w:rsid w:val="00DA78CC"/>
    <w:rsid w:val="00DB03DD"/>
    <w:rsid w:val="00DB0C6D"/>
    <w:rsid w:val="00DB0FA1"/>
    <w:rsid w:val="00DB2FB9"/>
    <w:rsid w:val="00DB30E1"/>
    <w:rsid w:val="00DB3556"/>
    <w:rsid w:val="00DB436D"/>
    <w:rsid w:val="00DB68FE"/>
    <w:rsid w:val="00DB7332"/>
    <w:rsid w:val="00DC032B"/>
    <w:rsid w:val="00DC08C5"/>
    <w:rsid w:val="00DC1562"/>
    <w:rsid w:val="00DC282C"/>
    <w:rsid w:val="00DC3712"/>
    <w:rsid w:val="00DC37BA"/>
    <w:rsid w:val="00DC428E"/>
    <w:rsid w:val="00DC453D"/>
    <w:rsid w:val="00DC4AEF"/>
    <w:rsid w:val="00DC5349"/>
    <w:rsid w:val="00DC7D55"/>
    <w:rsid w:val="00DD036D"/>
    <w:rsid w:val="00DD044E"/>
    <w:rsid w:val="00DD1501"/>
    <w:rsid w:val="00DD19F6"/>
    <w:rsid w:val="00DD3AA7"/>
    <w:rsid w:val="00DD4857"/>
    <w:rsid w:val="00DD503F"/>
    <w:rsid w:val="00DD548F"/>
    <w:rsid w:val="00DD6588"/>
    <w:rsid w:val="00DE0CA2"/>
    <w:rsid w:val="00DE0F0D"/>
    <w:rsid w:val="00DE197C"/>
    <w:rsid w:val="00DE19FE"/>
    <w:rsid w:val="00DE24C2"/>
    <w:rsid w:val="00DE30C1"/>
    <w:rsid w:val="00DE30C8"/>
    <w:rsid w:val="00DE400A"/>
    <w:rsid w:val="00DE4ADA"/>
    <w:rsid w:val="00DE5949"/>
    <w:rsid w:val="00DE59AF"/>
    <w:rsid w:val="00DF1244"/>
    <w:rsid w:val="00DF1316"/>
    <w:rsid w:val="00DF1B73"/>
    <w:rsid w:val="00DF2613"/>
    <w:rsid w:val="00DF2D23"/>
    <w:rsid w:val="00DF3E41"/>
    <w:rsid w:val="00DF4245"/>
    <w:rsid w:val="00DF7792"/>
    <w:rsid w:val="00E01215"/>
    <w:rsid w:val="00E019C3"/>
    <w:rsid w:val="00E022F5"/>
    <w:rsid w:val="00E02584"/>
    <w:rsid w:val="00E02D20"/>
    <w:rsid w:val="00E04866"/>
    <w:rsid w:val="00E04B70"/>
    <w:rsid w:val="00E06D62"/>
    <w:rsid w:val="00E07168"/>
    <w:rsid w:val="00E0755A"/>
    <w:rsid w:val="00E10F54"/>
    <w:rsid w:val="00E114C6"/>
    <w:rsid w:val="00E134EB"/>
    <w:rsid w:val="00E134F2"/>
    <w:rsid w:val="00E13656"/>
    <w:rsid w:val="00E1499D"/>
    <w:rsid w:val="00E154CA"/>
    <w:rsid w:val="00E15816"/>
    <w:rsid w:val="00E165A6"/>
    <w:rsid w:val="00E16737"/>
    <w:rsid w:val="00E168EE"/>
    <w:rsid w:val="00E16DBF"/>
    <w:rsid w:val="00E17C4A"/>
    <w:rsid w:val="00E2160A"/>
    <w:rsid w:val="00E2448B"/>
    <w:rsid w:val="00E256D3"/>
    <w:rsid w:val="00E260E4"/>
    <w:rsid w:val="00E30E47"/>
    <w:rsid w:val="00E30E67"/>
    <w:rsid w:val="00E310DA"/>
    <w:rsid w:val="00E31B4F"/>
    <w:rsid w:val="00E31C4E"/>
    <w:rsid w:val="00E3221F"/>
    <w:rsid w:val="00E323F1"/>
    <w:rsid w:val="00E3241D"/>
    <w:rsid w:val="00E329F9"/>
    <w:rsid w:val="00E33093"/>
    <w:rsid w:val="00E34183"/>
    <w:rsid w:val="00E351F5"/>
    <w:rsid w:val="00E3739F"/>
    <w:rsid w:val="00E37944"/>
    <w:rsid w:val="00E37BF9"/>
    <w:rsid w:val="00E37C37"/>
    <w:rsid w:val="00E4065A"/>
    <w:rsid w:val="00E40B7C"/>
    <w:rsid w:val="00E417BC"/>
    <w:rsid w:val="00E41ED0"/>
    <w:rsid w:val="00E43515"/>
    <w:rsid w:val="00E43645"/>
    <w:rsid w:val="00E44BB3"/>
    <w:rsid w:val="00E455B8"/>
    <w:rsid w:val="00E458B4"/>
    <w:rsid w:val="00E4788D"/>
    <w:rsid w:val="00E47DED"/>
    <w:rsid w:val="00E47E83"/>
    <w:rsid w:val="00E50257"/>
    <w:rsid w:val="00E510C2"/>
    <w:rsid w:val="00E52C0A"/>
    <w:rsid w:val="00E531B4"/>
    <w:rsid w:val="00E5396D"/>
    <w:rsid w:val="00E54C2C"/>
    <w:rsid w:val="00E55072"/>
    <w:rsid w:val="00E551F5"/>
    <w:rsid w:val="00E56682"/>
    <w:rsid w:val="00E5767A"/>
    <w:rsid w:val="00E605C2"/>
    <w:rsid w:val="00E60FFA"/>
    <w:rsid w:val="00E6117E"/>
    <w:rsid w:val="00E62301"/>
    <w:rsid w:val="00E627A1"/>
    <w:rsid w:val="00E635A9"/>
    <w:rsid w:val="00E63B43"/>
    <w:rsid w:val="00E653D5"/>
    <w:rsid w:val="00E659C1"/>
    <w:rsid w:val="00E728C6"/>
    <w:rsid w:val="00E72DF1"/>
    <w:rsid w:val="00E730CE"/>
    <w:rsid w:val="00E7404B"/>
    <w:rsid w:val="00E74305"/>
    <w:rsid w:val="00E747F2"/>
    <w:rsid w:val="00E7598A"/>
    <w:rsid w:val="00E75DA0"/>
    <w:rsid w:val="00E75F0C"/>
    <w:rsid w:val="00E761F7"/>
    <w:rsid w:val="00E771DC"/>
    <w:rsid w:val="00E779FC"/>
    <w:rsid w:val="00E806E9"/>
    <w:rsid w:val="00E82736"/>
    <w:rsid w:val="00E82A49"/>
    <w:rsid w:val="00E8315C"/>
    <w:rsid w:val="00E839EF"/>
    <w:rsid w:val="00E83D29"/>
    <w:rsid w:val="00E8475F"/>
    <w:rsid w:val="00E84F84"/>
    <w:rsid w:val="00E856B7"/>
    <w:rsid w:val="00E860BC"/>
    <w:rsid w:val="00E8619F"/>
    <w:rsid w:val="00E86C1F"/>
    <w:rsid w:val="00E87268"/>
    <w:rsid w:val="00E91911"/>
    <w:rsid w:val="00E92481"/>
    <w:rsid w:val="00E925AC"/>
    <w:rsid w:val="00E92F4E"/>
    <w:rsid w:val="00E93EB6"/>
    <w:rsid w:val="00E94534"/>
    <w:rsid w:val="00E950B1"/>
    <w:rsid w:val="00E955AF"/>
    <w:rsid w:val="00E95E22"/>
    <w:rsid w:val="00E95E41"/>
    <w:rsid w:val="00E974BA"/>
    <w:rsid w:val="00EA0A5F"/>
    <w:rsid w:val="00EA1E6B"/>
    <w:rsid w:val="00EA2074"/>
    <w:rsid w:val="00EA2C00"/>
    <w:rsid w:val="00EA3AF4"/>
    <w:rsid w:val="00EA3D71"/>
    <w:rsid w:val="00EA4836"/>
    <w:rsid w:val="00EA4AFE"/>
    <w:rsid w:val="00EA5F40"/>
    <w:rsid w:val="00EA6621"/>
    <w:rsid w:val="00EA66F0"/>
    <w:rsid w:val="00EA676B"/>
    <w:rsid w:val="00EA6E63"/>
    <w:rsid w:val="00EA790A"/>
    <w:rsid w:val="00EB3562"/>
    <w:rsid w:val="00EB415D"/>
    <w:rsid w:val="00EB59CA"/>
    <w:rsid w:val="00EB68C5"/>
    <w:rsid w:val="00EB6A05"/>
    <w:rsid w:val="00EB6A3C"/>
    <w:rsid w:val="00EB6B98"/>
    <w:rsid w:val="00EB750A"/>
    <w:rsid w:val="00EB7A7F"/>
    <w:rsid w:val="00EC1BEF"/>
    <w:rsid w:val="00EC1DF0"/>
    <w:rsid w:val="00EC1E0A"/>
    <w:rsid w:val="00EC1F0A"/>
    <w:rsid w:val="00EC551E"/>
    <w:rsid w:val="00EC6662"/>
    <w:rsid w:val="00EC69D3"/>
    <w:rsid w:val="00EC70F8"/>
    <w:rsid w:val="00ED11AB"/>
    <w:rsid w:val="00ED3157"/>
    <w:rsid w:val="00ED6184"/>
    <w:rsid w:val="00ED664B"/>
    <w:rsid w:val="00ED6BFE"/>
    <w:rsid w:val="00ED7BA5"/>
    <w:rsid w:val="00EE1DD7"/>
    <w:rsid w:val="00EE3AA4"/>
    <w:rsid w:val="00EE543D"/>
    <w:rsid w:val="00EE556B"/>
    <w:rsid w:val="00EE74F0"/>
    <w:rsid w:val="00EF120B"/>
    <w:rsid w:val="00EF16BD"/>
    <w:rsid w:val="00EF28BB"/>
    <w:rsid w:val="00EF3216"/>
    <w:rsid w:val="00EF345F"/>
    <w:rsid w:val="00EF6A2F"/>
    <w:rsid w:val="00EF6B99"/>
    <w:rsid w:val="00EF7583"/>
    <w:rsid w:val="00EF78DB"/>
    <w:rsid w:val="00F0103E"/>
    <w:rsid w:val="00F03B31"/>
    <w:rsid w:val="00F043CC"/>
    <w:rsid w:val="00F04C59"/>
    <w:rsid w:val="00F05C6F"/>
    <w:rsid w:val="00F06486"/>
    <w:rsid w:val="00F06B3E"/>
    <w:rsid w:val="00F072DD"/>
    <w:rsid w:val="00F100CB"/>
    <w:rsid w:val="00F10219"/>
    <w:rsid w:val="00F1031D"/>
    <w:rsid w:val="00F104AF"/>
    <w:rsid w:val="00F106C5"/>
    <w:rsid w:val="00F111C8"/>
    <w:rsid w:val="00F1173E"/>
    <w:rsid w:val="00F16286"/>
    <w:rsid w:val="00F16607"/>
    <w:rsid w:val="00F23257"/>
    <w:rsid w:val="00F237D4"/>
    <w:rsid w:val="00F23B0E"/>
    <w:rsid w:val="00F24A22"/>
    <w:rsid w:val="00F24D50"/>
    <w:rsid w:val="00F24E76"/>
    <w:rsid w:val="00F26309"/>
    <w:rsid w:val="00F26544"/>
    <w:rsid w:val="00F2689D"/>
    <w:rsid w:val="00F31781"/>
    <w:rsid w:val="00F317FD"/>
    <w:rsid w:val="00F33E19"/>
    <w:rsid w:val="00F3432A"/>
    <w:rsid w:val="00F358D1"/>
    <w:rsid w:val="00F35D64"/>
    <w:rsid w:val="00F3725B"/>
    <w:rsid w:val="00F37DE0"/>
    <w:rsid w:val="00F37E3B"/>
    <w:rsid w:val="00F416BF"/>
    <w:rsid w:val="00F41EDD"/>
    <w:rsid w:val="00F420F4"/>
    <w:rsid w:val="00F423B1"/>
    <w:rsid w:val="00F42B90"/>
    <w:rsid w:val="00F4334C"/>
    <w:rsid w:val="00F4387F"/>
    <w:rsid w:val="00F438D5"/>
    <w:rsid w:val="00F43C88"/>
    <w:rsid w:val="00F44B3D"/>
    <w:rsid w:val="00F47A6C"/>
    <w:rsid w:val="00F50582"/>
    <w:rsid w:val="00F50764"/>
    <w:rsid w:val="00F510C2"/>
    <w:rsid w:val="00F51CED"/>
    <w:rsid w:val="00F51DB5"/>
    <w:rsid w:val="00F521A0"/>
    <w:rsid w:val="00F529F1"/>
    <w:rsid w:val="00F53571"/>
    <w:rsid w:val="00F53B36"/>
    <w:rsid w:val="00F54126"/>
    <w:rsid w:val="00F54672"/>
    <w:rsid w:val="00F548C2"/>
    <w:rsid w:val="00F54D1B"/>
    <w:rsid w:val="00F54E11"/>
    <w:rsid w:val="00F55D70"/>
    <w:rsid w:val="00F62579"/>
    <w:rsid w:val="00F62DC0"/>
    <w:rsid w:val="00F65DDF"/>
    <w:rsid w:val="00F66815"/>
    <w:rsid w:val="00F71279"/>
    <w:rsid w:val="00F72492"/>
    <w:rsid w:val="00F7298C"/>
    <w:rsid w:val="00F7544E"/>
    <w:rsid w:val="00F75514"/>
    <w:rsid w:val="00F764CD"/>
    <w:rsid w:val="00F7735D"/>
    <w:rsid w:val="00F7739E"/>
    <w:rsid w:val="00F774E2"/>
    <w:rsid w:val="00F778BD"/>
    <w:rsid w:val="00F8254F"/>
    <w:rsid w:val="00F8364C"/>
    <w:rsid w:val="00F83C60"/>
    <w:rsid w:val="00F83FD0"/>
    <w:rsid w:val="00F84F44"/>
    <w:rsid w:val="00F85D33"/>
    <w:rsid w:val="00F8708C"/>
    <w:rsid w:val="00F87985"/>
    <w:rsid w:val="00F908F6"/>
    <w:rsid w:val="00F91D9C"/>
    <w:rsid w:val="00F91DD7"/>
    <w:rsid w:val="00F93DE4"/>
    <w:rsid w:val="00F94E81"/>
    <w:rsid w:val="00F952C6"/>
    <w:rsid w:val="00F957A4"/>
    <w:rsid w:val="00F96830"/>
    <w:rsid w:val="00F9764C"/>
    <w:rsid w:val="00F97E42"/>
    <w:rsid w:val="00FA1DB8"/>
    <w:rsid w:val="00FA2ABF"/>
    <w:rsid w:val="00FA65A3"/>
    <w:rsid w:val="00FB21DD"/>
    <w:rsid w:val="00FB2FC2"/>
    <w:rsid w:val="00FB354F"/>
    <w:rsid w:val="00FB4353"/>
    <w:rsid w:val="00FB57D9"/>
    <w:rsid w:val="00FC0634"/>
    <w:rsid w:val="00FC1AFA"/>
    <w:rsid w:val="00FC4F26"/>
    <w:rsid w:val="00FC5275"/>
    <w:rsid w:val="00FC593F"/>
    <w:rsid w:val="00FC62CE"/>
    <w:rsid w:val="00FC62E9"/>
    <w:rsid w:val="00FC6694"/>
    <w:rsid w:val="00FC6CEB"/>
    <w:rsid w:val="00FC7D3F"/>
    <w:rsid w:val="00FD1140"/>
    <w:rsid w:val="00FD1D37"/>
    <w:rsid w:val="00FD2D42"/>
    <w:rsid w:val="00FD2E64"/>
    <w:rsid w:val="00FD3364"/>
    <w:rsid w:val="00FD3A02"/>
    <w:rsid w:val="00FD3F60"/>
    <w:rsid w:val="00FD4415"/>
    <w:rsid w:val="00FD56C9"/>
    <w:rsid w:val="00FD56F6"/>
    <w:rsid w:val="00FD5B1D"/>
    <w:rsid w:val="00FD622A"/>
    <w:rsid w:val="00FD6AB0"/>
    <w:rsid w:val="00FE0414"/>
    <w:rsid w:val="00FE0E40"/>
    <w:rsid w:val="00FE1084"/>
    <w:rsid w:val="00FE2052"/>
    <w:rsid w:val="00FE37A7"/>
    <w:rsid w:val="00FE3839"/>
    <w:rsid w:val="00FE3E73"/>
    <w:rsid w:val="00FE4B6D"/>
    <w:rsid w:val="00FE78B8"/>
    <w:rsid w:val="00FE7B4B"/>
    <w:rsid w:val="00FF0377"/>
    <w:rsid w:val="00FF21E0"/>
    <w:rsid w:val="00FF2292"/>
    <w:rsid w:val="00FF28F2"/>
    <w:rsid w:val="00FF2D77"/>
    <w:rsid w:val="00FF2FF5"/>
    <w:rsid w:val="00FF3682"/>
    <w:rsid w:val="00FF3CF2"/>
    <w:rsid w:val="00FF42C4"/>
    <w:rsid w:val="00FF4556"/>
    <w:rsid w:val="00FF6427"/>
    <w:rsid w:val="00FF7222"/>
    <w:rsid w:val="00FF72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A1DD16"/>
  <w15:docId w15:val="{960C0832-A2CE-44C3-913D-C6D8D311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44E"/>
    <w:pPr>
      <w:ind w:left="720"/>
      <w:contextualSpacing/>
    </w:pPr>
  </w:style>
  <w:style w:type="table" w:styleId="TableGrid">
    <w:name w:val="Table Grid"/>
    <w:basedOn w:val="TableNormal"/>
    <w:rsid w:val="009E1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7D82"/>
  </w:style>
  <w:style w:type="paragraph" w:styleId="NormalWeb">
    <w:name w:val="Normal (Web)"/>
    <w:basedOn w:val="Normal"/>
    <w:uiPriority w:val="99"/>
    <w:unhideWhenUsed/>
    <w:rsid w:val="002C0DF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C1D76"/>
    <w:rPr>
      <w:color w:val="808080"/>
    </w:rPr>
  </w:style>
  <w:style w:type="paragraph" w:styleId="BalloonText">
    <w:name w:val="Balloon Text"/>
    <w:basedOn w:val="Normal"/>
    <w:link w:val="BalloonTextChar"/>
    <w:uiPriority w:val="99"/>
    <w:semiHidden/>
    <w:unhideWhenUsed/>
    <w:rsid w:val="00E4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645"/>
    <w:rPr>
      <w:rFonts w:ascii="Segoe UI" w:hAnsi="Segoe UI" w:cs="Segoe UI"/>
      <w:sz w:val="18"/>
      <w:szCs w:val="18"/>
    </w:rPr>
  </w:style>
  <w:style w:type="character" w:styleId="CommentReference">
    <w:name w:val="annotation reference"/>
    <w:basedOn w:val="DefaultParagraphFont"/>
    <w:uiPriority w:val="99"/>
    <w:semiHidden/>
    <w:unhideWhenUsed/>
    <w:rsid w:val="00726DAE"/>
    <w:rPr>
      <w:sz w:val="16"/>
      <w:szCs w:val="16"/>
    </w:rPr>
  </w:style>
  <w:style w:type="paragraph" w:styleId="CommentText">
    <w:name w:val="annotation text"/>
    <w:basedOn w:val="Normal"/>
    <w:link w:val="CommentTextChar"/>
    <w:uiPriority w:val="99"/>
    <w:unhideWhenUsed/>
    <w:rsid w:val="00726DAE"/>
    <w:pPr>
      <w:spacing w:line="240" w:lineRule="auto"/>
    </w:pPr>
    <w:rPr>
      <w:sz w:val="20"/>
      <w:szCs w:val="20"/>
    </w:rPr>
  </w:style>
  <w:style w:type="character" w:customStyle="1" w:styleId="CommentTextChar">
    <w:name w:val="Comment Text Char"/>
    <w:basedOn w:val="DefaultParagraphFont"/>
    <w:link w:val="CommentText"/>
    <w:uiPriority w:val="99"/>
    <w:rsid w:val="00726DAE"/>
    <w:rPr>
      <w:sz w:val="20"/>
      <w:szCs w:val="20"/>
    </w:rPr>
  </w:style>
  <w:style w:type="paragraph" w:styleId="CommentSubject">
    <w:name w:val="annotation subject"/>
    <w:basedOn w:val="CommentText"/>
    <w:next w:val="CommentText"/>
    <w:link w:val="CommentSubjectChar"/>
    <w:uiPriority w:val="99"/>
    <w:semiHidden/>
    <w:unhideWhenUsed/>
    <w:rsid w:val="00726DAE"/>
    <w:rPr>
      <w:b/>
      <w:bCs/>
    </w:rPr>
  </w:style>
  <w:style w:type="character" w:customStyle="1" w:styleId="CommentSubjectChar">
    <w:name w:val="Comment Subject Char"/>
    <w:basedOn w:val="CommentTextChar"/>
    <w:link w:val="CommentSubject"/>
    <w:uiPriority w:val="99"/>
    <w:semiHidden/>
    <w:rsid w:val="00726DAE"/>
    <w:rPr>
      <w:b/>
      <w:bCs/>
      <w:sz w:val="20"/>
      <w:szCs w:val="20"/>
    </w:rPr>
  </w:style>
  <w:style w:type="paragraph" w:styleId="Header">
    <w:name w:val="header"/>
    <w:basedOn w:val="Normal"/>
    <w:link w:val="HeaderChar"/>
    <w:uiPriority w:val="99"/>
    <w:unhideWhenUsed/>
    <w:rsid w:val="008E5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6FD"/>
  </w:style>
  <w:style w:type="paragraph" w:styleId="Footer">
    <w:name w:val="footer"/>
    <w:basedOn w:val="Normal"/>
    <w:link w:val="FooterChar"/>
    <w:uiPriority w:val="99"/>
    <w:unhideWhenUsed/>
    <w:rsid w:val="008E5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6FD"/>
  </w:style>
  <w:style w:type="character" w:styleId="PageNumber">
    <w:name w:val="page number"/>
    <w:basedOn w:val="DefaultParagraphFont"/>
    <w:uiPriority w:val="99"/>
    <w:semiHidden/>
    <w:unhideWhenUsed/>
    <w:rsid w:val="008E56FD"/>
  </w:style>
  <w:style w:type="paragraph" w:customStyle="1" w:styleId="EndNoteBibliography">
    <w:name w:val="EndNote Bibliography"/>
    <w:basedOn w:val="Normal"/>
    <w:rsid w:val="00B000A2"/>
    <w:pPr>
      <w:spacing w:after="0" w:line="240" w:lineRule="auto"/>
    </w:pPr>
    <w:rPr>
      <w:rFonts w:ascii="Cambria" w:eastAsiaTheme="minorEastAsia" w:hAnsi="Cambria"/>
      <w:sz w:val="24"/>
      <w:szCs w:val="24"/>
    </w:rPr>
  </w:style>
  <w:style w:type="character" w:styleId="Hyperlink">
    <w:name w:val="Hyperlink"/>
    <w:basedOn w:val="DefaultParagraphFont"/>
    <w:uiPriority w:val="99"/>
    <w:unhideWhenUsed/>
    <w:rsid w:val="00B00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ie.rose@case.edu"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0CEFF-2B7E-444C-AAFE-72D41656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59514</Words>
  <Characters>339236</Characters>
  <Application>Microsoft Office Word</Application>
  <DocSecurity>0</DocSecurity>
  <Lines>2826</Lines>
  <Paragraphs>795</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397955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Johnie Rose</cp:lastModifiedBy>
  <cp:revision>4</cp:revision>
  <cp:lastPrinted>2019-02-13T21:22:00Z</cp:lastPrinted>
  <dcterms:created xsi:type="dcterms:W3CDTF">2019-02-14T02:50:00Z</dcterms:created>
  <dcterms:modified xsi:type="dcterms:W3CDTF">2019-02-14T02:54:00Z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http://www.zotero.org/styles/cancer-causes-and-control</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http://www.zotero.org/styles/cancer-causes-and-control</vt:lpwstr>
  </property>
  <property fmtid="{D5CDD505-2E9C-101B-9397-08002B2CF9AE}" pid="9" name="Mendeley Recent Style Name 2_1">
    <vt:lpwstr>Cancer Causes &amp; Control</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http://www.zotero.org/styles/national-library-of-medicine</vt:lpwstr>
  </property>
  <property fmtid="{D5CDD505-2E9C-101B-9397-08002B2CF9AE}" pid="21" name="Mendeley Recent Style Name 8_1">
    <vt:lpwstr>National Library of Medicine</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cce97aaa-0550-3a6c-99e3-07d5e920ed4c</vt:lpwstr>
  </property>
</Properties>
</file>