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E34AF" w14:textId="77777777" w:rsidR="001669D8" w:rsidRDefault="00E265B4">
      <w:pPr>
        <w:jc w:val="center"/>
        <w:rPr>
          <w:b/>
          <w:color w:val="000000"/>
          <w:sz w:val="32"/>
          <w:szCs w:val="32"/>
        </w:rPr>
      </w:pPr>
      <w:bookmarkStart w:id="0" w:name="_gjdgxs" w:colFirst="0" w:colLast="0"/>
      <w:bookmarkStart w:id="1" w:name="_GoBack"/>
      <w:bookmarkEnd w:id="0"/>
      <w:bookmarkEnd w:id="1"/>
      <w:r>
        <w:rPr>
          <w:b/>
          <w:color w:val="000000"/>
          <w:sz w:val="32"/>
          <w:szCs w:val="32"/>
        </w:rPr>
        <w:t>The interconnections of academic research and universities’ “third mission”: Evidence from the UK</w:t>
      </w:r>
    </w:p>
    <w:p w14:paraId="45A80A25" w14:textId="77777777" w:rsidR="001669D8" w:rsidRDefault="001669D8">
      <w:pPr>
        <w:jc w:val="both"/>
        <w:rPr>
          <w:b/>
          <w:color w:val="000000"/>
        </w:rPr>
      </w:pPr>
    </w:p>
    <w:p w14:paraId="5A9A0ED9" w14:textId="77777777" w:rsidR="001669D8" w:rsidRDefault="001669D8">
      <w:pPr>
        <w:jc w:val="both"/>
        <w:rPr>
          <w:b/>
          <w:color w:val="000000"/>
        </w:rPr>
      </w:pPr>
    </w:p>
    <w:p w14:paraId="633879C4" w14:textId="77777777" w:rsidR="001669D8" w:rsidRDefault="001669D8">
      <w:pPr>
        <w:jc w:val="both"/>
        <w:rPr>
          <w:b/>
          <w:color w:val="000000"/>
        </w:rPr>
      </w:pPr>
    </w:p>
    <w:p w14:paraId="08A4335E" w14:textId="77777777" w:rsidR="001669D8" w:rsidRDefault="001669D8">
      <w:pPr>
        <w:jc w:val="both"/>
        <w:rPr>
          <w:b/>
          <w:color w:val="000000"/>
        </w:rPr>
      </w:pPr>
    </w:p>
    <w:p w14:paraId="1E53447D" w14:textId="77777777" w:rsidR="001669D8" w:rsidRDefault="00E265B4">
      <w:pPr>
        <w:jc w:val="both"/>
        <w:rPr>
          <w:b/>
          <w:color w:val="000000"/>
        </w:rPr>
      </w:pPr>
      <w:r>
        <w:rPr>
          <w:b/>
          <w:color w:val="000000"/>
        </w:rPr>
        <w:t xml:space="preserve">Abstract </w:t>
      </w:r>
    </w:p>
    <w:p w14:paraId="7B7730BF" w14:textId="77777777" w:rsidR="001669D8" w:rsidRDefault="001669D8">
      <w:pPr>
        <w:jc w:val="both"/>
        <w:rPr>
          <w:rFonts w:ascii="Times" w:eastAsia="Times" w:hAnsi="Times" w:cs="Times"/>
          <w:color w:val="000000"/>
          <w:sz w:val="19"/>
          <w:szCs w:val="19"/>
        </w:rPr>
      </w:pPr>
    </w:p>
    <w:p w14:paraId="2695F837" w14:textId="77777777" w:rsidR="001669D8" w:rsidRPr="0065405D" w:rsidRDefault="00E265B4">
      <w:pPr>
        <w:jc w:val="both"/>
        <w:rPr>
          <w:rFonts w:ascii="GulliverRM" w:eastAsia="GulliverRM" w:hAnsi="GulliverRM" w:cs="GulliverRM"/>
          <w:color w:val="000000"/>
          <w:sz w:val="14"/>
          <w:szCs w:val="14"/>
        </w:rPr>
      </w:pPr>
      <w:r>
        <w:rPr>
          <w:color w:val="000000"/>
        </w:rPr>
        <w:t xml:space="preserve">A considerable body of work acknowledges the importance and benefits of the university–industry </w:t>
      </w:r>
      <w:r w:rsidRPr="0065405D">
        <w:rPr>
          <w:color w:val="000000"/>
        </w:rPr>
        <w:t>relationship for the economy and society, but also for increasing the revenue of universities themselves (known also as universities’ “third mission”). However, questions have also been raised about the consequences of the university-industry relationship and its impact on their traditional role. This paper contributes to this debate by exploring whether and how being efficient in generating income from engagement activities impacts on universities’ research performance. By using a sample of 119 UK higher educational institutions for period 2007–2014, and controlling for endogeneity issue, the results show that efficiency in terms of university-industry income and research performance exhibits a nonlinear relationship for both universities established before (“old universities”), and after (“new universities”), the Higher Education Act 1992 (HEA). However, for high level of efficiency, “old universities” do not appear able to improve their research performance further. Finally, positive synergies between the third mission and research mission decline in a more teaching-oriented environment. We conclude that policy makers should account for organisational heterogeneity and teaching orientation to promote research excellence effectively by stimulating engagement.</w:t>
      </w:r>
    </w:p>
    <w:p w14:paraId="62600DF3" w14:textId="77777777" w:rsidR="001669D8" w:rsidRPr="0065405D" w:rsidRDefault="00E265B4">
      <w:pPr>
        <w:spacing w:before="280" w:after="280"/>
        <w:rPr>
          <w:color w:val="000000"/>
        </w:rPr>
      </w:pPr>
      <w:r w:rsidRPr="0065405D">
        <w:rPr>
          <w:b/>
          <w:color w:val="000000"/>
        </w:rPr>
        <w:t xml:space="preserve">Keywords: </w:t>
      </w:r>
      <w:r w:rsidRPr="0065405D">
        <w:rPr>
          <w:color w:val="000000"/>
        </w:rPr>
        <w:t xml:space="preserve">Efficiency; Higher education institutions; Industry Engagement; REF </w:t>
      </w:r>
    </w:p>
    <w:p w14:paraId="1A04176B" w14:textId="77777777" w:rsidR="001669D8" w:rsidRPr="0065405D" w:rsidRDefault="00E265B4">
      <w:pPr>
        <w:spacing w:line="360" w:lineRule="auto"/>
        <w:ind w:firstLine="567"/>
        <w:jc w:val="both"/>
        <w:rPr>
          <w:color w:val="000000"/>
        </w:rPr>
      </w:pPr>
      <w:r w:rsidRPr="0065405D">
        <w:br w:type="page"/>
      </w:r>
    </w:p>
    <w:p w14:paraId="2A032C2E" w14:textId="77777777" w:rsidR="001669D8" w:rsidRPr="0065405D" w:rsidRDefault="00E265B4">
      <w:pPr>
        <w:numPr>
          <w:ilvl w:val="0"/>
          <w:numId w:val="2"/>
        </w:numPr>
        <w:pBdr>
          <w:top w:val="nil"/>
          <w:left w:val="nil"/>
          <w:bottom w:val="nil"/>
          <w:right w:val="nil"/>
          <w:between w:val="nil"/>
        </w:pBdr>
        <w:spacing w:before="240" w:after="240"/>
        <w:ind w:left="357" w:hanging="357"/>
        <w:rPr>
          <w:b/>
          <w:color w:val="000000"/>
        </w:rPr>
      </w:pPr>
      <w:r w:rsidRPr="0065405D">
        <w:rPr>
          <w:b/>
          <w:color w:val="000000"/>
        </w:rPr>
        <w:lastRenderedPageBreak/>
        <w:t xml:space="preserve">Introduction </w:t>
      </w:r>
    </w:p>
    <w:p w14:paraId="56C29F0D" w14:textId="77777777" w:rsidR="001669D8" w:rsidRPr="0065405D" w:rsidRDefault="00E265B4">
      <w:pPr>
        <w:spacing w:line="360" w:lineRule="auto"/>
        <w:ind w:firstLine="567"/>
        <w:jc w:val="both"/>
        <w:rPr>
          <w:color w:val="000000"/>
        </w:rPr>
      </w:pPr>
      <w:r w:rsidRPr="0065405D">
        <w:rPr>
          <w:color w:val="000000"/>
        </w:rPr>
        <w:t xml:space="preserve"> </w:t>
      </w:r>
    </w:p>
    <w:p w14:paraId="035C945C" w14:textId="77777777" w:rsidR="001669D8" w:rsidRPr="0065405D" w:rsidRDefault="00E265B4">
      <w:pPr>
        <w:spacing w:line="360" w:lineRule="auto"/>
        <w:ind w:firstLine="567"/>
        <w:jc w:val="both"/>
      </w:pPr>
      <w:r w:rsidRPr="0065405D">
        <w:rPr>
          <w:color w:val="000000"/>
        </w:rPr>
        <w:t>In</w:t>
      </w:r>
      <w:r w:rsidRPr="0065405D">
        <w:t xml:space="preserve"> recent years, UK universities have adopted an entrepreneurial university model </w:t>
      </w:r>
      <w:r w:rsidR="008E1221" w:rsidRPr="0065405D">
        <w:t>to</w:t>
      </w:r>
      <w:r w:rsidRPr="0065405D">
        <w:t xml:space="preserve"> </w:t>
      </w:r>
      <w:r w:rsidRPr="0065405D">
        <w:rPr>
          <w:color w:val="000000"/>
        </w:rPr>
        <w:t xml:space="preserve">stimulate knowledge transfer through external collaborations with industry and commerce and to bring in further resources for the accomplishment of academic goals (e.g. Clark 1998; Schulte, 2004; Kitagawa, 2005; Shattock, 2005; Kitagawa et al., 2016). Even though the </w:t>
      </w:r>
      <w:r w:rsidRPr="0065405D">
        <w:t>commercialisation of academic research and various forms of engagement with non-academic communities</w:t>
      </w:r>
      <w:r w:rsidRPr="0065405D">
        <w:rPr>
          <w:color w:val="000000"/>
        </w:rPr>
        <w:t xml:space="preserve"> </w:t>
      </w:r>
      <w:r w:rsidRPr="0065405D">
        <w:t xml:space="preserve">are encouraged from both policy and management perspectives, it is still debated in the literature whether </w:t>
      </w:r>
      <w:r w:rsidRPr="0065405D">
        <w:rPr>
          <w:color w:val="000000"/>
        </w:rPr>
        <w:t xml:space="preserve">these can be successfully integrated with the traditional areas of teaching and research (among others, </w:t>
      </w:r>
      <w:hyperlink r:id="rId8">
        <w:r w:rsidRPr="0065405D">
          <w:rPr>
            <w:color w:val="000000"/>
          </w:rPr>
          <w:t>D'Este</w:t>
        </w:r>
      </w:hyperlink>
      <w:r w:rsidRPr="0065405D">
        <w:rPr>
          <w:color w:val="000000"/>
        </w:rPr>
        <w:t xml:space="preserve"> and</w:t>
      </w:r>
      <w:hyperlink r:id="rId9">
        <w:r w:rsidRPr="0065405D">
          <w:rPr>
            <w:color w:val="000000"/>
          </w:rPr>
          <w:t xml:space="preserve"> Patel</w:t>
        </w:r>
      </w:hyperlink>
      <w:r w:rsidRPr="0065405D">
        <w:rPr>
          <w:color w:val="000000"/>
        </w:rPr>
        <w:t xml:space="preserve">, 2007; Larsen, 2011; </w:t>
      </w:r>
      <w:hyperlink r:id="rId10" w:anchor="%21">
        <w:r w:rsidRPr="0065405D">
          <w:rPr>
            <w:color w:val="000000"/>
          </w:rPr>
          <w:t>Hewitt-Dundas</w:t>
        </w:r>
      </w:hyperlink>
      <w:r w:rsidRPr="0065405D">
        <w:rPr>
          <w:color w:val="000000"/>
        </w:rPr>
        <w:t xml:space="preserve">, 2012; Perkmann et al., 2013; Sánchez Barrioluengo et al., 2016).  </w:t>
      </w:r>
    </w:p>
    <w:p w14:paraId="11B450B6" w14:textId="77777777" w:rsidR="001669D8" w:rsidRPr="0065405D" w:rsidRDefault="00E265B4">
      <w:pPr>
        <w:spacing w:line="360" w:lineRule="auto"/>
        <w:ind w:firstLine="567"/>
        <w:jc w:val="both"/>
        <w:rPr>
          <w:color w:val="000000"/>
        </w:rPr>
      </w:pPr>
      <w:r w:rsidRPr="0065405D">
        <w:t xml:space="preserve">Crucial to this debate is the fact that universities exhibit heterogeneous backgrounds, strengths, and resources, and encompass many institutional differences, leading them to respond differently to external opportunities and challenges (Huggins et al., 2012; Hewitt-Dundas, 2012; Charles et al., 2014; </w:t>
      </w:r>
      <w:r w:rsidRPr="0065405D">
        <w:rPr>
          <w:color w:val="000000"/>
        </w:rPr>
        <w:t xml:space="preserve">Chang et al., 2016; </w:t>
      </w:r>
      <w:r w:rsidRPr="0065405D">
        <w:t xml:space="preserve">Sánchez-Barrioluengo et al., forthcoming). </w:t>
      </w:r>
      <w:r w:rsidRPr="0065405D">
        <w:rPr>
          <w:color w:val="000000"/>
        </w:rPr>
        <w:t xml:space="preserve"> </w:t>
      </w:r>
    </w:p>
    <w:p w14:paraId="4D890DF0" w14:textId="77777777" w:rsidR="001669D8" w:rsidRPr="0065405D" w:rsidRDefault="00E265B4">
      <w:pPr>
        <w:spacing w:line="360" w:lineRule="auto"/>
        <w:ind w:firstLine="567"/>
        <w:jc w:val="both"/>
        <w:rPr>
          <w:color w:val="000000"/>
        </w:rPr>
      </w:pPr>
      <w:bookmarkStart w:id="2" w:name="_30j0zll" w:colFirst="0" w:colLast="0"/>
      <w:bookmarkEnd w:id="2"/>
      <w:r w:rsidRPr="0065405D">
        <w:rPr>
          <w:color w:val="000000"/>
        </w:rPr>
        <w:t>As argued by Martin (2012), the promotion of the interaction between university and industry is not new to the university system. In fact, it is</w:t>
      </w:r>
      <w:r w:rsidR="008E1221">
        <w:rPr>
          <w:color w:val="000000"/>
        </w:rPr>
        <w:t xml:space="preserve"> </w:t>
      </w:r>
      <w:r w:rsidRPr="0065405D">
        <w:rPr>
          <w:color w:val="000000"/>
        </w:rPr>
        <w:t>based on the idea of a “social contract”, which is closer to the one in place before the second half of the twentieth century. At that time, the so-called “third mission” was pursued by some types of universities, such as “polytechnics” and “grant” universities in the US and Europe</w:t>
      </w:r>
      <w:r w:rsidRPr="0065405D">
        <w:rPr>
          <w:color w:val="000000"/>
          <w:vertAlign w:val="superscript"/>
        </w:rPr>
        <w:footnoteReference w:id="1"/>
      </w:r>
      <w:r w:rsidRPr="0065405D">
        <w:rPr>
          <w:color w:val="000000"/>
        </w:rPr>
        <w:t>. Even though these types of institutions disappeared in several countries, universities still employ differing capabilities and strategies in terms of knowledge transfer activities</w:t>
      </w:r>
      <w:r w:rsidRPr="0065405D">
        <w:t xml:space="preserve"> in response to policy requirements (</w:t>
      </w:r>
      <w:r w:rsidRPr="0065405D">
        <w:rPr>
          <w:color w:val="000000"/>
        </w:rPr>
        <w:t>Kitagawa et al., 2016)</w:t>
      </w:r>
      <w:r w:rsidRPr="0065405D">
        <w:t xml:space="preserve">. </w:t>
      </w:r>
      <w:r w:rsidRPr="0065405D">
        <w:rPr>
          <w:color w:val="000000"/>
        </w:rPr>
        <w:t xml:space="preserve">For example, Sánchez Barrioluengo (2016) shows that more research-oriented universities tend to focus on “harder” forms of engagement, such as collaborative research, contract research, and the generation of intellectual property (IP), while newer universities, or more teaching-oriented universities, focus more on “softer” forms of engagement, such as training and consultancy activities. </w:t>
      </w:r>
    </w:p>
    <w:p w14:paraId="1DE89664" w14:textId="77777777" w:rsidR="001669D8" w:rsidRPr="0065405D" w:rsidRDefault="00E265B4">
      <w:pPr>
        <w:spacing w:line="360" w:lineRule="auto"/>
        <w:ind w:firstLine="567"/>
        <w:jc w:val="both"/>
        <w:rPr>
          <w:color w:val="000000"/>
        </w:rPr>
      </w:pPr>
      <w:r w:rsidRPr="0065405D">
        <w:rPr>
          <w:color w:val="000000"/>
        </w:rPr>
        <w:t>Arguably, universities try to differentiate themselves within an increasingly competitive sector by searching their own synergies and balance between all three missions’ activities (Molas-Gallart et al., 2002).</w:t>
      </w:r>
      <w:r w:rsidRPr="0065405D">
        <w:rPr>
          <w:color w:val="000000"/>
          <w:vertAlign w:val="superscript"/>
        </w:rPr>
        <w:footnoteReference w:id="2"/>
      </w:r>
      <w:r w:rsidRPr="0065405D">
        <w:t xml:space="preserve"> However, in contrast to this specialization trend, </w:t>
      </w:r>
      <w:r w:rsidRPr="0065405D">
        <w:rPr>
          <w:color w:val="000000"/>
        </w:rPr>
        <w:t xml:space="preserve">there is a tendency from both policy and management perspectives to impose on all institutions the need to be simultaneously centres of excellence in education, research, and in terms of interactions with the socioeconomic environment (Sánchez Barrioluengo, 2014). Policy initiatives have required a homogenising process of higher education policy frameworks through research evaluation and resource allocation mechanisms at various levels (see Hicks, 2012; Aagaard, 2015).  All these policy interventions have been associated with the idea of a “one-size-fits-all” model, which considers HEIs as organisations with homogeneous and uniform capacities to achieve similar accomplishments in terms of social engagement (Kitagawa et al., 2016). However, as argued by Sánchez Barrioluengo (2014), this model can be unrealistic and contrasts with the heterogeneous pathways that HEIs appear to adopt in practice. </w:t>
      </w:r>
    </w:p>
    <w:p w14:paraId="7EDE4ADF" w14:textId="77777777" w:rsidR="001669D8" w:rsidRPr="0065405D" w:rsidRDefault="00E265B4">
      <w:pPr>
        <w:spacing w:line="360" w:lineRule="auto"/>
        <w:ind w:firstLine="567"/>
        <w:jc w:val="both"/>
        <w:rPr>
          <w:color w:val="000000"/>
        </w:rPr>
      </w:pPr>
      <w:r w:rsidRPr="0065405D">
        <w:rPr>
          <w:color w:val="000000"/>
        </w:rPr>
        <w:t xml:space="preserve">Following on from these discussions, we formulate our research questions as to whether, and how, the relationship between missions can change according to a different organisational context. </w:t>
      </w:r>
      <w:r w:rsidR="008E1221">
        <w:rPr>
          <w:color w:val="000000"/>
        </w:rPr>
        <w:t>In particular, t</w:t>
      </w:r>
      <w:r w:rsidR="008E1221" w:rsidRPr="0065405D">
        <w:rPr>
          <w:color w:val="000000"/>
        </w:rPr>
        <w:t>his</w:t>
      </w:r>
      <w:r w:rsidRPr="0065405D">
        <w:rPr>
          <w:color w:val="000000"/>
        </w:rPr>
        <w:t xml:space="preserve"> paper attempts to uncover the mechanisms between universities’ missions by addressing the following questions: (1) Which universities are most efficient in generating income from “third mission” activities?  (2) Are the most efficient universities in terms of “third mission” also able to excel in research performance? (3) Does the diversity of institutions affect the synergies between missions? (4) How does the teaching orientation of universities moderate the relationship between the third mission and research mission in different organisational contexts? The purpose is to assess the efficiency of HEIs by modelling their capabilities to generate higher income from engagement activities given the human resources and infrastructure available on a comparative basis. This measure takes into consideration the variety of resources available at the university level that could adversely affect the achievement of higher income from engagement activities compared to other similar institutions. Next, we present nuance</w:t>
      </w:r>
      <w:r w:rsidR="00873163">
        <w:rPr>
          <w:color w:val="000000"/>
        </w:rPr>
        <w:t>d</w:t>
      </w:r>
      <w:r w:rsidRPr="0065405D">
        <w:rPr>
          <w:color w:val="000000"/>
        </w:rPr>
        <w:t xml:space="preserve"> evidence on the capabilities of efficient universities in underpinning various forms of engagement with industry to produce excellent research.</w:t>
      </w:r>
    </w:p>
    <w:p w14:paraId="30EB5755" w14:textId="6C52826D" w:rsidR="001669D8" w:rsidRPr="0065405D" w:rsidRDefault="00E265B4">
      <w:pPr>
        <w:spacing w:line="360" w:lineRule="auto"/>
        <w:ind w:firstLine="567"/>
        <w:jc w:val="both"/>
        <w:rPr>
          <w:color w:val="000000"/>
        </w:rPr>
      </w:pPr>
      <w:bookmarkStart w:id="4" w:name="_1fob9te" w:colFirst="0" w:colLast="0"/>
      <w:bookmarkEnd w:id="4"/>
      <w:r w:rsidRPr="0065405D">
        <w:rPr>
          <w:color w:val="000000"/>
        </w:rPr>
        <w:t>To address these research questions, we employ a detailed dataset of 119 UK HEIs, collected over the period from 2007 to 2014. The focus on the UK is motivated by several reasons. First, the UK educational system has profoundly changed its business practices and policies to effectively value and promote a deep engagement with business and government. As pointed outby Martin (2016), in the UK more than anywhere else, there has been a greater formalisation and more burdensome bureaucracy has been implemented by promoting</w:t>
      </w:r>
      <w:r w:rsidRPr="0065405D">
        <w:t xml:space="preserve"> policies based on mass production and standardisation. This has led to the pursuit of policies based on</w:t>
      </w:r>
      <w:r w:rsidRPr="0065405D">
        <w:rPr>
          <w:color w:val="000000"/>
        </w:rPr>
        <w:t xml:space="preserve"> accountability and performance targets designated on standardized metrics (Burrows, </w:t>
      </w:r>
      <w:r w:rsidRPr="0065405D">
        <w:rPr>
          <w:color w:val="000081"/>
        </w:rPr>
        <w:t>2012</w:t>
      </w:r>
      <w:r w:rsidRPr="0065405D">
        <w:rPr>
          <w:color w:val="000000"/>
        </w:rPr>
        <w:t>). Specifically, all the HEIs in the UK are subject to the same system of research, namely the Research Excellence Framework (REF), which ranks and assesses universities based on their overall research indicators (Martin, 2011)</w:t>
      </w:r>
      <w:r w:rsidRPr="0065405D">
        <w:rPr>
          <w:color w:val="000000"/>
          <w:vertAlign w:val="superscript"/>
        </w:rPr>
        <w:footnoteReference w:id="3"/>
      </w:r>
      <w:r w:rsidRPr="0065405D">
        <w:rPr>
          <w:color w:val="000000"/>
        </w:rPr>
        <w:t xml:space="preserve">. </w:t>
      </w:r>
      <w:r w:rsidR="004756B7">
        <w:rPr>
          <w:color w:val="000000"/>
        </w:rPr>
        <w:t>Despite</w:t>
      </w:r>
      <w:r w:rsidRPr="0065405D">
        <w:rPr>
          <w:color w:val="000000"/>
        </w:rPr>
        <w:t xml:space="preserve"> this metric of evaluation allows for a comparison of the research performance of universities, its adoption is not free from criticisms as it may favour certain departments over others. As extensively argued by Martin (2016), the research performance metric seems to value more traditional disciplines and is therefore more likely to benefit departments focusing on the disciplinary mainstream rather than devoting themselves to interdisciplinary research. This could also discourage industrial engagement that requires the adoption of interdisciplinary research.</w:t>
      </w:r>
    </w:p>
    <w:p w14:paraId="4F821758" w14:textId="77777777" w:rsidR="001669D8" w:rsidRPr="0065405D" w:rsidRDefault="00E265B4">
      <w:pPr>
        <w:spacing w:line="360" w:lineRule="auto"/>
        <w:ind w:firstLine="284"/>
        <w:jc w:val="both"/>
        <w:rPr>
          <w:color w:val="000000"/>
        </w:rPr>
      </w:pPr>
      <w:r w:rsidRPr="0065405D">
        <w:rPr>
          <w:color w:val="000000"/>
        </w:rPr>
        <w:t xml:space="preserve">Furthermore, the “third mission” of the university in the UK is increasingly seen as a crucial aim of universities’ activities and has become progressively institutionalised and incentivised via a range of policies, funding streams (such as the Higher Education Innovation Funding (HEIF)) and infrastructure investment (Kitagawa and Lightowler, 2013). Furthermore, the </w:t>
      </w:r>
      <w:r w:rsidRPr="0065405D">
        <w:t xml:space="preserve">UK REF now considers the assessment of the ‘impact’ research has </w:t>
      </w:r>
      <w:r w:rsidRPr="0065405D">
        <w:rPr>
          <w:color w:val="111111"/>
        </w:rPr>
        <w:t>on wider society</w:t>
      </w:r>
      <w:r w:rsidRPr="0065405D">
        <w:t xml:space="preserve"> in addition to the existing assessment of research excellence.</w:t>
      </w:r>
    </w:p>
    <w:p w14:paraId="4CC65F0A" w14:textId="77777777" w:rsidR="001669D8" w:rsidRPr="0065405D" w:rsidRDefault="00E265B4">
      <w:pPr>
        <w:spacing w:line="360" w:lineRule="auto"/>
        <w:ind w:firstLine="567"/>
        <w:jc w:val="both"/>
        <w:rPr>
          <w:color w:val="000000"/>
        </w:rPr>
      </w:pPr>
      <w:r w:rsidRPr="0065405D">
        <w:rPr>
          <w:color w:val="000000"/>
        </w:rPr>
        <w:t xml:space="preserve">Finally, it must be emphasised that the UK education system encompasses different organisations in terms of research intensity and third mission portfolio of activities (Goddard et al., 2014). Consistent with previous studies focusing on the UK (Guerrero et al., 2015; Hewitt- Hewitt-Dundas, 2012; Kitagawa et al.,2016; Sánchez Barrioluengo et al., 2016) there are two main group of universities in the UK: the so-called “old universities”, which are typically more research focused; and “new universities”, which were granted university status after 1992 as a result of the Further and Higher Education Act (HEA). Before the HEA, the polytechnics offered higher diplomas, undergraduate degrees and postgraduate education (masters degrees and doctorates) under the </w:t>
      </w:r>
      <w:hyperlink r:id="rId11">
        <w:r w:rsidRPr="0065405D">
          <w:rPr>
            <w:color w:val="000000"/>
          </w:rPr>
          <w:t>Council for National Academic Awards</w:t>
        </w:r>
      </w:hyperlink>
      <w:r w:rsidRPr="0065405D">
        <w:rPr>
          <w:color w:val="000000"/>
        </w:rPr>
        <w:t xml:space="preserve"> (CNAA) at the national level. As pointed out by Guerrero et al. (2015), although all the universities are devoted to research and teaching, the balance of these activities varies and tends to differ in terms of the mix of knowledge exchange activities carried out (Hewitt-Dundas, 2012). For example, “new universities” tend to be locally oriented, given their traditional focus on vocational education and training, and their relatively low engagement in basic research (Charles et al., 2014; Goddard et al., 2014). They are more involved in consultancy activities, especially with SMEs and local communities, while “old universities” are active in various third mission activities such as contracts of research with SMEs and large companies, consultancy contracts, and IP (including patents, copyright, design, registration, and trade marks) (Sánchez Barrioluengo et al., 2016). </w:t>
      </w:r>
    </w:p>
    <w:p w14:paraId="7138D4D4" w14:textId="70023892" w:rsidR="001669D8" w:rsidRPr="0065405D" w:rsidRDefault="00E265B4">
      <w:pPr>
        <w:spacing w:line="360" w:lineRule="auto"/>
        <w:ind w:firstLine="567"/>
        <w:jc w:val="both"/>
        <w:rPr>
          <w:color w:val="000000"/>
        </w:rPr>
      </w:pPr>
      <w:r w:rsidRPr="0065405D">
        <w:rPr>
          <w:color w:val="000000"/>
        </w:rPr>
        <w:t>Base</w:t>
      </w:r>
      <w:r w:rsidR="009D1D0F">
        <w:rPr>
          <w:color w:val="000000"/>
        </w:rPr>
        <w:t>d</w:t>
      </w:r>
      <w:r w:rsidRPr="0065405D">
        <w:rPr>
          <w:color w:val="000000"/>
        </w:rPr>
        <w:t xml:space="preserve"> on the previous discussion, our paper contributes to the relevant literature in different ways. To the best of our knowledge, this is the first study that investigates universities’ performance (efficiency) in generating income from their engagement in third mission activities (Avkiran, 2001; Bonaccorsi and Daraio, 2007; Bonaccorsi et al., 2014; Daraio et al., 2011, 2015a, b; Gimenez and Martinez, 2006; Johnes and Johnes, 2009; Wolszczak-Derlacz and Parteka, 2011; Wolszczak-Derlacz, 2017).  Specifically, we introduce a new measure of performance for engagement activities at the institutional level that allows us to explore how the heterogeneity of resources and different managerial skills can allow institutions to better accomplish their third mission functions. From a methodological viewpoint we employ a robust frontier technique (Cazals et al., 2002) as an analytic tool to quantify the efficiency of institutions in generating income from engagement activities on a comparative basis. Other studies make use of the perceived performance of individuals, which makes the validity and comparability of results across studies difficult. The applied estimator overcomes this issue as it assesses the relative efficiency of a sample of HEIs in improving income from industrial engagement through the construction of a production frontier in the multi-input/multi-output. By only using the frequency or amount of engagement, as other studies, we could draw biased conclusions. This is because universities can differ in the resources invested or employed for the accomplishment of their third mission activities.</w:t>
      </w:r>
    </w:p>
    <w:p w14:paraId="2C49ACD2" w14:textId="77777777" w:rsidR="001669D8" w:rsidRPr="0065405D" w:rsidRDefault="00E265B4">
      <w:pPr>
        <w:spacing w:line="360" w:lineRule="auto"/>
        <w:ind w:firstLine="567"/>
        <w:jc w:val="both"/>
        <w:rPr>
          <w:color w:val="000000"/>
        </w:rPr>
      </w:pPr>
      <w:r w:rsidRPr="0065405D">
        <w:rPr>
          <w:color w:val="000000"/>
        </w:rPr>
        <w:t xml:space="preserve">Second, we explore whether the co-existence of a hybrid role identity that comprises a more traditional academic format (with teaching and research mission) and a commercial format is optimal for all institutions or whether it depends on specific organisational characteristics. Specifically, we investigate the impact of the efficiency of generating income from the third mission on the research excellence of “old universities” and “new universities”. These two groups of universities exhibit a diverse third mission portfolio that reflects different strategies that they have pursued by nurturing their strengths over time and for historical reasons (Kitagawa et al., 2016). In this context, more entrepreneurial universities could be better off by setting academic goals </w:t>
      </w:r>
      <w:r w:rsidR="0090473C" w:rsidRPr="0065405D">
        <w:rPr>
          <w:color w:val="000000"/>
        </w:rPr>
        <w:t>to</w:t>
      </w:r>
      <w:r w:rsidRPr="0065405D">
        <w:rPr>
          <w:color w:val="000000"/>
        </w:rPr>
        <w:t xml:space="preserve"> transmit academic knowledge to society. For example, “technical” higher education institutions such as “polytechnics” and “land grant” universities have historically shown a stronger emphasis on the third mission (Martin, 2012). This could be translated into a reduction of possible frictions between third missions and other traditional missions. </w:t>
      </w:r>
    </w:p>
    <w:p w14:paraId="2177CC08" w14:textId="77777777" w:rsidR="001669D8" w:rsidRPr="0065405D" w:rsidRDefault="00E265B4">
      <w:pPr>
        <w:spacing w:line="360" w:lineRule="auto"/>
        <w:ind w:firstLine="567"/>
        <w:jc w:val="both"/>
        <w:rPr>
          <w:color w:val="000000"/>
        </w:rPr>
      </w:pPr>
      <w:r w:rsidRPr="0065405D">
        <w:rPr>
          <w:color w:val="000000"/>
        </w:rPr>
        <w:t xml:space="preserve">Finally, from a methodological point of view we tackle possible endogeneity issues between the third mission and research performance. Endogeneity related problems can arise since universities could set the sources and goals of their third mission activities based on the expected and desirable research performance levels. Furthermore, thee literature also highlights that former research outputs, which are related to future outcomes, can impact positively on universities’ knowledge transfer activities (Sengupta and Ray, 2017). </w:t>
      </w:r>
    </w:p>
    <w:p w14:paraId="0BDB1D49" w14:textId="77777777" w:rsidR="001669D8" w:rsidRPr="0065405D" w:rsidRDefault="00E265B4">
      <w:pPr>
        <w:spacing w:line="360" w:lineRule="auto"/>
        <w:ind w:firstLine="567"/>
        <w:jc w:val="both"/>
        <w:rPr>
          <w:color w:val="000000"/>
        </w:rPr>
      </w:pPr>
      <w:r w:rsidRPr="0065405D">
        <w:rPr>
          <w:color w:val="000000"/>
        </w:rPr>
        <w:t xml:space="preserve">Therefore, this paper contributes to the recent debate by providing nuanced evidence on the existence of possible synergies and frictions between different missions (Kitagawa et al., 2016, Sánchez Barrioluengo, 2014; Sánchez Barrioluengo et al., 2016 among others). </w:t>
      </w:r>
      <w:r w:rsidRPr="0065405D">
        <w:t>Our findings suggest that the pursuit of the third mission activities may not be detrimental to a university’s goal of achieving research excellence.</w:t>
      </w:r>
      <w:r w:rsidRPr="0065405D">
        <w:rPr>
          <w:color w:val="000000"/>
        </w:rPr>
        <w:t xml:space="preserve"> Specifically, we provide evidence that “old” and “new” universities that are efficient in generating income from engagement activities, can </w:t>
      </w:r>
      <w:r w:rsidRPr="0065405D">
        <w:t>attain</w:t>
      </w:r>
      <w:r w:rsidRPr="0065405D">
        <w:rPr>
          <w:color w:val="000000"/>
        </w:rPr>
        <w:t xml:space="preserve"> research excellence at the same time. However, our findings also indicate that “old universities” experience synergies in terms of the third mission and the research mission up to a certain threshold. After this threshold, the efficiency in terms of income from third mission activities does not lead to the improvement of research excellence. In the case of “new universities”, efficiency in terms of third mission seems to be positively associated with better research quality without any specific threshold. </w:t>
      </w:r>
      <w:bookmarkStart w:id="5" w:name="_3znysh7" w:colFirst="0" w:colLast="0"/>
      <w:bookmarkEnd w:id="5"/>
      <w:r w:rsidRPr="0065405D">
        <w:rPr>
          <w:color w:val="000000"/>
        </w:rPr>
        <w:t xml:space="preserve">Finally, we find that a relatively low student-staff ratio can help to amplify the impact of the income generated by engagement activities on research quality. </w:t>
      </w:r>
    </w:p>
    <w:p w14:paraId="6FFF2CD8" w14:textId="77777777" w:rsidR="001669D8" w:rsidRDefault="00E265B4">
      <w:pPr>
        <w:spacing w:line="360" w:lineRule="auto"/>
        <w:ind w:firstLine="567"/>
        <w:jc w:val="both"/>
        <w:rPr>
          <w:color w:val="000000"/>
        </w:rPr>
      </w:pPr>
      <w:r w:rsidRPr="0065405D">
        <w:rPr>
          <w:color w:val="000000"/>
        </w:rPr>
        <w:t xml:space="preserve">The paper is structured as follows. Section 2 provides a review of the literature on the studies that have examined the measurement on the efficiency in the university context. Section 3 discusses the robust frontier technique (Cazals et al., 2002) that we have employed to quantify the efficiency of institutions in generating income from engagement activities on a comparative basis.  We further describe the measure of research performance employed in the analysis.   Section 3 </w:t>
      </w:r>
      <w:r w:rsidR="0090473C">
        <w:rPr>
          <w:color w:val="000000"/>
        </w:rPr>
        <w:t>discusses the</w:t>
      </w:r>
      <w:r w:rsidRPr="0065405D">
        <w:rPr>
          <w:color w:val="000000"/>
        </w:rPr>
        <w:t xml:space="preserve"> data </w:t>
      </w:r>
      <w:r w:rsidR="0090473C">
        <w:rPr>
          <w:color w:val="000000"/>
        </w:rPr>
        <w:t>and</w:t>
      </w:r>
      <w:r w:rsidRPr="0065405D">
        <w:rPr>
          <w:color w:val="000000"/>
        </w:rPr>
        <w:t xml:space="preserve"> the inputs and outputs used for the efficiency analysis. Section 4 presents the main results and sensitivity analysis by taking into consideration the student-staff ratio</w:t>
      </w:r>
      <w:r w:rsidRPr="0065405D">
        <w:rPr>
          <w:i/>
          <w:color w:val="000000"/>
        </w:rPr>
        <w:t xml:space="preserve"> </w:t>
      </w:r>
      <w:r w:rsidRPr="0065405D">
        <w:rPr>
          <w:color w:val="000000"/>
        </w:rPr>
        <w:t xml:space="preserve">and mission or disciplinary affiliations of each university. Section 5 concludes the paper by discussing the trade-off between the third mission and research mission and policy implications. </w:t>
      </w:r>
    </w:p>
    <w:p w14:paraId="2B684492" w14:textId="77777777" w:rsidR="0065405D" w:rsidRDefault="0065405D">
      <w:pPr>
        <w:spacing w:line="360" w:lineRule="auto"/>
        <w:ind w:firstLine="567"/>
        <w:jc w:val="both"/>
      </w:pPr>
    </w:p>
    <w:p w14:paraId="5A1B504E" w14:textId="77777777" w:rsidR="0065405D" w:rsidRPr="0065405D" w:rsidRDefault="0065405D">
      <w:pPr>
        <w:spacing w:line="360" w:lineRule="auto"/>
        <w:ind w:firstLine="567"/>
        <w:jc w:val="both"/>
      </w:pPr>
    </w:p>
    <w:p w14:paraId="64E4B42C" w14:textId="77777777" w:rsidR="001669D8" w:rsidRPr="0065405D" w:rsidRDefault="00E265B4">
      <w:pPr>
        <w:numPr>
          <w:ilvl w:val="0"/>
          <w:numId w:val="2"/>
        </w:numPr>
        <w:pBdr>
          <w:top w:val="nil"/>
          <w:left w:val="nil"/>
          <w:bottom w:val="nil"/>
          <w:right w:val="nil"/>
          <w:between w:val="nil"/>
        </w:pBdr>
        <w:spacing w:line="360" w:lineRule="auto"/>
        <w:jc w:val="both"/>
        <w:rPr>
          <w:b/>
          <w:color w:val="000000"/>
        </w:rPr>
      </w:pPr>
      <w:r w:rsidRPr="0065405D">
        <w:rPr>
          <w:b/>
          <w:color w:val="000000"/>
        </w:rPr>
        <w:t>Literature review</w:t>
      </w:r>
    </w:p>
    <w:p w14:paraId="34E0F525" w14:textId="77777777" w:rsidR="001669D8" w:rsidRPr="0065405D" w:rsidRDefault="00E265B4">
      <w:pPr>
        <w:numPr>
          <w:ilvl w:val="1"/>
          <w:numId w:val="1"/>
        </w:numPr>
        <w:pBdr>
          <w:top w:val="nil"/>
          <w:left w:val="nil"/>
          <w:bottom w:val="nil"/>
          <w:right w:val="nil"/>
          <w:between w:val="nil"/>
        </w:pBdr>
        <w:spacing w:line="360" w:lineRule="auto"/>
        <w:ind w:left="567" w:hanging="425"/>
        <w:jc w:val="both"/>
        <w:rPr>
          <w:b/>
          <w:color w:val="000000"/>
        </w:rPr>
      </w:pPr>
      <w:r w:rsidRPr="0065405D">
        <w:rPr>
          <w:b/>
          <w:color w:val="000000"/>
        </w:rPr>
        <w:t xml:space="preserve"> An overview of the studies on efficiency of HEIs in the UK</w:t>
      </w:r>
    </w:p>
    <w:p w14:paraId="35295B44" w14:textId="77777777" w:rsidR="001669D8" w:rsidRPr="0065405D" w:rsidRDefault="001669D8">
      <w:pPr>
        <w:rPr>
          <w:color w:val="000000"/>
        </w:rPr>
      </w:pPr>
    </w:p>
    <w:p w14:paraId="0E9F1CD8" w14:textId="2C4CAABB" w:rsidR="001669D8" w:rsidRPr="0065405D" w:rsidRDefault="00802A6D">
      <w:pPr>
        <w:spacing w:line="360" w:lineRule="auto"/>
        <w:jc w:val="both"/>
        <w:rPr>
          <w:color w:val="000000"/>
        </w:rPr>
      </w:pPr>
      <w:r>
        <w:rPr>
          <w:color w:val="000000"/>
        </w:rPr>
        <w:t>T</w:t>
      </w:r>
      <w:r w:rsidR="00E265B4" w:rsidRPr="0065405D">
        <w:rPr>
          <w:color w:val="000000"/>
        </w:rPr>
        <w:t xml:space="preserve">he UK higher education sector has seen a steady and consistent process of transformation, with increased competition and </w:t>
      </w:r>
      <w:r w:rsidR="00873163">
        <w:rPr>
          <w:color w:val="000000"/>
        </w:rPr>
        <w:t>subsequent</w:t>
      </w:r>
      <w:r w:rsidR="00E265B4" w:rsidRPr="0065405D">
        <w:rPr>
          <w:color w:val="000000"/>
        </w:rPr>
        <w:t xml:space="preserve"> reduction of public resources. Since the 1980s, the British government has recommended the introduction of performance indicators (Casu and Thanassoulis, 2006) with the scope </w:t>
      </w:r>
      <w:r w:rsidR="00873163">
        <w:rPr>
          <w:color w:val="000000"/>
        </w:rPr>
        <w:t>of</w:t>
      </w:r>
      <w:r w:rsidR="00E265B4" w:rsidRPr="0065405D">
        <w:rPr>
          <w:color w:val="000000"/>
        </w:rPr>
        <w:t xml:space="preserve"> identify</w:t>
      </w:r>
      <w:r w:rsidR="00873163">
        <w:rPr>
          <w:color w:val="000000"/>
        </w:rPr>
        <w:t>ing</w:t>
      </w:r>
      <w:r w:rsidR="00E265B4" w:rsidRPr="0065405D">
        <w:rPr>
          <w:color w:val="000000"/>
        </w:rPr>
        <w:t xml:space="preserve"> and reduc</w:t>
      </w:r>
      <w:r w:rsidR="00873163">
        <w:rPr>
          <w:color w:val="000000"/>
        </w:rPr>
        <w:t>ing</w:t>
      </w:r>
      <w:r w:rsidR="00E265B4" w:rsidRPr="0065405D">
        <w:rPr>
          <w:color w:val="000000"/>
        </w:rPr>
        <w:t xml:space="preserve"> the inefficient allocation of public resources</w:t>
      </w:r>
      <w:r w:rsidR="00873163">
        <w:rPr>
          <w:color w:val="000000"/>
        </w:rPr>
        <w:t>,</w:t>
      </w:r>
      <w:r w:rsidR="00E265B4" w:rsidRPr="0065405D">
        <w:rPr>
          <w:color w:val="000000"/>
        </w:rPr>
        <w:t xml:space="preserve"> and to recognise and support national excellence. </w:t>
      </w:r>
      <w:r w:rsidR="0090473C" w:rsidRPr="0065405D">
        <w:rPr>
          <w:color w:val="000000"/>
        </w:rPr>
        <w:t>Consequently</w:t>
      </w:r>
      <w:r w:rsidR="00E265B4" w:rsidRPr="0065405D">
        <w:rPr>
          <w:color w:val="000000"/>
        </w:rPr>
        <w:t>, the UK Higher Education Institutions (HEIs) engage in the Research Assessment Exercise (RAE) for the evaluation of universities’ performance and Teaching Quality Assessment (TQA) based on performance indicators.  In the UK, the government started to provide support to the university-industry technology transfer back to the 1970s. However, the first interventions were rather fragmented and restricted to certain disciplines, such as science and engineering. Only since the 1990s have policymakers promoted initiatives such as the Knowledge Exploitation Programme to support universities’ third mission engagement in a more comprehensive way (Rosli and Rossi, 2016). Performance-based funding system for the third mission was established later in 2007.</w:t>
      </w:r>
      <w:r w:rsidR="00E265B4" w:rsidRPr="0065405D">
        <w:rPr>
          <w:color w:val="000000"/>
          <w:vertAlign w:val="superscript"/>
        </w:rPr>
        <w:footnoteReference w:id="4"/>
      </w:r>
      <w:r w:rsidR="00E265B4" w:rsidRPr="0065405D">
        <w:rPr>
          <w:color w:val="000000"/>
        </w:rPr>
        <w:t xml:space="preserve">   </w:t>
      </w:r>
    </w:p>
    <w:p w14:paraId="0922357B" w14:textId="4BF83715" w:rsidR="00873163" w:rsidRDefault="00E265B4">
      <w:pPr>
        <w:spacing w:line="360" w:lineRule="auto"/>
        <w:ind w:firstLine="567"/>
        <w:jc w:val="both"/>
        <w:rPr>
          <w:color w:val="000000"/>
        </w:rPr>
      </w:pPr>
      <w:r w:rsidRPr="0065405D">
        <w:rPr>
          <w:color w:val="000000"/>
        </w:rPr>
        <w:t xml:space="preserve">Among the studies focusing specifically on the UK education system, </w:t>
      </w:r>
      <w:r w:rsidR="0090473C" w:rsidRPr="0065405D">
        <w:rPr>
          <w:color w:val="000000"/>
        </w:rPr>
        <w:t xml:space="preserve">most </w:t>
      </w:r>
      <w:r w:rsidRPr="0065405D">
        <w:rPr>
          <w:color w:val="000000"/>
        </w:rPr>
        <w:t xml:space="preserve">have assessed the efficiency of HEIs </w:t>
      </w:r>
      <w:r w:rsidR="00873163">
        <w:rPr>
          <w:color w:val="000000"/>
        </w:rPr>
        <w:t xml:space="preserve">by </w:t>
      </w:r>
      <w:r w:rsidRPr="0065405D">
        <w:rPr>
          <w:color w:val="000000"/>
        </w:rPr>
        <w:t xml:space="preserve">focusing on their teaching and research missions. For example, Athanassopoulos and Shale (2006) investigate whether UK universities generate sufficient outcome in terms of research (weighted research rating) and teaching (e.g. the number </w:t>
      </w:r>
      <w:r w:rsidR="0090473C" w:rsidRPr="0065405D">
        <w:rPr>
          <w:color w:val="000000"/>
        </w:rPr>
        <w:t>of higher</w:t>
      </w:r>
      <w:r w:rsidRPr="0065405D">
        <w:rPr>
          <w:color w:val="000000"/>
        </w:rPr>
        <w:t xml:space="preserve"> degrees awarded) given their resources and student availability.  Johnes and Johnes (2009) assess the cost function of 121 English institutions of higher </w:t>
      </w:r>
      <w:r w:rsidR="00873163">
        <w:rPr>
          <w:color w:val="000000"/>
        </w:rPr>
        <w:t xml:space="preserve">education </w:t>
      </w:r>
      <w:r w:rsidRPr="0065405D">
        <w:rPr>
          <w:color w:val="000000"/>
        </w:rPr>
        <w:t xml:space="preserve">over a three-year period from 2000–2001 through to 2002–2003 by focusing on the traditional roles of teaching and research.  </w:t>
      </w:r>
    </w:p>
    <w:p w14:paraId="006A6D34" w14:textId="16FDCC6C" w:rsidR="001669D8" w:rsidRPr="0065405D" w:rsidRDefault="00873163">
      <w:pPr>
        <w:spacing w:line="360" w:lineRule="auto"/>
        <w:ind w:firstLine="567"/>
        <w:jc w:val="both"/>
        <w:rPr>
          <w:color w:val="000000"/>
        </w:rPr>
      </w:pPr>
      <w:r>
        <w:rPr>
          <w:color w:val="000000"/>
        </w:rPr>
        <w:t>Nevertheless</w:t>
      </w:r>
      <w:r w:rsidR="00E265B4" w:rsidRPr="0065405D">
        <w:rPr>
          <w:color w:val="000000"/>
        </w:rPr>
        <w:t>, recent studies do not focus</w:t>
      </w:r>
      <w:r>
        <w:rPr>
          <w:color w:val="000000"/>
        </w:rPr>
        <w:t xml:space="preserve"> solely</w:t>
      </w:r>
      <w:r w:rsidR="00E265B4" w:rsidRPr="0065405D">
        <w:rPr>
          <w:color w:val="000000"/>
        </w:rPr>
        <w:t xml:space="preserve"> on the UK, but instead employ an international dataset for a comparative analysis. This makes it even more difficult to collect data on third mission activities. Specifically, Wolszczak-Derlacz (2017) examines HEIs’ efficiency by focusing on the dual mission and using Data Envelopment Analysis (DEA) on 348 universities in 10 European countries (Austria, Finland, Germany, Italy, the Netherlands, Poland, Spain, Sweden, Switzerland and the UK) for the years 2000–2012 and 152 </w:t>
      </w:r>
      <w:r w:rsidR="00750E35">
        <w:rPr>
          <w:color w:val="000000"/>
        </w:rPr>
        <w:t xml:space="preserve">universities </w:t>
      </w:r>
      <w:r w:rsidR="00E265B4" w:rsidRPr="0065405D">
        <w:rPr>
          <w:color w:val="000000"/>
        </w:rPr>
        <w:t xml:space="preserve">in the US for the years 2000–2010. The author finds a positive association between both regional GDP per capita and the institutions’ efficiency (for both the European and US samples), while the effect of government funding is mixed. </w:t>
      </w:r>
      <w:r w:rsidR="00750E35">
        <w:rPr>
          <w:color w:val="000000"/>
        </w:rPr>
        <w:t>Similarly</w:t>
      </w:r>
      <w:r w:rsidR="00E265B4" w:rsidRPr="0065405D">
        <w:rPr>
          <w:color w:val="000000"/>
        </w:rPr>
        <w:t>, Bolli et al. (2016) analyse the impact of the introduction of competitive funding on university efficiency by using a panel dataset across eight European countries from 1994–2006. Using a European dataset, Daraio et al. (2015a) conduct an analysis of teaching and research efficiency of 400 HEIs from 16 European countries for the</w:t>
      </w:r>
      <w:r w:rsidR="00750E35">
        <w:rPr>
          <w:color w:val="000000"/>
        </w:rPr>
        <w:t xml:space="preserve"> 2008/09</w:t>
      </w:r>
      <w:r w:rsidR="00E265B4" w:rsidRPr="0065405D">
        <w:rPr>
          <w:color w:val="000000"/>
        </w:rPr>
        <w:t xml:space="preserve"> academic year. They find that both size (economy of scale) and specialisation (economy of scope) have </w:t>
      </w:r>
      <w:r w:rsidR="00750E35">
        <w:rPr>
          <w:color w:val="000000"/>
        </w:rPr>
        <w:t xml:space="preserve">a </w:t>
      </w:r>
      <w:r w:rsidR="00E265B4" w:rsidRPr="0065405D">
        <w:rPr>
          <w:color w:val="000000"/>
        </w:rPr>
        <w:t xml:space="preserve">statistically significant impact on efficiency. </w:t>
      </w:r>
      <w:r w:rsidR="00750E35">
        <w:rPr>
          <w:color w:val="000000"/>
        </w:rPr>
        <w:t>Likewise</w:t>
      </w:r>
      <w:r w:rsidR="00E265B4" w:rsidRPr="0065405D">
        <w:rPr>
          <w:color w:val="000000"/>
        </w:rPr>
        <w:t>, Daraio et al. (2015b) propose a new technique to rank universities according to their research and teaching missions. Differently from these studies, Casu and Thanassoulis (2006) instead examine the cost-efficient central administrative services in the UK by focusing on the allocation of resources between academic and administrative activities.</w:t>
      </w:r>
    </w:p>
    <w:p w14:paraId="0DEC1C3D" w14:textId="7EA0A080" w:rsidR="001669D8" w:rsidRPr="0065405D" w:rsidRDefault="00E265B4">
      <w:pPr>
        <w:spacing w:line="360" w:lineRule="auto"/>
        <w:ind w:firstLine="567"/>
        <w:jc w:val="both"/>
        <w:rPr>
          <w:color w:val="000000"/>
        </w:rPr>
      </w:pPr>
      <w:r w:rsidRPr="0065405D">
        <w:rPr>
          <w:color w:val="000000"/>
        </w:rPr>
        <w:t>While there is a relatively large number of studies focusing on research and teaching missions, here is a</w:t>
      </w:r>
      <w:r w:rsidR="00750E35">
        <w:rPr>
          <w:color w:val="000000"/>
        </w:rPr>
        <w:t xml:space="preserve"> scarcity</w:t>
      </w:r>
      <w:r w:rsidRPr="0065405D">
        <w:rPr>
          <w:color w:val="000000"/>
        </w:rPr>
        <w:t xml:space="preserve"> of studies on the third mission efficiency</w:t>
      </w:r>
      <w:r w:rsidR="00750E35">
        <w:rPr>
          <w:color w:val="000000"/>
        </w:rPr>
        <w:t>,</w:t>
      </w:r>
      <w:r w:rsidRPr="0065405D">
        <w:rPr>
          <w:color w:val="000000"/>
        </w:rPr>
        <w:t xml:space="preserve"> in part, maybe due to the lack of data and difficulty in identifying third mission activities. So far, </w:t>
      </w:r>
      <w:r w:rsidR="00750E35">
        <w:rPr>
          <w:color w:val="000000"/>
        </w:rPr>
        <w:t xml:space="preserve">only </w:t>
      </w:r>
      <w:r w:rsidR="005E4932">
        <w:rPr>
          <w:color w:val="000000"/>
        </w:rPr>
        <w:t xml:space="preserve">a </w:t>
      </w:r>
      <w:r w:rsidR="005E4932" w:rsidRPr="0065405D">
        <w:rPr>
          <w:color w:val="000000"/>
        </w:rPr>
        <w:t>few</w:t>
      </w:r>
      <w:r w:rsidRPr="0065405D">
        <w:rPr>
          <w:color w:val="000000"/>
        </w:rPr>
        <w:t xml:space="preserve"> studies have investigated the efficiency of infrastructure and </w:t>
      </w:r>
      <w:r w:rsidR="00750E35" w:rsidRPr="0065405D">
        <w:rPr>
          <w:color w:val="000000"/>
        </w:rPr>
        <w:t xml:space="preserve">ad hoc </w:t>
      </w:r>
      <w:r w:rsidRPr="0065405D">
        <w:rPr>
          <w:color w:val="000000"/>
        </w:rPr>
        <w:t xml:space="preserve">offices such as technology transfer offices (TTOs), science parks and incubators related to third mission activities. Chapple et al. (2005) is the first study to have investigated the relative performance of university technology transfer offices (TTOs) in the UK. </w:t>
      </w:r>
    </w:p>
    <w:p w14:paraId="36041A6B" w14:textId="464B5A91" w:rsidR="001669D8" w:rsidRDefault="00E265B4">
      <w:pPr>
        <w:spacing w:line="360" w:lineRule="auto"/>
        <w:ind w:firstLine="567"/>
        <w:jc w:val="both"/>
        <w:rPr>
          <w:color w:val="000000"/>
        </w:rPr>
      </w:pPr>
      <w:r w:rsidRPr="0065405D">
        <w:rPr>
          <w:color w:val="000000"/>
        </w:rPr>
        <w:t xml:space="preserve">As pointed out by Resli and Rossi (2016), it is problematic to measure the “success” of HEIs with respect to third mission activities. In this context, the impact generated </w:t>
      </w:r>
      <w:r w:rsidR="00750E35">
        <w:rPr>
          <w:color w:val="000000"/>
        </w:rPr>
        <w:t xml:space="preserve">by </w:t>
      </w:r>
      <w:r w:rsidRPr="0065405D">
        <w:rPr>
          <w:color w:val="000000"/>
        </w:rPr>
        <w:t>these activities represents an important driver for success. However, it is also difficult to set the criteria and identify the impacts to be measured (Resli and Rossi, 2016). For this reason, the general orientation is to focus on engagement measures (Robichau and Lynn, 2009). Consistent with this view, the allocation of funds in the UK mainly relies on indicators of engagement, most recently including only income (Resli and Rossi, 2016). By drawing on these considerations, we therefore focus on external engagement activities to assess the performance of universities with respect to the third mission.  Specifically, in line with the relevant literature on this topic (Fontana et al., 2006; D’Este and Patel, 2007; Martinelli et al., 2008; D’</w:t>
      </w:r>
      <w:r w:rsidR="003F1D14">
        <w:rPr>
          <w:color w:val="000000"/>
        </w:rPr>
        <w:t>E</w:t>
      </w:r>
      <w:r w:rsidRPr="0065405D">
        <w:rPr>
          <w:color w:val="000000"/>
        </w:rPr>
        <w:t>ste and Perkmann, 2011, Soh and Subramanian, 2014; Sánchez Barrioluengo et al., 2016) we consider as outputs the total income coming from: (1) contract research (£000</w:t>
      </w:r>
      <w:r w:rsidR="00971201">
        <w:rPr>
          <w:color w:val="000000"/>
        </w:rPr>
        <w:t>s</w:t>
      </w:r>
      <w:r w:rsidRPr="0065405D">
        <w:rPr>
          <w:color w:val="000000"/>
        </w:rPr>
        <w:t>); (2) consultancy contracts (£000s); and (3) intellectual property (IP) (including patents, copyright, design, registration and trademarks).  Differently from previous studies we assess the efficiency of UK HEIs by modelling their capabilities to generate higher income from engagement activities given the human resources and infrastructure available on a comparative basis. This measure takes into</w:t>
      </w:r>
      <w:r>
        <w:rPr>
          <w:color w:val="000000"/>
        </w:rPr>
        <w:t xml:space="preserve"> consideration the variety of resources available at the university level that could adversely affect the achievement of higher income from engagement activities compared to other similar institutions.</w:t>
      </w:r>
    </w:p>
    <w:p w14:paraId="56763A12" w14:textId="77777777" w:rsidR="001669D8" w:rsidRDefault="001669D8">
      <w:pPr>
        <w:spacing w:line="360" w:lineRule="auto"/>
        <w:ind w:firstLine="567"/>
        <w:jc w:val="both"/>
        <w:rPr>
          <w:color w:val="000000"/>
        </w:rPr>
      </w:pPr>
    </w:p>
    <w:p w14:paraId="109EB9BB" w14:textId="77777777" w:rsidR="001669D8" w:rsidRDefault="00E265B4">
      <w:pPr>
        <w:spacing w:line="360" w:lineRule="auto"/>
        <w:jc w:val="both"/>
        <w:rPr>
          <w:b/>
          <w:color w:val="000000"/>
        </w:rPr>
      </w:pPr>
      <w:r>
        <w:rPr>
          <w:b/>
          <w:color w:val="000000"/>
        </w:rPr>
        <w:t>2.2 Methodological strategy</w:t>
      </w:r>
    </w:p>
    <w:p w14:paraId="3447F1B5" w14:textId="41D55029" w:rsidR="001669D8" w:rsidRDefault="00E265B4">
      <w:pPr>
        <w:spacing w:line="360" w:lineRule="auto"/>
        <w:ind w:firstLine="567"/>
        <w:jc w:val="both"/>
        <w:rPr>
          <w:color w:val="000000"/>
        </w:rPr>
      </w:pPr>
      <w:r>
        <w:rPr>
          <w:color w:val="000000"/>
        </w:rPr>
        <w:t xml:space="preserve">In our analysis we estimate universities’ performance levels in generating income </w:t>
      </w:r>
      <w:r w:rsidR="00670415">
        <w:rPr>
          <w:color w:val="000000"/>
        </w:rPr>
        <w:t xml:space="preserve">by </w:t>
      </w:r>
      <w:r>
        <w:rPr>
          <w:color w:val="000000"/>
        </w:rPr>
        <w:t xml:space="preserve">applying a fully nonparametric framework. </w:t>
      </w:r>
      <w:r w:rsidR="000F60AB">
        <w:rPr>
          <w:color w:val="000000"/>
        </w:rPr>
        <w:t>This</w:t>
      </w:r>
      <w:r>
        <w:rPr>
          <w:color w:val="000000"/>
        </w:rPr>
        <w:t xml:space="preserve"> framework gives greater flexibility, derived mainly by the fewer assumptions imposed on universities’ estimated production function. However, one of the main </w:t>
      </w:r>
      <w:r w:rsidR="000F60AB">
        <w:rPr>
          <w:color w:val="000000"/>
        </w:rPr>
        <w:t>drawbacks</w:t>
      </w:r>
      <w:r>
        <w:rPr>
          <w:color w:val="000000"/>
        </w:rPr>
        <w:t xml:space="preserve"> of the nonparametric approaches (i.e. DEA) is the determinist nature </w:t>
      </w:r>
      <w:r w:rsidR="00670415">
        <w:rPr>
          <w:color w:val="000000"/>
        </w:rPr>
        <w:t>that</w:t>
      </w:r>
      <w:r>
        <w:rPr>
          <w:color w:val="000000"/>
        </w:rPr>
        <w:t xml:space="preserve"> can make them very sensitive to sample characteristics (Assaf and Tsionas, 2018). To overcome this concern, we employ a different nonparametric estimator (Order-m) proposed by Cazals et al. (2002). This estimator is more robust to extreme values and sample characteristics compared to the relative DEA measures. Daraio and Simar (2007) show that these estimators are </w:t>
      </w:r>
      <m:oMath>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n</m:t>
            </m:r>
          </m:e>
        </m:rad>
      </m:oMath>
      <w:r>
        <w:rPr>
          <w:color w:val="000000"/>
        </w:rPr>
        <w:t xml:space="preserve"> consistent and are less exposed to the potential bias that is related to the “curse of dimensionality”.</w:t>
      </w:r>
    </w:p>
    <w:p w14:paraId="47107E20" w14:textId="3A25FB73" w:rsidR="001669D8" w:rsidRDefault="00E265B4">
      <w:pPr>
        <w:spacing w:line="360" w:lineRule="auto"/>
        <w:ind w:firstLine="567"/>
        <w:jc w:val="both"/>
        <w:rPr>
          <w:color w:val="000000"/>
        </w:rPr>
      </w:pPr>
      <w:r>
        <w:rPr>
          <w:color w:val="000000"/>
        </w:rPr>
        <w:t xml:space="preserve">In particular, we </w:t>
      </w:r>
      <w:r w:rsidR="005E4932">
        <w:rPr>
          <w:color w:val="000000"/>
        </w:rPr>
        <w:t>consider a</w:t>
      </w:r>
      <w:r>
        <w:rPr>
          <w:color w:val="000000"/>
        </w:rPr>
        <w:t xml:space="preserve"> production function </w:t>
      </w:r>
      <w:r w:rsidR="005E4932">
        <w:rPr>
          <w:color w:val="000000"/>
        </w:rPr>
        <w:t xml:space="preserve">where </w:t>
      </w:r>
      <m:oMath>
        <m:r>
          <w:rPr>
            <w:rFonts w:ascii="Cambria Math" w:eastAsia="Cambria Math" w:hAnsi="Cambria Math" w:cs="Cambria Math"/>
            <w:color w:val="000000"/>
          </w:rPr>
          <m:t>y</m:t>
        </m:r>
      </m:oMath>
      <w:r w:rsidR="005E4932">
        <w:rPr>
          <w:color w:val="000000"/>
        </w:rPr>
        <w:t xml:space="preserve"> is the</w:t>
      </w:r>
      <w:r>
        <w:rPr>
          <w:color w:val="000000"/>
        </w:rPr>
        <w:t xml:space="preserve"> output and </w:t>
      </w:r>
      <m:oMath>
        <m:r>
          <w:rPr>
            <w:rFonts w:ascii="Cambria Math" w:eastAsia="Cambria Math" w:hAnsi="Cambria Math" w:cs="Cambria Math"/>
            <w:color w:val="000000"/>
          </w:rPr>
          <m:t>x</m:t>
        </m:r>
      </m:oMath>
      <w:r w:rsidR="005E4932">
        <w:rPr>
          <w:color w:val="000000"/>
        </w:rPr>
        <w:t xml:space="preserve">  is the </w:t>
      </w:r>
      <w:r>
        <w:rPr>
          <w:color w:val="000000"/>
        </w:rPr>
        <w:t>input level</w:t>
      </w:r>
      <w:r w:rsidR="005E4932">
        <w:rPr>
          <w:color w:val="000000"/>
        </w:rPr>
        <w:t xml:space="preserve">. </w:t>
      </w:r>
      <w:r>
        <w:rPr>
          <w:color w:val="000000"/>
        </w:rPr>
        <w:t xml:space="preserve">Then, for a fixed integer value of </w:t>
      </w:r>
      <m:oMath>
        <m:r>
          <w:rPr>
            <w:rFonts w:ascii="Cambria Math" w:eastAsia="Cambria Math" w:hAnsi="Cambria Math" w:cs="Cambria Math"/>
            <w:color w:val="000000"/>
          </w:rPr>
          <m:t>m≥1</m:t>
        </m:r>
      </m:oMath>
      <w:r>
        <w:rPr>
          <w:color w:val="000000"/>
        </w:rPr>
        <w:t xml:space="preserve"> the Order-m expected frontier can be defined by the following estimator as:</w:t>
      </w:r>
    </w:p>
    <w:p w14:paraId="5EC37581" w14:textId="7206B139" w:rsidR="001669D8" w:rsidRDefault="00C535B1">
      <w:pPr>
        <w:spacing w:line="360" w:lineRule="auto"/>
        <w:jc w:val="both"/>
        <w:rPr>
          <w:color w:val="000000"/>
        </w:rPr>
      </w:pPr>
      <m:oMath>
        <m:sSub>
          <m:sSubPr>
            <m:ctrlPr>
              <w:rPr>
                <w:rFonts w:ascii="Cambria Math" w:eastAsia="Cambria Math" w:hAnsi="Cambria Math" w:cs="Cambria Math"/>
                <w:color w:val="000000"/>
              </w:rPr>
            </m:ctrlPr>
          </m:sSubPr>
          <m:e>
            <m:acc>
              <m:accPr>
                <m:ctrlPr>
                  <w:rPr>
                    <w:rFonts w:ascii="Cambria Math" w:eastAsia="Cambria Math" w:hAnsi="Cambria Math" w:cs="Cambria Math"/>
                    <w:color w:val="000000"/>
                  </w:rPr>
                </m:ctrlPr>
              </m:accPr>
              <m:e>
                <m:r>
                  <w:rPr>
                    <w:rFonts w:ascii="Cambria Math" w:eastAsia="Cambria Math" w:hAnsi="Cambria Math" w:cs="Cambria Math"/>
                    <w:color w:val="000000"/>
                  </w:rPr>
                  <m:t>∆</m:t>
                </m:r>
              </m:e>
            </m:acc>
          </m:e>
          <m:sub>
            <m:r>
              <w:rPr>
                <w:rFonts w:ascii="Cambria Math" w:eastAsia="Cambria Math" w:hAnsi="Cambria Math" w:cs="Cambria Math"/>
                <w:color w:val="000000"/>
              </w:rPr>
              <m:t>m,n</m:t>
            </m:r>
          </m:sub>
        </m:sSub>
        <m:d>
          <m:dPr>
            <m:ctrlPr>
              <w:rPr>
                <w:rFonts w:ascii="Cambria Math" w:eastAsia="Cambria Math" w:hAnsi="Cambria Math" w:cs="Cambria Math"/>
                <w:color w:val="000000"/>
              </w:rPr>
            </m:ctrlPr>
          </m:dPr>
          <m:e>
            <m:r>
              <w:rPr>
                <w:rFonts w:ascii="Cambria Math" w:eastAsia="Cambria Math" w:hAnsi="Cambria Math" w:cs="Cambria Math"/>
                <w:color w:val="000000"/>
              </w:rPr>
              <m:t>y</m:t>
            </m:r>
          </m:e>
        </m:d>
        <m:r>
          <w:rPr>
            <w:rFonts w:ascii="Cambria Math" w:eastAsia="Cambria Math" w:hAnsi="Cambria Math" w:cs="Cambria Math"/>
            <w:color w:val="000000"/>
          </w:rPr>
          <m:t>=</m:t>
        </m:r>
        <m:acc>
          <m:accPr>
            <m:ctrlPr>
              <w:rPr>
                <w:rFonts w:ascii="Cambria Math" w:eastAsia="Cambria Math" w:hAnsi="Cambria Math" w:cs="Cambria Math"/>
                <w:color w:val="000000"/>
              </w:rPr>
            </m:ctrlPr>
          </m:accPr>
          <m:e>
            <m:r>
              <w:rPr>
                <w:rFonts w:ascii="Cambria Math" w:eastAsia="Cambria Math" w:hAnsi="Cambria Math" w:cs="Cambria Math"/>
                <w:color w:val="000000"/>
              </w:rPr>
              <m:t>E</m:t>
            </m:r>
          </m:e>
        </m:acc>
        <m:d>
          <m:dPr>
            <m:begChr m:val="["/>
            <m:endChr m:val="]"/>
            <m:ctrlPr>
              <w:rPr>
                <w:rFonts w:ascii="Cambria Math" w:eastAsia="Cambria Math" w:hAnsi="Cambria Math" w:cs="Cambria Math"/>
                <w:color w:val="000000"/>
              </w:rPr>
            </m:ctrlPr>
          </m:dPr>
          <m:e>
            <m:r>
              <m:rPr>
                <m:sty m:val="p"/>
              </m:rPr>
              <w:rPr>
                <w:rFonts w:ascii="Cambria Math" w:eastAsia="Cambria Math" w:hAnsi="Cambria Math" w:cs="Cambria Math"/>
                <w:color w:val="000000"/>
              </w:rPr>
              <m:t>min</m:t>
            </m:r>
            <m:d>
              <m:dPr>
                <m:ctrlPr>
                  <w:rPr>
                    <w:rFonts w:ascii="Cambria Math" w:eastAsia="Cambria Math" w:hAnsi="Cambria Math" w:cs="Cambria Math"/>
                    <w:color w:val="000000"/>
                  </w:rPr>
                </m:ctrlPr>
              </m:dPr>
              <m:e>
                <m:sSup>
                  <m:sSupPr>
                    <m:ctrlPr>
                      <w:rPr>
                        <w:rFonts w:ascii="Cambria Math" w:eastAsia="Cambria Math" w:hAnsi="Cambria Math" w:cs="Cambria Math"/>
                        <w:color w:val="000000"/>
                      </w:rPr>
                    </m:ctrlPr>
                  </m:sSupPr>
                  <m:e>
                    <m:r>
                      <w:rPr>
                        <w:rFonts w:ascii="Cambria Math" w:eastAsia="Cambria Math" w:hAnsi="Cambria Math" w:cs="Cambria Math"/>
                        <w:color w:val="000000"/>
                      </w:rPr>
                      <m:t>x</m:t>
                    </m:r>
                  </m:e>
                  <m:sup>
                    <m:r>
                      <w:rPr>
                        <w:rFonts w:ascii="Cambria Math" w:eastAsia="Cambria Math" w:hAnsi="Cambria Math" w:cs="Cambria Math"/>
                        <w:color w:val="000000"/>
                      </w:rPr>
                      <m:t>1</m:t>
                    </m:r>
                  </m:sup>
                </m:sSup>
                <m:r>
                  <w:rPr>
                    <w:rFonts w:ascii="Cambria Math" w:eastAsia="Cambria Math" w:hAnsi="Cambria Math" w:cs="Cambria Math"/>
                    <w:color w:val="000000"/>
                  </w:rPr>
                  <m:t>,…</m:t>
                </m:r>
                <m:sSup>
                  <m:sSupPr>
                    <m:ctrlPr>
                      <w:rPr>
                        <w:rFonts w:ascii="Cambria Math" w:eastAsia="Cambria Math" w:hAnsi="Cambria Math" w:cs="Cambria Math"/>
                        <w:color w:val="000000"/>
                      </w:rPr>
                    </m:ctrlPr>
                  </m:sSupPr>
                  <m:e>
                    <m:r>
                      <w:rPr>
                        <w:rFonts w:ascii="Cambria Math" w:eastAsia="Cambria Math" w:hAnsi="Cambria Math" w:cs="Cambria Math"/>
                        <w:color w:val="000000"/>
                      </w:rPr>
                      <m:t>x</m:t>
                    </m:r>
                  </m:e>
                  <m:sup>
                    <m:r>
                      <w:rPr>
                        <w:rFonts w:ascii="Cambria Math" w:eastAsia="Cambria Math" w:hAnsi="Cambria Math" w:cs="Cambria Math"/>
                        <w:color w:val="000000"/>
                      </w:rPr>
                      <m:t>m</m:t>
                    </m:r>
                  </m:sup>
                </m:sSup>
              </m:e>
            </m:d>
            <m:r>
              <w:rPr>
                <w:rFonts w:ascii="Cambria Math" w:hAnsi="Cambria Math"/>
              </w:rPr>
              <m:t>|</m:t>
            </m:r>
            <m:r>
              <w:rPr>
                <w:rFonts w:ascii="Cambria Math" w:eastAsia="Cambria Math" w:hAnsi="Cambria Math" w:cs="Cambria Math"/>
                <w:color w:val="000000"/>
              </w:rPr>
              <m:t>y≥y</m:t>
            </m:r>
          </m:e>
        </m:d>
        <m:r>
          <w:rPr>
            <w:rFonts w:ascii="Cambria Math" w:eastAsia="Cambria Math" w:hAnsi="Cambria Math" w:cs="Cambria Math"/>
            <w:color w:val="000000"/>
          </w:rPr>
          <m:t>=</m:t>
        </m:r>
        <m:nary>
          <m:naryPr>
            <m:ctrlPr>
              <w:rPr>
                <w:rFonts w:ascii="Cambria Math" w:eastAsia="Cambria Math" w:hAnsi="Cambria Math" w:cs="Cambria Math"/>
                <w:color w:val="000000"/>
              </w:rPr>
            </m:ctrlPr>
          </m:naryPr>
          <m:sub>
            <m:r>
              <w:rPr>
                <w:rFonts w:ascii="Cambria Math" w:eastAsia="Cambria Math" w:hAnsi="Cambria Math" w:cs="Cambria Math"/>
                <w:color w:val="000000"/>
              </w:rPr>
              <m:t>0</m:t>
            </m:r>
          </m:sub>
          <m:sup>
            <m:r>
              <w:rPr>
                <w:rFonts w:ascii="Cambria Math" w:eastAsia="Cambria Math" w:hAnsi="Cambria Math" w:cs="Cambria Math"/>
                <w:color w:val="000000"/>
              </w:rPr>
              <m:t>∞</m:t>
            </m:r>
          </m:sup>
          <m:e>
            <m:d>
              <m:dPr>
                <m:ctrlPr>
                  <w:rPr>
                    <w:rFonts w:ascii="Cambria Math" w:eastAsia="Cambria Math" w:hAnsi="Cambria Math" w:cs="Cambria Math"/>
                    <w:color w:val="000000"/>
                  </w:rPr>
                </m:ctrlPr>
              </m:dPr>
              <m:e>
                <m:sSup>
                  <m:sSupPr>
                    <m:ctrlPr>
                      <w:rPr>
                        <w:rFonts w:ascii="Cambria Math" w:eastAsia="Cambria Math" w:hAnsi="Cambria Math" w:cs="Cambria Math"/>
                        <w:color w:val="000000"/>
                      </w:rPr>
                    </m:ctrlPr>
                  </m:sSupPr>
                  <m:e>
                    <m:r>
                      <w:rPr>
                        <w:rFonts w:ascii="Cambria Math" w:eastAsia="Cambria Math" w:hAnsi="Cambria Math" w:cs="Cambria Math"/>
                        <w:color w:val="000000"/>
                      </w:rPr>
                      <m:t>1-</m:t>
                    </m:r>
                    <m:d>
                      <m:dPr>
                        <m:begChr m:val="["/>
                        <m:endChr m:val="]"/>
                        <m:ctrlPr>
                          <w:rPr>
                            <w:rFonts w:ascii="Cambria Math" w:eastAsia="Cambria Math" w:hAnsi="Cambria Math" w:cs="Cambria Math"/>
                            <w:color w:val="000000"/>
                          </w:rPr>
                        </m:ctrlPr>
                      </m:dPr>
                      <m:e>
                        <m:sSub>
                          <m:sSubPr>
                            <m:ctrlPr>
                              <w:rPr>
                                <w:rFonts w:ascii="Cambria Math" w:hAnsi="Cambria Math"/>
                              </w:rPr>
                            </m:ctrlPr>
                          </m:sSubPr>
                          <m:e>
                            <m:acc>
                              <m:accPr>
                                <m:ctrlPr>
                                  <w:rPr>
                                    <w:rFonts w:ascii="Cambria Math" w:eastAsia="Cambria Math" w:hAnsi="Cambria Math" w:cs="Cambria Math"/>
                                    <w:color w:val="000000"/>
                                  </w:rPr>
                                </m:ctrlPr>
                              </m:accPr>
                              <m:e>
                                <m:r>
                                  <w:rPr>
                                    <w:rFonts w:ascii="Cambria Math" w:eastAsia="Cambria Math" w:hAnsi="Cambria Math" w:cs="Cambria Math"/>
                                    <w:color w:val="000000"/>
                                  </w:rPr>
                                  <m:t>F</m:t>
                                </m:r>
                              </m:e>
                            </m:acc>
                          </m:e>
                          <m:sub>
                            <m:r>
                              <w:rPr>
                                <w:rFonts w:ascii="Cambria Math" w:eastAsia="Cambria Math" w:hAnsi="Cambria Math" w:cs="Cambria Math"/>
                                <w:color w:val="000000"/>
                              </w:rPr>
                              <m:t>x</m:t>
                            </m:r>
                            <m:r>
                              <w:rPr>
                                <w:rFonts w:ascii="Cambria Math" w:hAnsi="Cambria Math"/>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y</m:t>
                                </m:r>
                              </m:e>
                              <m:sub>
                                <m:r>
                                  <w:rPr>
                                    <w:rFonts w:ascii="Cambria Math" w:eastAsia="Cambria Math" w:hAnsi="Cambria Math" w:cs="Cambria Math"/>
                                    <w:color w:val="000000"/>
                                  </w:rPr>
                                  <m:t>,n</m:t>
                                </m:r>
                              </m:sub>
                            </m:sSub>
                          </m:sub>
                        </m:sSub>
                        <m:d>
                          <m:dPr>
                            <m:ctrlPr>
                              <w:rPr>
                                <w:rFonts w:ascii="Cambria Math" w:eastAsia="Cambria Math" w:hAnsi="Cambria Math" w:cs="Cambria Math"/>
                                <w:color w:val="000000"/>
                              </w:rPr>
                            </m:ctrlPr>
                          </m:dPr>
                          <m:e>
                            <m:r>
                              <w:rPr>
                                <w:rFonts w:ascii="Cambria Math" w:eastAsia="Cambria Math" w:hAnsi="Cambria Math" w:cs="Cambria Math"/>
                                <w:color w:val="000000"/>
                              </w:rPr>
                              <m:t>x</m:t>
                            </m:r>
                            <m:r>
                              <w:rPr>
                                <w:rFonts w:ascii="Cambria Math" w:hAnsi="Cambria Math"/>
                              </w:rPr>
                              <m:t>|</m:t>
                            </m:r>
                            <m:r>
                              <w:rPr>
                                <w:rFonts w:ascii="Cambria Math" w:eastAsia="Cambria Math" w:hAnsi="Cambria Math" w:cs="Cambria Math"/>
                                <w:color w:val="000000"/>
                              </w:rPr>
                              <m:t>y</m:t>
                            </m:r>
                          </m:e>
                        </m:d>
                      </m:e>
                    </m:d>
                  </m:e>
                  <m:sup>
                    <m:r>
                      <w:rPr>
                        <w:rFonts w:ascii="Cambria Math" w:eastAsia="Cambria Math" w:hAnsi="Cambria Math" w:cs="Cambria Math"/>
                        <w:color w:val="000000"/>
                      </w:rPr>
                      <m:t>m</m:t>
                    </m:r>
                  </m:sup>
                </m:sSup>
              </m:e>
            </m:d>
          </m:e>
        </m:nary>
        <m:sSub>
          <m:sSubPr>
            <m:ctrlPr>
              <w:rPr>
                <w:rFonts w:ascii="Cambria Math" w:eastAsia="Cambria Math" w:hAnsi="Cambria Math" w:cs="Cambria Math"/>
                <w:color w:val="000000"/>
              </w:rPr>
            </m:ctrlPr>
          </m:sSubPr>
          <m:e>
            <m:r>
              <w:rPr>
                <w:rFonts w:ascii="Cambria Math" w:eastAsia="Cambria Math" w:hAnsi="Cambria Math" w:cs="Cambria Math"/>
                <w:color w:val="000000"/>
              </w:rPr>
              <m:t>d</m:t>
            </m:r>
          </m:e>
          <m:sub>
            <m:r>
              <w:rPr>
                <w:rFonts w:ascii="Cambria Math" w:eastAsia="Cambria Math" w:hAnsi="Cambria Math" w:cs="Cambria Math"/>
                <w:color w:val="000000"/>
              </w:rPr>
              <m:t>x</m:t>
            </m:r>
          </m:sub>
        </m:sSub>
      </m:oMath>
      <w:r w:rsidR="00E265B4">
        <w:rPr>
          <w:color w:val="000000"/>
        </w:rPr>
        <w:t xml:space="preserve">. </w:t>
      </w:r>
      <w:r w:rsidR="00E265B4">
        <w:rPr>
          <w:color w:val="000000"/>
        </w:rPr>
        <w:tab/>
      </w:r>
      <w:r w:rsidR="00E265B4">
        <w:rPr>
          <w:color w:val="000000"/>
        </w:rPr>
        <w:tab/>
      </w:r>
      <w:r w:rsidR="00E265B4">
        <w:rPr>
          <w:color w:val="000000"/>
        </w:rPr>
        <w:tab/>
        <w:t>(1)</w:t>
      </w:r>
    </w:p>
    <w:p w14:paraId="0B7FB494" w14:textId="77777777" w:rsidR="001669D8" w:rsidRDefault="00E265B4">
      <w:pPr>
        <w:tabs>
          <w:tab w:val="left" w:pos="2907"/>
        </w:tabs>
        <w:spacing w:line="360" w:lineRule="auto"/>
        <w:jc w:val="both"/>
        <w:rPr>
          <w:color w:val="000000"/>
        </w:rPr>
      </w:pPr>
      <w:r>
        <w:rPr>
          <w:color w:val="000000"/>
        </w:rPr>
        <w:t xml:space="preserve">For any </w:t>
      </w:r>
      <m:oMath>
        <m:r>
          <w:rPr>
            <w:rFonts w:ascii="Cambria Math" w:eastAsia="Cambria Math" w:hAnsi="Cambria Math" w:cs="Cambria Math"/>
            <w:color w:val="000000"/>
          </w:rPr>
          <m:t>y</m:t>
        </m:r>
      </m:oMath>
      <w:r>
        <w:rPr>
          <w:color w:val="000000"/>
        </w:rPr>
        <w:t xml:space="preserve"> we can define:</w:t>
      </w:r>
      <w:r>
        <w:rPr>
          <w:color w:val="000000"/>
        </w:rPr>
        <w:tab/>
      </w:r>
    </w:p>
    <w:p w14:paraId="3D3F35A8" w14:textId="338EBC34" w:rsidR="001669D8" w:rsidRDefault="00C535B1">
      <w:pPr>
        <w:spacing w:line="360" w:lineRule="auto"/>
        <w:jc w:val="both"/>
        <w:rPr>
          <w:color w:val="000000"/>
        </w:rPr>
      </w:pPr>
      <m:oMath>
        <m:sSub>
          <m:sSubPr>
            <m:ctrlPr>
              <w:rPr>
                <w:rFonts w:ascii="Cambria Math" w:eastAsia="Cambria Math" w:hAnsi="Cambria Math" w:cs="Cambria Math"/>
                <w:color w:val="000000"/>
              </w:rPr>
            </m:ctrlPr>
          </m:sSubPr>
          <m:e>
            <m:acc>
              <m:accPr>
                <m:chr m:val="̃"/>
                <m:ctrlPr>
                  <w:rPr>
                    <w:rFonts w:ascii="Cambria Math" w:hAnsi="Cambria Math"/>
                  </w:rPr>
                </m:ctrlPr>
              </m:accPr>
              <m:e>
                <m:r>
                  <w:rPr>
                    <w:rFonts w:ascii="Cambria Math" w:hAnsi="Cambria Math"/>
                  </w:rPr>
                  <m:t>μ</m:t>
                </m:r>
              </m:e>
            </m:acc>
          </m:e>
          <m:sub>
            <m:r>
              <w:rPr>
                <w:rFonts w:ascii="Cambria Math" w:eastAsia="Cambria Math" w:hAnsi="Cambria Math" w:cs="Cambria Math"/>
                <w:color w:val="000000"/>
              </w:rPr>
              <m:t>m</m:t>
            </m:r>
          </m:sub>
        </m:sSub>
        <m:d>
          <m:dPr>
            <m:ctrlPr>
              <w:rPr>
                <w:rFonts w:ascii="Cambria Math" w:eastAsia="Cambria Math" w:hAnsi="Cambria Math" w:cs="Cambria Math"/>
                <w:color w:val="000000"/>
              </w:rPr>
            </m:ctrlPr>
          </m:dPr>
          <m:e>
            <m:r>
              <w:rPr>
                <w:rFonts w:ascii="Cambria Math" w:eastAsia="Cambria Math" w:hAnsi="Cambria Math" w:cs="Cambria Math"/>
                <w:color w:val="000000"/>
              </w:rPr>
              <m:t>x,y</m:t>
            </m:r>
          </m:e>
        </m:d>
        <m:r>
          <w:rPr>
            <w:rFonts w:ascii="Cambria Math" w:eastAsia="Cambria Math" w:hAnsi="Cambria Math" w:cs="Cambria Math"/>
            <w:color w:val="000000"/>
          </w:rPr>
          <m:t>=</m:t>
        </m:r>
        <m:r>
          <m:rPr>
            <m:sty m:val="p"/>
          </m:rPr>
          <w:rPr>
            <w:rFonts w:ascii="Cambria Math" w:eastAsia="Cambria Math" w:hAnsi="Cambria Math" w:cs="Cambria Math"/>
            <w:color w:val="000000"/>
          </w:rPr>
          <m:t>inf</m:t>
        </m:r>
        <m:d>
          <m:dPr>
            <m:begChr m:val="{"/>
            <m:endChr m:val="}"/>
            <m:ctrlPr>
              <w:rPr>
                <w:rFonts w:ascii="Cambria Math" w:hAnsi="Cambria Math"/>
              </w:rPr>
            </m:ctrlPr>
          </m:dPr>
          <m:e>
            <m:r>
              <w:rPr>
                <w:rFonts w:ascii="Cambria Math" w:eastAsia="Cambria Math" w:hAnsi="Cambria Math" w:cs="Cambria Math"/>
                <w:color w:val="000000"/>
              </w:rPr>
              <m:t>μ</m:t>
            </m:r>
            <m:r>
              <w:rPr>
                <w:rFonts w:ascii="Cambria Math" w:hAnsi="Cambria Math"/>
              </w:rPr>
              <m:t>|</m:t>
            </m:r>
            <m:d>
              <m:dPr>
                <m:ctrlPr>
                  <w:rPr>
                    <w:rFonts w:ascii="Cambria Math" w:eastAsia="Cambria Math" w:hAnsi="Cambria Math" w:cs="Cambria Math"/>
                    <w:color w:val="000000"/>
                  </w:rPr>
                </m:ctrlPr>
              </m:dPr>
              <m:e>
                <m:r>
                  <w:rPr>
                    <w:rFonts w:ascii="Cambria Math" w:hAnsi="Cambria Math"/>
                  </w:rPr>
                  <m:t>μ</m:t>
                </m:r>
                <m:r>
                  <w:rPr>
                    <w:rFonts w:ascii="Cambria Math" w:eastAsia="Cambria Math" w:hAnsi="Cambria Math" w:cs="Cambria Math"/>
                    <w:color w:val="000000"/>
                  </w:rPr>
                  <m:t>x,y</m:t>
                </m:r>
              </m:e>
            </m:d>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Δ</m:t>
                </m:r>
              </m:e>
              <m:sub>
                <m:r>
                  <w:rPr>
                    <w:rFonts w:ascii="Cambria Math" w:eastAsia="Cambria Math" w:hAnsi="Cambria Math" w:cs="Cambria Math"/>
                    <w:color w:val="000000"/>
                  </w:rPr>
                  <m:t>m</m:t>
                </m:r>
              </m:sub>
            </m:sSub>
          </m:e>
        </m:d>
        <m:r>
          <w:rPr>
            <w:rFonts w:ascii="Cambria Math" w:eastAsia="Cambria Math" w:hAnsi="Cambria Math" w:cs="Cambria Math"/>
            <w:color w:val="000000"/>
          </w:rPr>
          <m:t>=</m:t>
        </m:r>
        <m:d>
          <m:dPr>
            <m:begChr m:val="{"/>
            <m:endChr m:val="}"/>
            <m:ctrlPr>
              <w:rPr>
                <w:rFonts w:ascii="Cambria Math" w:hAnsi="Cambria Math"/>
              </w:rPr>
            </m:ctrlPr>
          </m:dPr>
          <m:e>
            <m:f>
              <m:fPr>
                <m:ctrlPr>
                  <w:rPr>
                    <w:rFonts w:ascii="Cambria Math" w:eastAsia="Cambria Math" w:hAnsi="Cambria Math" w:cs="Cambria Math"/>
                    <w:color w:val="000000"/>
                  </w:rPr>
                </m:ctrlPr>
              </m:fPr>
              <m:num>
                <m:sSubSup>
                  <m:sSubSupPr>
                    <m:ctrlPr>
                      <w:rPr>
                        <w:rFonts w:ascii="Cambria Math" w:eastAsia="Cambria Math" w:hAnsi="Cambria Math" w:cs="Cambria Math"/>
                        <w:color w:val="000000"/>
                      </w:rPr>
                    </m:ctrlPr>
                  </m:sSubSupPr>
                  <m:e>
                    <m:r>
                      <w:rPr>
                        <w:rFonts w:ascii="Cambria Math" w:eastAsia="Cambria Math" w:hAnsi="Cambria Math" w:cs="Cambria Math"/>
                        <w:color w:val="000000"/>
                      </w:rPr>
                      <m:t>x</m:t>
                    </m:r>
                  </m:e>
                  <m:sub>
                    <m:r>
                      <w:rPr>
                        <w:rFonts w:ascii="Cambria Math" w:eastAsia="Cambria Math" w:hAnsi="Cambria Math" w:cs="Cambria Math"/>
                        <w:color w:val="000000"/>
                      </w:rPr>
                      <m:t>i</m:t>
                    </m:r>
                  </m:sub>
                  <m:sup>
                    <m:r>
                      <w:rPr>
                        <w:rFonts w:ascii="Cambria Math" w:eastAsia="Cambria Math" w:hAnsi="Cambria Math" w:cs="Cambria Math"/>
                        <w:color w:val="000000"/>
                      </w:rPr>
                      <m:t>j</m:t>
                    </m:r>
                  </m:sup>
                </m:sSubSup>
              </m:num>
              <m:den>
                <m:sSup>
                  <m:sSupPr>
                    <m:ctrlPr>
                      <w:rPr>
                        <w:rFonts w:ascii="Cambria Math" w:eastAsia="Cambria Math" w:hAnsi="Cambria Math" w:cs="Cambria Math"/>
                        <w:color w:val="000000"/>
                      </w:rPr>
                    </m:ctrlPr>
                  </m:sSupPr>
                  <m:e>
                    <m:r>
                      <w:rPr>
                        <w:rFonts w:ascii="Cambria Math" w:eastAsia="Cambria Math" w:hAnsi="Cambria Math" w:cs="Cambria Math"/>
                        <w:color w:val="000000"/>
                      </w:rPr>
                      <m:t>x</m:t>
                    </m:r>
                  </m:e>
                  <m:sup>
                    <m:r>
                      <w:rPr>
                        <w:rFonts w:ascii="Cambria Math" w:eastAsia="Cambria Math" w:hAnsi="Cambria Math" w:cs="Cambria Math"/>
                        <w:color w:val="000000"/>
                      </w:rPr>
                      <m:t>j</m:t>
                    </m:r>
                  </m:sup>
                </m:sSup>
              </m:den>
            </m:f>
            <m:r>
              <w:rPr>
                <w:rFonts w:ascii="Cambria Math" w:hAnsi="Cambria Math"/>
              </w:rPr>
              <m:t xml:space="preserve"> </m:t>
            </m:r>
          </m:e>
        </m:d>
        <m:r>
          <w:rPr>
            <w:rFonts w:ascii="Cambria Math" w:hAnsi="Cambria Math"/>
          </w:rPr>
          <m:t xml:space="preserve"> </m:t>
        </m:r>
      </m:oMath>
      <w:r w:rsidR="00E265B4">
        <w:rPr>
          <w:color w:val="000000"/>
        </w:rPr>
        <w:t xml:space="preserve">. </w:t>
      </w:r>
      <w:r w:rsidR="00E265B4">
        <w:rPr>
          <w:color w:val="000000"/>
        </w:rPr>
        <w:tab/>
      </w:r>
      <w:r w:rsidR="00E265B4">
        <w:rPr>
          <w:color w:val="000000"/>
        </w:rPr>
        <w:tab/>
      </w:r>
      <w:r w:rsidR="00E265B4">
        <w:rPr>
          <w:color w:val="000000"/>
        </w:rPr>
        <w:tab/>
      </w:r>
      <w:r w:rsidR="00E265B4">
        <w:rPr>
          <w:color w:val="000000"/>
        </w:rPr>
        <w:tab/>
      </w:r>
      <w:r w:rsidR="00E265B4">
        <w:rPr>
          <w:color w:val="000000"/>
        </w:rPr>
        <w:tab/>
      </w:r>
      <w:r w:rsidR="00A852D7">
        <w:rPr>
          <w:color w:val="000000"/>
        </w:rPr>
        <w:tab/>
      </w:r>
      <w:r w:rsidR="00A852D7">
        <w:rPr>
          <w:color w:val="000000"/>
        </w:rPr>
        <w:tab/>
      </w:r>
      <w:r w:rsidR="00E265B4">
        <w:rPr>
          <w:color w:val="000000"/>
        </w:rPr>
        <w:t>(2)</w:t>
      </w:r>
    </w:p>
    <w:p w14:paraId="3CFA4818" w14:textId="77777777" w:rsidR="001669D8" w:rsidRDefault="00E265B4">
      <w:pPr>
        <w:spacing w:line="360" w:lineRule="auto"/>
        <w:jc w:val="both"/>
        <w:rPr>
          <w:color w:val="000000"/>
        </w:rPr>
      </w:pPr>
      <w:r>
        <w:rPr>
          <w:color w:val="000000"/>
        </w:rPr>
        <w:t>The nonparametric estimator of Order-m efficiency measure can be defined as:</w:t>
      </w:r>
    </w:p>
    <w:p w14:paraId="68ACA74B" w14:textId="3619384A" w:rsidR="001669D8" w:rsidRDefault="00C535B1">
      <w:pPr>
        <w:spacing w:line="360" w:lineRule="auto"/>
        <w:jc w:val="both"/>
        <w:rPr>
          <w:color w:val="000000"/>
        </w:rPr>
      </w:pPr>
      <m:oMath>
        <m:sSub>
          <m:sSubPr>
            <m:ctrlPr>
              <w:rPr>
                <w:rFonts w:ascii="Cambria Math" w:eastAsia="Cambria Math" w:hAnsi="Cambria Math" w:cs="Cambria Math"/>
                <w:color w:val="000000"/>
                <w:sz w:val="22"/>
                <w:szCs w:val="22"/>
              </w:rPr>
            </m:ctrlPr>
          </m:sSubPr>
          <m:e>
            <m:acc>
              <m:accPr>
                <m:ctrlPr>
                  <w:rPr>
                    <w:rFonts w:ascii="Cambria Math" w:hAnsi="Cambria Math"/>
                    <w:sz w:val="22"/>
                    <w:szCs w:val="22"/>
                  </w:rPr>
                </m:ctrlPr>
              </m:accPr>
              <m:e>
                <m:r>
                  <w:rPr>
                    <w:rFonts w:ascii="Cambria Math" w:hAnsi="Cambria Math"/>
                    <w:sz w:val="22"/>
                    <w:szCs w:val="22"/>
                  </w:rPr>
                  <m:t>μ</m:t>
                </m:r>
              </m:e>
            </m:acc>
          </m:e>
          <m:sub>
            <m:r>
              <w:rPr>
                <w:rFonts w:ascii="Cambria Math" w:eastAsia="Cambria Math" w:hAnsi="Cambria Math" w:cs="Cambria Math"/>
                <w:color w:val="000000"/>
                <w:sz w:val="22"/>
                <w:szCs w:val="22"/>
              </w:rPr>
              <m:t>m,n</m:t>
            </m:r>
          </m:sub>
        </m:sSub>
        <m:d>
          <m:dPr>
            <m:ctrlPr>
              <w:rPr>
                <w:rFonts w:ascii="Cambria Math" w:eastAsia="Cambria Math" w:hAnsi="Cambria Math" w:cs="Cambria Math"/>
                <w:color w:val="000000"/>
                <w:sz w:val="22"/>
                <w:szCs w:val="22"/>
              </w:rPr>
            </m:ctrlPr>
          </m:dPr>
          <m:e>
            <m:r>
              <w:rPr>
                <w:rFonts w:ascii="Cambria Math" w:eastAsia="Cambria Math" w:hAnsi="Cambria Math" w:cs="Cambria Math"/>
                <w:color w:val="000000"/>
                <w:sz w:val="22"/>
                <w:szCs w:val="22"/>
              </w:rPr>
              <m:t>x,y</m:t>
            </m:r>
          </m:e>
        </m:d>
        <m:r>
          <w:rPr>
            <w:rFonts w:ascii="Cambria Math" w:eastAsia="Cambria Math" w:hAnsi="Cambria Math" w:cs="Cambria Math"/>
            <w:color w:val="000000"/>
            <w:sz w:val="22"/>
            <w:szCs w:val="22"/>
          </w:rPr>
          <m:t>=</m:t>
        </m:r>
        <m:nary>
          <m:naryPr>
            <m:ctrlPr>
              <w:rPr>
                <w:rFonts w:ascii="Cambria Math" w:eastAsia="Cambria Math" w:hAnsi="Cambria Math" w:cs="Cambria Math"/>
                <w:color w:val="000000"/>
                <w:sz w:val="22"/>
                <w:szCs w:val="22"/>
              </w:rPr>
            </m:ctrlPr>
          </m:naryPr>
          <m:sub>
            <m:r>
              <w:rPr>
                <w:rFonts w:ascii="Cambria Math" w:eastAsia="Cambria Math" w:hAnsi="Cambria Math" w:cs="Cambria Math"/>
                <w:color w:val="000000"/>
                <w:sz w:val="22"/>
                <w:szCs w:val="22"/>
              </w:rPr>
              <m:t>0</m:t>
            </m:r>
          </m:sub>
          <m:sup>
            <m:r>
              <w:rPr>
                <w:rFonts w:ascii="Cambria Math" w:eastAsia="Cambria Math" w:hAnsi="Cambria Math" w:cs="Cambria Math"/>
                <w:color w:val="000000"/>
                <w:sz w:val="22"/>
                <w:szCs w:val="22"/>
              </w:rPr>
              <m:t>∞</m:t>
            </m:r>
          </m:sup>
          <m:e>
            <m:sSup>
              <m:sSupPr>
                <m:ctrlPr>
                  <w:rPr>
                    <w:rFonts w:ascii="Cambria Math" w:eastAsia="Cambria Math" w:hAnsi="Cambria Math" w:cs="Cambria Math"/>
                    <w:color w:val="000000"/>
                    <w:sz w:val="22"/>
                    <w:szCs w:val="22"/>
                  </w:rPr>
                </m:ctrlPr>
              </m:sSupPr>
              <m:e>
                <m:d>
                  <m:dPr>
                    <m:ctrlPr>
                      <w:rPr>
                        <w:rFonts w:ascii="Cambria Math" w:eastAsia="Cambria Math" w:hAnsi="Cambria Math" w:cs="Cambria Math"/>
                        <w:color w:val="000000"/>
                        <w:sz w:val="22"/>
                        <w:szCs w:val="22"/>
                      </w:rPr>
                    </m:ctrlPr>
                  </m:dPr>
                  <m:e>
                    <m:r>
                      <w:rPr>
                        <w:rFonts w:ascii="Cambria Math" w:eastAsia="Cambria Math" w:hAnsi="Cambria Math" w:cs="Cambria Math"/>
                        <w:color w:val="000000"/>
                        <w:sz w:val="22"/>
                        <w:szCs w:val="22"/>
                      </w:rPr>
                      <m:t>1-</m:t>
                    </m:r>
                    <m:sSub>
                      <m:sSubPr>
                        <m:ctrlPr>
                          <w:rPr>
                            <w:rFonts w:ascii="Cambria Math" w:eastAsia="Cambria Math" w:hAnsi="Cambria Math" w:cs="Cambria Math"/>
                            <w:color w:val="000000"/>
                            <w:sz w:val="22"/>
                            <w:szCs w:val="22"/>
                          </w:rPr>
                        </m:ctrlPr>
                      </m:sSubPr>
                      <m:e>
                        <m:acc>
                          <m:accPr>
                            <m:ctrlPr>
                              <w:rPr>
                                <w:rFonts w:ascii="Cambria Math" w:eastAsia="Cambria Math" w:hAnsi="Cambria Math" w:cs="Cambria Math"/>
                                <w:color w:val="000000"/>
                                <w:sz w:val="22"/>
                                <w:szCs w:val="22"/>
                              </w:rPr>
                            </m:ctrlPr>
                          </m:accPr>
                          <m:e>
                            <m:r>
                              <w:rPr>
                                <w:rFonts w:ascii="Cambria Math" w:eastAsia="Cambria Math" w:hAnsi="Cambria Math" w:cs="Cambria Math"/>
                                <w:color w:val="000000"/>
                                <w:sz w:val="22"/>
                                <w:szCs w:val="22"/>
                              </w:rPr>
                              <m:t>F</m:t>
                            </m:r>
                          </m:e>
                        </m:acc>
                      </m:e>
                      <m:sub>
                        <m:r>
                          <w:rPr>
                            <w:rFonts w:ascii="Cambria Math" w:eastAsia="Cambria Math" w:hAnsi="Cambria Math" w:cs="Cambria Math"/>
                            <w:color w:val="000000"/>
                            <w:sz w:val="22"/>
                            <w:szCs w:val="22"/>
                          </w:rPr>
                          <m:t>x</m:t>
                        </m:r>
                        <m:r>
                          <w:rPr>
                            <w:rFonts w:ascii="Cambria Math" w:hAnsi="Cambria Math"/>
                            <w:sz w:val="22"/>
                            <w:szCs w:val="22"/>
                          </w:rPr>
                          <m:t>|</m:t>
                        </m:r>
                        <m:r>
                          <w:rPr>
                            <w:rFonts w:ascii="Cambria Math" w:eastAsia="Cambria Math" w:hAnsi="Cambria Math" w:cs="Cambria Math"/>
                            <w:color w:val="000000"/>
                            <w:sz w:val="22"/>
                            <w:szCs w:val="22"/>
                          </w:rPr>
                          <m:t>y,n</m:t>
                        </m:r>
                      </m:sub>
                    </m:sSub>
                    <m:d>
                      <m:dPr>
                        <m:ctrlPr>
                          <w:rPr>
                            <w:rFonts w:ascii="Cambria Math" w:eastAsia="Cambria Math" w:hAnsi="Cambria Math" w:cs="Cambria Math"/>
                            <w:color w:val="000000"/>
                            <w:sz w:val="22"/>
                            <w:szCs w:val="22"/>
                          </w:rPr>
                        </m:ctrlPr>
                      </m:dPr>
                      <m:e>
                        <m:r>
                          <w:rPr>
                            <w:rFonts w:ascii="Cambria Math" w:eastAsia="Cambria Math" w:hAnsi="Cambria Math" w:cs="Cambria Math"/>
                            <w:color w:val="000000"/>
                            <w:sz w:val="22"/>
                            <w:szCs w:val="22"/>
                          </w:rPr>
                          <m:t>ux</m:t>
                        </m:r>
                        <m:r>
                          <w:rPr>
                            <w:rFonts w:ascii="Cambria Math" w:hAnsi="Cambria Math"/>
                            <w:sz w:val="22"/>
                            <w:szCs w:val="22"/>
                          </w:rPr>
                          <m:t>|</m:t>
                        </m:r>
                        <m:r>
                          <w:rPr>
                            <w:rFonts w:ascii="Cambria Math" w:eastAsia="Cambria Math" w:hAnsi="Cambria Math" w:cs="Cambria Math"/>
                            <w:color w:val="000000"/>
                            <w:sz w:val="22"/>
                            <w:szCs w:val="22"/>
                          </w:rPr>
                          <m:t>y</m:t>
                        </m:r>
                      </m:e>
                    </m:d>
                  </m:e>
                </m:d>
              </m:e>
              <m:sup>
                <m:r>
                  <w:rPr>
                    <w:rFonts w:ascii="Cambria Math" w:eastAsia="Cambria Math" w:hAnsi="Cambria Math" w:cs="Cambria Math"/>
                    <w:color w:val="000000"/>
                    <w:sz w:val="22"/>
                    <w:szCs w:val="22"/>
                  </w:rPr>
                  <m:t>m</m:t>
                </m:r>
              </m:sup>
            </m:sSup>
          </m:e>
        </m:nary>
        <m:sSub>
          <m:sSubPr>
            <m:ctrlPr>
              <w:rPr>
                <w:rFonts w:ascii="Cambria Math" w:eastAsia="Cambria Math" w:hAnsi="Cambria Math" w:cs="Cambria Math"/>
                <w:color w:val="000000"/>
                <w:sz w:val="22"/>
                <w:szCs w:val="22"/>
              </w:rPr>
            </m:ctrlPr>
          </m:sSubPr>
          <m:e>
            <m:r>
              <w:rPr>
                <w:rFonts w:ascii="Cambria Math" w:eastAsia="Cambria Math" w:hAnsi="Cambria Math" w:cs="Cambria Math"/>
                <w:color w:val="000000"/>
                <w:sz w:val="22"/>
                <w:szCs w:val="22"/>
              </w:rPr>
              <m:t>d</m:t>
            </m:r>
          </m:e>
          <m:sub>
            <m:r>
              <w:rPr>
                <w:rFonts w:ascii="Cambria Math" w:eastAsia="Cambria Math" w:hAnsi="Cambria Math" w:cs="Cambria Math"/>
                <w:color w:val="000000"/>
                <w:sz w:val="22"/>
                <w:szCs w:val="22"/>
              </w:rPr>
              <m:t>u</m:t>
            </m:r>
          </m:sub>
        </m:sSub>
        <m:r>
          <w:rPr>
            <w:rFonts w:ascii="Cambria Math" w:eastAsia="Cambria Math" w:hAnsi="Cambria Math" w:cs="Cambria Math"/>
            <w:color w:val="000000"/>
            <w:sz w:val="22"/>
            <w:szCs w:val="22"/>
          </w:rPr>
          <m:t>=</m:t>
        </m:r>
        <m:sSub>
          <m:sSubPr>
            <m:ctrlPr>
              <w:rPr>
                <w:rFonts w:ascii="Cambria Math" w:eastAsia="Cambria Math" w:hAnsi="Cambria Math" w:cs="Cambria Math"/>
                <w:color w:val="000000"/>
                <w:sz w:val="22"/>
                <w:szCs w:val="22"/>
              </w:rPr>
            </m:ctrlPr>
          </m:sSubPr>
          <m:e>
            <m:acc>
              <m:accPr>
                <m:ctrlPr>
                  <w:rPr>
                    <w:rFonts w:ascii="Cambria Math" w:eastAsia="Cambria Math" w:hAnsi="Cambria Math" w:cs="Cambria Math"/>
                    <w:color w:val="000000"/>
                    <w:sz w:val="22"/>
                    <w:szCs w:val="22"/>
                  </w:rPr>
                </m:ctrlPr>
              </m:accPr>
              <m:e>
                <m:r>
                  <w:rPr>
                    <w:rFonts w:ascii="Cambria Math" w:eastAsia="Cambria Math" w:hAnsi="Cambria Math" w:cs="Cambria Math"/>
                    <w:color w:val="000000"/>
                    <w:sz w:val="22"/>
                    <w:szCs w:val="22"/>
                  </w:rPr>
                  <m:t>μ</m:t>
                </m:r>
              </m:e>
            </m:acc>
          </m:e>
          <m:sub>
            <m:r>
              <w:rPr>
                <w:rFonts w:ascii="Cambria Math" w:eastAsia="Cambria Math" w:hAnsi="Cambria Math" w:cs="Cambria Math"/>
                <w:color w:val="000000"/>
                <w:sz w:val="22"/>
                <w:szCs w:val="22"/>
              </w:rPr>
              <m:t>n</m:t>
            </m:r>
          </m:sub>
        </m:sSub>
        <m:d>
          <m:dPr>
            <m:ctrlPr>
              <w:rPr>
                <w:rFonts w:ascii="Cambria Math" w:eastAsia="Cambria Math" w:hAnsi="Cambria Math" w:cs="Cambria Math"/>
                <w:color w:val="000000"/>
                <w:sz w:val="22"/>
                <w:szCs w:val="22"/>
              </w:rPr>
            </m:ctrlPr>
          </m:dPr>
          <m:e>
            <m:r>
              <w:rPr>
                <w:rFonts w:ascii="Cambria Math" w:eastAsia="Cambria Math" w:hAnsi="Cambria Math" w:cs="Cambria Math"/>
                <w:color w:val="000000"/>
                <w:sz w:val="22"/>
                <w:szCs w:val="22"/>
              </w:rPr>
              <m:t>x,y</m:t>
            </m:r>
          </m:e>
        </m:d>
        <m:r>
          <w:rPr>
            <w:rFonts w:ascii="Cambria Math" w:eastAsia="Cambria Math" w:hAnsi="Cambria Math" w:cs="Cambria Math"/>
            <w:color w:val="000000"/>
            <w:sz w:val="22"/>
            <w:szCs w:val="22"/>
          </w:rPr>
          <m:t>+</m:t>
        </m:r>
        <m:nary>
          <m:naryPr>
            <m:ctrlPr>
              <w:rPr>
                <w:rFonts w:ascii="Cambria Math" w:eastAsia="Cambria Math" w:hAnsi="Cambria Math" w:cs="Cambria Math"/>
                <w:color w:val="000000"/>
                <w:sz w:val="22"/>
                <w:szCs w:val="22"/>
              </w:rPr>
            </m:ctrlPr>
          </m:naryPr>
          <m:sub>
            <m:sSub>
              <m:sSubPr>
                <m:ctrlPr>
                  <w:rPr>
                    <w:rFonts w:ascii="Cambria Math" w:eastAsia="Cambria Math" w:hAnsi="Cambria Math" w:cs="Cambria Math"/>
                    <w:color w:val="000000"/>
                    <w:sz w:val="22"/>
                    <w:szCs w:val="22"/>
                  </w:rPr>
                </m:ctrlPr>
              </m:sSubPr>
              <m:e>
                <m:acc>
                  <m:accPr>
                    <m:ctrlPr>
                      <w:rPr>
                        <w:rFonts w:ascii="Cambria Math" w:eastAsia="Cambria Math" w:hAnsi="Cambria Math" w:cs="Cambria Math"/>
                        <w:color w:val="000000"/>
                        <w:sz w:val="22"/>
                        <w:szCs w:val="22"/>
                      </w:rPr>
                    </m:ctrlPr>
                  </m:accPr>
                  <m:e>
                    <m:r>
                      <w:rPr>
                        <w:rFonts w:ascii="Cambria Math" w:eastAsia="Cambria Math" w:hAnsi="Cambria Math" w:cs="Cambria Math"/>
                        <w:color w:val="000000"/>
                        <w:sz w:val="22"/>
                        <w:szCs w:val="22"/>
                      </w:rPr>
                      <m:t>μ</m:t>
                    </m:r>
                  </m:e>
                </m:acc>
              </m:e>
              <m:sub>
                <m:r>
                  <w:rPr>
                    <w:rFonts w:ascii="Cambria Math" w:eastAsia="Cambria Math" w:hAnsi="Cambria Math" w:cs="Cambria Math"/>
                    <w:color w:val="000000"/>
                    <w:sz w:val="22"/>
                    <w:szCs w:val="22"/>
                  </w:rPr>
                  <m:t>n</m:t>
                </m:r>
              </m:sub>
            </m:sSub>
            <m:d>
              <m:dPr>
                <m:ctrlPr>
                  <w:rPr>
                    <w:rFonts w:ascii="Cambria Math" w:eastAsia="Cambria Math" w:hAnsi="Cambria Math" w:cs="Cambria Math"/>
                    <w:color w:val="000000"/>
                    <w:sz w:val="22"/>
                    <w:szCs w:val="22"/>
                  </w:rPr>
                </m:ctrlPr>
              </m:dPr>
              <m:e>
                <m:r>
                  <w:rPr>
                    <w:rFonts w:ascii="Cambria Math" w:eastAsia="Cambria Math" w:hAnsi="Cambria Math" w:cs="Cambria Math"/>
                    <w:color w:val="000000"/>
                    <w:sz w:val="22"/>
                    <w:szCs w:val="22"/>
                  </w:rPr>
                  <m:t>x,y</m:t>
                </m:r>
              </m:e>
            </m:d>
          </m:sub>
          <m:sup>
            <m:r>
              <w:rPr>
                <w:rFonts w:ascii="Cambria Math" w:eastAsia="Cambria Math" w:hAnsi="Cambria Math" w:cs="Cambria Math"/>
                <w:color w:val="000000"/>
                <w:sz w:val="22"/>
                <w:szCs w:val="22"/>
              </w:rPr>
              <m:t>∞</m:t>
            </m:r>
          </m:sup>
          <m:e>
            <m:sSup>
              <m:sSupPr>
                <m:ctrlPr>
                  <w:rPr>
                    <w:rFonts w:ascii="Cambria Math" w:eastAsia="Cambria Math" w:hAnsi="Cambria Math" w:cs="Cambria Math"/>
                    <w:color w:val="000000"/>
                    <w:sz w:val="22"/>
                    <w:szCs w:val="22"/>
                  </w:rPr>
                </m:ctrlPr>
              </m:sSupPr>
              <m:e>
                <m:d>
                  <m:dPr>
                    <m:ctrlPr>
                      <w:rPr>
                        <w:rFonts w:ascii="Cambria Math" w:eastAsia="Cambria Math" w:hAnsi="Cambria Math" w:cs="Cambria Math"/>
                        <w:color w:val="000000"/>
                        <w:sz w:val="22"/>
                        <w:szCs w:val="22"/>
                      </w:rPr>
                    </m:ctrlPr>
                  </m:dPr>
                  <m:e>
                    <m:r>
                      <w:rPr>
                        <w:rFonts w:ascii="Cambria Math" w:eastAsia="Cambria Math" w:hAnsi="Cambria Math" w:cs="Cambria Math"/>
                        <w:color w:val="000000"/>
                        <w:sz w:val="22"/>
                        <w:szCs w:val="22"/>
                      </w:rPr>
                      <m:t>1-</m:t>
                    </m:r>
                    <m:sSub>
                      <m:sSubPr>
                        <m:ctrlPr>
                          <w:rPr>
                            <w:rFonts w:ascii="Cambria Math" w:eastAsia="Cambria Math" w:hAnsi="Cambria Math" w:cs="Cambria Math"/>
                            <w:color w:val="000000"/>
                            <w:sz w:val="22"/>
                            <w:szCs w:val="22"/>
                          </w:rPr>
                        </m:ctrlPr>
                      </m:sSubPr>
                      <m:e>
                        <m:acc>
                          <m:accPr>
                            <m:ctrlPr>
                              <w:rPr>
                                <w:rFonts w:ascii="Cambria Math" w:eastAsia="Cambria Math" w:hAnsi="Cambria Math" w:cs="Cambria Math"/>
                                <w:color w:val="000000"/>
                                <w:sz w:val="22"/>
                                <w:szCs w:val="22"/>
                              </w:rPr>
                            </m:ctrlPr>
                          </m:accPr>
                          <m:e>
                            <m:r>
                              <w:rPr>
                                <w:rFonts w:ascii="Cambria Math" w:eastAsia="Cambria Math" w:hAnsi="Cambria Math" w:cs="Cambria Math"/>
                                <w:color w:val="000000"/>
                                <w:sz w:val="22"/>
                                <w:szCs w:val="22"/>
                              </w:rPr>
                              <m:t>F</m:t>
                            </m:r>
                          </m:e>
                        </m:acc>
                      </m:e>
                      <m:sub>
                        <m:r>
                          <w:rPr>
                            <w:rFonts w:ascii="Cambria Math" w:eastAsia="Cambria Math" w:hAnsi="Cambria Math" w:cs="Cambria Math"/>
                            <w:color w:val="000000"/>
                            <w:sz w:val="22"/>
                            <w:szCs w:val="22"/>
                          </w:rPr>
                          <m:t>x</m:t>
                        </m:r>
                        <m:r>
                          <w:rPr>
                            <w:rFonts w:ascii="Cambria Math" w:hAnsi="Cambria Math"/>
                            <w:sz w:val="22"/>
                            <w:szCs w:val="22"/>
                          </w:rPr>
                          <m:t>|</m:t>
                        </m:r>
                        <m:r>
                          <w:rPr>
                            <w:rFonts w:ascii="Cambria Math" w:eastAsia="Cambria Math" w:hAnsi="Cambria Math" w:cs="Cambria Math"/>
                            <w:color w:val="000000"/>
                            <w:sz w:val="22"/>
                            <w:szCs w:val="22"/>
                          </w:rPr>
                          <m:t>y,n</m:t>
                        </m:r>
                      </m:sub>
                    </m:sSub>
                    <m:d>
                      <m:dPr>
                        <m:ctrlPr>
                          <w:rPr>
                            <w:rFonts w:ascii="Cambria Math" w:eastAsia="Cambria Math" w:hAnsi="Cambria Math" w:cs="Cambria Math"/>
                            <w:color w:val="000000"/>
                            <w:sz w:val="22"/>
                            <w:szCs w:val="22"/>
                          </w:rPr>
                        </m:ctrlPr>
                      </m:dPr>
                      <m:e>
                        <m:r>
                          <w:rPr>
                            <w:rFonts w:ascii="Cambria Math" w:eastAsia="Cambria Math" w:hAnsi="Cambria Math" w:cs="Cambria Math"/>
                            <w:color w:val="000000"/>
                            <w:sz w:val="22"/>
                            <w:szCs w:val="22"/>
                          </w:rPr>
                          <m:t>ux</m:t>
                        </m:r>
                        <m:r>
                          <w:rPr>
                            <w:rFonts w:ascii="Cambria Math" w:hAnsi="Cambria Math"/>
                            <w:sz w:val="22"/>
                            <w:szCs w:val="22"/>
                          </w:rPr>
                          <m:t>|</m:t>
                        </m:r>
                        <m:r>
                          <w:rPr>
                            <w:rFonts w:ascii="Cambria Math" w:eastAsia="Cambria Math" w:hAnsi="Cambria Math" w:cs="Cambria Math"/>
                            <w:color w:val="000000"/>
                            <w:sz w:val="22"/>
                            <w:szCs w:val="22"/>
                          </w:rPr>
                          <m:t>y</m:t>
                        </m:r>
                      </m:e>
                    </m:d>
                  </m:e>
                </m:d>
              </m:e>
              <m:sup>
                <m:r>
                  <w:rPr>
                    <w:rFonts w:ascii="Cambria Math" w:eastAsia="Cambria Math" w:hAnsi="Cambria Math" w:cs="Cambria Math"/>
                    <w:color w:val="000000"/>
                    <w:sz w:val="22"/>
                    <w:szCs w:val="22"/>
                  </w:rPr>
                  <m:t>m</m:t>
                </m:r>
              </m:sup>
            </m:sSup>
            <m:sSub>
              <m:sSubPr>
                <m:ctrlPr>
                  <w:rPr>
                    <w:rFonts w:ascii="Cambria Math" w:eastAsia="Cambria Math" w:hAnsi="Cambria Math" w:cs="Cambria Math"/>
                    <w:color w:val="000000"/>
                    <w:sz w:val="22"/>
                    <w:szCs w:val="22"/>
                  </w:rPr>
                </m:ctrlPr>
              </m:sSubPr>
              <m:e>
                <m:r>
                  <w:rPr>
                    <w:rFonts w:ascii="Cambria Math" w:eastAsia="Cambria Math" w:hAnsi="Cambria Math" w:cs="Cambria Math"/>
                    <w:color w:val="000000"/>
                    <w:sz w:val="22"/>
                    <w:szCs w:val="22"/>
                  </w:rPr>
                  <m:t>d</m:t>
                </m:r>
              </m:e>
              <m:sub>
                <m:r>
                  <w:rPr>
                    <w:rFonts w:ascii="Cambria Math" w:eastAsia="Cambria Math" w:hAnsi="Cambria Math" w:cs="Cambria Math"/>
                    <w:color w:val="000000"/>
                    <w:sz w:val="22"/>
                    <w:szCs w:val="22"/>
                  </w:rPr>
                  <m:t>u</m:t>
                </m:r>
              </m:sub>
            </m:sSub>
          </m:e>
        </m:nary>
        <m:r>
          <w:rPr>
            <w:rFonts w:ascii="Cambria Math" w:eastAsia="Cambria Math" w:hAnsi="Cambria Math" w:cs="Cambria Math"/>
            <w:color w:val="000000"/>
            <w:sz w:val="22"/>
            <w:szCs w:val="22"/>
          </w:rPr>
          <m:t>.</m:t>
        </m:r>
      </m:oMath>
      <w:r w:rsidR="00A852D7">
        <w:rPr>
          <w:color w:val="000000"/>
        </w:rPr>
        <w:tab/>
      </w:r>
      <w:r w:rsidR="00E265B4">
        <w:rPr>
          <w:color w:val="000000"/>
        </w:rPr>
        <w:t>(3)</w:t>
      </w:r>
    </w:p>
    <w:p w14:paraId="429ADBA3" w14:textId="42C6F446" w:rsidR="001669D8" w:rsidRDefault="00E265B4">
      <w:pPr>
        <w:spacing w:line="360" w:lineRule="auto"/>
        <w:ind w:firstLine="567"/>
        <w:jc w:val="both"/>
        <w:rPr>
          <w:color w:val="000000"/>
        </w:rPr>
      </w:pPr>
      <w:r>
        <w:rPr>
          <w:color w:val="000000"/>
        </w:rPr>
        <w:t xml:space="preserve">According to Daraio and Simar (2007, p.71), the applied Order-m frontiers are robust to outliers that are asymptotically unbiased and asymptotically normally distributed. The efficiency scores calculated from Order-m frontiers are not bound by 1 (in contrast to the data envelopment analysis-DEA estimators). Specifically, the estimated Order-m efficiency score indicates universities’ third mission performance levels and represents the minimal input efficiency score of a university </w:t>
      </w:r>
      <w:r>
        <w:rPr>
          <w:i/>
          <w:color w:val="000000"/>
        </w:rPr>
        <w:t xml:space="preserve">i </w:t>
      </w:r>
      <w:r>
        <w:rPr>
          <w:color w:val="000000"/>
        </w:rPr>
        <w:t xml:space="preserve">compared to </w:t>
      </w:r>
      <w:r>
        <w:rPr>
          <w:i/>
          <w:color w:val="000000"/>
        </w:rPr>
        <w:t>m</w:t>
      </w:r>
      <w:r>
        <w:rPr>
          <w:color w:val="000000"/>
        </w:rPr>
        <w:t xml:space="preserve"> universities (peers) randomly drawn from the population of the universities producing more outputs than the outputs produced by the university </w:t>
      </w:r>
      <w:r>
        <w:rPr>
          <w:i/>
          <w:color w:val="000000"/>
        </w:rPr>
        <w:t>i</w:t>
      </w:r>
      <w:r>
        <w:rPr>
          <w:color w:val="000000"/>
        </w:rPr>
        <w:t xml:space="preserve">. For instance, a university with an Order-m efficiency score equal to 0.7 uses 30% more inputs than the expected value of the minimum input levels of </w:t>
      </w:r>
      <w:r>
        <w:rPr>
          <w:i/>
          <w:color w:val="000000"/>
        </w:rPr>
        <w:t>m</w:t>
      </w:r>
      <w:r>
        <w:rPr>
          <w:color w:val="000000"/>
        </w:rPr>
        <w:t xml:space="preserve"> other universities producing a level of output</w:t>
      </w:r>
      <m:oMath>
        <m:r>
          <w:rPr>
            <w:rFonts w:ascii="Cambria Math" w:eastAsia="Cambria Math" w:hAnsi="Cambria Math" w:cs="Cambria Math"/>
            <w:color w:val="000000"/>
          </w:rPr>
          <m:t>≥y</m:t>
        </m:r>
      </m:oMath>
      <w:r>
        <w:rPr>
          <w:color w:val="000000"/>
        </w:rPr>
        <w:t xml:space="preserve">. In addition, if a university’s efficiency score is equal to 1.8 this means that it uses 80% less inputs than the expected value of the minimum input levels of </w:t>
      </w:r>
      <w:r>
        <w:rPr>
          <w:i/>
          <w:color w:val="000000"/>
        </w:rPr>
        <w:t>m</w:t>
      </w:r>
      <w:r>
        <w:rPr>
          <w:color w:val="000000"/>
        </w:rPr>
        <w:t xml:space="preserve"> other universities producing a level of output</w:t>
      </w:r>
      <m:oMath>
        <m:r>
          <w:rPr>
            <w:rFonts w:ascii="Cambria Math" w:eastAsia="Cambria Math" w:hAnsi="Cambria Math" w:cs="Cambria Math"/>
            <w:color w:val="000000"/>
          </w:rPr>
          <m:t>≥y</m:t>
        </m:r>
      </m:oMath>
      <w:r>
        <w:rPr>
          <w:color w:val="000000"/>
        </w:rPr>
        <w:t xml:space="preserve">. Finally, if the Order-m efficiency score equals 1 then the university under evaluation uses the same levels of inputs </w:t>
      </w:r>
      <w:r w:rsidR="0057798A">
        <w:rPr>
          <w:color w:val="000000"/>
        </w:rPr>
        <w:t>as</w:t>
      </w:r>
      <w:r>
        <w:rPr>
          <w:color w:val="000000"/>
        </w:rPr>
        <w:t xml:space="preserve"> the expected value of the minimum input levels of </w:t>
      </w:r>
      <w:r>
        <w:rPr>
          <w:i/>
          <w:color w:val="000000"/>
        </w:rPr>
        <w:t>m</w:t>
      </w:r>
      <w:r>
        <w:rPr>
          <w:color w:val="000000"/>
        </w:rPr>
        <w:t xml:space="preserve"> other universities producing a level of output</w:t>
      </w:r>
      <m:oMath>
        <m:r>
          <w:rPr>
            <w:rFonts w:ascii="Cambria Math" w:eastAsia="Cambria Math" w:hAnsi="Cambria Math" w:cs="Cambria Math"/>
            <w:color w:val="000000"/>
          </w:rPr>
          <m:t>≥y</m:t>
        </m:r>
      </m:oMath>
      <w:r>
        <w:rPr>
          <w:color w:val="000000"/>
        </w:rPr>
        <w:t>. In our analysis</w:t>
      </w:r>
      <w:r w:rsidR="0057798A">
        <w:rPr>
          <w:color w:val="000000"/>
        </w:rPr>
        <w:t>,</w:t>
      </w:r>
      <w:r>
        <w:rPr>
          <w:color w:val="000000"/>
        </w:rPr>
        <w:t xml:space="preserve"> we construct two frontiers based on universit</w:t>
      </w:r>
      <w:r w:rsidR="003F1D14">
        <w:rPr>
          <w:color w:val="000000"/>
        </w:rPr>
        <w:t>i</w:t>
      </w:r>
      <w:r>
        <w:rPr>
          <w:color w:val="000000"/>
        </w:rPr>
        <w:t>es’ third mission performance levels: one for the old polytechnics ("</w:t>
      </w:r>
      <w:hyperlink r:id="rId12">
        <w:r>
          <w:rPr>
            <w:color w:val="000000"/>
          </w:rPr>
          <w:t>new universities</w:t>
        </w:r>
      </w:hyperlink>
      <w:r>
        <w:rPr>
          <w:color w:val="000000"/>
        </w:rPr>
        <w:t>"); and another one for the universities ("</w:t>
      </w:r>
      <w:hyperlink r:id="rId13">
        <w:r>
          <w:rPr>
            <w:color w:val="000000"/>
          </w:rPr>
          <w:t>old universities</w:t>
        </w:r>
      </w:hyperlink>
      <w:r>
        <w:rPr>
          <w:color w:val="000000"/>
        </w:rPr>
        <w:t xml:space="preserve">") established before the Higher Education Act 1992 (HEA). </w:t>
      </w:r>
    </w:p>
    <w:p w14:paraId="49E8CB90" w14:textId="7826A86C" w:rsidR="001669D8" w:rsidRPr="0065405D" w:rsidRDefault="00E265B4">
      <w:pPr>
        <w:pBdr>
          <w:top w:val="nil"/>
          <w:left w:val="nil"/>
          <w:bottom w:val="nil"/>
          <w:right w:val="nil"/>
          <w:between w:val="nil"/>
        </w:pBdr>
        <w:spacing w:line="360" w:lineRule="auto"/>
        <w:ind w:firstLine="567"/>
        <w:jc w:val="both"/>
      </w:pPr>
      <w:r>
        <w:rPr>
          <w:color w:val="000000"/>
        </w:rPr>
        <w:t xml:space="preserve">Following this, we further explore the impact of efficiency (i.e. third mission performance) on the research quality of UK HEIs. From a methodological viewpoint, we apply a nonparametric instrumental variable regression (Horowitz, 2011) that tackles endogeneity-related problems by incorporating instrumental variables directly into the estimation. This enables us to address endogeneity issues without imposing any functional form on, and linearity between, the variables and therefore provides us with the ability to reveal nonlinear phenomena among the variables under examination. The general </w:t>
      </w:r>
      <w:r w:rsidR="0057798A">
        <w:rPr>
          <w:color w:val="000000"/>
        </w:rPr>
        <w:t>look</w:t>
      </w:r>
      <w:r>
        <w:rPr>
          <w:color w:val="000000"/>
        </w:rPr>
        <w:t xml:space="preserve"> of the nonparametric regression takes the form:</w:t>
      </w:r>
    </w:p>
    <w:p w14:paraId="02D63ADE" w14:textId="77777777" w:rsidR="001669D8" w:rsidRPr="0065405D" w:rsidRDefault="00C535B1">
      <w:pPr>
        <w:pBdr>
          <w:top w:val="nil"/>
          <w:left w:val="nil"/>
          <w:bottom w:val="nil"/>
          <w:right w:val="nil"/>
          <w:between w:val="nil"/>
        </w:pBdr>
        <w:spacing w:line="360" w:lineRule="auto"/>
        <w:ind w:firstLine="567"/>
        <w:jc w:val="both"/>
      </w:pPr>
      <m:oMath>
        <m:sSub>
          <m:sSubPr>
            <m:ctrlPr>
              <w:rPr>
                <w:rFonts w:ascii="Cambria Math" w:eastAsia="Cambria Math" w:hAnsi="Cambria Math" w:cs="Cambria Math"/>
              </w:rPr>
            </m:ctrlPr>
          </m:sSubPr>
          <m:e>
            <m:r>
              <w:rPr>
                <w:rFonts w:ascii="Cambria Math" w:eastAsia="Cambria Math" w:hAnsi="Cambria Math" w:cs="Cambria Math"/>
              </w:rPr>
              <m:t>GPA</m:t>
            </m:r>
          </m:e>
          <m:sub>
            <m:r>
              <w:rPr>
                <w:rFonts w:ascii="Cambria Math" w:eastAsia="Cambria Math" w:hAnsi="Cambria Math" w:cs="Cambria Math"/>
              </w:rPr>
              <m:t>i</m:t>
            </m:r>
          </m:sub>
        </m:sSub>
        <m:r>
          <m:rPr>
            <m:sty m:val="p"/>
          </m:rPr>
          <w:rPr>
            <w:rFonts w:ascii="Cambria Math" w:eastAsia="Cambria Math" w:hAnsi="Cambria Math" w:cs="Cambria Math"/>
          </w:rPr>
          <m:t>=</m:t>
        </m:r>
        <m:r>
          <w:rPr>
            <w:rFonts w:ascii="Cambria Math" w:eastAsia="Cambria Math" w:hAnsi="Cambria Math" w:cs="Cambria Math"/>
          </w:rPr>
          <m:t>f</m:t>
        </m:r>
        <m:d>
          <m:dPr>
            <m:ctrlPr>
              <w:rPr>
                <w:rFonts w:ascii="Cambria Math" w:eastAsia="Cambria Math" w:hAnsi="Cambria Math" w:cs="Cambria Math"/>
              </w:rPr>
            </m:ctrlPr>
          </m:dPr>
          <m:e>
            <m:sSub>
              <m:sSubPr>
                <m:ctrlPr>
                  <w:rPr>
                    <w:rFonts w:ascii="Cambria Math" w:eastAsia="Cambria Math" w:hAnsi="Cambria Math" w:cs="Cambria Math"/>
                  </w:rPr>
                </m:ctrlPr>
              </m:sSubPr>
              <m:e>
                <m:r>
                  <w:rPr>
                    <w:rFonts w:ascii="Cambria Math" w:eastAsia="Cambria Math" w:hAnsi="Cambria Math" w:cs="Cambria Math"/>
                  </w:rPr>
                  <m:t>EFF</m:t>
                </m:r>
              </m:e>
              <m:sub>
                <m:r>
                  <w:rPr>
                    <w:rFonts w:ascii="Cambria Math" w:eastAsia="Cambria Math" w:hAnsi="Cambria Math" w:cs="Cambria Math"/>
                  </w:rPr>
                  <m:t>i</m:t>
                </m:r>
              </m:sub>
            </m:sSub>
          </m:e>
        </m:d>
        <m:r>
          <m:rPr>
            <m:sty m:val="p"/>
          </m:rP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ε</m:t>
            </m:r>
          </m:e>
          <m:sub>
            <m:r>
              <w:rPr>
                <w:rFonts w:ascii="Cambria Math" w:eastAsia="Cambria Math" w:hAnsi="Cambria Math" w:cs="Cambria Math"/>
              </w:rPr>
              <m:t>i</m:t>
            </m:r>
          </m:sub>
        </m:sSub>
        <m:r>
          <m:rPr>
            <m:sty m:val="p"/>
          </m:rPr>
          <w:rPr>
            <w:rFonts w:ascii="Cambria Math" w:eastAsia="Cambria Math" w:hAnsi="Cambria Math" w:cs="Cambria Math"/>
          </w:rPr>
          <m:t xml:space="preserve">, </m:t>
        </m:r>
        <m:r>
          <w:rPr>
            <w:rFonts w:ascii="Cambria Math" w:eastAsia="Cambria Math" w:hAnsi="Cambria Math" w:cs="Cambria Math"/>
          </w:rPr>
          <m:t>i</m:t>
        </m:r>
        <m:r>
          <m:rPr>
            <m:sty m:val="p"/>
          </m:rPr>
          <w:rPr>
            <w:rFonts w:ascii="Cambria Math" w:eastAsia="Cambria Math" w:hAnsi="Cambria Math" w:cs="Cambria Math"/>
          </w:rPr>
          <m:t>=1,…</m:t>
        </m:r>
        <m:r>
          <w:rPr>
            <w:rFonts w:ascii="Cambria Math" w:eastAsia="Cambria Math" w:hAnsi="Cambria Math" w:cs="Cambria Math"/>
          </w:rPr>
          <m:t>i</m:t>
        </m:r>
        <m:r>
          <m:rPr>
            <m:sty m:val="p"/>
          </m:rPr>
          <w:rPr>
            <w:rFonts w:ascii="Cambria Math" w:eastAsia="Cambria Math" w:hAnsi="Cambria Math" w:cs="Cambria Math"/>
          </w:rPr>
          <m:t>,</m:t>
        </m:r>
        <m:r>
          <w:rPr>
            <w:rFonts w:ascii="Cambria Math" w:eastAsia="Cambria Math" w:hAnsi="Cambria Math" w:cs="Cambria Math"/>
          </w:rPr>
          <m:t>n</m:t>
        </m:r>
      </m:oMath>
      <w:r w:rsidR="00E265B4" w:rsidRPr="0065405D">
        <w:t xml:space="preserve">. </w:t>
      </w:r>
      <w:r w:rsidR="00E265B4" w:rsidRPr="0065405D">
        <w:tab/>
      </w:r>
      <w:r w:rsidR="00E265B4" w:rsidRPr="0065405D">
        <w:tab/>
      </w:r>
      <w:r w:rsidR="00E265B4" w:rsidRPr="0065405D">
        <w:tab/>
      </w:r>
      <w:r w:rsidR="00E265B4" w:rsidRPr="0065405D">
        <w:tab/>
      </w:r>
      <w:r w:rsidR="00E265B4" w:rsidRPr="0065405D">
        <w:tab/>
      </w:r>
      <w:r w:rsidR="00E265B4" w:rsidRPr="0065405D">
        <w:tab/>
      </w:r>
      <w:r w:rsidR="00E265B4" w:rsidRPr="0065405D">
        <w:tab/>
        <w:t>(4)</w:t>
      </w:r>
    </w:p>
    <w:p w14:paraId="6F9D0B2C" w14:textId="7E1840B9" w:rsidR="001669D8" w:rsidRPr="0065405D" w:rsidRDefault="00E265B4">
      <w:pPr>
        <w:pBdr>
          <w:top w:val="nil"/>
          <w:left w:val="nil"/>
          <w:bottom w:val="nil"/>
          <w:right w:val="nil"/>
          <w:between w:val="nil"/>
        </w:pBdr>
        <w:spacing w:line="360" w:lineRule="auto"/>
        <w:ind w:firstLine="567"/>
        <w:jc w:val="both"/>
      </w:pPr>
      <w:r w:rsidRPr="0065405D">
        <w:t xml:space="preserve">The term </w:t>
      </w:r>
      <m:oMath>
        <m:r>
          <w:rPr>
            <w:rFonts w:ascii="Cambria Math" w:eastAsia="Cambria Math" w:hAnsi="Cambria Math" w:cs="Cambria Math"/>
          </w:rPr>
          <m:t>f</m:t>
        </m:r>
        <m:d>
          <m:dPr>
            <m:ctrlPr>
              <w:rPr>
                <w:rFonts w:ascii="Cambria Math" w:eastAsia="Cambria Math" w:hAnsi="Cambria Math" w:cs="Cambria Math"/>
              </w:rPr>
            </m:ctrlPr>
          </m:dPr>
          <m:e>
            <m:r>
              <m:rPr>
                <m:sty m:val="p"/>
              </m:rPr>
              <w:rPr>
                <w:rFonts w:ascii="Cambria Math" w:eastAsia="Cambria Math" w:hAnsi="Cambria Math" w:cs="Cambria Math"/>
              </w:rPr>
              <m:t>.</m:t>
            </m:r>
          </m:e>
        </m:d>
      </m:oMath>
      <w:r w:rsidRPr="0065405D">
        <w:t xml:space="preserve"> is the unknown smooth function, whereas the term </w:t>
      </w:r>
      <m:oMath>
        <m:sSub>
          <m:sSubPr>
            <m:ctrlPr>
              <w:rPr>
                <w:rFonts w:ascii="Cambria Math" w:eastAsia="Cambria Math" w:hAnsi="Cambria Math" w:cs="Cambria Math"/>
              </w:rPr>
            </m:ctrlPr>
          </m:sSubPr>
          <m:e>
            <m:r>
              <w:rPr>
                <w:rFonts w:ascii="Cambria Math" w:hAnsi="Cambria Math"/>
              </w:rPr>
              <m:t>ε</m:t>
            </m:r>
          </m:e>
          <m:sub>
            <m:r>
              <w:rPr>
                <w:rFonts w:ascii="Cambria Math" w:eastAsia="Cambria Math" w:hAnsi="Cambria Math" w:cs="Cambria Math"/>
              </w:rPr>
              <m:t>i</m:t>
            </m:r>
          </m:sub>
        </m:sSub>
      </m:oMath>
      <w:r w:rsidRPr="0065405D">
        <w:t xml:space="preserve"> represents the disturbances. The main independent variable is the efficiency score</w:t>
      </w:r>
      <w:r w:rsidRPr="0065405D">
        <w:footnoteReference w:id="5"/>
      </w:r>
      <w:r w:rsidRPr="0065405D">
        <w:t xml:space="preserve"> for third mission income for each HEI. Instead, the dependent variable is the research performance of each HEI measured referring to the REF2014. Section 2.3 discusses the research </w:t>
      </w:r>
      <w:r w:rsidR="000F60AB" w:rsidRPr="0065405D">
        <w:t>performance</w:t>
      </w:r>
      <w:r w:rsidRPr="0065405D">
        <w:t xml:space="preserve"> indicator we have used for this analysis</w:t>
      </w:r>
      <w:r w:rsidR="0057798A">
        <w:t xml:space="preserve"> </w:t>
      </w:r>
      <w:r w:rsidR="0057798A" w:rsidRPr="0065405D">
        <w:t>more extensively</w:t>
      </w:r>
      <w:r w:rsidRPr="0065405D">
        <w:t xml:space="preserve">. </w:t>
      </w:r>
    </w:p>
    <w:p w14:paraId="1E55018C" w14:textId="4EB70417" w:rsidR="001669D8" w:rsidRPr="00036219" w:rsidRDefault="00E265B4" w:rsidP="00036219">
      <w:pPr>
        <w:spacing w:line="360" w:lineRule="auto"/>
        <w:ind w:firstLine="567"/>
        <w:jc w:val="both"/>
      </w:pPr>
      <w:bookmarkStart w:id="6" w:name="_2et92p0" w:colFirst="0" w:colLast="0"/>
      <w:bookmarkEnd w:id="6"/>
      <w:r w:rsidRPr="0065405D">
        <w:t>Furthermore, we tackle the possible endogeneity issues between the third mission and research performance. These could be driven by the fact that universities could either set the</w:t>
      </w:r>
      <w:r w:rsidR="004756B7">
        <w:t xml:space="preserve"> </w:t>
      </w:r>
      <w:r w:rsidRPr="0065405D">
        <w:t xml:space="preserve">resources to be dedicated to the third’s mission activities in advance and/or they can set the target to be achieved based on the expected and desirable research performance. In addition, as pointed out by Szücs (2018), the benefit to the industry of collaborating with universities is positively associated with the quality of the institutions concerned. Generally, universities with a high reputation and prestige that </w:t>
      </w:r>
      <w:r w:rsidR="000F60AB" w:rsidRPr="0065405D">
        <w:t>can</w:t>
      </w:r>
      <w:r w:rsidRPr="0065405D">
        <w:t xml:space="preserve"> produce high-quality research could attract more external industrial collaborations and raise more funds from the private sector. In </w:t>
      </w:r>
      <w:r w:rsidR="000F60AB" w:rsidRPr="0065405D">
        <w:t>turn</w:t>
      </w:r>
      <w:r w:rsidR="0057798A">
        <w:t>,</w:t>
      </w:r>
      <w:r w:rsidR="000F60AB" w:rsidRPr="0065405D">
        <w:t xml:space="preserve"> such</w:t>
      </w:r>
      <w:r w:rsidRPr="0065405D">
        <w:t xml:space="preserve"> prospects can raise possible endogeneity concerns. In order to treat endogeneity we utilize a nonparametric instrumental variable regression.</w:t>
      </w:r>
      <w:r>
        <w:t xml:space="preserve"> As reported previously, we apply the nonparametric instrumental variable (IV) regression analysis introduced by Horowitz (2011). For the choice of appropriate instrument variables we first apply a nonparametric regression framework. Specifically, we regress the potential instruments on efficiency score by employing a local linear least square regression (Li and Racine, 2007). We then select only the variables that are not related to the dependent variable. A further step of our analysis is to examine the correlation of the selected instruments with the endogenous regressors and use them as instrumental variables in the nonparametric IV regression. After applying the described procedure, we consider as instruments</w:t>
      </w:r>
      <w:r>
        <w:rPr>
          <w:color w:val="000000"/>
          <w:vertAlign w:val="superscript"/>
        </w:rPr>
        <w:footnoteReference w:id="6"/>
      </w:r>
      <w:r>
        <w:t xml:space="preserve"> the gross domestic product (GDP) at current market prices and the population density by NUTS 3 regions. The literature suggests that different stages of economic development and environmental factors can generate different patterns of university-industry relations (Siegel et al., 2003; Perkmann et al., 2013). Furthermore, we include the amount of research training, support grants, tuition fees</w:t>
      </w:r>
      <w:r>
        <w:rPr>
          <w:color w:val="000000"/>
          <w:vertAlign w:val="superscript"/>
        </w:rPr>
        <w:footnoteReference w:id="7"/>
      </w:r>
      <w:r>
        <w:t>, and education contracts</w:t>
      </w:r>
      <w:r>
        <w:rPr>
          <w:color w:val="000000"/>
          <w:vertAlign w:val="superscript"/>
        </w:rPr>
        <w:footnoteReference w:id="8"/>
      </w:r>
      <w:r>
        <w:t xml:space="preserve"> for the academic years 2005–2007 (in £000s) as instruments (finance return 2005–2007). This is motivated by the fact that the industry/business-university collaboration is also related to the ability of firms to get access to trained students (Feller, 2005; Perkmann al., 2011). Therefore, a high number of students and training activities in the years 2005–2007 could favour an increase of engagement activities from 2007 to 2014. In </w:t>
      </w:r>
      <w:r w:rsidR="004756B7">
        <w:t>addition,</w:t>
      </w:r>
      <w:r>
        <w:t xml:space="preserve"> this factor is not directly correlated to the REF evaluation of 2014 and thus is a valid instrument for efficiency scoring. </w:t>
      </w:r>
    </w:p>
    <w:p w14:paraId="3E29294F" w14:textId="77777777" w:rsidR="001669D8" w:rsidRDefault="001669D8">
      <w:pPr>
        <w:pBdr>
          <w:top w:val="nil"/>
          <w:left w:val="nil"/>
          <w:bottom w:val="nil"/>
          <w:right w:val="nil"/>
          <w:between w:val="nil"/>
        </w:pBdr>
        <w:spacing w:line="360" w:lineRule="auto"/>
        <w:jc w:val="both"/>
        <w:rPr>
          <w:color w:val="000000"/>
        </w:rPr>
      </w:pPr>
    </w:p>
    <w:p w14:paraId="4C22802F" w14:textId="77777777" w:rsidR="001669D8" w:rsidRDefault="00E265B4">
      <w:pPr>
        <w:pBdr>
          <w:top w:val="nil"/>
          <w:left w:val="nil"/>
          <w:bottom w:val="nil"/>
          <w:right w:val="nil"/>
          <w:between w:val="nil"/>
        </w:pBdr>
        <w:spacing w:line="360" w:lineRule="auto"/>
        <w:jc w:val="both"/>
        <w:rPr>
          <w:color w:val="000000"/>
        </w:rPr>
      </w:pPr>
      <w:r>
        <w:rPr>
          <w:b/>
          <w:color w:val="000000"/>
        </w:rPr>
        <w:t>2.3. Research performance</w:t>
      </w:r>
    </w:p>
    <w:p w14:paraId="629C65A9" w14:textId="1025F628" w:rsidR="001669D8" w:rsidRDefault="00E265B4">
      <w:pPr>
        <w:pBdr>
          <w:top w:val="nil"/>
          <w:left w:val="nil"/>
          <w:bottom w:val="nil"/>
          <w:right w:val="nil"/>
          <w:between w:val="nil"/>
        </w:pBdr>
        <w:spacing w:line="360" w:lineRule="auto"/>
        <w:ind w:firstLine="567"/>
        <w:jc w:val="both"/>
        <w:rPr>
          <w:color w:val="000000"/>
        </w:rPr>
      </w:pPr>
      <w:r>
        <w:rPr>
          <w:color w:val="000000"/>
        </w:rPr>
        <w:t>The REF2014 has been conducted jointly by the Higher Education Funding Council for England (HEFCE), the Scottish Funding Council (SFC), the Higher Education Funding Council for Wales (HEFCW) and the Department for Employment and Learning, Northern Ireland (DEL) rank UK HEIs based on their performance in order to allocate blocks of research grants.  The assessment mechanism is based primarily on a peer-review system. In particular, the evaluation process is managed by expert review which is carried out in 36 subject-based units of assessment. Sixty-five percent of the overall results come from the outputs of any form of research, including publications (such as journal articles, monographs</w:t>
      </w:r>
      <w:r w:rsidR="006F17A1">
        <w:rPr>
          <w:color w:val="000000"/>
        </w:rPr>
        <w:t>,</w:t>
      </w:r>
      <w:r>
        <w:rPr>
          <w:color w:val="000000"/>
        </w:rPr>
        <w:t xml:space="preserve"> and chapters in books), as well as outputs disseminated in other ways such as designs, performances</w:t>
      </w:r>
      <w:r w:rsidR="006F17A1">
        <w:rPr>
          <w:color w:val="000000"/>
        </w:rPr>
        <w:t>,</w:t>
      </w:r>
      <w:r>
        <w:rPr>
          <w:color w:val="000000"/>
        </w:rPr>
        <w:t xml:space="preserve"> and exhibitions published between January 2008 and December 2013. The quality of the output is evaluated based on its “originality” and “significance and rigour” by the reviewers. Finally, 25 percent of the overall results come</w:t>
      </w:r>
      <w:r w:rsidR="006F17A1">
        <w:rPr>
          <w:color w:val="000000"/>
        </w:rPr>
        <w:t>s</w:t>
      </w:r>
      <w:r>
        <w:rPr>
          <w:color w:val="000000"/>
        </w:rPr>
        <w:t xml:space="preserve"> from the “impact” of the research, while the remaining 10 percent </w:t>
      </w:r>
      <w:r w:rsidR="006F17A1">
        <w:rPr>
          <w:color w:val="000000"/>
        </w:rPr>
        <w:t xml:space="preserve">comes </w:t>
      </w:r>
      <w:r>
        <w:rPr>
          <w:color w:val="000000"/>
        </w:rPr>
        <w:t>from the “environment”. To be precise</w:t>
      </w:r>
      <w:r w:rsidR="006F17A1">
        <w:rPr>
          <w:color w:val="000000"/>
        </w:rPr>
        <w:t>,</w:t>
      </w:r>
      <w:r>
        <w:rPr>
          <w:color w:val="000000"/>
        </w:rPr>
        <w:t xml:space="preserve"> </w:t>
      </w:r>
      <w:r w:rsidR="006F17A1">
        <w:rPr>
          <w:i/>
          <w:color w:val="000000"/>
        </w:rPr>
        <w:t>I</w:t>
      </w:r>
      <w:r>
        <w:rPr>
          <w:i/>
          <w:color w:val="000000"/>
        </w:rPr>
        <w:t>mpact</w:t>
      </w:r>
      <w:r w:rsidR="006F17A1">
        <w:rPr>
          <w:i/>
          <w:color w:val="000000"/>
        </w:rPr>
        <w:t>s</w:t>
      </w:r>
      <w:r>
        <w:rPr>
          <w:color w:val="000000"/>
        </w:rPr>
        <w:t xml:space="preserve"> refers to “any effect on, change or benefit to the economy, society, culture, public policy or services, health, the environment or quality of life, beyond academia</w:t>
      </w:r>
      <w:r w:rsidR="005E4932">
        <w:rPr>
          <w:rStyle w:val="FootnoteReference"/>
          <w:color w:val="000000"/>
        </w:rPr>
        <w:footnoteReference w:id="9"/>
      </w:r>
      <w:r>
        <w:rPr>
          <w:color w:val="000000"/>
        </w:rPr>
        <w:t xml:space="preserve">”. For the purposes of the REF, </w:t>
      </w:r>
      <w:r>
        <w:rPr>
          <w:i/>
          <w:color w:val="000000"/>
        </w:rPr>
        <w:t>Impacts</w:t>
      </w:r>
      <w:r>
        <w:rPr>
          <w:color w:val="000000"/>
        </w:rPr>
        <w:t xml:space="preserve"> do not include any advancement of academic knowledge within the higher education sector (whether in the UK or internationally). </w:t>
      </w:r>
      <w:r>
        <w:rPr>
          <w:i/>
          <w:color w:val="000000"/>
        </w:rPr>
        <w:t>Environment</w:t>
      </w:r>
      <w:r>
        <w:rPr>
          <w:color w:val="000000"/>
        </w:rPr>
        <w:t xml:space="preserve"> refers to the strategy, resources</w:t>
      </w:r>
      <w:r w:rsidR="006F17A1">
        <w:rPr>
          <w:color w:val="000000"/>
        </w:rPr>
        <w:t>,</w:t>
      </w:r>
      <w:r>
        <w:rPr>
          <w:color w:val="000000"/>
        </w:rPr>
        <w:t xml:space="preserve"> and infrastructure that support research. </w:t>
      </w:r>
      <w:r>
        <w:rPr>
          <w:b/>
          <w:color w:val="000000"/>
        </w:rPr>
        <w:t xml:space="preserve"> </w:t>
      </w:r>
    </w:p>
    <w:p w14:paraId="24F4F563" w14:textId="488F841C" w:rsidR="001669D8" w:rsidRDefault="00E265B4">
      <w:pPr>
        <w:pBdr>
          <w:top w:val="nil"/>
          <w:left w:val="nil"/>
          <w:bottom w:val="nil"/>
          <w:right w:val="nil"/>
          <w:between w:val="nil"/>
        </w:pBdr>
        <w:spacing w:line="360" w:lineRule="auto"/>
        <w:ind w:firstLine="567"/>
        <w:jc w:val="both"/>
        <w:rPr>
          <w:color w:val="000000"/>
        </w:rPr>
      </w:pPr>
      <w:r>
        <w:rPr>
          <w:color w:val="000000"/>
        </w:rPr>
        <w:t>For our analysis we make use of the grade point average (GPA) provided by the REF2014. GPA can take any value from 0 to 4 and reflects the average quality of the research reached by each HEI during the period 2007–2014 for all the disciplines.                                                                                Particularly, there are five categories: 4* (world- leading), 3* (internationally excellent), 2* (internationally recognised), 1* (nationally recognised)</w:t>
      </w:r>
      <w:r w:rsidR="006F17A1">
        <w:rPr>
          <w:color w:val="000000"/>
        </w:rPr>
        <w:t>,</w:t>
      </w:r>
      <w:r>
        <w:rPr>
          <w:color w:val="000000"/>
        </w:rPr>
        <w:t xml:space="preserve"> and unclassified. For impact, there are instead four categories that include 4* (outstanding), 3* (very considerable), 2* (considerable), 1* (recognised but modest)</w:t>
      </w:r>
      <w:r w:rsidR="006F17A1">
        <w:rPr>
          <w:color w:val="000000"/>
        </w:rPr>
        <w:t>,</w:t>
      </w:r>
      <w:r>
        <w:rPr>
          <w:color w:val="000000"/>
        </w:rPr>
        <w:t xml:space="preserve"> and unclassified. </w:t>
      </w:r>
      <w:r w:rsidR="006F17A1">
        <w:rPr>
          <w:color w:val="000000"/>
        </w:rPr>
        <w:t xml:space="preserve">The </w:t>
      </w:r>
      <w:r>
        <w:rPr>
          <w:i/>
          <w:color w:val="000000"/>
        </w:rPr>
        <w:t>Times Higher Education</w:t>
      </w:r>
      <w:r>
        <w:rPr>
          <w:color w:val="000000"/>
        </w:rPr>
        <w:t xml:space="preserve"> aggregates all these scores into a single institutional quality profile by considering both the number of full-time equivalent staff and the number of units of assessment.</w:t>
      </w:r>
      <w:r>
        <w:rPr>
          <w:color w:val="000000"/>
          <w:vertAlign w:val="superscript"/>
        </w:rPr>
        <w:footnoteReference w:id="10"/>
      </w:r>
      <w:r>
        <w:rPr>
          <w:color w:val="000000"/>
        </w:rPr>
        <w:t xml:space="preserve"> The idea is that a larger department will count more for the calculation of an institutions’ overall quality. Then: “each institution’s quality profile [is] converted into a grade point average by multiplying its percentage of 4* research by 4, its percentage of 3* research by 3, its percentage of 2* research by 2 and its percentage of 1* research by 1; the results are added together and divided by 100 to give a score between 0 and 4” .</w:t>
      </w:r>
      <w:r>
        <w:rPr>
          <w:color w:val="000000"/>
          <w:vertAlign w:val="superscript"/>
        </w:rPr>
        <w:footnoteReference w:id="11"/>
      </w:r>
      <w:r>
        <w:rPr>
          <w:color w:val="000000"/>
        </w:rPr>
        <w:t xml:space="preserve">  The advantages of using the GPA are various. First, it summarises the overall quality of research at the institutional level and it is not disciplinary oriented. Second, it embeds both an objective and subjective component of evaluation: publications in journals and events are assessed by a team of experts. More details on the procedure of evaluation of research and impact are provided in the next Section.</w:t>
      </w:r>
    </w:p>
    <w:p w14:paraId="6476AD81" w14:textId="77777777" w:rsidR="001669D8" w:rsidRDefault="00E265B4">
      <w:pPr>
        <w:numPr>
          <w:ilvl w:val="0"/>
          <w:numId w:val="2"/>
        </w:numPr>
        <w:pBdr>
          <w:top w:val="nil"/>
          <w:left w:val="nil"/>
          <w:bottom w:val="nil"/>
          <w:right w:val="nil"/>
          <w:between w:val="nil"/>
        </w:pBdr>
        <w:spacing w:before="240" w:line="360" w:lineRule="auto"/>
        <w:ind w:left="0" w:firstLine="0"/>
        <w:jc w:val="both"/>
        <w:rPr>
          <w:b/>
          <w:color w:val="000000"/>
        </w:rPr>
      </w:pPr>
      <w:r>
        <w:rPr>
          <w:b/>
          <w:color w:val="000000"/>
        </w:rPr>
        <w:t>Data and definition of inputs and outputs to measure the HEIs’ efficiency</w:t>
      </w:r>
    </w:p>
    <w:p w14:paraId="37EB2633" w14:textId="77777777" w:rsidR="001669D8" w:rsidRDefault="00E265B4">
      <w:pPr>
        <w:numPr>
          <w:ilvl w:val="1"/>
          <w:numId w:val="2"/>
        </w:numPr>
        <w:pBdr>
          <w:top w:val="nil"/>
          <w:left w:val="nil"/>
          <w:bottom w:val="nil"/>
          <w:right w:val="nil"/>
          <w:between w:val="nil"/>
        </w:pBdr>
        <w:spacing w:line="360" w:lineRule="auto"/>
        <w:ind w:left="567" w:hanging="567"/>
        <w:jc w:val="both"/>
        <w:rPr>
          <w:color w:val="000000"/>
        </w:rPr>
      </w:pPr>
      <w:r>
        <w:rPr>
          <w:b/>
          <w:color w:val="000000"/>
        </w:rPr>
        <w:t xml:space="preserve">Selection of inputs and outputs </w:t>
      </w:r>
    </w:p>
    <w:p w14:paraId="5325416D" w14:textId="62291940" w:rsidR="001669D8" w:rsidRDefault="00E265B4">
      <w:pPr>
        <w:spacing w:line="360" w:lineRule="auto"/>
        <w:ind w:firstLine="567"/>
        <w:jc w:val="both"/>
        <w:rPr>
          <w:color w:val="000000"/>
        </w:rPr>
      </w:pPr>
      <w:r>
        <w:rPr>
          <w:color w:val="000000"/>
        </w:rPr>
        <w:t xml:space="preserve">Similarly to previous studies (Casu and Thanassoulis, 2006; Daraio et al., 2015a,b, 2016; Wolszczak-Derlacz, 2017), we select as inputs: (1) full-person equivalent academic staff (teaching &amp; research &amp; manager roles); (2) full-person equivalent non-academic staff; and (3) total expenditure that includes consolidated income and expenditure account expenditure (other than staff costs) (£000s) and total capital expenditure (£000s). Choosing the appropriate outputs is crucial for the assessment of the performance of the university-industry income. </w:t>
      </w:r>
      <w:r w:rsidR="000F60AB">
        <w:rPr>
          <w:color w:val="000000"/>
        </w:rPr>
        <w:t>Many</w:t>
      </w:r>
      <w:r>
        <w:rPr>
          <w:color w:val="000000"/>
        </w:rPr>
        <w:t xml:space="preserve"> empirical studies argue that the process of knowledge transfer between university and industry occurs through multiple channels, such as personnel mobility, informal contacts, consulting relationships</w:t>
      </w:r>
      <w:r w:rsidR="000558CC">
        <w:rPr>
          <w:color w:val="000000"/>
        </w:rPr>
        <w:t>,</w:t>
      </w:r>
      <w:r>
        <w:rPr>
          <w:color w:val="000000"/>
        </w:rPr>
        <w:t xml:space="preserve"> and joint research projects (D’Este and Patel, 2007). In line with the relevant literature on this topic (Fontana et al., 2006; D’Este and Patel, 2007; Martinelli et al., 2008; D’este and Perkmann, 2011, Soh and Subramanian, 2014; Sánchez Barrioluengo et al., 2016) we consider as outputs the total income coming from: (1) contract research (£000); (2) consultancy contracts (£000s); and (3) intellectual property (IP) (including patents, copyright, design, registration and trade marks). As recently pointed out by Wilson (2018)</w:t>
      </w:r>
      <w:r w:rsidR="000558CC">
        <w:rPr>
          <w:color w:val="000000"/>
        </w:rPr>
        <w:t>,</w:t>
      </w:r>
      <w:r>
        <w:rPr>
          <w:color w:val="000000"/>
        </w:rPr>
        <w:t xml:space="preserve"> the convergence rates of nonparametric efficiency estimators become slower when the numbers of input and output quantities increase (i.e., dimensionality). Wilson (2018) also highlights that while dimension reduction is widely used in nonparametric density and regression where similar problems occur, it is more unpopular in the context of efficiency estimation. We tackle the dimensionality problem by employing a factorial analysis. In particular, following Bădin et al. (2012) we identify a unique factor for inputs and outputs. Details relative to the factor analysis procedure are reported in Appendix B. </w:t>
      </w:r>
    </w:p>
    <w:p w14:paraId="574BD6B3" w14:textId="77777777" w:rsidR="001669D8" w:rsidRDefault="001669D8">
      <w:pPr>
        <w:spacing w:line="360" w:lineRule="auto"/>
        <w:ind w:firstLine="567"/>
        <w:jc w:val="both"/>
        <w:rPr>
          <w:color w:val="000000"/>
        </w:rPr>
      </w:pPr>
    </w:p>
    <w:p w14:paraId="137884A5" w14:textId="77777777" w:rsidR="001669D8" w:rsidRDefault="00E265B4">
      <w:pPr>
        <w:numPr>
          <w:ilvl w:val="1"/>
          <w:numId w:val="2"/>
        </w:numPr>
        <w:pBdr>
          <w:top w:val="nil"/>
          <w:left w:val="nil"/>
          <w:bottom w:val="nil"/>
          <w:right w:val="nil"/>
          <w:between w:val="nil"/>
        </w:pBdr>
        <w:spacing w:before="240" w:after="240" w:line="360" w:lineRule="auto"/>
        <w:jc w:val="both"/>
        <w:rPr>
          <w:color w:val="000000"/>
        </w:rPr>
      </w:pPr>
      <w:r>
        <w:rPr>
          <w:b/>
          <w:color w:val="000000"/>
        </w:rPr>
        <w:t xml:space="preserve"> Data sources</w:t>
      </w:r>
    </w:p>
    <w:p w14:paraId="11856BD6" w14:textId="5DBA967F" w:rsidR="001669D8" w:rsidRDefault="00E265B4">
      <w:pPr>
        <w:spacing w:line="360" w:lineRule="auto"/>
        <w:ind w:firstLine="567"/>
        <w:jc w:val="both"/>
        <w:rPr>
          <w:color w:val="000000"/>
        </w:rPr>
      </w:pPr>
      <w:r>
        <w:rPr>
          <w:color w:val="000000"/>
        </w:rPr>
        <w:t xml:space="preserve">In this section we describe the source of data employed for this study. Specifically, we employ the higher education information database for institutions (HEIDI) provided by the Higher Education Statistics Agency (HESA) that comprises detailed data on each UK HEI. The dataset provides data for 206 institutions. </w:t>
      </w:r>
      <w:r w:rsidR="000F60AB">
        <w:rPr>
          <w:color w:val="000000"/>
        </w:rPr>
        <w:t>To</w:t>
      </w:r>
      <w:r>
        <w:rPr>
          <w:color w:val="000000"/>
        </w:rPr>
        <w:t xml:space="preserve"> guarantee a relative homogeneity, specialised colleges or institutions such as music, art and theatre entities and entities that exhibit a unique unit of assessment are excluded from the dataset. In addition, the final sample also reflects the feasibility of collecting complete data for inputs and outputs and it consists of 119 HEIs (the list of universities is reported in Appendix A). Furthermore, compared to other studies focusing on the UK education system (Casu and Thanassoulis, 2006; Daraio et al., 2015a,b; Wolszczak-Derlacz, 2017), we include a higher number of HEIs. Data on GDP and population at the NUTS3 level has been retrieved from Eurostat. As regards the variables of our model, there is no consensus on the inputs/outputs selection in</w:t>
      </w:r>
      <w:r w:rsidR="007812CF">
        <w:rPr>
          <w:color w:val="000000"/>
        </w:rPr>
        <w:t xml:space="preserve"> the assessment of</w:t>
      </w:r>
      <w:r>
        <w:rPr>
          <w:color w:val="000000"/>
        </w:rPr>
        <w:t xml:space="preserve"> university efficiency. </w:t>
      </w:r>
    </w:p>
    <w:p w14:paraId="4686A591" w14:textId="5A2C75B4" w:rsidR="001669D8" w:rsidRDefault="00E265B4">
      <w:pPr>
        <w:spacing w:line="360" w:lineRule="auto"/>
        <w:ind w:firstLine="567"/>
        <w:jc w:val="both"/>
        <w:rPr>
          <w:color w:val="000000"/>
          <w:sz w:val="16"/>
          <w:szCs w:val="16"/>
        </w:rPr>
      </w:pPr>
      <w:r>
        <w:rPr>
          <w:color w:val="000000"/>
        </w:rPr>
        <w:t xml:space="preserve">Table 1 shows the descriptive statistics for inputs, outputs, instruments and environmental variables used in </w:t>
      </w:r>
      <w:r w:rsidR="007812CF">
        <w:rPr>
          <w:color w:val="000000"/>
        </w:rPr>
        <w:t>our</w:t>
      </w:r>
      <w:r>
        <w:rPr>
          <w:color w:val="000000"/>
        </w:rPr>
        <w:t xml:space="preserve"> analysis</w:t>
      </w:r>
      <w:r>
        <w:rPr>
          <w:color w:val="000000"/>
          <w:sz w:val="16"/>
          <w:szCs w:val="16"/>
        </w:rPr>
        <w:t>.</w:t>
      </w:r>
    </w:p>
    <w:p w14:paraId="368A87B0" w14:textId="77777777" w:rsidR="001669D8" w:rsidRDefault="001669D8">
      <w:pPr>
        <w:spacing w:line="360" w:lineRule="auto"/>
        <w:ind w:firstLine="567"/>
        <w:jc w:val="both"/>
        <w:rPr>
          <w:color w:val="000000"/>
          <w:sz w:val="16"/>
          <w:szCs w:val="16"/>
        </w:rPr>
      </w:pPr>
    </w:p>
    <w:p w14:paraId="7B8446DF" w14:textId="77777777" w:rsidR="001669D8" w:rsidRDefault="00E265B4">
      <w:pPr>
        <w:spacing w:line="360" w:lineRule="auto"/>
        <w:jc w:val="center"/>
        <w:rPr>
          <w:color w:val="000000"/>
        </w:rPr>
      </w:pPr>
      <w:r>
        <w:rPr>
          <w:color w:val="000000"/>
        </w:rPr>
        <w:t>---------------------------------------------------</w:t>
      </w:r>
    </w:p>
    <w:p w14:paraId="1C9FD459" w14:textId="77777777" w:rsidR="001669D8" w:rsidRDefault="00E265B4">
      <w:pPr>
        <w:spacing w:line="360" w:lineRule="auto"/>
        <w:jc w:val="center"/>
        <w:rPr>
          <w:color w:val="000000"/>
        </w:rPr>
      </w:pPr>
      <w:r>
        <w:rPr>
          <w:color w:val="000000"/>
        </w:rPr>
        <w:t>Insert Table 1 about here</w:t>
      </w:r>
    </w:p>
    <w:p w14:paraId="3AA20D36" w14:textId="77777777" w:rsidR="001669D8" w:rsidRDefault="00E265B4">
      <w:pPr>
        <w:spacing w:line="360" w:lineRule="auto"/>
        <w:jc w:val="center"/>
        <w:rPr>
          <w:color w:val="000000"/>
        </w:rPr>
      </w:pPr>
      <w:r>
        <w:rPr>
          <w:color w:val="000000"/>
        </w:rPr>
        <w:t>---------------------------------------------------</w:t>
      </w:r>
    </w:p>
    <w:p w14:paraId="75E190E7" w14:textId="77777777" w:rsidR="001669D8" w:rsidRDefault="001669D8">
      <w:pPr>
        <w:spacing w:line="360" w:lineRule="auto"/>
        <w:ind w:firstLine="567"/>
        <w:jc w:val="both"/>
        <w:rPr>
          <w:color w:val="000000"/>
          <w:sz w:val="16"/>
          <w:szCs w:val="16"/>
        </w:rPr>
      </w:pPr>
    </w:p>
    <w:p w14:paraId="6980E846" w14:textId="77777777" w:rsidR="001669D8" w:rsidRDefault="000F60AB">
      <w:pPr>
        <w:spacing w:before="240" w:after="240" w:line="360" w:lineRule="auto"/>
        <w:jc w:val="both"/>
        <w:rPr>
          <w:color w:val="000000"/>
        </w:rPr>
      </w:pPr>
      <w:r>
        <w:rPr>
          <w:color w:val="000000"/>
        </w:rPr>
        <w:t xml:space="preserve">Specifically, </w:t>
      </w:r>
      <w:r w:rsidR="00E265B4">
        <w:rPr>
          <w:color w:val="000000"/>
        </w:rPr>
        <w:t>Table 1.a shows the descriptive statistics for “new universities” while Table 1.b focuses on “old universities”. Of course, it should be emphasised that the average values and the variation in the GPA is different between the two groups and is much higher in the case of “old universities”. As can be seen from Table 1, the mean and standard deviation of the outputs and inputs vary greatly between the two groups of universities. This further supports the use of an ad hoc frontier for “new universities” and “old universities”. We denote instead more similarities in terms of the factors for both inputs and outputs. Factor analysis and the dimensionality reduction allows us to reduce outliers and at the same time make the size of the variables included in the model more homogeneous.</w:t>
      </w:r>
    </w:p>
    <w:p w14:paraId="115BB719" w14:textId="77777777" w:rsidR="001669D8" w:rsidRDefault="00E265B4">
      <w:pPr>
        <w:spacing w:before="240" w:after="240" w:line="360" w:lineRule="auto"/>
        <w:jc w:val="both"/>
        <w:rPr>
          <w:b/>
          <w:color w:val="000000"/>
        </w:rPr>
      </w:pPr>
      <w:r>
        <w:rPr>
          <w:b/>
          <w:color w:val="000000"/>
        </w:rPr>
        <w:t>4 Empirical results</w:t>
      </w:r>
    </w:p>
    <w:p w14:paraId="068C029E" w14:textId="76AC65FC" w:rsidR="001669D8" w:rsidRDefault="00E265B4">
      <w:pPr>
        <w:spacing w:line="360" w:lineRule="auto"/>
        <w:jc w:val="both"/>
        <w:rPr>
          <w:color w:val="000000"/>
        </w:rPr>
      </w:pPr>
      <w:r>
        <w:rPr>
          <w:color w:val="000000"/>
        </w:rPr>
        <w:t xml:space="preserve">The results relative to the Order-m efficiency frontier for “new universities” and “old universities” are presented in Figure 1.  </w:t>
      </w:r>
      <w:r w:rsidR="000F60AB">
        <w:rPr>
          <w:color w:val="000000"/>
        </w:rPr>
        <w:t>Figure</w:t>
      </w:r>
      <w:r>
        <w:rPr>
          <w:color w:val="000000"/>
        </w:rPr>
        <w:t xml:space="preserve"> 1 shows the kernel distribution of the mean efficiency scores (i.e. universities’ third mission performance levels) over the period 2007–2014 for the two university groups. Both groups are characterised by a leptokurtic and skewed distribution with a concentration of mass in the lower tail in the direction of less efficient units. This suggests that UK HEIs have a relatively large margin to improve the use of human and infrastructure resources to enhance the income coming from engagement activities. Figure 2 also shows that the mean efficiency scores vary slightly between the two groups. The mean score of “old universities” is 0.435 while it rises to 0.588 for the “new universities”.  This means that “old universities” use 56.5% more inputs compared to the best practice universities. Similarly, “new universities” use 41.2% more inputs compared to the benchmarked universities. Finally, it is also evident that the “old universities” have a lower standard deviation equal to 0.375 compared to the “new universities”</w:t>
      </w:r>
      <w:r w:rsidR="00E0165E">
        <w:rPr>
          <w:color w:val="000000"/>
        </w:rPr>
        <w:t>,</w:t>
      </w:r>
      <w:r>
        <w:rPr>
          <w:color w:val="000000"/>
        </w:rPr>
        <w:t xml:space="preserve"> which have a standard deviation value equal to 0.512.</w:t>
      </w:r>
    </w:p>
    <w:p w14:paraId="444D1448" w14:textId="77777777" w:rsidR="001669D8" w:rsidRDefault="00E265B4">
      <w:pPr>
        <w:spacing w:line="360" w:lineRule="auto"/>
        <w:jc w:val="center"/>
        <w:rPr>
          <w:color w:val="000000"/>
        </w:rPr>
      </w:pPr>
      <w:r>
        <w:rPr>
          <w:color w:val="000000"/>
        </w:rPr>
        <w:t>---------------------------------------------------</w:t>
      </w:r>
    </w:p>
    <w:p w14:paraId="5C0FE06D" w14:textId="77777777" w:rsidR="001669D8" w:rsidRDefault="00E265B4">
      <w:pPr>
        <w:spacing w:line="360" w:lineRule="auto"/>
        <w:jc w:val="center"/>
        <w:rPr>
          <w:color w:val="000000"/>
        </w:rPr>
      </w:pPr>
      <w:r>
        <w:rPr>
          <w:color w:val="000000"/>
        </w:rPr>
        <w:t>Insert Figure 1 about here</w:t>
      </w:r>
    </w:p>
    <w:p w14:paraId="6821A05E" w14:textId="77777777" w:rsidR="001669D8" w:rsidRDefault="00E265B4">
      <w:pPr>
        <w:spacing w:line="360" w:lineRule="auto"/>
        <w:jc w:val="center"/>
        <w:rPr>
          <w:color w:val="000000"/>
        </w:rPr>
      </w:pPr>
      <w:r>
        <w:rPr>
          <w:color w:val="000000"/>
        </w:rPr>
        <w:t>---------------------------------------------------</w:t>
      </w:r>
    </w:p>
    <w:p w14:paraId="6D123021" w14:textId="77777777" w:rsidR="001669D8" w:rsidRDefault="001669D8">
      <w:pPr>
        <w:spacing w:line="360" w:lineRule="auto"/>
        <w:jc w:val="both"/>
        <w:rPr>
          <w:b/>
          <w:color w:val="000000"/>
        </w:rPr>
      </w:pPr>
    </w:p>
    <w:p w14:paraId="6DCD5719" w14:textId="07A318AF" w:rsidR="001669D8" w:rsidRDefault="00E265B4">
      <w:pPr>
        <w:spacing w:line="360" w:lineRule="auto"/>
        <w:ind w:firstLine="567"/>
        <w:jc w:val="both"/>
        <w:rPr>
          <w:color w:val="000000"/>
        </w:rPr>
      </w:pPr>
      <w:r>
        <w:rPr>
          <w:color w:val="000000"/>
        </w:rPr>
        <w:t xml:space="preserve">Table 2 presents the top-ten HEIs based on their mean efficiency scores </w:t>
      </w:r>
      <w:r w:rsidR="00E0165E">
        <w:rPr>
          <w:color w:val="000000"/>
        </w:rPr>
        <w:t>over</w:t>
      </w:r>
      <w:r>
        <w:rPr>
          <w:color w:val="000000"/>
        </w:rPr>
        <w:t xml:space="preserve"> the years 2007–2014.</w:t>
      </w:r>
      <w:r>
        <w:rPr>
          <w:color w:val="000000"/>
          <w:vertAlign w:val="superscript"/>
        </w:rPr>
        <w:footnoteReference w:id="12"/>
      </w:r>
      <w:r>
        <w:rPr>
          <w:color w:val="000000"/>
        </w:rPr>
        <w:t xml:space="preserve"> Two separate lists are presented: </w:t>
      </w:r>
      <w:r w:rsidR="00E0165E">
        <w:rPr>
          <w:color w:val="000000"/>
        </w:rPr>
        <w:t xml:space="preserve">one </w:t>
      </w:r>
      <w:r>
        <w:rPr>
          <w:color w:val="000000"/>
        </w:rPr>
        <w:t>for “old universities” and</w:t>
      </w:r>
      <w:r w:rsidR="00E0165E">
        <w:rPr>
          <w:color w:val="000000"/>
        </w:rPr>
        <w:t xml:space="preserve"> one</w:t>
      </w:r>
      <w:r>
        <w:rPr>
          <w:color w:val="000000"/>
        </w:rPr>
        <w:t xml:space="preserve"> for “new universities”. The results suggest that the University of Cambridge and the University of Oxford are in the top</w:t>
      </w:r>
      <w:r w:rsidR="00E0165E">
        <w:rPr>
          <w:color w:val="000000"/>
        </w:rPr>
        <w:t xml:space="preserve"> </w:t>
      </w:r>
      <w:r>
        <w:rPr>
          <w:color w:val="000000"/>
        </w:rPr>
        <w:t>three</w:t>
      </w:r>
      <w:r w:rsidR="00E0165E">
        <w:rPr>
          <w:color w:val="000000"/>
        </w:rPr>
        <w:t xml:space="preserve"> of</w:t>
      </w:r>
      <w:r>
        <w:rPr>
          <w:color w:val="000000"/>
        </w:rPr>
        <w:t xml:space="preserve"> universities, together with the Imperial College of Science, Technology and Medicine in terms of the estimated third-mission performance levels. Both the University of Cambridge and the University of Oxford offer residential colleges, tutorial-based teaching</w:t>
      </w:r>
      <w:r w:rsidR="00E0165E">
        <w:rPr>
          <w:color w:val="000000"/>
        </w:rPr>
        <w:t>,</w:t>
      </w:r>
      <w:r>
        <w:rPr>
          <w:color w:val="000000"/>
        </w:rPr>
        <w:t xml:space="preserve"> and centuries of tradition. Instead,</w:t>
      </w:r>
      <w:r w:rsidR="00E0165E">
        <w:rPr>
          <w:color w:val="000000"/>
        </w:rPr>
        <w:t xml:space="preserve"> the</w:t>
      </w:r>
      <w:r>
        <w:rPr>
          <w:color w:val="000000"/>
        </w:rPr>
        <w:t xml:space="preserve"> Imperial College of Science, Technology and Medicine benefits from the focus and excellence achieved in a discipline that tends to attract high income from industrial and public engagement. By shifting our attention to the “new universities”, we notice that Cranfield University is the top institution </w:t>
      </w:r>
      <w:r w:rsidR="00E0165E">
        <w:rPr>
          <w:color w:val="000000"/>
        </w:rPr>
        <w:t>o</w:t>
      </w:r>
      <w:r>
        <w:rPr>
          <w:color w:val="000000"/>
        </w:rPr>
        <w:t xml:space="preserve">n the list. This is the only exclusively postgraduate university in the UK, with strong industry partnerships and with a strong research culture. </w:t>
      </w:r>
    </w:p>
    <w:p w14:paraId="799356AF" w14:textId="77777777" w:rsidR="001669D8" w:rsidRDefault="00E265B4">
      <w:pPr>
        <w:spacing w:line="360" w:lineRule="auto"/>
        <w:jc w:val="center"/>
        <w:rPr>
          <w:color w:val="000000"/>
        </w:rPr>
      </w:pPr>
      <w:r>
        <w:rPr>
          <w:color w:val="000000"/>
        </w:rPr>
        <w:t>---------------------------------------------------</w:t>
      </w:r>
    </w:p>
    <w:p w14:paraId="24717A7A" w14:textId="77777777" w:rsidR="001669D8" w:rsidRDefault="00E265B4">
      <w:pPr>
        <w:spacing w:line="360" w:lineRule="auto"/>
        <w:jc w:val="center"/>
        <w:rPr>
          <w:color w:val="000000"/>
        </w:rPr>
      </w:pPr>
      <w:r>
        <w:rPr>
          <w:color w:val="000000"/>
        </w:rPr>
        <w:t>Insert Table 2 about here</w:t>
      </w:r>
    </w:p>
    <w:p w14:paraId="30745A63" w14:textId="77777777" w:rsidR="001669D8" w:rsidRDefault="00E265B4">
      <w:pPr>
        <w:spacing w:line="360" w:lineRule="auto"/>
        <w:jc w:val="center"/>
        <w:rPr>
          <w:color w:val="000000"/>
        </w:rPr>
      </w:pPr>
      <w:r>
        <w:rPr>
          <w:color w:val="000000"/>
        </w:rPr>
        <w:t>---------------------------------------------------</w:t>
      </w:r>
    </w:p>
    <w:p w14:paraId="7ABC470D" w14:textId="77777777" w:rsidR="001669D8" w:rsidRDefault="00E265B4">
      <w:pPr>
        <w:spacing w:line="360" w:lineRule="auto"/>
        <w:ind w:firstLine="567"/>
        <w:jc w:val="both"/>
        <w:rPr>
          <w:color w:val="000000"/>
        </w:rPr>
      </w:pPr>
      <w:r>
        <w:rPr>
          <w:color w:val="000000"/>
        </w:rPr>
        <w:t xml:space="preserve">Figure 2 addresses our main research question, which is whether the development of university third mission performance can harm or benefit the research quality of HEIs. Two separate regressions are run: one for “old universities” and one for “new universities”. Figure 2.a shows the results for the nonparametric regression (Li and Racine, 2007) (red dash-dotted line) where the dependent variable is the GPA and the main independent variable is the mean efficiency score for “old universities” (over the period from 2007–2014). To take into account the possible endogeneity issue between GPA and efficiency score, we also run a nonparametric instrumental variable regression (Horowitz, 2011) (blue dashed-line). Our findings suggest that an increase of the efficiency score has a positive effect in terms of GPA, as indicated by the increasing nonparametric line. The nonparametric regression strongly supports the fact that maximising the income generated from a university-industry link can also contribute to an increase in the quality of research. However, this relationship appears to follow a nonlinear pattern especially when we focus on the nonparametric instrumental variable regression (blue dashed line). </w:t>
      </w:r>
      <w:r w:rsidR="000F60AB">
        <w:rPr>
          <w:color w:val="000000"/>
        </w:rPr>
        <w:t>Figure</w:t>
      </w:r>
      <w:r>
        <w:rPr>
          <w:color w:val="000000"/>
        </w:rPr>
        <w:t xml:space="preserve"> 2.b shows the existence of a positive nonlinear trend until a threshold point after which the line between efficiency score and GPA is rather flat. This suggest that universities with high efficiency in terms of income from engagement activities do not improve their research performance </w:t>
      </w:r>
    </w:p>
    <w:p w14:paraId="23FEBBAE" w14:textId="77777777" w:rsidR="001669D8" w:rsidRDefault="00E265B4">
      <w:pPr>
        <w:spacing w:line="360" w:lineRule="auto"/>
        <w:jc w:val="center"/>
        <w:rPr>
          <w:color w:val="000000"/>
        </w:rPr>
      </w:pPr>
      <w:r>
        <w:rPr>
          <w:color w:val="000000"/>
        </w:rPr>
        <w:t>---------------------------------------------------</w:t>
      </w:r>
    </w:p>
    <w:p w14:paraId="7E72C2B9" w14:textId="77777777" w:rsidR="001669D8" w:rsidRDefault="00E265B4">
      <w:pPr>
        <w:spacing w:line="360" w:lineRule="auto"/>
        <w:jc w:val="center"/>
        <w:rPr>
          <w:color w:val="000000"/>
        </w:rPr>
      </w:pPr>
      <w:r>
        <w:rPr>
          <w:color w:val="000000"/>
        </w:rPr>
        <w:t>Insert Figure 2 about here</w:t>
      </w:r>
    </w:p>
    <w:p w14:paraId="13A51C1C" w14:textId="77777777" w:rsidR="001669D8" w:rsidRDefault="00E265B4">
      <w:pPr>
        <w:spacing w:line="360" w:lineRule="auto"/>
        <w:jc w:val="center"/>
        <w:rPr>
          <w:color w:val="000000"/>
        </w:rPr>
      </w:pPr>
      <w:r>
        <w:rPr>
          <w:color w:val="000000"/>
        </w:rPr>
        <w:t>---------------------------------------------------</w:t>
      </w:r>
    </w:p>
    <w:p w14:paraId="40341D09" w14:textId="77777777" w:rsidR="001669D8" w:rsidRDefault="001669D8">
      <w:pPr>
        <w:spacing w:line="360" w:lineRule="auto"/>
        <w:ind w:firstLine="567"/>
        <w:jc w:val="both"/>
        <w:rPr>
          <w:color w:val="000000"/>
        </w:rPr>
      </w:pPr>
    </w:p>
    <w:p w14:paraId="2A4ACB52" w14:textId="77777777" w:rsidR="001669D8" w:rsidRDefault="00E265B4">
      <w:pPr>
        <w:spacing w:line="360" w:lineRule="auto"/>
        <w:ind w:firstLine="567"/>
        <w:jc w:val="both"/>
        <w:rPr>
          <w:color w:val="000000"/>
        </w:rPr>
      </w:pPr>
      <w:r>
        <w:rPr>
          <w:color w:val="000000"/>
        </w:rPr>
        <w:t xml:space="preserve">Figure 2.b shows noteworthy differences in terms of impact of efficiency on the quality of research (GPA) for the “new universities”. Overall, the results reveal a significant and positive relationship between the efficiency in terms of university-industry income and the quality of the research of “new universities”. However, such a relationship displays a highly nonlinear pattern with an increasing trend for efficient institutions (when the efficiency score is above 1). In addition, the relationship between the efficiency in terms of university-industry income and the quality of research appears to be negative in the range of efficiency scores between 0.5 - 1. Instead, for the most efficient units (over 1.5) the line is less steep (blue-dashed line). Differently from “old universities”, the trend for “new universities” is overall positive but highly nonlinear. Overall, our findings suggest that the engagement with industrial and external partners can spur the quality of research of “new universities” especially for institutions with a high efficiency score. </w:t>
      </w:r>
    </w:p>
    <w:p w14:paraId="1266D598" w14:textId="1DF2CB9E" w:rsidR="001669D8" w:rsidRDefault="00E265B4">
      <w:pPr>
        <w:spacing w:line="360" w:lineRule="auto"/>
        <w:ind w:firstLine="567"/>
        <w:jc w:val="both"/>
        <w:rPr>
          <w:color w:val="000000"/>
        </w:rPr>
      </w:pPr>
      <w:r>
        <w:rPr>
          <w:color w:val="000000"/>
        </w:rPr>
        <w:t>Figure 2.c combines the “new universities” with “old universities” and provides an overall picture of the relationship between the efficiency and quality of research. The overall picture shows an increasing trend for the institutions that are efficient up to a specific threshold (1.6), after which the generation of additional income from engagement with the industry harms the quality of research. Again, we find a nonlinear relationship between the efficiency and quality of research.</w:t>
      </w:r>
    </w:p>
    <w:p w14:paraId="067A208D" w14:textId="163F84E3" w:rsidR="00036219" w:rsidRDefault="00036219">
      <w:pPr>
        <w:spacing w:line="360" w:lineRule="auto"/>
        <w:ind w:firstLine="567"/>
        <w:jc w:val="both"/>
        <w:rPr>
          <w:color w:val="000000"/>
        </w:rPr>
      </w:pPr>
    </w:p>
    <w:p w14:paraId="1DD9ACC4" w14:textId="42C5ACCD" w:rsidR="00036219" w:rsidRDefault="00036219">
      <w:pPr>
        <w:spacing w:line="360" w:lineRule="auto"/>
        <w:ind w:firstLine="567"/>
        <w:jc w:val="both"/>
        <w:rPr>
          <w:color w:val="000000"/>
        </w:rPr>
      </w:pPr>
    </w:p>
    <w:p w14:paraId="348306E5" w14:textId="77777777" w:rsidR="00036219" w:rsidRDefault="00036219">
      <w:pPr>
        <w:spacing w:line="360" w:lineRule="auto"/>
        <w:ind w:firstLine="567"/>
        <w:jc w:val="both"/>
        <w:rPr>
          <w:color w:val="000000"/>
        </w:rPr>
      </w:pPr>
    </w:p>
    <w:p w14:paraId="0E1CE2AB" w14:textId="77777777" w:rsidR="001669D8" w:rsidRDefault="00E265B4">
      <w:pPr>
        <w:spacing w:before="240" w:after="240" w:line="360" w:lineRule="auto"/>
        <w:jc w:val="both"/>
        <w:rPr>
          <w:i/>
          <w:color w:val="000000"/>
        </w:rPr>
      </w:pPr>
      <w:r>
        <w:rPr>
          <w:i/>
          <w:color w:val="000000"/>
        </w:rPr>
        <w:t>Controlling for student-staff ratio</w:t>
      </w:r>
    </w:p>
    <w:p w14:paraId="05306150" w14:textId="16F69C36" w:rsidR="001669D8" w:rsidRDefault="00E265B4">
      <w:pPr>
        <w:spacing w:line="360" w:lineRule="auto"/>
        <w:ind w:firstLine="567"/>
        <w:jc w:val="both"/>
        <w:rPr>
          <w:color w:val="000000"/>
        </w:rPr>
      </w:pPr>
      <w:bookmarkStart w:id="7" w:name="_tyjcwt" w:colFirst="0" w:colLast="0"/>
      <w:bookmarkEnd w:id="7"/>
      <w:r w:rsidRPr="0065405D">
        <w:rPr>
          <w:color w:val="000000"/>
        </w:rPr>
        <w:t>In this section, we explore how the student-staff ratio (teaching mission) can drive our results. Although our focus is not the teaching mission, we however consider in our analysis a variable that may provide an indication of how much academic scientists are actively involved in educating and advising/mentoring students.</w:t>
      </w:r>
      <w:r w:rsidR="000F60AB">
        <w:rPr>
          <w:color w:val="000000"/>
        </w:rPr>
        <w:t xml:space="preserve"> </w:t>
      </w:r>
      <w:r w:rsidR="00511B94">
        <w:rPr>
          <w:color w:val="000000"/>
        </w:rPr>
        <w:t>H</w:t>
      </w:r>
      <w:r w:rsidRPr="0065405D">
        <w:rPr>
          <w:color w:val="000000"/>
        </w:rPr>
        <w:t xml:space="preserve">igh engagement in educating and advising/mentoring students may in fact prevent research-active academics from being productive in terms of research. Specifically, we consider the student-staff ratio for this additional analysis. The reason is that a low student-staff ratio is associated with institutional quality, research productivity, and the wellbeing of academic staff (McDonald, 2013). Therefore, this dimension of analysis could affect the way efficiency impacts on research performance </w:t>
      </w:r>
      <w:r>
        <w:rPr>
          <w:color w:val="000000"/>
        </w:rPr>
        <w:t>as it provides an indication of staff commitment with the first mission (teaching)</w:t>
      </w:r>
      <w:r w:rsidRPr="0065405D">
        <w:rPr>
          <w:color w:val="000000"/>
        </w:rPr>
        <w:t>.</w:t>
      </w:r>
    </w:p>
    <w:p w14:paraId="2C11ED77" w14:textId="0DD384A9" w:rsidR="001669D8" w:rsidRDefault="00E265B4">
      <w:pPr>
        <w:spacing w:line="360" w:lineRule="auto"/>
        <w:ind w:firstLine="567"/>
        <w:jc w:val="both"/>
        <w:rPr>
          <w:color w:val="000000"/>
        </w:rPr>
      </w:pPr>
      <w:r>
        <w:rPr>
          <w:color w:val="000000"/>
        </w:rPr>
        <w:t>Research and teaching are in fact seen to be very loosely coupled (Hattie and Marsh, 1996). For this analysis, we use the student-staff ratio provided by the HESA dataset, which is calculated using the student and staff full-time equivalent (FTE). Then, we split the sample of “new universities” and “old universities” based on the median value of the student-staff ratio for each group.</w:t>
      </w:r>
      <w:r>
        <w:rPr>
          <w:color w:val="000000"/>
          <w:vertAlign w:val="superscript"/>
        </w:rPr>
        <w:footnoteReference w:id="13"/>
      </w:r>
      <w:r>
        <w:rPr>
          <w:color w:val="000000"/>
        </w:rPr>
        <w:t xml:space="preserve"> We</w:t>
      </w:r>
      <w:r w:rsidR="00224188">
        <w:rPr>
          <w:color w:val="000000"/>
        </w:rPr>
        <w:t xml:space="preserve"> again</w:t>
      </w:r>
      <w:r>
        <w:rPr>
          <w:color w:val="000000"/>
        </w:rPr>
        <w:t xml:space="preserve"> apply the nonparametric regression for “old universities” and “new universities”. The results for “old universities” are reported in Figure 3.a-b, while those for the “new universities” </w:t>
      </w:r>
      <w:r w:rsidR="00224188">
        <w:rPr>
          <w:color w:val="000000"/>
        </w:rPr>
        <w:t xml:space="preserve">can be found </w:t>
      </w:r>
      <w:r>
        <w:rPr>
          <w:color w:val="000000"/>
        </w:rPr>
        <w:t>in Figure 3.c-d.</w:t>
      </w:r>
    </w:p>
    <w:p w14:paraId="46CFB8EF" w14:textId="77777777" w:rsidR="001669D8" w:rsidRDefault="001669D8">
      <w:pPr>
        <w:spacing w:line="360" w:lineRule="auto"/>
        <w:jc w:val="both"/>
        <w:rPr>
          <w:color w:val="000000"/>
        </w:rPr>
      </w:pPr>
    </w:p>
    <w:p w14:paraId="29F68656" w14:textId="77777777" w:rsidR="001669D8" w:rsidRDefault="00E265B4">
      <w:pPr>
        <w:spacing w:line="360" w:lineRule="auto"/>
        <w:jc w:val="center"/>
        <w:rPr>
          <w:color w:val="000000"/>
        </w:rPr>
      </w:pPr>
      <w:r>
        <w:rPr>
          <w:color w:val="000000"/>
        </w:rPr>
        <w:t>---------------------------------------------------</w:t>
      </w:r>
    </w:p>
    <w:p w14:paraId="718C5F17" w14:textId="77777777" w:rsidR="001669D8" w:rsidRDefault="00E265B4">
      <w:pPr>
        <w:spacing w:line="360" w:lineRule="auto"/>
        <w:jc w:val="center"/>
        <w:rPr>
          <w:color w:val="000000"/>
        </w:rPr>
      </w:pPr>
      <w:r>
        <w:rPr>
          <w:color w:val="000000"/>
        </w:rPr>
        <w:t>Insert Figure 3 about here</w:t>
      </w:r>
    </w:p>
    <w:p w14:paraId="3128EAFE" w14:textId="77777777" w:rsidR="001669D8" w:rsidRDefault="00E265B4">
      <w:pPr>
        <w:spacing w:line="360" w:lineRule="auto"/>
        <w:jc w:val="center"/>
        <w:rPr>
          <w:color w:val="000000"/>
        </w:rPr>
      </w:pPr>
      <w:r>
        <w:rPr>
          <w:color w:val="000000"/>
        </w:rPr>
        <w:t>---------------------------------------------------</w:t>
      </w:r>
    </w:p>
    <w:p w14:paraId="09CBF302" w14:textId="77777777" w:rsidR="001669D8" w:rsidRDefault="001669D8">
      <w:pPr>
        <w:spacing w:line="360" w:lineRule="auto"/>
        <w:ind w:firstLine="567"/>
        <w:jc w:val="both"/>
        <w:rPr>
          <w:color w:val="000000"/>
        </w:rPr>
      </w:pPr>
    </w:p>
    <w:p w14:paraId="70365A4E" w14:textId="0557FF18" w:rsidR="001669D8" w:rsidRDefault="00036219">
      <w:pPr>
        <w:spacing w:line="360" w:lineRule="auto"/>
        <w:ind w:firstLine="567"/>
        <w:jc w:val="both"/>
        <w:rPr>
          <w:color w:val="000000"/>
        </w:rPr>
      </w:pPr>
      <w:r>
        <w:rPr>
          <w:color w:val="000000"/>
        </w:rPr>
        <w:t>Similarly,</w:t>
      </w:r>
      <w:r w:rsidR="00E265B4">
        <w:rPr>
          <w:color w:val="000000"/>
        </w:rPr>
        <w:t xml:space="preserve"> to Figure 2, Figure 3 shows the results for the nonparametric regression (Li and Racine, 2007) (red dash-dotted line) and for a nonparametric instrumental variable regression (Horowitz, 2011) (blue dashed-line) where the dependent variable is the GPA and the main independent variable is the efficiency score. </w:t>
      </w:r>
    </w:p>
    <w:p w14:paraId="70336695" w14:textId="6E1603C4" w:rsidR="001669D8" w:rsidRDefault="00E265B4">
      <w:pPr>
        <w:spacing w:line="360" w:lineRule="auto"/>
        <w:ind w:firstLine="567"/>
        <w:jc w:val="both"/>
        <w:rPr>
          <w:color w:val="000000"/>
        </w:rPr>
      </w:pPr>
      <w:r>
        <w:rPr>
          <w:color w:val="000000"/>
        </w:rPr>
        <w:t>As regards the group of “old universities”, Figure 3.a reports the findings for universities with a student-staff ratio above the median value, while Figure 3.b shows the results for the student-staff ratio below the median value. By comparing Figure 3.a and Figure 3.b, it is clearly visible that the pattern between efficiency and GPA is steeper for the case with a student-staff ratio below the median value (blue dashed-line). This suggests that efficiency in terms of university-industry income can be faster and more effectively transferred to the research quality when the ratio of students to staff is relatively low. However, consistently with Figure 2.a, universities with a high efficiency score exhibit a negative relationship between efficiency and GPA (blue dashed-line).  This supports the need to set the improvement of the nexus between research,</w:t>
      </w:r>
      <w:r w:rsidR="00224188">
        <w:rPr>
          <w:color w:val="000000"/>
        </w:rPr>
        <w:t xml:space="preserve"> </w:t>
      </w:r>
      <w:r>
        <w:rPr>
          <w:color w:val="000000"/>
        </w:rPr>
        <w:t>teaching</w:t>
      </w:r>
      <w:r w:rsidR="00224188">
        <w:rPr>
          <w:color w:val="000000"/>
        </w:rPr>
        <w:t>,</w:t>
      </w:r>
      <w:r>
        <w:rPr>
          <w:color w:val="000000"/>
        </w:rPr>
        <w:t xml:space="preserve"> and third mission activities</w:t>
      </w:r>
      <w:r w:rsidR="00224188">
        <w:rPr>
          <w:color w:val="000000"/>
        </w:rPr>
        <w:t xml:space="preserve"> as a goal</w:t>
      </w:r>
      <w:r>
        <w:rPr>
          <w:color w:val="000000"/>
        </w:rPr>
        <w:t xml:space="preserve">. </w:t>
      </w:r>
    </w:p>
    <w:p w14:paraId="7EF352E4" w14:textId="5D9B7714" w:rsidR="001669D8" w:rsidRDefault="00E265B4">
      <w:pPr>
        <w:spacing w:line="360" w:lineRule="auto"/>
        <w:ind w:firstLine="567"/>
        <w:jc w:val="both"/>
        <w:rPr>
          <w:color w:val="000000"/>
        </w:rPr>
      </w:pPr>
      <w:r>
        <w:rPr>
          <w:color w:val="000000"/>
        </w:rPr>
        <w:t>By shifting our attention to “new universities”, we find consistent results (Figure 3.c and Figure 3.d) with Figure 2. Figure 3.c reports the findings for universities with a student-staff ratio above the median value, while Figure 3.d shows the results for th</w:t>
      </w:r>
      <w:r w:rsidR="00224188">
        <w:rPr>
          <w:color w:val="000000"/>
        </w:rPr>
        <w:t>ose universities with a</w:t>
      </w:r>
      <w:r>
        <w:rPr>
          <w:color w:val="000000"/>
        </w:rPr>
        <w:t xml:space="preserve"> student-staff ratio below the median value. The results suggest that in both cases the efficient universities (i.e. efficiency scores </w:t>
      </w:r>
      <m:oMath>
        <m:r>
          <w:rPr>
            <w:rFonts w:ascii="Cambria Math" w:eastAsia="Cambria Math" w:hAnsi="Cambria Math" w:cs="Cambria Math"/>
            <w:color w:val="000000"/>
          </w:rPr>
          <m:t>≥1</m:t>
        </m:r>
      </m:oMath>
      <w:r>
        <w:rPr>
          <w:color w:val="000000"/>
        </w:rPr>
        <w:t xml:space="preserve">) realise a positive effect of income efficiency generation on their quality of research. Similarly, for inefficient universities (i.e. efficiency scores </w:t>
      </w:r>
      <m:oMath>
        <m:r>
          <w:rPr>
            <w:rFonts w:ascii="Cambria Math" w:eastAsia="Cambria Math" w:hAnsi="Cambria Math" w:cs="Cambria Math"/>
            <w:color w:val="000000"/>
          </w:rPr>
          <m:t>&lt;1</m:t>
        </m:r>
      </m:oMath>
      <w:r>
        <w:rPr>
          <w:color w:val="000000"/>
        </w:rPr>
        <w:t xml:space="preserve"> ) the effect is highly nonlinear. Overall, the relationship between efficiency and GPA is positive but still nonlinear (blue dashed-line). </w:t>
      </w:r>
    </w:p>
    <w:p w14:paraId="57C00344" w14:textId="77777777" w:rsidR="001669D8" w:rsidRDefault="00E265B4">
      <w:pPr>
        <w:spacing w:before="240" w:after="240" w:line="360" w:lineRule="auto"/>
        <w:jc w:val="both"/>
        <w:rPr>
          <w:i/>
          <w:color w:val="000000"/>
        </w:rPr>
      </w:pPr>
      <w:r>
        <w:rPr>
          <w:i/>
          <w:color w:val="000000"/>
        </w:rPr>
        <w:t>Additional analysis for efficiency score</w:t>
      </w:r>
    </w:p>
    <w:p w14:paraId="7C4A2D14" w14:textId="158B63EE" w:rsidR="001669D8" w:rsidRPr="0065405D" w:rsidRDefault="00E265B4">
      <w:pPr>
        <w:spacing w:line="360" w:lineRule="auto"/>
        <w:ind w:firstLine="567"/>
        <w:jc w:val="both"/>
        <w:rPr>
          <w:color w:val="000000"/>
        </w:rPr>
      </w:pPr>
      <w:r>
        <w:rPr>
          <w:color w:val="000000"/>
        </w:rPr>
        <w:t xml:space="preserve">We run additional analysis to compare the efficiency distributions of institutions depending on their mission or disciplinary affiliation. In particular,  we </w:t>
      </w:r>
      <w:r w:rsidR="0046465F">
        <w:rPr>
          <w:color w:val="000000"/>
        </w:rPr>
        <w:t xml:space="preserve">first </w:t>
      </w:r>
      <w:r>
        <w:rPr>
          <w:color w:val="000000"/>
        </w:rPr>
        <w:t>examine the mean efficiency distributions for the university-industry income between universities that belong to the Russell Group and other universities (all the universities in the sample were established prior to the HEA) over the entire period. The Russell Group consists of 24 leading UK universities that “are committed to maintaining the very best research, an outstanding teaching and learning experience and unrivalled links with business and the public sector”. Compared to other universities, these “elite” research</w:t>
      </w:r>
      <w:r w:rsidR="0046465F">
        <w:rPr>
          <w:color w:val="000000"/>
        </w:rPr>
        <w:t>-</w:t>
      </w:r>
      <w:r>
        <w:rPr>
          <w:color w:val="000000"/>
        </w:rPr>
        <w:t>intensive universities tend to show a concentration of knowledge exchange income (Sánchez Barrioluengo et al., 2018). In the next Section, we specifically infer whether the distribution of efficiency scores of Russell Group universities differ</w:t>
      </w:r>
      <w:r w:rsidR="0046465F">
        <w:rPr>
          <w:color w:val="000000"/>
        </w:rPr>
        <w:t>s</w:t>
      </w:r>
      <w:r>
        <w:rPr>
          <w:color w:val="000000"/>
        </w:rPr>
        <w:t xml:space="preserve"> from the rest of the UK universities. Second, we compare the efficiency distribution of universities with a medical and engineering school with those of universities without such schools. The reason is that disciplinary affiliation is an important driver for engagement with industry </w:t>
      </w:r>
      <w:r w:rsidRPr="0065405D">
        <w:rPr>
          <w:color w:val="000000"/>
        </w:rPr>
        <w:t xml:space="preserve">and commercialisation (Bekkers et al., 2008; Martinelli et al., 2008). Biomedical and chemical engineering patents and licensing, together with contract research, represent two important channels of engagement with </w:t>
      </w:r>
      <w:r w:rsidR="0046465F">
        <w:rPr>
          <w:color w:val="000000"/>
        </w:rPr>
        <w:t xml:space="preserve">the </w:t>
      </w:r>
      <w:r w:rsidRPr="0065405D">
        <w:rPr>
          <w:color w:val="000000"/>
        </w:rPr>
        <w:t>industry (Perkmann et al., 2013).  For other disciplines, such as computer science and social science, for example, these represent a less important channel. In addition, medical schools and engineering schools benefit from dedicated grant scheme applications, such as Medical Research Council (MRC) grants, and the Engineering and Physical Sciences Research Council (EPSRC).</w:t>
      </w:r>
    </w:p>
    <w:p w14:paraId="44B04F40" w14:textId="1F854D72" w:rsidR="001669D8" w:rsidRDefault="00E265B4">
      <w:pPr>
        <w:spacing w:line="360" w:lineRule="auto"/>
        <w:ind w:firstLine="567"/>
        <w:jc w:val="both"/>
        <w:rPr>
          <w:color w:val="000000"/>
        </w:rPr>
      </w:pPr>
      <w:r w:rsidRPr="0065405D">
        <w:rPr>
          <w:color w:val="000000"/>
        </w:rPr>
        <w:t>From a methodological viewpoint, we compare the distributions of universities’ mean efficiency levels (from 2007–2014) for different university groups. We apply both Kernel density plots alongside the adapted version of Li-test (Li 1996, 1999) in order to examine the equality of the efficiency distributions of the different groups. We utilise the bootstrapped-based adapted version of Li-test statistic to the DEA context as has</w:t>
      </w:r>
      <w:r>
        <w:rPr>
          <w:color w:val="000000"/>
        </w:rPr>
        <w:t xml:space="preserve"> been introduced by Simar and Zelenyuk (2006). Figure 4.a shows that Russell Group universities perform better than the other universities in terms of university-industry income efficiency. In addition, it is clearly visible that the distribution of the two groups is very different, in this way denoting a net overtaking of the other institutions as a whole. Figure 4.b compares the efficiency distribution for the universities with medical and engineering schools with the rest. The results suggest that the efficiency distributions between the two groups are more similar compared to the previous case. Surprisingly, both subgroups exhibit similar performance levels. </w:t>
      </w:r>
    </w:p>
    <w:p w14:paraId="3ADD352C" w14:textId="77777777" w:rsidR="001669D8" w:rsidRDefault="00E265B4">
      <w:pPr>
        <w:spacing w:line="360" w:lineRule="auto"/>
        <w:ind w:firstLine="567"/>
        <w:jc w:val="both"/>
        <w:rPr>
          <w:color w:val="000000"/>
        </w:rPr>
      </w:pPr>
      <w:r>
        <w:rPr>
          <w:color w:val="000000"/>
        </w:rPr>
        <w:t xml:space="preserve">Table 3 reports the bootstrapped p-values of the adapted Li-test. The null-hypothesis of the test signifies that the two distributions are equal. The test confirms that the Russell Group universities do not have an equal efficiency distribution to the other universities. The null hypothesis is rejected (p-value = 0.0000). Instead, consistently with Figure 4.b, we cannot reject the null-hypothesis </w:t>
      </w:r>
      <w:r>
        <w:t>that the two distributions are equal</w:t>
      </w:r>
      <w:r>
        <w:rPr>
          <w:color w:val="000000"/>
        </w:rPr>
        <w:t>.</w:t>
      </w:r>
    </w:p>
    <w:p w14:paraId="534DBA8A" w14:textId="77777777" w:rsidR="001669D8" w:rsidRDefault="001669D8">
      <w:pPr>
        <w:spacing w:line="360" w:lineRule="auto"/>
        <w:ind w:firstLine="567"/>
        <w:jc w:val="both"/>
        <w:rPr>
          <w:color w:val="000000"/>
        </w:rPr>
      </w:pPr>
    </w:p>
    <w:p w14:paraId="67FA2D00" w14:textId="77777777" w:rsidR="001669D8" w:rsidRDefault="00E265B4">
      <w:pPr>
        <w:spacing w:line="360" w:lineRule="auto"/>
        <w:jc w:val="center"/>
        <w:rPr>
          <w:color w:val="000000"/>
        </w:rPr>
      </w:pPr>
      <w:r>
        <w:rPr>
          <w:color w:val="000000"/>
        </w:rPr>
        <w:t>---------------------------------------------------</w:t>
      </w:r>
    </w:p>
    <w:p w14:paraId="039D5649" w14:textId="77777777" w:rsidR="001669D8" w:rsidRDefault="00E265B4">
      <w:pPr>
        <w:spacing w:line="360" w:lineRule="auto"/>
        <w:jc w:val="center"/>
        <w:rPr>
          <w:color w:val="000000"/>
        </w:rPr>
      </w:pPr>
      <w:r>
        <w:rPr>
          <w:color w:val="000000"/>
        </w:rPr>
        <w:t>Insert Figure 4 about here</w:t>
      </w:r>
    </w:p>
    <w:p w14:paraId="4603D69B" w14:textId="77777777" w:rsidR="001669D8" w:rsidRDefault="00E265B4">
      <w:pPr>
        <w:spacing w:line="360" w:lineRule="auto"/>
        <w:jc w:val="center"/>
        <w:rPr>
          <w:color w:val="000000"/>
        </w:rPr>
      </w:pPr>
      <w:r>
        <w:rPr>
          <w:color w:val="000000"/>
        </w:rPr>
        <w:t>---------------------------------------------------</w:t>
      </w:r>
    </w:p>
    <w:p w14:paraId="1C4CD8F8" w14:textId="77777777" w:rsidR="001669D8" w:rsidRDefault="00E265B4">
      <w:pPr>
        <w:spacing w:line="360" w:lineRule="auto"/>
        <w:jc w:val="center"/>
        <w:rPr>
          <w:color w:val="000000"/>
        </w:rPr>
      </w:pPr>
      <w:r>
        <w:rPr>
          <w:color w:val="000000"/>
        </w:rPr>
        <w:t>---------------------------------------------------</w:t>
      </w:r>
    </w:p>
    <w:p w14:paraId="4B2C61B5" w14:textId="77777777" w:rsidR="001669D8" w:rsidRDefault="00E265B4">
      <w:pPr>
        <w:spacing w:line="360" w:lineRule="auto"/>
        <w:jc w:val="center"/>
        <w:rPr>
          <w:color w:val="000000"/>
        </w:rPr>
      </w:pPr>
      <w:r>
        <w:rPr>
          <w:color w:val="000000"/>
        </w:rPr>
        <w:t>Insert Table 3 about here</w:t>
      </w:r>
    </w:p>
    <w:p w14:paraId="00AD3EC4" w14:textId="77777777" w:rsidR="001669D8" w:rsidRDefault="00E265B4">
      <w:pPr>
        <w:spacing w:line="360" w:lineRule="auto"/>
        <w:jc w:val="center"/>
        <w:rPr>
          <w:color w:val="000000"/>
        </w:rPr>
      </w:pPr>
      <w:r>
        <w:rPr>
          <w:color w:val="000000"/>
        </w:rPr>
        <w:t>--------------------------------------------------</w:t>
      </w:r>
    </w:p>
    <w:p w14:paraId="114D88CC" w14:textId="77777777" w:rsidR="001669D8" w:rsidRDefault="00E265B4">
      <w:pPr>
        <w:spacing w:line="360" w:lineRule="auto"/>
        <w:rPr>
          <w:b/>
          <w:color w:val="000000"/>
        </w:rPr>
      </w:pPr>
      <w:r>
        <w:rPr>
          <w:b/>
          <w:color w:val="000000"/>
        </w:rPr>
        <w:t>5.</w:t>
      </w:r>
      <w:r>
        <w:rPr>
          <w:b/>
          <w:color w:val="000000"/>
        </w:rPr>
        <w:tab/>
        <w:t>Conclusions</w:t>
      </w:r>
    </w:p>
    <w:p w14:paraId="6685B84D" w14:textId="0FF3B6C2" w:rsidR="001669D8" w:rsidRDefault="00E265B4">
      <w:pPr>
        <w:spacing w:line="360" w:lineRule="auto"/>
        <w:ind w:firstLine="567"/>
        <w:jc w:val="both"/>
        <w:rPr>
          <w:color w:val="000000"/>
        </w:rPr>
      </w:pPr>
      <w:r>
        <w:rPr>
          <w:color w:val="000000"/>
        </w:rPr>
        <w:t xml:space="preserve">Public </w:t>
      </w:r>
      <w:r w:rsidR="00F419F9">
        <w:rPr>
          <w:color w:val="000000"/>
        </w:rPr>
        <w:t>opinion</w:t>
      </w:r>
      <w:r>
        <w:rPr>
          <w:color w:val="000000"/>
        </w:rPr>
        <w:t xml:space="preserve"> and practitioners largely acknowledge the importance of universities as a vehicle for the creation and diffusion of knowledge. Policy makers have put forward several initiatives to support the so-called third mission, especially by facilitating the commercialisation of academic knowledge, such as patenting and licensing of inventions (D’</w:t>
      </w:r>
      <w:r w:rsidR="003F1D14">
        <w:rPr>
          <w:color w:val="000000"/>
        </w:rPr>
        <w:t>E</w:t>
      </w:r>
      <w:r>
        <w:rPr>
          <w:color w:val="000000"/>
        </w:rPr>
        <w:t xml:space="preserve">ste and Perkmann, 201; Geuna and Nesta, 2006).  Concomitantly, scholars as well as practitioners have stressed the importance of academic engagement with non-academic organisations to create </w:t>
      </w:r>
      <w:r w:rsidR="00F419F9">
        <w:rPr>
          <w:color w:val="000000"/>
        </w:rPr>
        <w:t>direct benefits</w:t>
      </w:r>
      <w:r>
        <w:rPr>
          <w:color w:val="000000"/>
        </w:rPr>
        <w:t xml:space="preserve"> for the economy and society. However, recent studies (Sánchez-Barrioluengo, 2014; Sánchez-Barrioluengo et al., 2016) have raised concerns on the compatibility of the third mission with the research and teaching mission</w:t>
      </w:r>
      <w:r w:rsidR="00F419F9">
        <w:rPr>
          <w:color w:val="000000"/>
        </w:rPr>
        <w:t>s</w:t>
      </w:r>
      <w:r>
        <w:rPr>
          <w:color w:val="000000"/>
        </w:rPr>
        <w:t xml:space="preserve">. </w:t>
      </w:r>
    </w:p>
    <w:p w14:paraId="32FC3E2C" w14:textId="77777777" w:rsidR="001669D8" w:rsidRDefault="00E265B4">
      <w:pPr>
        <w:spacing w:line="360" w:lineRule="auto"/>
        <w:ind w:firstLine="567"/>
        <w:jc w:val="both"/>
        <w:rPr>
          <w:color w:val="000000"/>
        </w:rPr>
      </w:pPr>
      <w:r>
        <w:rPr>
          <w:color w:val="000000"/>
        </w:rPr>
        <w:t xml:space="preserve">This study attempts to contribute to this debate by providing a further understanding of the relationship between efficiency in terms of university-industry income (i.e. third mission) and research performance. </w:t>
      </w:r>
      <w:r w:rsidR="000F60AB">
        <w:rPr>
          <w:color w:val="000000"/>
        </w:rPr>
        <w:t>This</w:t>
      </w:r>
      <w:r>
        <w:rPr>
          <w:color w:val="000000"/>
        </w:rPr>
        <w:t xml:space="preserve"> study focuses on a sample of 119 UK universities over the period from 2007 to 2014 and employs robust efficiency estimators (Order-m) to evaluate the relative efficiency in terms of university third mission performance. This is the most comprehensive analysis at the level of individual institutions that models the efficiency of university-industry income. </w:t>
      </w:r>
    </w:p>
    <w:p w14:paraId="11E9F834" w14:textId="16241004" w:rsidR="001669D8" w:rsidRDefault="00E265B4">
      <w:pPr>
        <w:spacing w:line="360" w:lineRule="auto"/>
        <w:ind w:firstLine="567"/>
        <w:jc w:val="both"/>
        <w:rPr>
          <w:color w:val="000000"/>
        </w:rPr>
      </w:pPr>
      <w:r>
        <w:rPr>
          <w:color w:val="000000"/>
        </w:rPr>
        <w:t xml:space="preserve">Overall, the results show that all the universities have room for improvement in terms of income generated by industrial engagement activities. Among the “old universities”, those belonging to the Russell Group significantly perform better than the rest as they tend to dedicate more resources to research and impact. Russell Group universities are in fact strongly committed to high quality research and engagement with local and national business and the public sector. In a second step of the analysis, we explore whether universities that are efficient in generating income from engagement activities experience an increase </w:t>
      </w:r>
      <w:r w:rsidR="00F419F9">
        <w:rPr>
          <w:color w:val="000000"/>
        </w:rPr>
        <w:t>in</w:t>
      </w:r>
      <w:r>
        <w:rPr>
          <w:color w:val="000000"/>
        </w:rPr>
        <w:t xml:space="preserve"> performance in terms of research quality. For this analysis, we tackle possible endogeneity issues between efficiency and research quality by running a nonparametric instrumental regression. In general, the findings show that the increase of efficiency in terms of university-industry engagement can positively enhance the research quality of “new universities” and “old universities”. However, the results also show that this relationship is highly nonlinear and not always positive for “new institutions” with a relative low efficiency.  Instead, we find that “old universities” that are mostly efficient do not gain any benefit</w:t>
      </w:r>
      <w:r w:rsidR="00F419F9">
        <w:rPr>
          <w:color w:val="000000"/>
        </w:rPr>
        <w:t>s</w:t>
      </w:r>
      <w:r>
        <w:rPr>
          <w:color w:val="000000"/>
        </w:rPr>
        <w:t xml:space="preserve"> in terms of research quality by generating additional income from engagement activities. For both types of university, a low student-staff ratio enhances the effect of efficiency on the quality of research. </w:t>
      </w:r>
    </w:p>
    <w:p w14:paraId="57E38AAD" w14:textId="4A2F3280" w:rsidR="001669D8" w:rsidRDefault="00E265B4">
      <w:pPr>
        <w:spacing w:line="360" w:lineRule="auto"/>
        <w:ind w:firstLine="567"/>
        <w:jc w:val="both"/>
        <w:rPr>
          <w:color w:val="000000"/>
        </w:rPr>
      </w:pPr>
      <w:r>
        <w:rPr>
          <w:color w:val="000000"/>
        </w:rPr>
        <w:t>Some key limitations should be considered when interpreting these results. The choice of inputs and outputs is consistent with the existing literature and conditioned by the availability of data for all UK HEIs. Furthermore, data relative to spin-off is either not reliable or missing.  For example, turnover or external investment figures available for the various categories of spin-offs and start</w:t>
      </w:r>
      <w:r w:rsidR="00F419F9">
        <w:rPr>
          <w:color w:val="000000"/>
        </w:rPr>
        <w:t>-</w:t>
      </w:r>
      <w:r>
        <w:rPr>
          <w:color w:val="000000"/>
        </w:rPr>
        <w:t xml:space="preserve">ups as data is not fully reliable. Moreover, data on estimated external investment received from spin-offs with some HEP ownership (£000s) is available for only some HEIs included in the sample. In addition, the assessment of the research’s quality through the REF system </w:t>
      </w:r>
      <w:r w:rsidR="009657B5">
        <w:rPr>
          <w:color w:val="000000"/>
        </w:rPr>
        <w:t>has been the object of</w:t>
      </w:r>
      <w:r>
        <w:rPr>
          <w:color w:val="000000"/>
        </w:rPr>
        <w:t xml:space="preserve"> criticism. Although the REF represents one of the most institutionalised forms of research evaluation in the OECD economies that both encourages a traditional research approach and socio-economic impact (Barker, 2007), it still presents some shortcomings and might not be the optimum way of funding university research (Martin, 2011). As pointed out by Smith et al. (2011), there is some controversy related to th</w:t>
      </w:r>
      <w:r w:rsidR="009657B5">
        <w:rPr>
          <w:color w:val="000000"/>
        </w:rPr>
        <w:t>e REF</w:t>
      </w:r>
      <w:r>
        <w:rPr>
          <w:color w:val="000000"/>
        </w:rPr>
        <w:t xml:space="preserve">, for example </w:t>
      </w:r>
      <w:r w:rsidR="009657B5">
        <w:rPr>
          <w:color w:val="000000"/>
        </w:rPr>
        <w:t>with regards to</w:t>
      </w:r>
      <w:r>
        <w:rPr>
          <w:color w:val="000000"/>
        </w:rPr>
        <w:t xml:space="preserve"> the definition of expert review, the delimitation of reviewers, and the mechanisms for evaluating impact case studies. </w:t>
      </w:r>
    </w:p>
    <w:p w14:paraId="4F4BF9FF" w14:textId="77777777" w:rsidR="001669D8" w:rsidRDefault="00E265B4">
      <w:pPr>
        <w:spacing w:line="360" w:lineRule="auto"/>
        <w:ind w:firstLine="567"/>
        <w:jc w:val="both"/>
        <w:rPr>
          <w:color w:val="000000"/>
        </w:rPr>
      </w:pPr>
      <w:r>
        <w:rPr>
          <w:color w:val="000000"/>
        </w:rPr>
        <w:t xml:space="preserve">Nevertheless, our findings contribute to the debate of the effect of the third mission on research and provide relevant policy considerations. </w:t>
      </w:r>
      <w:r w:rsidRPr="000F60AB">
        <w:rPr>
          <w:color w:val="000000"/>
        </w:rPr>
        <w:t xml:space="preserve">Public policies aimed at fostering the income from engagement activities </w:t>
      </w:r>
      <w:r>
        <w:rPr>
          <w:color w:val="000000"/>
        </w:rPr>
        <w:t xml:space="preserve">with the industry </w:t>
      </w:r>
      <w:r w:rsidRPr="000F60AB">
        <w:rPr>
          <w:color w:val="000000"/>
        </w:rPr>
        <w:t>through the development of performance indicators</w:t>
      </w:r>
      <w:r>
        <w:rPr>
          <w:color w:val="000000"/>
        </w:rPr>
        <w:t xml:space="preserve"> should consider the capability of universities to make an efficient use of the heterogeneity of resources available at the institutional level to accomplish their third mission and research mission roles. Differently from recent studies (Kitagawa et al., 2016, Sánchez Barrioluengo, 2014; Sánchez Barrioluengo et al., 2016 among others) that have mainly criticised the existence of possible synergies between different missions, we found that efficient “old” and “new” university in terms of income generated from engagement activities are also capable of achieving higher performance in terms of research. </w:t>
      </w:r>
    </w:p>
    <w:p w14:paraId="30C27BBC" w14:textId="0FB13EDB" w:rsidR="001669D8" w:rsidRDefault="00E265B4">
      <w:pPr>
        <w:spacing w:line="360" w:lineRule="auto"/>
        <w:ind w:firstLine="567"/>
        <w:jc w:val="both"/>
        <w:rPr>
          <w:color w:val="000000"/>
        </w:rPr>
      </w:pPr>
      <w:r>
        <w:rPr>
          <w:color w:val="000000"/>
        </w:rPr>
        <w:t xml:space="preserve">In the case of “old universities”, the results instead show that being efficient is not always beneficial for the improvement of research performance. The efficiency beyond a certain threshold does not help universities to improve their research excellence. These institutions have made concerted efforts in terms of human and capital structure to increase revenue generated by academic engagement. However, they are not able to accomplish excellent targets for both engagement and research equally after a certain threshold. Instead, in the case of “new universities”, </w:t>
      </w:r>
      <w:r w:rsidRPr="0065405D">
        <w:rPr>
          <w:color w:val="000000"/>
        </w:rPr>
        <w:t>the universities’ management and</w:t>
      </w:r>
      <w:r w:rsidR="009657B5">
        <w:rPr>
          <w:color w:val="000000"/>
        </w:rPr>
        <w:t xml:space="preserve"> the</w:t>
      </w:r>
      <w:r w:rsidRPr="0065405D">
        <w:rPr>
          <w:color w:val="000000"/>
        </w:rPr>
        <w:t xml:space="preserve"> UK government can promote better research by incentivising engagement with the industry. However, this still requires taking into consideration the availability of resources at the university level to accomplish both targets. For example, a relatively low student-staff ratio can help to amplify the impact of efficiency in terms of the income generated by engagement activities on research quality</w:t>
      </w:r>
      <w:r>
        <w:rPr>
          <w:color w:val="000000"/>
        </w:rPr>
        <w:t xml:space="preserve">. </w:t>
      </w:r>
      <w:r w:rsidRPr="0065405D">
        <w:rPr>
          <w:color w:val="000000"/>
        </w:rPr>
        <w:t xml:space="preserve">This finding highlights the need for policy makers to design policies and procedures to enable universities to better integrate research, teaching, and their third mission activities based on their unique characteristics. Instead, the ‘one-size-fits-all’ university model which treats universities as homogeneous and isomorphic entities applying a simultaneous excellence framework on all three missions (Philpott et al. 2011; Sánchez Barrioluengo, 2014) is now an “utopic” accomplishment at least for the vast majority of universities. However, it sets the future policy agenda alongside the additional challenges </w:t>
      </w:r>
      <w:r w:rsidR="009657B5">
        <w:rPr>
          <w:color w:val="000000"/>
        </w:rPr>
        <w:t>for</w:t>
      </w:r>
      <w:r w:rsidRPr="0065405D">
        <w:rPr>
          <w:color w:val="000000"/>
        </w:rPr>
        <w:t xml:space="preserve"> which the universities’ stake</w:t>
      </w:r>
      <w:r w:rsidR="009657B5">
        <w:rPr>
          <w:color w:val="000000"/>
        </w:rPr>
        <w:t>-</w:t>
      </w:r>
      <w:r w:rsidRPr="0065405D">
        <w:rPr>
          <w:color w:val="000000"/>
        </w:rPr>
        <w:t xml:space="preserve"> and shareholders need to find plausible solutions</w:t>
      </w:r>
      <w:r>
        <w:rPr>
          <w:color w:val="000000"/>
        </w:rPr>
        <w:t xml:space="preserve">. </w:t>
      </w:r>
    </w:p>
    <w:p w14:paraId="3011BBCE" w14:textId="4C748129" w:rsidR="001669D8" w:rsidRDefault="00E265B4">
      <w:pPr>
        <w:spacing w:line="360" w:lineRule="auto"/>
        <w:ind w:firstLine="567"/>
        <w:jc w:val="both"/>
        <w:rPr>
          <w:color w:val="000000"/>
        </w:rPr>
      </w:pPr>
      <w:r>
        <w:rPr>
          <w:color w:val="000000"/>
        </w:rPr>
        <w:t xml:space="preserve">As pointed out by Martin (2016), universities are today subject to more burdensome bureaucracy without consideration for the load imposed </w:t>
      </w:r>
      <w:r w:rsidR="009657B5">
        <w:rPr>
          <w:color w:val="000000"/>
        </w:rPr>
        <w:t>on</w:t>
      </w:r>
      <w:r>
        <w:rPr>
          <w:color w:val="000000"/>
        </w:rPr>
        <w:t xml:space="preserve"> staff, for example, </w:t>
      </w:r>
      <w:r w:rsidR="009657B5">
        <w:rPr>
          <w:color w:val="000000"/>
        </w:rPr>
        <w:t>to engage</w:t>
      </w:r>
      <w:r>
        <w:rPr>
          <w:color w:val="000000"/>
        </w:rPr>
        <w:t xml:space="preserve"> in teaching and supervising activities. Therefore, it is becoming more challenging for staff to achieve excellent outcomes over all three missions. There could be a need to establish rules and procedures to integrate the accomplishment of goals in terms of research, teaching</w:t>
      </w:r>
      <w:r w:rsidR="009657B5">
        <w:rPr>
          <w:color w:val="000000"/>
        </w:rPr>
        <w:t>,</w:t>
      </w:r>
      <w:r>
        <w:rPr>
          <w:color w:val="000000"/>
        </w:rPr>
        <w:t xml:space="preserve"> and third mission activities. This implies also that institutional goals and priorities are accordingly needed for resource allocation decisions and the vocational role of the institution</w:t>
      </w:r>
      <w:r w:rsidR="009657B5">
        <w:rPr>
          <w:color w:val="000000"/>
        </w:rPr>
        <w:t>,</w:t>
      </w:r>
      <w:r>
        <w:rPr>
          <w:color w:val="000000"/>
        </w:rPr>
        <w:t xml:space="preserve"> and also for individuals in the academic scene. This could help to effectively strengthen the scope of the current university ecosystem, which is characterised by heterogeneous universities that do not share the same resources and capabilities.  </w:t>
      </w:r>
    </w:p>
    <w:p w14:paraId="335EA5E1" w14:textId="0E3718ED" w:rsidR="001669D8" w:rsidRDefault="00E265B4" w:rsidP="0065405D">
      <w:pPr>
        <w:spacing w:line="360" w:lineRule="auto"/>
        <w:ind w:firstLine="567"/>
        <w:jc w:val="both"/>
        <w:rPr>
          <w:color w:val="000000"/>
        </w:rPr>
      </w:pPr>
      <w:r>
        <w:rPr>
          <w:color w:val="000000"/>
        </w:rPr>
        <w:t xml:space="preserve">Despite </w:t>
      </w:r>
      <w:r w:rsidR="009657B5">
        <w:rPr>
          <w:color w:val="000000"/>
        </w:rPr>
        <w:t xml:space="preserve">the fact that </w:t>
      </w:r>
      <w:r>
        <w:rPr>
          <w:color w:val="000000"/>
        </w:rPr>
        <w:t xml:space="preserve">universities </w:t>
      </w:r>
      <w:r w:rsidR="009657B5">
        <w:rPr>
          <w:color w:val="000000"/>
        </w:rPr>
        <w:t xml:space="preserve">are </w:t>
      </w:r>
      <w:r>
        <w:rPr>
          <w:color w:val="000000"/>
        </w:rPr>
        <w:t xml:space="preserve">changing their third mission strategies in response to the implementation of a performance-based funding system, universities </w:t>
      </w:r>
      <w:r w:rsidR="009657B5">
        <w:rPr>
          <w:color w:val="000000"/>
        </w:rPr>
        <w:t xml:space="preserve">still </w:t>
      </w:r>
      <w:r>
        <w:rPr>
          <w:color w:val="000000"/>
        </w:rPr>
        <w:t xml:space="preserve">set different objectives and follow various approaches. In general, the current funding system appears to not fully take into consideration the heterogeneous ecosystem of universities that </w:t>
      </w:r>
      <w:r w:rsidR="009657B5">
        <w:rPr>
          <w:color w:val="000000"/>
        </w:rPr>
        <w:t>consists of</w:t>
      </w:r>
      <w:r>
        <w:rPr>
          <w:color w:val="000000"/>
        </w:rPr>
        <w:t xml:space="preserve"> different resources, levels of bureaucracy, varieties of research</w:t>
      </w:r>
      <w:r w:rsidR="009657B5">
        <w:rPr>
          <w:color w:val="000000"/>
        </w:rPr>
        <w:t>,</w:t>
      </w:r>
      <w:r>
        <w:rPr>
          <w:color w:val="000000"/>
        </w:rPr>
        <w:t xml:space="preserve"> and third mission activities (Martin, 2013; Rosli and Rossi, 2016). </w:t>
      </w:r>
      <w:r w:rsidRPr="0065405D">
        <w:rPr>
          <w:color w:val="000000"/>
        </w:rPr>
        <w:t xml:space="preserve">As hypothesized by Rosli and Rossi (2016), success in terms of the third mission could be evaluated on the basis of the outcomes achieved instead of imposing homogenous metrics and indicators that do not reflect the different capabilities and resources available at the university level. </w:t>
      </w:r>
    </w:p>
    <w:p w14:paraId="510E6C9F" w14:textId="77777777" w:rsidR="001669D8" w:rsidRDefault="00E265B4">
      <w:pPr>
        <w:spacing w:line="360" w:lineRule="auto"/>
        <w:ind w:firstLine="567"/>
        <w:jc w:val="both"/>
        <w:rPr>
          <w:color w:val="000000"/>
        </w:rPr>
      </w:pPr>
      <w:r>
        <w:rPr>
          <w:color w:val="000000"/>
        </w:rPr>
        <w:t xml:space="preserve">The paper can be further extended in several directions. One of these might be by focusing on the mechanisms through which university-society interactions can improve research quality. Moreover, future research could also consider a wider range of knowledge transfer mechanisms (for example joint R&amp;D and sitting on advisory boards as suggested by Abreu and Grinevich, 2013). In addition, limited to the availability of the data, future studies could introduce performance indicators based on impact. Alternatively, an additional extension of our study might explore the determinants of efficiency in terms of income generated through engagement activities. </w:t>
      </w:r>
    </w:p>
    <w:p w14:paraId="3169FF55" w14:textId="77777777" w:rsidR="001669D8" w:rsidRDefault="001669D8">
      <w:pPr>
        <w:spacing w:line="480" w:lineRule="auto"/>
        <w:jc w:val="both"/>
        <w:rPr>
          <w:b/>
          <w:color w:val="000000"/>
        </w:rPr>
      </w:pPr>
    </w:p>
    <w:p w14:paraId="073CF470" w14:textId="77777777" w:rsidR="001669D8" w:rsidRDefault="00E265B4">
      <w:pPr>
        <w:spacing w:line="480" w:lineRule="auto"/>
        <w:jc w:val="both"/>
        <w:rPr>
          <w:b/>
          <w:color w:val="000000"/>
        </w:rPr>
      </w:pPr>
      <w:r>
        <w:rPr>
          <w:b/>
          <w:color w:val="000000"/>
        </w:rPr>
        <w:t>Acknowledgements</w:t>
      </w:r>
    </w:p>
    <w:p w14:paraId="487A1B71" w14:textId="77777777" w:rsidR="001669D8" w:rsidRDefault="00E265B4">
      <w:pPr>
        <w:spacing w:line="480" w:lineRule="auto"/>
        <w:jc w:val="both"/>
        <w:rPr>
          <w:color w:val="000000"/>
        </w:rPr>
      </w:pPr>
      <w:r>
        <w:rPr>
          <w:color w:val="000000"/>
        </w:rPr>
        <w:t xml:space="preserve">We would like to thank Ben R. Martin (Editor) and the reviewers of the journal for the useful comments raised to our manuscript. Any remaining errors are solely the authors’ responsibility. </w:t>
      </w:r>
    </w:p>
    <w:p w14:paraId="0F7BA515" w14:textId="77777777" w:rsidR="001669D8" w:rsidRDefault="001669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urier New" w:eastAsia="Courier New" w:hAnsi="Courier New" w:cs="Courier New"/>
          <w:color w:val="000000"/>
        </w:rPr>
      </w:pPr>
    </w:p>
    <w:p w14:paraId="1578C0BE" w14:textId="77777777" w:rsidR="001669D8" w:rsidRDefault="00E265B4">
      <w:pPr>
        <w:spacing w:line="480" w:lineRule="auto"/>
        <w:jc w:val="both"/>
        <w:rPr>
          <w:b/>
          <w:i/>
          <w:color w:val="000000"/>
        </w:rPr>
      </w:pPr>
      <w:r>
        <w:rPr>
          <w:b/>
          <w:i/>
          <w:color w:val="000000"/>
        </w:rPr>
        <w:t>References</w:t>
      </w:r>
    </w:p>
    <w:p w14:paraId="5486EFA5" w14:textId="77777777" w:rsidR="001669D8" w:rsidRDefault="00E265B4">
      <w:pPr>
        <w:spacing w:line="360" w:lineRule="auto"/>
        <w:ind w:left="567" w:hanging="567"/>
        <w:jc w:val="both"/>
        <w:rPr>
          <w:b/>
          <w:i/>
          <w:color w:val="000000"/>
        </w:rPr>
      </w:pPr>
      <w:r>
        <w:rPr>
          <w:color w:val="000000"/>
        </w:rPr>
        <w:t>Agaard, K., 2015. How Incentives Trickle down: Local Use of a National Bibliometric Indicator System. Science and Public Policy 42, 725–37.</w:t>
      </w:r>
    </w:p>
    <w:p w14:paraId="57A476BD" w14:textId="77777777" w:rsidR="001669D8" w:rsidRDefault="00E265B4">
      <w:pPr>
        <w:spacing w:line="360" w:lineRule="auto"/>
        <w:ind w:left="567" w:hanging="567"/>
        <w:jc w:val="both"/>
        <w:rPr>
          <w:color w:val="000000"/>
        </w:rPr>
      </w:pPr>
      <w:r>
        <w:rPr>
          <w:color w:val="000000"/>
        </w:rPr>
        <w:t>Abreu, M., Grinevich, V., 2013. The nature of academic entrepreneurship in the UK: Widening the focus on entrepreneurial activities. Research Policy 42(2), 408–22.</w:t>
      </w:r>
    </w:p>
    <w:p w14:paraId="5B6C1CC8" w14:textId="77777777" w:rsidR="001669D8" w:rsidRDefault="00E265B4">
      <w:pPr>
        <w:spacing w:line="360" w:lineRule="auto"/>
        <w:ind w:left="567" w:hanging="567"/>
        <w:jc w:val="both"/>
        <w:rPr>
          <w:color w:val="000000"/>
        </w:rPr>
      </w:pPr>
      <w:r>
        <w:rPr>
          <w:color w:val="000000"/>
        </w:rPr>
        <w:t>Assaf, A. G., &amp; Tsionas, M. 2018. Measuring hotel performance: Toward more rigorous evidence in both scope and methods. Tourism Management 69–87.</w:t>
      </w:r>
    </w:p>
    <w:p w14:paraId="5D99029D" w14:textId="77777777" w:rsidR="001669D8" w:rsidRDefault="00E265B4">
      <w:pPr>
        <w:spacing w:line="360" w:lineRule="auto"/>
        <w:ind w:left="567" w:hanging="567"/>
        <w:jc w:val="both"/>
        <w:rPr>
          <w:color w:val="000000"/>
        </w:rPr>
      </w:pPr>
      <w:r>
        <w:rPr>
          <w:color w:val="000000"/>
        </w:rPr>
        <w:t>Athanassopoulos, A. D. Shale, E. 1997. Assessing the comparative efficiency of higher education institutions in the UK by mean of data envelopment analysis, Education Economics 5, 117–34.</w:t>
      </w:r>
    </w:p>
    <w:p w14:paraId="520638B2" w14:textId="77777777" w:rsidR="001669D8" w:rsidRDefault="00E265B4">
      <w:pPr>
        <w:spacing w:line="360" w:lineRule="auto"/>
        <w:ind w:left="567" w:hanging="567"/>
        <w:jc w:val="both"/>
        <w:rPr>
          <w:color w:val="000000"/>
        </w:rPr>
      </w:pPr>
      <w:r>
        <w:rPr>
          <w:color w:val="000000"/>
        </w:rPr>
        <w:t>Avkiran, N. K., 2001. Investigating technical and scale efficiencies of Australian universities through data envelopment analysis. Socio-Economic Planning Sciences 35(1) 57–80.</w:t>
      </w:r>
    </w:p>
    <w:p w14:paraId="53B9E193" w14:textId="77777777" w:rsidR="001669D8" w:rsidRDefault="00E265B4">
      <w:pPr>
        <w:spacing w:line="360" w:lineRule="auto"/>
        <w:ind w:left="567" w:hanging="567"/>
        <w:jc w:val="both"/>
        <w:rPr>
          <w:color w:val="000000"/>
        </w:rPr>
      </w:pPr>
      <w:r>
        <w:rPr>
          <w:color w:val="000000"/>
        </w:rPr>
        <w:t>Azoulay, P., Ding, W., Stuart, T., 2009. The impact of academic patenting on the rate, quality and direction of (public) research output. Journal of Industrial Economics 57(4), 637–76.</w:t>
      </w:r>
    </w:p>
    <w:p w14:paraId="1D0FA73C" w14:textId="77777777" w:rsidR="001669D8" w:rsidRDefault="00E265B4">
      <w:pPr>
        <w:spacing w:line="360" w:lineRule="auto"/>
        <w:ind w:left="567" w:hanging="567"/>
        <w:jc w:val="both"/>
        <w:rPr>
          <w:color w:val="000000"/>
        </w:rPr>
      </w:pPr>
      <w:r>
        <w:rPr>
          <w:color w:val="000000"/>
        </w:rPr>
        <w:t>Bădin, L., Daraio, C., Simar, L., 2012. How to measure the impact of environmental factors in a nonparametric production model. European Journal of Operational Research 223(3), 818–33.</w:t>
      </w:r>
    </w:p>
    <w:p w14:paraId="7C8F72AC" w14:textId="77777777" w:rsidR="001669D8" w:rsidRDefault="00E265B4">
      <w:pPr>
        <w:spacing w:line="360" w:lineRule="auto"/>
        <w:ind w:left="567" w:hanging="567"/>
        <w:jc w:val="both"/>
        <w:rPr>
          <w:color w:val="000000"/>
        </w:rPr>
      </w:pPr>
      <w:r>
        <w:rPr>
          <w:color w:val="000000"/>
        </w:rPr>
        <w:t>Barker, K., 2007. The UK Research Assessment Excercise: the evolution of a national research evaluation system. Research Evaluation 16, 3–12.</w:t>
      </w:r>
    </w:p>
    <w:p w14:paraId="262F346F" w14:textId="77777777" w:rsidR="001669D8" w:rsidRDefault="00E265B4">
      <w:pPr>
        <w:spacing w:line="360" w:lineRule="auto"/>
        <w:ind w:left="567" w:hanging="567"/>
        <w:jc w:val="both"/>
        <w:rPr>
          <w:color w:val="000000"/>
        </w:rPr>
      </w:pPr>
      <w:r>
        <w:rPr>
          <w:color w:val="000000"/>
        </w:rPr>
        <w:t>Bekkers, R., Bodas Freitas, I.M., 2008. Analysing knowledge transfer channels between universities and industry: to what degree do sectors also matter? Research Policy 37, 1837–53.</w:t>
      </w:r>
    </w:p>
    <w:p w14:paraId="7BFB5B37" w14:textId="77777777" w:rsidR="001669D8" w:rsidRDefault="00E265B4">
      <w:pPr>
        <w:spacing w:line="360" w:lineRule="auto"/>
        <w:ind w:left="567" w:hanging="567"/>
        <w:jc w:val="both"/>
        <w:rPr>
          <w:color w:val="000000"/>
        </w:rPr>
      </w:pPr>
      <w:r>
        <w:rPr>
          <w:color w:val="000000"/>
        </w:rPr>
        <w:t>Bolli, T., Olivares, M., Bonaccorsi, A., Daraio, C., Aracil, A.G., Lepori, B., 2016. The differential effects of competitive funding on the production frontier and the efficiency of universities. Economics of Education Review 52, 91–104.</w:t>
      </w:r>
    </w:p>
    <w:p w14:paraId="74E74576" w14:textId="77777777" w:rsidR="001669D8" w:rsidRDefault="00E265B4">
      <w:pPr>
        <w:spacing w:line="360" w:lineRule="auto"/>
        <w:ind w:left="567" w:hanging="567"/>
        <w:jc w:val="both"/>
        <w:rPr>
          <w:color w:val="000000"/>
        </w:rPr>
      </w:pPr>
      <w:r>
        <w:rPr>
          <w:color w:val="000000"/>
        </w:rPr>
        <w:t>Bonaccorsi, A., Daraio, C., 2007. Universities and strategic knowledge creation. Specialization and performance in Europe. Cheltenham, UK: Edward Elgar Publisher.</w:t>
      </w:r>
    </w:p>
    <w:p w14:paraId="6760C311" w14:textId="77777777" w:rsidR="001669D8" w:rsidRDefault="00E265B4">
      <w:pPr>
        <w:spacing w:line="360" w:lineRule="auto"/>
        <w:ind w:left="567" w:hanging="567"/>
        <w:jc w:val="both"/>
        <w:rPr>
          <w:color w:val="000000"/>
        </w:rPr>
      </w:pPr>
      <w:r>
        <w:rPr>
          <w:color w:val="000000"/>
        </w:rPr>
        <w:t>Bonaccorsi, A. Daraio, C., Simar, L., 2014. Scale and research specialization in European universities: A directional distance approach to teaching efficiency. In A. Bonaccorsi (Ed.), Knowledge, diversity and performance in European higher education (292–312). Cheltenham: Edward Elgar.</w:t>
      </w:r>
    </w:p>
    <w:p w14:paraId="06283F1E" w14:textId="77777777" w:rsidR="001669D8" w:rsidRDefault="00E265B4">
      <w:pPr>
        <w:spacing w:line="360" w:lineRule="auto"/>
        <w:ind w:left="567" w:hanging="567"/>
        <w:jc w:val="both"/>
        <w:rPr>
          <w:color w:val="000000"/>
        </w:rPr>
      </w:pPr>
      <w:r>
        <w:rPr>
          <w:color w:val="000000"/>
        </w:rPr>
        <w:t>Burrows, R. 2012. Living with the h-index? Metric assemblages in the contemporary academy. Sociological Review 60, 355–72.</w:t>
      </w:r>
    </w:p>
    <w:p w14:paraId="510A1081" w14:textId="77777777" w:rsidR="001669D8" w:rsidRDefault="00E265B4">
      <w:pPr>
        <w:spacing w:line="360" w:lineRule="auto"/>
        <w:ind w:left="567" w:hanging="567"/>
        <w:jc w:val="both"/>
        <w:rPr>
          <w:color w:val="000000"/>
        </w:rPr>
      </w:pPr>
      <w:r>
        <w:rPr>
          <w:color w:val="000000"/>
        </w:rPr>
        <w:t>Casu, B., Thanassoulis, E., 2006. Evaluating cost efficiency in central administrative services In UK universities. Omega 34, 417–26.</w:t>
      </w:r>
    </w:p>
    <w:p w14:paraId="0A27FDF5" w14:textId="77777777" w:rsidR="001669D8" w:rsidRDefault="00E265B4">
      <w:pPr>
        <w:spacing w:line="360" w:lineRule="auto"/>
        <w:ind w:left="567" w:hanging="567"/>
        <w:jc w:val="both"/>
        <w:rPr>
          <w:color w:val="000000"/>
        </w:rPr>
      </w:pPr>
      <w:r>
        <w:rPr>
          <w:color w:val="000000"/>
        </w:rPr>
        <w:t>Cazals, C., Florens, J. P., Simar, L., 2002. Nonparametric frontier estimation: a robust approach. Journal of Econometrics 106(1), 1–25.</w:t>
      </w:r>
    </w:p>
    <w:p w14:paraId="3B46525B" w14:textId="77777777" w:rsidR="001669D8" w:rsidRDefault="00E265B4">
      <w:pPr>
        <w:spacing w:line="360" w:lineRule="auto"/>
        <w:ind w:left="567" w:hanging="567"/>
        <w:jc w:val="both"/>
        <w:rPr>
          <w:color w:val="000000"/>
        </w:rPr>
      </w:pPr>
      <w:r>
        <w:rPr>
          <w:color w:val="000000"/>
        </w:rPr>
        <w:t xml:space="preserve">Chang, Y.C., Yang, P.Y., Martin, B. R, Chi, H.R., 2016. </w:t>
      </w:r>
      <w:hyperlink r:id="rId14">
        <w:r>
          <w:rPr>
            <w:color w:val="000000"/>
          </w:rPr>
          <w:t>Entrepreneurial universities and research ambidexterity: a multilevel analysis</w:t>
        </w:r>
      </w:hyperlink>
      <w:hyperlink r:id="rId15">
        <w:r>
          <w:rPr>
            <w:i/>
            <w:color w:val="000000"/>
          </w:rPr>
          <w:t>.</w:t>
        </w:r>
      </w:hyperlink>
      <w:r>
        <w:rPr>
          <w:color w:val="000000"/>
        </w:rPr>
        <w:t xml:space="preserve"> Technovation 54, 7–21.</w:t>
      </w:r>
    </w:p>
    <w:p w14:paraId="13D2494C" w14:textId="77777777" w:rsidR="001669D8" w:rsidRDefault="00E265B4">
      <w:pPr>
        <w:spacing w:line="360" w:lineRule="auto"/>
        <w:ind w:left="567" w:hanging="567"/>
        <w:jc w:val="both"/>
        <w:rPr>
          <w:color w:val="000000"/>
        </w:rPr>
      </w:pPr>
      <w:r>
        <w:rPr>
          <w:color w:val="000000"/>
        </w:rPr>
        <w:t>Chapple, W., Lockett, A., Siegel, D., Wright, M., 2005. Assessing the relative performance of U.K. university technology transfer offices: parametric and non-parametric evidence. Research Policy 34, 369–84.</w:t>
      </w:r>
    </w:p>
    <w:p w14:paraId="0552B318" w14:textId="77777777" w:rsidR="001669D8" w:rsidRDefault="00E265B4">
      <w:pPr>
        <w:spacing w:line="360" w:lineRule="auto"/>
        <w:ind w:left="567" w:hanging="567"/>
        <w:jc w:val="both"/>
        <w:rPr>
          <w:color w:val="000000"/>
        </w:rPr>
      </w:pPr>
      <w:r>
        <w:rPr>
          <w:color w:val="000000"/>
        </w:rPr>
        <w:t>Charles, D., Kitagawa, F., Uyarra, E., 2014. Universities in Crisis? -New Challenges and Strategies in Two English City-regions. Cambridge Journal of Regions, Economy and Society 7(2), 327–48.</w:t>
      </w:r>
    </w:p>
    <w:p w14:paraId="50AD41F6" w14:textId="77777777" w:rsidR="001669D8" w:rsidRDefault="00E265B4">
      <w:pPr>
        <w:spacing w:line="360" w:lineRule="auto"/>
        <w:ind w:left="567" w:hanging="567"/>
        <w:jc w:val="both"/>
        <w:rPr>
          <w:color w:val="000000"/>
        </w:rPr>
      </w:pPr>
      <w:r>
        <w:rPr>
          <w:color w:val="000000"/>
        </w:rPr>
        <w:t>Clark, B., 1998. Creating Entrepreneurial Universities: Organizational Paths of Trans-formation. Pergamon, Guildford, UK.</w:t>
      </w:r>
    </w:p>
    <w:p w14:paraId="21C85495" w14:textId="77777777" w:rsidR="001669D8" w:rsidRDefault="00E265B4">
      <w:pPr>
        <w:spacing w:line="360" w:lineRule="auto"/>
        <w:ind w:left="567" w:hanging="567"/>
        <w:jc w:val="both"/>
        <w:rPr>
          <w:color w:val="000000"/>
        </w:rPr>
      </w:pPr>
      <w:r>
        <w:rPr>
          <w:color w:val="000000"/>
        </w:rPr>
        <w:t>Daraio, C., Bonaccorsi, A., Simar, L., 2015a. Efficiency and economies of scale and specialization in European universities: a directional distance approach. Journal of Informetrics 9, 430–48.</w:t>
      </w:r>
    </w:p>
    <w:p w14:paraId="1D61A648" w14:textId="77777777" w:rsidR="001669D8" w:rsidRDefault="00E265B4">
      <w:pPr>
        <w:spacing w:line="360" w:lineRule="auto"/>
        <w:ind w:left="567" w:hanging="567"/>
        <w:jc w:val="both"/>
        <w:rPr>
          <w:color w:val="000000"/>
        </w:rPr>
      </w:pPr>
      <w:r>
        <w:rPr>
          <w:color w:val="000000"/>
        </w:rPr>
        <w:t>Daraio, C., Bonaccorsi, A. Simar, L., 2015b. Rankings and university performance: A conditional multidimensional approach. European Journal of Operational Research 244, 918–30.</w:t>
      </w:r>
    </w:p>
    <w:p w14:paraId="4634DCF1" w14:textId="77777777" w:rsidR="001669D8" w:rsidRDefault="00E265B4">
      <w:pPr>
        <w:spacing w:line="360" w:lineRule="auto"/>
        <w:ind w:left="567" w:hanging="567"/>
        <w:jc w:val="both"/>
        <w:rPr>
          <w:color w:val="000000"/>
        </w:rPr>
      </w:pPr>
      <w:r>
        <w:rPr>
          <w:color w:val="000000"/>
        </w:rPr>
        <w:t>Daraio, C., Bonaccorsi, A., Geuna, A., Lepori, B., Bach, L., Bogetoft, P., et al. 2011. The European University landscape: A micro characterization based on evidence from the Aquameth project. Research Policy 40, 148–64.</w:t>
      </w:r>
    </w:p>
    <w:p w14:paraId="750CD9A5" w14:textId="77777777" w:rsidR="001669D8" w:rsidRDefault="00E265B4">
      <w:pPr>
        <w:spacing w:line="360" w:lineRule="auto"/>
        <w:ind w:left="567" w:hanging="567"/>
        <w:jc w:val="both"/>
        <w:rPr>
          <w:color w:val="000000"/>
        </w:rPr>
      </w:pPr>
      <w:r>
        <w:rPr>
          <w:color w:val="000000"/>
        </w:rPr>
        <w:t>Daraio, C., Simar, L., 2007. Advanced Robust and Nonparametric Methods in Efficiency Analysis. Methodology and Applications, Springer, New-York.</w:t>
      </w:r>
    </w:p>
    <w:p w14:paraId="090695D1" w14:textId="77777777" w:rsidR="001669D8" w:rsidRDefault="00E265B4">
      <w:pPr>
        <w:spacing w:line="360" w:lineRule="auto"/>
        <w:ind w:left="567" w:hanging="567"/>
        <w:jc w:val="both"/>
        <w:rPr>
          <w:color w:val="000000"/>
        </w:rPr>
      </w:pPr>
      <w:r>
        <w:rPr>
          <w:color w:val="000000"/>
        </w:rPr>
        <w:t>D’Este, P., Patel, P., 2007. University–industry linkages in the UK: what are the factors determining the variety of interactions with industry? Research Policy 36 (9), 1295–1313.</w:t>
      </w:r>
    </w:p>
    <w:p w14:paraId="5CAE249A" w14:textId="77777777" w:rsidR="001669D8" w:rsidRDefault="00E265B4">
      <w:pPr>
        <w:spacing w:line="360" w:lineRule="auto"/>
        <w:ind w:left="567" w:hanging="567"/>
        <w:jc w:val="both"/>
        <w:rPr>
          <w:color w:val="000000"/>
        </w:rPr>
      </w:pPr>
      <w:r>
        <w:rPr>
          <w:color w:val="000000"/>
        </w:rPr>
        <w:t>D’Este, P., Perkmann, M., 2011. Why do academics engage with industry? The entrepreneurial university and individual motivations. Journal of Technology Transfer 36(3), 316–39.</w:t>
      </w:r>
    </w:p>
    <w:p w14:paraId="1FBF1232" w14:textId="77777777" w:rsidR="001669D8" w:rsidRDefault="00E265B4">
      <w:pPr>
        <w:spacing w:line="360" w:lineRule="auto"/>
        <w:ind w:left="567" w:hanging="567"/>
        <w:jc w:val="both"/>
        <w:rPr>
          <w:color w:val="000000"/>
        </w:rPr>
      </w:pPr>
      <w:r>
        <w:rPr>
          <w:color w:val="000000"/>
        </w:rPr>
        <w:t>Fabrizio, K.R., Di Minin, A., 2008. Commercializing the laboratory: faculty patenting and the open science environment. Research Policy 37, 914–31.</w:t>
      </w:r>
    </w:p>
    <w:p w14:paraId="0029D160" w14:textId="77777777" w:rsidR="001669D8" w:rsidRDefault="00E265B4">
      <w:pPr>
        <w:spacing w:line="360" w:lineRule="auto"/>
        <w:ind w:left="567" w:hanging="567"/>
        <w:jc w:val="both"/>
        <w:rPr>
          <w:color w:val="000000"/>
        </w:rPr>
      </w:pPr>
      <w:r>
        <w:rPr>
          <w:color w:val="000000"/>
        </w:rPr>
        <w:t>Feller, I., 2005. A historical perspective on government–university partnerships to enhance entrepreneurship and economic development. In: Shane, S. (Ed.), Economic development through entrepreneurship: government, university and business linkages. Edward Elgar, Cheltenham, 6–28.</w:t>
      </w:r>
    </w:p>
    <w:p w14:paraId="5F51EEBE" w14:textId="77777777" w:rsidR="001669D8" w:rsidRDefault="00E265B4">
      <w:pPr>
        <w:spacing w:line="360" w:lineRule="auto"/>
        <w:ind w:left="567" w:hanging="567"/>
        <w:jc w:val="both"/>
        <w:rPr>
          <w:color w:val="000000"/>
        </w:rPr>
      </w:pPr>
      <w:r>
        <w:rPr>
          <w:color w:val="000000"/>
        </w:rPr>
        <w:t>Frölich, M. (2008). Parametric and nonparametric regression in the presence of endogenous control variables. International Statistical Review, 76(2), 214–27.</w:t>
      </w:r>
    </w:p>
    <w:p w14:paraId="6540E8EE" w14:textId="77777777" w:rsidR="001669D8" w:rsidRDefault="00E265B4">
      <w:pPr>
        <w:spacing w:line="360" w:lineRule="auto"/>
        <w:ind w:left="567" w:hanging="567"/>
        <w:jc w:val="both"/>
        <w:rPr>
          <w:color w:val="000000"/>
        </w:rPr>
      </w:pPr>
      <w:r>
        <w:rPr>
          <w:color w:val="000000"/>
        </w:rPr>
        <w:t>Fontana, R., Geuna, A., Matt, M., 2006. Factors affecting university–industry R&amp;D projects: the importance of searching, screening and signalling. Research Policy 35 (2), 309–23.</w:t>
      </w:r>
    </w:p>
    <w:p w14:paraId="0634EEFF" w14:textId="77777777" w:rsidR="001669D8" w:rsidRDefault="00E265B4">
      <w:pPr>
        <w:spacing w:line="360" w:lineRule="auto"/>
        <w:ind w:left="567" w:hanging="567"/>
        <w:jc w:val="both"/>
        <w:rPr>
          <w:color w:val="000000"/>
        </w:rPr>
      </w:pPr>
      <w:r>
        <w:rPr>
          <w:color w:val="000000"/>
        </w:rPr>
        <w:t>Geuna, A., Nesta, L., 2006. University patenting and its effects on academic research: the emerging European evidence. Research Policy 35, 790–807.</w:t>
      </w:r>
    </w:p>
    <w:p w14:paraId="37C15BC4" w14:textId="77777777" w:rsidR="001669D8" w:rsidRDefault="00E265B4">
      <w:pPr>
        <w:spacing w:line="360" w:lineRule="auto"/>
        <w:ind w:left="567" w:hanging="567"/>
        <w:jc w:val="both"/>
        <w:rPr>
          <w:color w:val="000000"/>
        </w:rPr>
      </w:pPr>
      <w:r>
        <w:rPr>
          <w:color w:val="000000"/>
        </w:rPr>
        <w:t>Gimenez, V.M., Martınez, J.L., 2006. Cost efficiency in the university: A departmental evaluation model. Economics of Education Review 25, 543–53.</w:t>
      </w:r>
    </w:p>
    <w:p w14:paraId="0FEA51B6" w14:textId="77777777" w:rsidR="001669D8" w:rsidRDefault="00E265B4">
      <w:pPr>
        <w:spacing w:line="360" w:lineRule="auto"/>
        <w:ind w:left="567" w:hanging="567"/>
        <w:jc w:val="both"/>
        <w:rPr>
          <w:color w:val="000000"/>
        </w:rPr>
      </w:pPr>
      <w:r>
        <w:rPr>
          <w:color w:val="000000"/>
        </w:rPr>
        <w:t>Goddard, J., Coombes, M., Kempton, L. and Vallance, P., 2014. Universities as anchor institutions in cities in a turbulent funding environment: vulnerable institutions and vulnerable places in England. Cambridge Journal of Regions, Economy and Society, 7/2, 307–25.</w:t>
      </w:r>
    </w:p>
    <w:p w14:paraId="2B4D6EFD" w14:textId="77777777" w:rsidR="001669D8" w:rsidRDefault="00E265B4">
      <w:pPr>
        <w:spacing w:line="360" w:lineRule="auto"/>
        <w:ind w:left="567" w:hanging="567"/>
        <w:jc w:val="both"/>
        <w:rPr>
          <w:color w:val="000000"/>
        </w:rPr>
      </w:pPr>
      <w:r>
        <w:rPr>
          <w:color w:val="000000"/>
        </w:rPr>
        <w:t>Guerrero, M., Cunningham, J. A., Urbano, D. 2015. Economic impact of entrepreneurial universities’ activities: An exploratory study of the United Kingdom. Research Policy 44 (3), 748–64.</w:t>
      </w:r>
    </w:p>
    <w:p w14:paraId="54A79868" w14:textId="77777777" w:rsidR="001669D8" w:rsidRDefault="00E265B4">
      <w:pPr>
        <w:spacing w:line="360" w:lineRule="auto"/>
        <w:ind w:left="567" w:hanging="567"/>
        <w:jc w:val="both"/>
        <w:rPr>
          <w:color w:val="000000"/>
        </w:rPr>
      </w:pPr>
      <w:r>
        <w:rPr>
          <w:color w:val="000000"/>
        </w:rPr>
        <w:t>Gulbrandsen, M., Smeby, J.C., 2005. Industry funding and university professors’ research performance. Research Policy 34, 932–50.</w:t>
      </w:r>
    </w:p>
    <w:p w14:paraId="3C8EA5F9" w14:textId="77777777" w:rsidR="001669D8" w:rsidRDefault="00E265B4">
      <w:pPr>
        <w:spacing w:line="360" w:lineRule="auto"/>
        <w:ind w:left="567" w:hanging="567"/>
        <w:jc w:val="both"/>
        <w:rPr>
          <w:color w:val="000000"/>
        </w:rPr>
      </w:pPr>
      <w:r>
        <w:rPr>
          <w:color w:val="000000"/>
        </w:rPr>
        <w:t>Hattie, J., Marsh, H. W., 1996. The relationship between research and teaching in universities. Review of Educational Research 66, 507–42.</w:t>
      </w:r>
    </w:p>
    <w:p w14:paraId="47821347" w14:textId="77777777" w:rsidR="001669D8" w:rsidRDefault="00C535B1">
      <w:pPr>
        <w:spacing w:line="360" w:lineRule="auto"/>
        <w:ind w:left="567" w:hanging="567"/>
        <w:jc w:val="both"/>
        <w:rPr>
          <w:color w:val="000000"/>
        </w:rPr>
      </w:pPr>
      <w:hyperlink r:id="rId16" w:anchor="%21">
        <w:r w:rsidR="00E265B4">
          <w:rPr>
            <w:color w:val="000000"/>
          </w:rPr>
          <w:t>Hewitt-Dunda</w:t>
        </w:r>
      </w:hyperlink>
      <w:r w:rsidR="00E265B4">
        <w:rPr>
          <w:color w:val="000000"/>
        </w:rPr>
        <w:t>s, N. 2012. Research intensity and knowledge transfer activity in UK universities Research Policy 41(2), 262–75.</w:t>
      </w:r>
    </w:p>
    <w:p w14:paraId="642A721E" w14:textId="77777777" w:rsidR="001669D8" w:rsidRDefault="00E265B4">
      <w:pPr>
        <w:spacing w:line="360" w:lineRule="auto"/>
        <w:ind w:left="567" w:hanging="567"/>
        <w:jc w:val="both"/>
        <w:rPr>
          <w:color w:val="000000"/>
        </w:rPr>
      </w:pPr>
      <w:r>
        <w:rPr>
          <w:color w:val="000000"/>
        </w:rPr>
        <w:t>Hicks, D., 2012. Performance-based university research funding systems. Research Policy 41, 251–61.</w:t>
      </w:r>
    </w:p>
    <w:p w14:paraId="4B68D53F" w14:textId="77777777" w:rsidR="001669D8" w:rsidRDefault="00E265B4">
      <w:pPr>
        <w:spacing w:line="360" w:lineRule="auto"/>
        <w:ind w:left="567" w:hanging="567"/>
        <w:jc w:val="both"/>
        <w:rPr>
          <w:color w:val="000000"/>
        </w:rPr>
      </w:pPr>
      <w:r>
        <w:rPr>
          <w:color w:val="000000"/>
        </w:rPr>
        <w:t>Horowitz, J. L., 2011. Applied nonparametric instrumental variables estimation. Econometrica 79(2), 347–94.</w:t>
      </w:r>
    </w:p>
    <w:p w14:paraId="0FC99E64" w14:textId="77777777" w:rsidR="001669D8" w:rsidRDefault="00E265B4">
      <w:pPr>
        <w:spacing w:line="360" w:lineRule="auto"/>
        <w:ind w:left="567" w:hanging="567"/>
        <w:jc w:val="both"/>
        <w:rPr>
          <w:color w:val="000000"/>
        </w:rPr>
      </w:pPr>
      <w:r>
        <w:rPr>
          <w:color w:val="000000"/>
        </w:rPr>
        <w:t>Kitagawa, F., 2005. Entrepreneurial universities and the development of regional societies: a spatial view of the Europe of knowledge Higher Education Management and Policy 17, 64–89.</w:t>
      </w:r>
    </w:p>
    <w:p w14:paraId="44CE2743" w14:textId="77777777" w:rsidR="001669D8" w:rsidRDefault="00E265B4">
      <w:pPr>
        <w:spacing w:line="360" w:lineRule="auto"/>
        <w:ind w:left="567" w:hanging="567"/>
        <w:jc w:val="both"/>
        <w:rPr>
          <w:color w:val="000000"/>
        </w:rPr>
      </w:pPr>
      <w:r>
        <w:rPr>
          <w:color w:val="000000"/>
        </w:rPr>
        <w:t>Kitagawa, F., Lightowler, C., 2013. Knowledge exchange: a comparison of policies, strategies, and funding incentives in English and Scottish higher education. Research Evaluation 22 (1), 1–14.</w:t>
      </w:r>
    </w:p>
    <w:p w14:paraId="33C51360" w14:textId="77777777" w:rsidR="001669D8" w:rsidRPr="008E1221" w:rsidRDefault="00E265B4">
      <w:pPr>
        <w:spacing w:line="360" w:lineRule="auto"/>
        <w:ind w:left="567" w:hanging="567"/>
        <w:jc w:val="both"/>
        <w:rPr>
          <w:color w:val="000000"/>
        </w:rPr>
      </w:pPr>
      <w:r w:rsidRPr="008E1221">
        <w:rPr>
          <w:color w:val="000000"/>
        </w:rPr>
        <w:t>Kitagawa, F., Sánchez-Barrioluengo, M., Uyarra, E. 2016. Third Mission as Institutional Strategies: Between isomorphic forces and path dependencies. Science and Public Policy 43(6), 736–50.</w:t>
      </w:r>
    </w:p>
    <w:p w14:paraId="2A852224" w14:textId="77777777" w:rsidR="001669D8" w:rsidRPr="008E1221" w:rsidRDefault="00E265B4">
      <w:pPr>
        <w:spacing w:line="360" w:lineRule="auto"/>
        <w:ind w:left="567" w:hanging="567"/>
        <w:jc w:val="both"/>
        <w:rPr>
          <w:color w:val="000000"/>
        </w:rPr>
      </w:pPr>
      <w:r w:rsidRPr="008E1221">
        <w:rPr>
          <w:color w:val="000000"/>
        </w:rPr>
        <w:t>Kneip, A., Simar, L., Wilson, P. W. 2011. A computationally efficient, consistent bootstrap for inference with non-parametric DEA estimators. Computational Economics 38(4), 483-515.</w:t>
      </w:r>
    </w:p>
    <w:p w14:paraId="507B97DE" w14:textId="77777777" w:rsidR="001669D8" w:rsidRPr="008E1221" w:rsidRDefault="00E265B4">
      <w:pPr>
        <w:spacing w:line="360" w:lineRule="auto"/>
        <w:ind w:left="567" w:hanging="567"/>
        <w:jc w:val="both"/>
        <w:rPr>
          <w:color w:val="000000"/>
        </w:rPr>
      </w:pPr>
      <w:r w:rsidRPr="008E1221">
        <w:rPr>
          <w:color w:val="000000"/>
        </w:rPr>
        <w:t>Kneip, A., Simar, L., Wilson, P. W. 2008. Asymptotics and consistent bootstraps for DEA estimators in nonparametric frontier models. Econometric Theory 24(6), 1663-1697.</w:t>
      </w:r>
    </w:p>
    <w:p w14:paraId="307E02DB" w14:textId="77777777" w:rsidR="001669D8" w:rsidRPr="008E1221" w:rsidRDefault="00E265B4">
      <w:pPr>
        <w:spacing w:line="360" w:lineRule="auto"/>
        <w:ind w:left="567" w:hanging="567"/>
        <w:jc w:val="both"/>
        <w:rPr>
          <w:color w:val="000000"/>
        </w:rPr>
      </w:pPr>
      <w:r w:rsidRPr="008E1221">
        <w:rPr>
          <w:color w:val="000000"/>
        </w:rPr>
        <w:t>Johnes, G., Johnes, J., 2009. Higher education institutions’ costs and efficiency: taking the decomposition a further step. Economics of Education Review 28 107–12.</w:t>
      </w:r>
    </w:p>
    <w:p w14:paraId="6D4051EA" w14:textId="77777777" w:rsidR="001669D8" w:rsidRPr="008E1221" w:rsidRDefault="00E265B4">
      <w:pPr>
        <w:spacing w:line="360" w:lineRule="auto"/>
        <w:ind w:left="567" w:hanging="567"/>
        <w:jc w:val="both"/>
        <w:rPr>
          <w:color w:val="000000"/>
        </w:rPr>
      </w:pPr>
      <w:r w:rsidRPr="008E1221">
        <w:rPr>
          <w:color w:val="000000"/>
        </w:rPr>
        <w:t>Larsen, M.T., 2011. The implications of academic enterprise for public science: an overview of the empirical evidence. Research Policy 40(1), 6–19.</w:t>
      </w:r>
    </w:p>
    <w:p w14:paraId="57936D5A" w14:textId="77777777" w:rsidR="001669D8" w:rsidRDefault="00E265B4">
      <w:pPr>
        <w:spacing w:line="360" w:lineRule="auto"/>
        <w:ind w:left="567" w:hanging="567"/>
        <w:jc w:val="both"/>
        <w:rPr>
          <w:color w:val="000000"/>
        </w:rPr>
      </w:pPr>
      <w:r w:rsidRPr="008E1221">
        <w:rPr>
          <w:color w:val="000000"/>
        </w:rPr>
        <w:t>Li, Q., 1999. Nonparametric testing the</w:t>
      </w:r>
      <w:r>
        <w:rPr>
          <w:color w:val="000000"/>
        </w:rPr>
        <w:t xml:space="preserve"> similarity of two unknown density functions: local power and bootstrap analysis. Journal of Nonparametric Statistics 11, (1-3), 189–213.</w:t>
      </w:r>
    </w:p>
    <w:p w14:paraId="4DD6EC89" w14:textId="77777777" w:rsidR="001669D8" w:rsidRDefault="00E265B4">
      <w:pPr>
        <w:spacing w:line="360" w:lineRule="auto"/>
        <w:ind w:left="567" w:hanging="567"/>
        <w:jc w:val="both"/>
        <w:rPr>
          <w:color w:val="000000"/>
        </w:rPr>
      </w:pPr>
      <w:r>
        <w:rPr>
          <w:color w:val="000000"/>
        </w:rPr>
        <w:t>Li, Q., 1996. Nonparametric testing of closeness between two unknown distribution functions. Econometric Reviews, 15(3), 261–74.</w:t>
      </w:r>
    </w:p>
    <w:p w14:paraId="493D319D" w14:textId="77777777" w:rsidR="001669D8" w:rsidRDefault="00E265B4">
      <w:pPr>
        <w:spacing w:line="360" w:lineRule="auto"/>
        <w:ind w:left="567" w:hanging="567"/>
        <w:jc w:val="both"/>
        <w:rPr>
          <w:color w:val="000000"/>
        </w:rPr>
      </w:pPr>
      <w:r>
        <w:rPr>
          <w:color w:val="000000"/>
        </w:rPr>
        <w:t xml:space="preserve">Li, Q, Racine J., 2007. Nonparametric Econometrics: Theory and Practice, Princeton University Press: Princeton, NJ. </w:t>
      </w:r>
    </w:p>
    <w:p w14:paraId="4BA538D0" w14:textId="77777777" w:rsidR="001669D8" w:rsidRDefault="00E265B4">
      <w:pPr>
        <w:spacing w:line="360" w:lineRule="auto"/>
        <w:ind w:left="567" w:hanging="567"/>
        <w:jc w:val="both"/>
        <w:rPr>
          <w:color w:val="000000"/>
        </w:rPr>
      </w:pPr>
      <w:r>
        <w:rPr>
          <w:color w:val="000000"/>
        </w:rPr>
        <w:t>Lin, M. W., Bozeman, B., 2006. Researchers’ industry experience and productivity in university–industry research centers: a scientific and technical human capital explanation. The Journal of Technology Transfer 31, 269–90.</w:t>
      </w:r>
    </w:p>
    <w:p w14:paraId="1C81692B" w14:textId="77777777" w:rsidR="001669D8" w:rsidRDefault="00E265B4">
      <w:pPr>
        <w:spacing w:line="360" w:lineRule="auto"/>
        <w:ind w:left="567" w:hanging="567"/>
        <w:jc w:val="both"/>
        <w:rPr>
          <w:color w:val="000000"/>
        </w:rPr>
      </w:pPr>
      <w:r>
        <w:rPr>
          <w:color w:val="000000"/>
        </w:rPr>
        <w:t>Marginson, S. and Considine, M. 2000. The Enterprise University: Power, Governance and Reinvention in Australia Cambridge: Cambridge University Press.</w:t>
      </w:r>
    </w:p>
    <w:p w14:paraId="2BAC55CA" w14:textId="77777777" w:rsidR="001669D8" w:rsidRDefault="00E265B4">
      <w:pPr>
        <w:spacing w:line="360" w:lineRule="auto"/>
        <w:ind w:left="567" w:hanging="567"/>
        <w:jc w:val="both"/>
        <w:rPr>
          <w:color w:val="000000"/>
        </w:rPr>
      </w:pPr>
      <w:r>
        <w:rPr>
          <w:color w:val="000000"/>
        </w:rPr>
        <w:t>Martin, B. R. 2011. The Research Excellence Framework and the ‘impact agenda’: are we creating a Frankenstein monster? Research Evaluation 20(3), 247–54.</w:t>
      </w:r>
    </w:p>
    <w:p w14:paraId="0D63DE95" w14:textId="77777777" w:rsidR="001669D8" w:rsidRDefault="00E265B4">
      <w:pPr>
        <w:spacing w:line="360" w:lineRule="auto"/>
        <w:ind w:left="567" w:hanging="567"/>
        <w:jc w:val="both"/>
        <w:rPr>
          <w:color w:val="000000"/>
        </w:rPr>
      </w:pPr>
      <w:r>
        <w:rPr>
          <w:color w:val="000000"/>
        </w:rPr>
        <w:t xml:space="preserve">Martin, B. R, 2012. </w:t>
      </w:r>
      <w:hyperlink r:id="rId17">
        <w:r>
          <w:rPr>
            <w:color w:val="000000"/>
          </w:rPr>
          <w:t>Are universities and university research under threat? Towards an evolutionary model of university speciation.</w:t>
        </w:r>
      </w:hyperlink>
      <w:r>
        <w:rPr>
          <w:color w:val="000000"/>
        </w:rPr>
        <w:t xml:space="preserve"> Cambridge Journal of Economics, 36 (3). pp. 543–65. </w:t>
      </w:r>
    </w:p>
    <w:p w14:paraId="4B5EB672" w14:textId="77777777" w:rsidR="001669D8" w:rsidRDefault="00E265B4">
      <w:pPr>
        <w:spacing w:line="360" w:lineRule="auto"/>
        <w:ind w:left="567" w:hanging="567"/>
        <w:jc w:val="both"/>
        <w:rPr>
          <w:color w:val="000000"/>
        </w:rPr>
      </w:pPr>
      <w:r>
        <w:rPr>
          <w:color w:val="000000"/>
        </w:rPr>
        <w:t>Martin, B. R. 2016. What’s happening to our universities?. Prometheus, 34(1), 7–24.</w:t>
      </w:r>
    </w:p>
    <w:p w14:paraId="0B8A15B9" w14:textId="77777777" w:rsidR="001669D8" w:rsidRDefault="00E265B4">
      <w:pPr>
        <w:spacing w:line="360" w:lineRule="auto"/>
        <w:ind w:left="567" w:hanging="567"/>
        <w:jc w:val="both"/>
      </w:pPr>
      <w:r>
        <w:rPr>
          <w:color w:val="000000"/>
        </w:rPr>
        <w:t>Martinelli, A., Meyer, M., von Tunzelmann, N., 2008. Becoming an entrepreneurial university? A case study of knowledge exchange relationships and faculty attitudes in a medium-sized, research-oriented university. Journal of Technology Transfer 33, 259–83</w:t>
      </w:r>
      <w:r>
        <w:t>.</w:t>
      </w:r>
    </w:p>
    <w:p w14:paraId="4B7019AC" w14:textId="77777777" w:rsidR="001669D8" w:rsidRDefault="00E265B4">
      <w:pPr>
        <w:spacing w:line="360" w:lineRule="auto"/>
        <w:ind w:left="567" w:hanging="567"/>
        <w:jc w:val="both"/>
      </w:pPr>
      <w:r>
        <w:t>McDonald, G., 2013. Does size matter? The impact of student–staff ratios, Journal of Higher Education Policy and Management 35(6), 652-667.</w:t>
      </w:r>
    </w:p>
    <w:p w14:paraId="2695AF8E" w14:textId="77777777" w:rsidR="001669D8" w:rsidRDefault="00E265B4">
      <w:pPr>
        <w:spacing w:line="360" w:lineRule="auto"/>
        <w:ind w:left="567" w:hanging="567"/>
        <w:jc w:val="both"/>
        <w:rPr>
          <w:color w:val="000000"/>
        </w:rPr>
      </w:pPr>
      <w:r>
        <w:rPr>
          <w:color w:val="000000"/>
        </w:rPr>
        <w:t>Perkmann, M., King, Z., Pavelin, S., 2011. Engaging excellence? Effects of faculty quality on university engagement with industry. Research Policy 40, 539–52.</w:t>
      </w:r>
    </w:p>
    <w:p w14:paraId="577CACC8" w14:textId="47876436" w:rsidR="001669D8" w:rsidRPr="000F60AB" w:rsidRDefault="00E265B4">
      <w:pPr>
        <w:spacing w:line="360" w:lineRule="auto"/>
        <w:ind w:left="567" w:hanging="567"/>
        <w:jc w:val="both"/>
        <w:rPr>
          <w:color w:val="000000"/>
        </w:rPr>
      </w:pPr>
      <w:r>
        <w:rPr>
          <w:color w:val="000000"/>
        </w:rPr>
        <w:t>Perkmann, M., Tartari, V., Mckelvey, M., Autio, E., Brostrom, A., D’</w:t>
      </w:r>
      <w:r w:rsidR="003F1D14">
        <w:rPr>
          <w:color w:val="000000"/>
        </w:rPr>
        <w:t>E</w:t>
      </w:r>
      <w:r>
        <w:rPr>
          <w:color w:val="000000"/>
        </w:rPr>
        <w:t xml:space="preserve">ste, P., et al. 2013. </w:t>
      </w:r>
      <w:r w:rsidRPr="000F60AB">
        <w:rPr>
          <w:color w:val="000000"/>
        </w:rPr>
        <w:t>Academic engagement and commercialisation: A review of the literature on university—industry relations. Research Policy 42, 423–42.</w:t>
      </w:r>
    </w:p>
    <w:p w14:paraId="64FD5875" w14:textId="77777777" w:rsidR="001669D8" w:rsidRPr="000F60AB" w:rsidRDefault="00E265B4">
      <w:pPr>
        <w:spacing w:line="360" w:lineRule="auto"/>
        <w:ind w:left="567" w:hanging="567"/>
        <w:jc w:val="both"/>
        <w:rPr>
          <w:color w:val="000000"/>
        </w:rPr>
      </w:pPr>
      <w:r w:rsidRPr="000F60AB">
        <w:rPr>
          <w:color w:val="000000"/>
        </w:rPr>
        <w:t>Philpott, K., Dooley, L., O’Reilly, C., Lupton, G., 2011. The entrepreneurial university: examining the underlying academic tensions. Technovation 31, 161–170.</w:t>
      </w:r>
    </w:p>
    <w:p w14:paraId="66377E9B" w14:textId="77777777" w:rsidR="001669D8" w:rsidRDefault="00E265B4">
      <w:pPr>
        <w:spacing w:line="360" w:lineRule="auto"/>
        <w:ind w:left="567" w:hanging="567"/>
        <w:jc w:val="both"/>
        <w:rPr>
          <w:color w:val="000000"/>
        </w:rPr>
      </w:pPr>
      <w:r w:rsidRPr="000F60AB">
        <w:rPr>
          <w:color w:val="000000"/>
        </w:rPr>
        <w:t>Robichau, R.W., Jr</w:t>
      </w:r>
      <w:r>
        <w:rPr>
          <w:color w:val="000000"/>
        </w:rPr>
        <w:t xml:space="preserve"> LE, L. 2009. The implementation of public policy: Still the missing link. Policy Studies Journal 37(1), 21–36.</w:t>
      </w:r>
    </w:p>
    <w:p w14:paraId="7A00F50B" w14:textId="77777777" w:rsidR="001669D8" w:rsidRDefault="00E265B4">
      <w:pPr>
        <w:spacing w:line="360" w:lineRule="auto"/>
        <w:ind w:left="567" w:hanging="567"/>
        <w:jc w:val="both"/>
        <w:rPr>
          <w:color w:val="000000"/>
        </w:rPr>
      </w:pPr>
      <w:r>
        <w:rPr>
          <w:color w:val="000000"/>
        </w:rPr>
        <w:t>Rosli, A. and Rossi, F., 2016. Third-mission policy goals and incentives from performance- based funding: Are they aligned? Research Evaluation 25(4), 427–41.</w:t>
      </w:r>
    </w:p>
    <w:p w14:paraId="11C5A70D" w14:textId="77777777" w:rsidR="001669D8" w:rsidRDefault="00E265B4">
      <w:pPr>
        <w:spacing w:line="360" w:lineRule="auto"/>
        <w:ind w:left="567" w:hanging="567"/>
        <w:jc w:val="both"/>
        <w:rPr>
          <w:color w:val="000000"/>
        </w:rPr>
      </w:pPr>
      <w:r>
        <w:rPr>
          <w:color w:val="000000"/>
        </w:rPr>
        <w:t>Sánchez-Barrioluengo, M., 2014. Articulating the ‘three missions’ in Spanish universities. Research Policy, 43(10), 1760–1773.</w:t>
      </w:r>
    </w:p>
    <w:p w14:paraId="66A66188" w14:textId="77777777" w:rsidR="001669D8" w:rsidRDefault="00E265B4">
      <w:pPr>
        <w:spacing w:line="360" w:lineRule="auto"/>
        <w:ind w:left="567" w:hanging="567"/>
        <w:jc w:val="both"/>
        <w:rPr>
          <w:color w:val="000000"/>
        </w:rPr>
      </w:pPr>
      <w:r>
        <w:rPr>
          <w:color w:val="000000"/>
        </w:rPr>
        <w:t xml:space="preserve">Sánchez Barrioluengo, M., Uyarra, E., Kitagawa, F., 2016. Understanding the Dynamics of Triple Helix Interactions. The Case of English Higher Education Institution. Birkbeck Centre for Innovation Management Research (CIMR) Working Paper Series WP32. </w:t>
      </w:r>
    </w:p>
    <w:p w14:paraId="17F88702" w14:textId="77777777" w:rsidR="001669D8" w:rsidRDefault="00E265B4">
      <w:pPr>
        <w:spacing w:line="360" w:lineRule="auto"/>
        <w:ind w:left="567" w:hanging="567"/>
        <w:jc w:val="both"/>
        <w:rPr>
          <w:color w:val="000000"/>
        </w:rPr>
      </w:pPr>
      <w:r>
        <w:rPr>
          <w:color w:val="000000"/>
        </w:rPr>
        <w:t>Schulte, P., 2004. The entrepreneurial university: a strategy for institutional development, Higher Education in Europe 29, 187–91.</w:t>
      </w:r>
    </w:p>
    <w:p w14:paraId="34602115" w14:textId="77777777" w:rsidR="001669D8" w:rsidRDefault="00E265B4">
      <w:pPr>
        <w:spacing w:line="360" w:lineRule="auto"/>
        <w:ind w:left="567" w:hanging="567"/>
        <w:jc w:val="both"/>
        <w:rPr>
          <w:color w:val="000000"/>
        </w:rPr>
      </w:pPr>
      <w:r>
        <w:rPr>
          <w:color w:val="000000"/>
        </w:rPr>
        <w:t>Sengupta, A., Ray, A.S. 2017. University research and knowledge transfer: A dynamic view of ambidexterity in british universities. Research Policy 46, 881–97.</w:t>
      </w:r>
    </w:p>
    <w:p w14:paraId="66E1F5CC" w14:textId="77777777" w:rsidR="001669D8" w:rsidRDefault="00E265B4">
      <w:pPr>
        <w:spacing w:line="360" w:lineRule="auto"/>
        <w:ind w:left="567" w:hanging="567"/>
        <w:jc w:val="both"/>
        <w:rPr>
          <w:color w:val="000000"/>
        </w:rPr>
      </w:pPr>
      <w:r>
        <w:rPr>
          <w:color w:val="000000"/>
        </w:rPr>
        <w:t>Shattock, M., 2005. European universities for entrepreneurship:  their  role  in  the  Europe  of knowledge—the theoretical context, Higher Education Management and Policy 17, 13–25.</w:t>
      </w:r>
    </w:p>
    <w:p w14:paraId="059F84C8" w14:textId="77777777" w:rsidR="001669D8" w:rsidRDefault="00E265B4">
      <w:pPr>
        <w:spacing w:line="360" w:lineRule="auto"/>
        <w:ind w:left="567" w:hanging="567"/>
        <w:jc w:val="both"/>
        <w:rPr>
          <w:color w:val="000000"/>
        </w:rPr>
      </w:pPr>
      <w:r>
        <w:rPr>
          <w:color w:val="000000"/>
        </w:rPr>
        <w:t>Siegel, D. S., Westhead, P., Wright, M. 2003. Science parks and the performance of new technology-based firms: a review of recent U.K. evidence and an agenda for future research. Small Business Economics 20, 177–84.</w:t>
      </w:r>
    </w:p>
    <w:p w14:paraId="53B58ED3" w14:textId="77777777" w:rsidR="001669D8" w:rsidRDefault="00E265B4">
      <w:pPr>
        <w:spacing w:line="360" w:lineRule="auto"/>
        <w:ind w:left="567" w:hanging="567"/>
        <w:jc w:val="both"/>
        <w:rPr>
          <w:color w:val="000000"/>
        </w:rPr>
      </w:pPr>
      <w:r>
        <w:rPr>
          <w:color w:val="000000"/>
        </w:rPr>
        <w:t>Siegel, D. S., Wright, M., 2015. Academic Entrepreneurship: Time for a Rethink? British Journal of Management 26, 582–95.</w:t>
      </w:r>
    </w:p>
    <w:p w14:paraId="773507E5" w14:textId="77777777" w:rsidR="001669D8" w:rsidRDefault="00E265B4">
      <w:pPr>
        <w:spacing w:line="360" w:lineRule="auto"/>
        <w:ind w:left="567" w:hanging="567"/>
        <w:jc w:val="both"/>
        <w:rPr>
          <w:color w:val="000000"/>
        </w:rPr>
      </w:pPr>
      <w:r>
        <w:rPr>
          <w:color w:val="000000"/>
        </w:rPr>
        <w:t>Simar, L., Zelenyuk, V., 2006. On testing equality of distributions of technical efficiency scores. Econometric Reviews 25(4), 497–522.</w:t>
      </w:r>
    </w:p>
    <w:p w14:paraId="487CD4D3" w14:textId="77777777" w:rsidR="001669D8" w:rsidRDefault="00E265B4">
      <w:pPr>
        <w:spacing w:line="360" w:lineRule="auto"/>
        <w:ind w:left="567" w:hanging="567"/>
        <w:jc w:val="both"/>
        <w:rPr>
          <w:color w:val="000000"/>
        </w:rPr>
      </w:pPr>
      <w:r>
        <w:rPr>
          <w:color w:val="000000"/>
        </w:rPr>
        <w:t>Smith, S., Ward, V., House, A., 2011. ‘Impact’ in the proposals for the UK’s Research Excellence Framework: shifting the boundaries of academic autonomy.  Research Policy 40, 1369–1379.</w:t>
      </w:r>
    </w:p>
    <w:p w14:paraId="77FD8D92" w14:textId="77777777" w:rsidR="001669D8" w:rsidRDefault="00E265B4">
      <w:pPr>
        <w:spacing w:line="360" w:lineRule="auto"/>
        <w:ind w:left="567" w:hanging="567"/>
        <w:jc w:val="both"/>
        <w:rPr>
          <w:color w:val="000000"/>
        </w:rPr>
      </w:pPr>
      <w:r>
        <w:rPr>
          <w:color w:val="000000"/>
        </w:rPr>
        <w:t>Soh, P. H., Subramanian, A. M., 2014. When do firms benefit from university–industry R&amp;D collaborations? The implications of firm R&amp;D focus on scientific research and technological recombination. Journal of Business Venturing 29(6), 807–21.</w:t>
      </w:r>
    </w:p>
    <w:p w14:paraId="552D21F5" w14:textId="77777777" w:rsidR="001669D8" w:rsidRDefault="00E265B4">
      <w:pPr>
        <w:spacing w:line="360" w:lineRule="auto"/>
        <w:ind w:left="567" w:hanging="567"/>
        <w:jc w:val="both"/>
        <w:rPr>
          <w:color w:val="000000"/>
        </w:rPr>
      </w:pPr>
      <w:r>
        <w:rPr>
          <w:color w:val="000000"/>
        </w:rPr>
        <w:t>Szücs, F., 2018. Research subsidies, industry–university cooperation and innovation. Research Policy. Forthcoming. DOI: doi.org/10.1016/j.respol.2018.04.009</w:t>
      </w:r>
    </w:p>
    <w:p w14:paraId="3F7CA106" w14:textId="77777777" w:rsidR="001669D8" w:rsidRDefault="00E265B4">
      <w:pPr>
        <w:spacing w:line="360" w:lineRule="auto"/>
        <w:ind w:left="567" w:hanging="567"/>
        <w:jc w:val="both"/>
        <w:rPr>
          <w:color w:val="000000"/>
        </w:rPr>
      </w:pPr>
      <w:r>
        <w:rPr>
          <w:color w:val="000000"/>
        </w:rPr>
        <w:t>Thompson, N.C. Ziedonis, A.A., Mowery, D.C., 2018. University licensing and the flow of scientific knowledge. Research Policy 47(6), 1060–1069.</w:t>
      </w:r>
    </w:p>
    <w:p w14:paraId="2B3A4809" w14:textId="77777777" w:rsidR="001669D8" w:rsidRDefault="00E265B4">
      <w:pPr>
        <w:spacing w:line="360" w:lineRule="auto"/>
        <w:ind w:left="567" w:hanging="567"/>
        <w:jc w:val="both"/>
        <w:rPr>
          <w:color w:val="000000"/>
        </w:rPr>
      </w:pPr>
      <w:r>
        <w:rPr>
          <w:color w:val="000000"/>
        </w:rPr>
        <w:t>Wolszczak-Derlacz, J., Parteka, A., 2011. Efficiency of European public higher education institutions: a two-stage multi-country approach. Scientometrics 89(3), 887–917.</w:t>
      </w:r>
    </w:p>
    <w:p w14:paraId="75EA4779" w14:textId="77777777" w:rsidR="001669D8" w:rsidRDefault="00E265B4">
      <w:pPr>
        <w:spacing w:line="360" w:lineRule="auto"/>
        <w:ind w:left="567" w:hanging="567"/>
        <w:jc w:val="both"/>
        <w:rPr>
          <w:color w:val="000000"/>
        </w:rPr>
      </w:pPr>
      <w:r>
        <w:rPr>
          <w:color w:val="000000"/>
        </w:rPr>
        <w:t>Wolszczak-Derlacz, J., 2017. An evaluation and explanation of (in)efficiency in higher education institutions in Europe and the U.S. with the application of two-stage semiparametric DEA. Research Policy 46, 1595–1605.</w:t>
      </w:r>
    </w:p>
    <w:p w14:paraId="37C4F4BA" w14:textId="77777777" w:rsidR="001669D8" w:rsidRDefault="00E265B4">
      <w:pPr>
        <w:spacing w:line="360" w:lineRule="auto"/>
        <w:ind w:left="284" w:hanging="284"/>
        <w:jc w:val="both"/>
        <w:rPr>
          <w:color w:val="000000"/>
        </w:rPr>
      </w:pPr>
      <w:r>
        <w:rPr>
          <w:color w:val="000000"/>
        </w:rPr>
        <w:t>Wilson, P. W., 2018. Dimension reduction in nonparametric models of production. European Journal of Operational Research 267(1), 349–67.</w:t>
      </w:r>
    </w:p>
    <w:p w14:paraId="19ED6282" w14:textId="77777777" w:rsidR="001669D8" w:rsidRDefault="001669D8">
      <w:pPr>
        <w:rPr>
          <w:color w:val="000000"/>
        </w:rPr>
      </w:pPr>
    </w:p>
    <w:p w14:paraId="42E8CE06" w14:textId="77777777" w:rsidR="001669D8" w:rsidRDefault="001669D8">
      <w:pPr>
        <w:spacing w:after="160"/>
        <w:ind w:left="567" w:hanging="567"/>
        <w:jc w:val="both"/>
        <w:rPr>
          <w:color w:val="000000"/>
        </w:rPr>
      </w:pPr>
    </w:p>
    <w:p w14:paraId="783489E1" w14:textId="77777777" w:rsidR="001669D8" w:rsidRDefault="001669D8">
      <w:pPr>
        <w:rPr>
          <w:rFonts w:ascii="AdvOT596495f2" w:eastAsia="AdvOT596495f2" w:hAnsi="AdvOT596495f2" w:cs="AdvOT596495f2"/>
          <w:color w:val="000000"/>
          <w:sz w:val="27"/>
          <w:szCs w:val="27"/>
        </w:rPr>
      </w:pPr>
    </w:p>
    <w:p w14:paraId="129A6471" w14:textId="77777777" w:rsidR="001669D8" w:rsidRDefault="001669D8">
      <w:pPr>
        <w:rPr>
          <w:rFonts w:ascii="AdvOT596495f2" w:eastAsia="AdvOT596495f2" w:hAnsi="AdvOT596495f2" w:cs="AdvOT596495f2"/>
          <w:color w:val="000000"/>
          <w:sz w:val="27"/>
          <w:szCs w:val="27"/>
        </w:rPr>
      </w:pPr>
    </w:p>
    <w:p w14:paraId="480C0583" w14:textId="77777777" w:rsidR="001669D8" w:rsidRDefault="001669D8">
      <w:pPr>
        <w:rPr>
          <w:rFonts w:ascii="AdvOT596495f2" w:eastAsia="AdvOT596495f2" w:hAnsi="AdvOT596495f2" w:cs="AdvOT596495f2"/>
          <w:color w:val="000000"/>
          <w:sz w:val="27"/>
          <w:szCs w:val="27"/>
        </w:rPr>
      </w:pPr>
    </w:p>
    <w:p w14:paraId="103C50DA" w14:textId="77777777" w:rsidR="001669D8" w:rsidRDefault="001669D8">
      <w:pPr>
        <w:rPr>
          <w:rFonts w:ascii="AdvOT596495f2" w:eastAsia="AdvOT596495f2" w:hAnsi="AdvOT596495f2" w:cs="AdvOT596495f2"/>
          <w:color w:val="000000"/>
          <w:sz w:val="27"/>
          <w:szCs w:val="27"/>
        </w:rPr>
      </w:pPr>
    </w:p>
    <w:p w14:paraId="74F68200" w14:textId="77777777" w:rsidR="001669D8" w:rsidRDefault="001669D8">
      <w:pPr>
        <w:rPr>
          <w:rFonts w:ascii="AdvOT596495f2" w:eastAsia="AdvOT596495f2" w:hAnsi="AdvOT596495f2" w:cs="AdvOT596495f2"/>
          <w:color w:val="000000"/>
          <w:sz w:val="27"/>
          <w:szCs w:val="27"/>
        </w:rPr>
      </w:pPr>
    </w:p>
    <w:p w14:paraId="2FE62CCB" w14:textId="77777777" w:rsidR="001669D8" w:rsidRDefault="001669D8">
      <w:pPr>
        <w:rPr>
          <w:rFonts w:ascii="AdvOT596495f2" w:eastAsia="AdvOT596495f2" w:hAnsi="AdvOT596495f2" w:cs="AdvOT596495f2"/>
          <w:color w:val="000000"/>
          <w:sz w:val="27"/>
          <w:szCs w:val="27"/>
        </w:rPr>
      </w:pPr>
    </w:p>
    <w:p w14:paraId="2C5125B7" w14:textId="77777777" w:rsidR="001669D8" w:rsidRDefault="001669D8">
      <w:pPr>
        <w:rPr>
          <w:rFonts w:ascii="AdvOT596495f2" w:eastAsia="AdvOT596495f2" w:hAnsi="AdvOT596495f2" w:cs="AdvOT596495f2"/>
          <w:color w:val="000000"/>
          <w:sz w:val="27"/>
          <w:szCs w:val="27"/>
        </w:rPr>
      </w:pPr>
    </w:p>
    <w:p w14:paraId="40209946" w14:textId="77777777" w:rsidR="001669D8" w:rsidRDefault="001669D8">
      <w:pPr>
        <w:rPr>
          <w:rFonts w:ascii="AdvOT596495f2" w:eastAsia="AdvOT596495f2" w:hAnsi="AdvOT596495f2" w:cs="AdvOT596495f2"/>
          <w:color w:val="000000"/>
          <w:sz w:val="27"/>
          <w:szCs w:val="27"/>
        </w:rPr>
      </w:pPr>
    </w:p>
    <w:p w14:paraId="3DA4EA52" w14:textId="77777777" w:rsidR="001669D8" w:rsidRDefault="001669D8">
      <w:pPr>
        <w:rPr>
          <w:rFonts w:ascii="AdvOT596495f2" w:eastAsia="AdvOT596495f2" w:hAnsi="AdvOT596495f2" w:cs="AdvOT596495f2"/>
          <w:color w:val="000000"/>
          <w:sz w:val="27"/>
          <w:szCs w:val="27"/>
        </w:rPr>
      </w:pPr>
    </w:p>
    <w:p w14:paraId="7ABE2819" w14:textId="77777777" w:rsidR="001669D8" w:rsidRDefault="001669D8">
      <w:pPr>
        <w:rPr>
          <w:rFonts w:ascii="AdvOT596495f2" w:eastAsia="AdvOT596495f2" w:hAnsi="AdvOT596495f2" w:cs="AdvOT596495f2"/>
          <w:color w:val="000000"/>
          <w:sz w:val="27"/>
          <w:szCs w:val="27"/>
        </w:rPr>
      </w:pPr>
    </w:p>
    <w:p w14:paraId="6C153EE4" w14:textId="77777777" w:rsidR="001669D8" w:rsidRDefault="001669D8">
      <w:pPr>
        <w:rPr>
          <w:rFonts w:ascii="AdvOT596495f2" w:eastAsia="AdvOT596495f2" w:hAnsi="AdvOT596495f2" w:cs="AdvOT596495f2"/>
          <w:color w:val="000000"/>
          <w:sz w:val="27"/>
          <w:szCs w:val="27"/>
        </w:rPr>
      </w:pPr>
    </w:p>
    <w:p w14:paraId="061A9BC1" w14:textId="77777777" w:rsidR="001669D8" w:rsidRDefault="001669D8">
      <w:pPr>
        <w:rPr>
          <w:rFonts w:ascii="AdvOT596495f2" w:eastAsia="AdvOT596495f2" w:hAnsi="AdvOT596495f2" w:cs="AdvOT596495f2"/>
          <w:color w:val="000000"/>
          <w:sz w:val="27"/>
          <w:szCs w:val="27"/>
        </w:rPr>
      </w:pPr>
    </w:p>
    <w:p w14:paraId="45D5F662" w14:textId="77777777" w:rsidR="001669D8" w:rsidRDefault="001669D8">
      <w:pPr>
        <w:rPr>
          <w:rFonts w:ascii="AdvOT596495f2" w:eastAsia="AdvOT596495f2" w:hAnsi="AdvOT596495f2" w:cs="AdvOT596495f2"/>
          <w:color w:val="000000"/>
          <w:sz w:val="27"/>
          <w:szCs w:val="27"/>
        </w:rPr>
      </w:pPr>
    </w:p>
    <w:p w14:paraId="3C59DB14" w14:textId="77777777" w:rsidR="001669D8" w:rsidRDefault="001669D8">
      <w:pPr>
        <w:rPr>
          <w:rFonts w:ascii="AdvOT596495f2" w:eastAsia="AdvOT596495f2" w:hAnsi="AdvOT596495f2" w:cs="AdvOT596495f2"/>
          <w:color w:val="000000"/>
          <w:sz w:val="27"/>
          <w:szCs w:val="27"/>
        </w:rPr>
      </w:pPr>
    </w:p>
    <w:p w14:paraId="5E36610F" w14:textId="77777777" w:rsidR="001669D8" w:rsidRDefault="001669D8">
      <w:pPr>
        <w:rPr>
          <w:rFonts w:ascii="AdvOT596495f2" w:eastAsia="AdvOT596495f2" w:hAnsi="AdvOT596495f2" w:cs="AdvOT596495f2"/>
          <w:color w:val="000000"/>
          <w:sz w:val="27"/>
          <w:szCs w:val="27"/>
        </w:rPr>
      </w:pPr>
    </w:p>
    <w:p w14:paraId="673671A3" w14:textId="77777777" w:rsidR="001669D8" w:rsidRDefault="001669D8">
      <w:pPr>
        <w:rPr>
          <w:rFonts w:ascii="AdvOT596495f2" w:eastAsia="AdvOT596495f2" w:hAnsi="AdvOT596495f2" w:cs="AdvOT596495f2"/>
          <w:color w:val="000000"/>
          <w:sz w:val="27"/>
          <w:szCs w:val="27"/>
        </w:rPr>
      </w:pPr>
    </w:p>
    <w:p w14:paraId="3F2F8496" w14:textId="77777777" w:rsidR="001669D8" w:rsidRDefault="00E265B4">
      <w:pPr>
        <w:rPr>
          <w:b/>
          <w:color w:val="000000"/>
        </w:rPr>
      </w:pPr>
      <w:r>
        <w:rPr>
          <w:b/>
          <w:color w:val="000000"/>
        </w:rPr>
        <w:t xml:space="preserve">Appendix A. </w:t>
      </w:r>
      <w:r>
        <w:rPr>
          <w:color w:val="000000"/>
        </w:rPr>
        <w:t>List of universities included in the sample (in alphabetical order)</w:t>
      </w:r>
    </w:p>
    <w:p w14:paraId="1CFE4290" w14:textId="77777777" w:rsidR="001669D8" w:rsidRDefault="001669D8">
      <w:pPr>
        <w:rPr>
          <w:b/>
          <w:color w:val="000000"/>
        </w:rPr>
      </w:pPr>
    </w:p>
    <w:tbl>
      <w:tblPr>
        <w:tblStyle w:val="a"/>
        <w:tblW w:w="9026" w:type="dxa"/>
        <w:tblLayout w:type="fixed"/>
        <w:tblLook w:val="0400" w:firstRow="0" w:lastRow="0" w:firstColumn="0" w:lastColumn="0" w:noHBand="0" w:noVBand="1"/>
      </w:tblPr>
      <w:tblGrid>
        <w:gridCol w:w="5086"/>
        <w:gridCol w:w="3940"/>
      </w:tblGrid>
      <w:tr w:rsidR="001669D8" w14:paraId="2BC1EDA6" w14:textId="77777777">
        <w:trPr>
          <w:trHeight w:val="300"/>
        </w:trPr>
        <w:tc>
          <w:tcPr>
            <w:tcW w:w="5086" w:type="dxa"/>
            <w:tcBorders>
              <w:top w:val="single" w:sz="4" w:space="0" w:color="000000"/>
              <w:left w:val="nil"/>
              <w:bottom w:val="single" w:sz="6" w:space="0" w:color="000000"/>
              <w:right w:val="nil"/>
            </w:tcBorders>
            <w:shd w:val="clear" w:color="auto" w:fill="auto"/>
            <w:vAlign w:val="bottom"/>
          </w:tcPr>
          <w:p w14:paraId="614C6082" w14:textId="77777777" w:rsidR="001669D8" w:rsidRDefault="00E265B4">
            <w:pPr>
              <w:jc w:val="center"/>
              <w:rPr>
                <w:b/>
                <w:color w:val="000000"/>
                <w:sz w:val="22"/>
                <w:szCs w:val="22"/>
              </w:rPr>
            </w:pPr>
            <w:r>
              <w:rPr>
                <w:b/>
                <w:color w:val="000000"/>
                <w:sz w:val="22"/>
                <w:szCs w:val="22"/>
              </w:rPr>
              <w:t>‘Old' Universities</w:t>
            </w:r>
          </w:p>
        </w:tc>
        <w:tc>
          <w:tcPr>
            <w:tcW w:w="3940" w:type="dxa"/>
            <w:tcBorders>
              <w:top w:val="single" w:sz="4" w:space="0" w:color="000000"/>
              <w:left w:val="nil"/>
              <w:bottom w:val="single" w:sz="6" w:space="0" w:color="000000"/>
              <w:right w:val="nil"/>
            </w:tcBorders>
            <w:shd w:val="clear" w:color="auto" w:fill="auto"/>
            <w:vAlign w:val="bottom"/>
          </w:tcPr>
          <w:p w14:paraId="4A1F3F08" w14:textId="77777777" w:rsidR="001669D8" w:rsidRDefault="00E265B4">
            <w:pPr>
              <w:jc w:val="center"/>
              <w:rPr>
                <w:b/>
                <w:color w:val="000000"/>
                <w:sz w:val="22"/>
                <w:szCs w:val="22"/>
              </w:rPr>
            </w:pPr>
            <w:r>
              <w:rPr>
                <w:b/>
                <w:color w:val="000000"/>
                <w:sz w:val="22"/>
                <w:szCs w:val="22"/>
              </w:rPr>
              <w:t>‘New' Universities</w:t>
            </w:r>
          </w:p>
        </w:tc>
      </w:tr>
      <w:tr w:rsidR="001669D8" w14:paraId="66585CA7" w14:textId="77777777">
        <w:trPr>
          <w:trHeight w:val="300"/>
        </w:trPr>
        <w:tc>
          <w:tcPr>
            <w:tcW w:w="5086" w:type="dxa"/>
            <w:tcBorders>
              <w:top w:val="nil"/>
              <w:left w:val="nil"/>
              <w:bottom w:val="nil"/>
              <w:right w:val="nil"/>
            </w:tcBorders>
            <w:shd w:val="clear" w:color="auto" w:fill="auto"/>
            <w:vAlign w:val="center"/>
          </w:tcPr>
          <w:p w14:paraId="49C6C7AE" w14:textId="77777777" w:rsidR="001669D8" w:rsidRDefault="00E265B4">
            <w:pPr>
              <w:rPr>
                <w:color w:val="000000"/>
                <w:sz w:val="22"/>
                <w:szCs w:val="22"/>
              </w:rPr>
            </w:pPr>
            <w:r>
              <w:rPr>
                <w:color w:val="000000"/>
                <w:sz w:val="22"/>
                <w:szCs w:val="22"/>
              </w:rPr>
              <w:t>Aberystwyth University</w:t>
            </w:r>
          </w:p>
        </w:tc>
        <w:tc>
          <w:tcPr>
            <w:tcW w:w="3940" w:type="dxa"/>
            <w:tcBorders>
              <w:top w:val="nil"/>
              <w:left w:val="nil"/>
              <w:bottom w:val="nil"/>
              <w:right w:val="nil"/>
            </w:tcBorders>
            <w:shd w:val="clear" w:color="auto" w:fill="auto"/>
            <w:vAlign w:val="center"/>
          </w:tcPr>
          <w:p w14:paraId="69E737E6" w14:textId="77777777" w:rsidR="001669D8" w:rsidRDefault="00E265B4">
            <w:pPr>
              <w:rPr>
                <w:color w:val="000000"/>
                <w:sz w:val="22"/>
                <w:szCs w:val="22"/>
              </w:rPr>
            </w:pPr>
            <w:r>
              <w:rPr>
                <w:color w:val="000000"/>
                <w:sz w:val="22"/>
                <w:szCs w:val="22"/>
              </w:rPr>
              <w:t>Anglia Ruskin University</w:t>
            </w:r>
          </w:p>
        </w:tc>
      </w:tr>
      <w:tr w:rsidR="001669D8" w14:paraId="50849D93" w14:textId="77777777">
        <w:trPr>
          <w:trHeight w:val="300"/>
        </w:trPr>
        <w:tc>
          <w:tcPr>
            <w:tcW w:w="5086" w:type="dxa"/>
            <w:tcBorders>
              <w:top w:val="nil"/>
              <w:left w:val="nil"/>
              <w:bottom w:val="nil"/>
              <w:right w:val="nil"/>
            </w:tcBorders>
            <w:shd w:val="clear" w:color="auto" w:fill="auto"/>
            <w:vAlign w:val="center"/>
          </w:tcPr>
          <w:p w14:paraId="66E7544C" w14:textId="77777777" w:rsidR="001669D8" w:rsidRDefault="00E265B4">
            <w:pPr>
              <w:rPr>
                <w:color w:val="000000"/>
                <w:sz w:val="22"/>
                <w:szCs w:val="22"/>
              </w:rPr>
            </w:pPr>
            <w:r>
              <w:rPr>
                <w:color w:val="000000"/>
                <w:sz w:val="22"/>
                <w:szCs w:val="22"/>
              </w:rPr>
              <w:t>Aston University</w:t>
            </w:r>
          </w:p>
        </w:tc>
        <w:tc>
          <w:tcPr>
            <w:tcW w:w="3940" w:type="dxa"/>
            <w:tcBorders>
              <w:top w:val="nil"/>
              <w:left w:val="nil"/>
              <w:bottom w:val="nil"/>
              <w:right w:val="nil"/>
            </w:tcBorders>
            <w:shd w:val="clear" w:color="auto" w:fill="auto"/>
            <w:vAlign w:val="center"/>
          </w:tcPr>
          <w:p w14:paraId="5399DB73" w14:textId="77777777" w:rsidR="001669D8" w:rsidRDefault="00E265B4">
            <w:pPr>
              <w:rPr>
                <w:color w:val="000000"/>
                <w:sz w:val="22"/>
                <w:szCs w:val="22"/>
              </w:rPr>
            </w:pPr>
            <w:r>
              <w:rPr>
                <w:color w:val="000000"/>
                <w:sz w:val="22"/>
                <w:szCs w:val="22"/>
              </w:rPr>
              <w:t>Bath Spa University</w:t>
            </w:r>
          </w:p>
        </w:tc>
      </w:tr>
      <w:tr w:rsidR="001669D8" w14:paraId="69946FA0" w14:textId="77777777">
        <w:trPr>
          <w:trHeight w:val="300"/>
        </w:trPr>
        <w:tc>
          <w:tcPr>
            <w:tcW w:w="5086" w:type="dxa"/>
            <w:tcBorders>
              <w:top w:val="nil"/>
              <w:left w:val="nil"/>
              <w:bottom w:val="nil"/>
              <w:right w:val="nil"/>
            </w:tcBorders>
            <w:shd w:val="clear" w:color="auto" w:fill="auto"/>
            <w:vAlign w:val="center"/>
          </w:tcPr>
          <w:p w14:paraId="0A9DDF3B" w14:textId="77777777" w:rsidR="001669D8" w:rsidRDefault="00E265B4">
            <w:pPr>
              <w:rPr>
                <w:color w:val="000000"/>
                <w:sz w:val="22"/>
                <w:szCs w:val="22"/>
              </w:rPr>
            </w:pPr>
            <w:r>
              <w:rPr>
                <w:color w:val="000000"/>
                <w:sz w:val="22"/>
                <w:szCs w:val="22"/>
              </w:rPr>
              <w:t>Bangor University</w:t>
            </w:r>
          </w:p>
        </w:tc>
        <w:tc>
          <w:tcPr>
            <w:tcW w:w="3940" w:type="dxa"/>
            <w:tcBorders>
              <w:top w:val="nil"/>
              <w:left w:val="nil"/>
              <w:bottom w:val="nil"/>
              <w:right w:val="nil"/>
            </w:tcBorders>
            <w:shd w:val="clear" w:color="auto" w:fill="auto"/>
            <w:vAlign w:val="center"/>
          </w:tcPr>
          <w:p w14:paraId="65899134" w14:textId="77777777" w:rsidR="001669D8" w:rsidRDefault="00E265B4">
            <w:pPr>
              <w:rPr>
                <w:color w:val="000000"/>
                <w:sz w:val="22"/>
                <w:szCs w:val="22"/>
              </w:rPr>
            </w:pPr>
            <w:r>
              <w:rPr>
                <w:color w:val="000000"/>
                <w:sz w:val="22"/>
                <w:szCs w:val="22"/>
              </w:rPr>
              <w:t>Birmingham City University</w:t>
            </w:r>
          </w:p>
        </w:tc>
      </w:tr>
      <w:tr w:rsidR="001669D8" w14:paraId="0AFEED29" w14:textId="77777777">
        <w:trPr>
          <w:trHeight w:val="300"/>
        </w:trPr>
        <w:tc>
          <w:tcPr>
            <w:tcW w:w="5086" w:type="dxa"/>
            <w:tcBorders>
              <w:top w:val="nil"/>
              <w:left w:val="nil"/>
              <w:bottom w:val="nil"/>
              <w:right w:val="nil"/>
            </w:tcBorders>
            <w:shd w:val="clear" w:color="auto" w:fill="auto"/>
            <w:vAlign w:val="center"/>
          </w:tcPr>
          <w:p w14:paraId="7E8B3100" w14:textId="77777777" w:rsidR="001669D8" w:rsidRDefault="00E265B4">
            <w:pPr>
              <w:rPr>
                <w:color w:val="000000"/>
                <w:sz w:val="22"/>
                <w:szCs w:val="22"/>
              </w:rPr>
            </w:pPr>
            <w:r>
              <w:rPr>
                <w:color w:val="000000"/>
                <w:sz w:val="22"/>
                <w:szCs w:val="22"/>
              </w:rPr>
              <w:t>Birkbeck College</w:t>
            </w:r>
          </w:p>
        </w:tc>
        <w:tc>
          <w:tcPr>
            <w:tcW w:w="3940" w:type="dxa"/>
            <w:tcBorders>
              <w:top w:val="nil"/>
              <w:left w:val="nil"/>
              <w:bottom w:val="nil"/>
              <w:right w:val="nil"/>
            </w:tcBorders>
            <w:shd w:val="clear" w:color="auto" w:fill="auto"/>
            <w:vAlign w:val="center"/>
          </w:tcPr>
          <w:p w14:paraId="3CE3D213" w14:textId="77777777" w:rsidR="001669D8" w:rsidRDefault="00E265B4">
            <w:pPr>
              <w:rPr>
                <w:color w:val="000000"/>
                <w:sz w:val="22"/>
                <w:szCs w:val="22"/>
              </w:rPr>
            </w:pPr>
            <w:r>
              <w:rPr>
                <w:color w:val="000000"/>
                <w:sz w:val="22"/>
                <w:szCs w:val="22"/>
              </w:rPr>
              <w:t>Bishop Grosseteste University</w:t>
            </w:r>
          </w:p>
        </w:tc>
      </w:tr>
      <w:tr w:rsidR="001669D8" w14:paraId="4D357136" w14:textId="77777777">
        <w:trPr>
          <w:trHeight w:val="300"/>
        </w:trPr>
        <w:tc>
          <w:tcPr>
            <w:tcW w:w="5086" w:type="dxa"/>
            <w:tcBorders>
              <w:top w:val="nil"/>
              <w:left w:val="nil"/>
              <w:bottom w:val="nil"/>
              <w:right w:val="nil"/>
            </w:tcBorders>
            <w:shd w:val="clear" w:color="auto" w:fill="auto"/>
            <w:vAlign w:val="center"/>
          </w:tcPr>
          <w:p w14:paraId="70DCF198" w14:textId="77777777" w:rsidR="001669D8" w:rsidRDefault="00E265B4">
            <w:pPr>
              <w:rPr>
                <w:color w:val="000000"/>
                <w:sz w:val="22"/>
                <w:szCs w:val="22"/>
              </w:rPr>
            </w:pPr>
            <w:r>
              <w:rPr>
                <w:color w:val="000000"/>
                <w:sz w:val="22"/>
                <w:szCs w:val="22"/>
              </w:rPr>
              <w:t>Cardiff University</w:t>
            </w:r>
          </w:p>
        </w:tc>
        <w:tc>
          <w:tcPr>
            <w:tcW w:w="3940" w:type="dxa"/>
            <w:tcBorders>
              <w:top w:val="nil"/>
              <w:left w:val="nil"/>
              <w:bottom w:val="nil"/>
              <w:right w:val="nil"/>
            </w:tcBorders>
            <w:shd w:val="clear" w:color="auto" w:fill="auto"/>
            <w:vAlign w:val="center"/>
          </w:tcPr>
          <w:p w14:paraId="672D3ACB" w14:textId="77777777" w:rsidR="001669D8" w:rsidRDefault="00E265B4">
            <w:pPr>
              <w:rPr>
                <w:color w:val="000000"/>
                <w:sz w:val="22"/>
                <w:szCs w:val="22"/>
              </w:rPr>
            </w:pPr>
            <w:r>
              <w:rPr>
                <w:color w:val="000000"/>
                <w:sz w:val="22"/>
                <w:szCs w:val="22"/>
              </w:rPr>
              <w:t>Bournemouth University</w:t>
            </w:r>
          </w:p>
        </w:tc>
      </w:tr>
      <w:tr w:rsidR="001669D8" w14:paraId="253A46E1" w14:textId="77777777">
        <w:trPr>
          <w:trHeight w:val="300"/>
        </w:trPr>
        <w:tc>
          <w:tcPr>
            <w:tcW w:w="5086" w:type="dxa"/>
            <w:tcBorders>
              <w:top w:val="nil"/>
              <w:left w:val="nil"/>
              <w:bottom w:val="nil"/>
              <w:right w:val="nil"/>
            </w:tcBorders>
            <w:shd w:val="clear" w:color="auto" w:fill="auto"/>
            <w:vAlign w:val="center"/>
          </w:tcPr>
          <w:p w14:paraId="1644FAF0" w14:textId="77777777" w:rsidR="001669D8" w:rsidRDefault="00E265B4">
            <w:pPr>
              <w:rPr>
                <w:color w:val="000000"/>
                <w:sz w:val="22"/>
                <w:szCs w:val="22"/>
              </w:rPr>
            </w:pPr>
            <w:r>
              <w:rPr>
                <w:color w:val="000000"/>
                <w:sz w:val="22"/>
                <w:szCs w:val="22"/>
              </w:rPr>
              <w:t>Goldsmiths College</w:t>
            </w:r>
          </w:p>
        </w:tc>
        <w:tc>
          <w:tcPr>
            <w:tcW w:w="3940" w:type="dxa"/>
            <w:tcBorders>
              <w:top w:val="nil"/>
              <w:left w:val="nil"/>
              <w:bottom w:val="nil"/>
              <w:right w:val="nil"/>
            </w:tcBorders>
            <w:shd w:val="clear" w:color="auto" w:fill="auto"/>
            <w:vAlign w:val="center"/>
          </w:tcPr>
          <w:p w14:paraId="6F5B8640" w14:textId="77777777" w:rsidR="001669D8" w:rsidRDefault="00E265B4">
            <w:pPr>
              <w:rPr>
                <w:color w:val="000000"/>
                <w:sz w:val="22"/>
                <w:szCs w:val="22"/>
              </w:rPr>
            </w:pPr>
            <w:r>
              <w:rPr>
                <w:color w:val="000000"/>
                <w:sz w:val="22"/>
                <w:szCs w:val="22"/>
              </w:rPr>
              <w:t>Brunel University London</w:t>
            </w:r>
          </w:p>
        </w:tc>
      </w:tr>
      <w:tr w:rsidR="001669D8" w14:paraId="6065FE7F" w14:textId="77777777">
        <w:trPr>
          <w:trHeight w:val="300"/>
        </w:trPr>
        <w:tc>
          <w:tcPr>
            <w:tcW w:w="5086" w:type="dxa"/>
            <w:tcBorders>
              <w:top w:val="nil"/>
              <w:left w:val="nil"/>
              <w:bottom w:val="nil"/>
              <w:right w:val="nil"/>
            </w:tcBorders>
            <w:shd w:val="clear" w:color="auto" w:fill="auto"/>
            <w:vAlign w:val="center"/>
          </w:tcPr>
          <w:p w14:paraId="47BDE281" w14:textId="77777777" w:rsidR="001669D8" w:rsidRDefault="00E265B4">
            <w:pPr>
              <w:rPr>
                <w:color w:val="000000"/>
                <w:sz w:val="22"/>
                <w:szCs w:val="22"/>
              </w:rPr>
            </w:pPr>
            <w:r>
              <w:rPr>
                <w:color w:val="000000"/>
                <w:sz w:val="22"/>
                <w:szCs w:val="22"/>
              </w:rPr>
              <w:t>Heriot-Watt University</w:t>
            </w:r>
          </w:p>
        </w:tc>
        <w:tc>
          <w:tcPr>
            <w:tcW w:w="3940" w:type="dxa"/>
            <w:tcBorders>
              <w:top w:val="nil"/>
              <w:left w:val="nil"/>
              <w:bottom w:val="nil"/>
              <w:right w:val="nil"/>
            </w:tcBorders>
            <w:shd w:val="clear" w:color="auto" w:fill="auto"/>
            <w:vAlign w:val="center"/>
          </w:tcPr>
          <w:p w14:paraId="5AA7549D" w14:textId="77777777" w:rsidR="001669D8" w:rsidRDefault="00E265B4">
            <w:pPr>
              <w:rPr>
                <w:color w:val="000000"/>
                <w:sz w:val="22"/>
                <w:szCs w:val="22"/>
              </w:rPr>
            </w:pPr>
            <w:r>
              <w:rPr>
                <w:color w:val="000000"/>
                <w:sz w:val="22"/>
                <w:szCs w:val="22"/>
              </w:rPr>
              <w:t>Buckinghamshire New University</w:t>
            </w:r>
          </w:p>
        </w:tc>
      </w:tr>
      <w:tr w:rsidR="001669D8" w14:paraId="5F8CD952" w14:textId="77777777">
        <w:trPr>
          <w:trHeight w:val="300"/>
        </w:trPr>
        <w:tc>
          <w:tcPr>
            <w:tcW w:w="5086" w:type="dxa"/>
            <w:tcBorders>
              <w:top w:val="nil"/>
              <w:left w:val="nil"/>
              <w:bottom w:val="nil"/>
              <w:right w:val="nil"/>
            </w:tcBorders>
            <w:shd w:val="clear" w:color="auto" w:fill="auto"/>
            <w:vAlign w:val="center"/>
          </w:tcPr>
          <w:p w14:paraId="43E14AD1" w14:textId="77777777" w:rsidR="001669D8" w:rsidRDefault="00E265B4">
            <w:pPr>
              <w:rPr>
                <w:color w:val="000000"/>
                <w:sz w:val="22"/>
                <w:szCs w:val="22"/>
              </w:rPr>
            </w:pPr>
            <w:r>
              <w:rPr>
                <w:color w:val="000000"/>
                <w:sz w:val="22"/>
                <w:szCs w:val="22"/>
              </w:rPr>
              <w:t>Imperial College of Science, Technology and Medicine</w:t>
            </w:r>
          </w:p>
        </w:tc>
        <w:tc>
          <w:tcPr>
            <w:tcW w:w="3940" w:type="dxa"/>
            <w:tcBorders>
              <w:top w:val="nil"/>
              <w:left w:val="nil"/>
              <w:bottom w:val="nil"/>
              <w:right w:val="nil"/>
            </w:tcBorders>
            <w:shd w:val="clear" w:color="auto" w:fill="auto"/>
            <w:vAlign w:val="center"/>
          </w:tcPr>
          <w:p w14:paraId="3500175B" w14:textId="77777777" w:rsidR="001669D8" w:rsidRDefault="00E265B4">
            <w:pPr>
              <w:rPr>
                <w:color w:val="000000"/>
                <w:sz w:val="22"/>
                <w:szCs w:val="22"/>
              </w:rPr>
            </w:pPr>
            <w:r>
              <w:rPr>
                <w:color w:val="000000"/>
                <w:sz w:val="22"/>
                <w:szCs w:val="22"/>
              </w:rPr>
              <w:t>Canterbury Christ Church University</w:t>
            </w:r>
          </w:p>
        </w:tc>
      </w:tr>
      <w:tr w:rsidR="001669D8" w14:paraId="35D516F2" w14:textId="77777777">
        <w:trPr>
          <w:trHeight w:val="300"/>
        </w:trPr>
        <w:tc>
          <w:tcPr>
            <w:tcW w:w="5086" w:type="dxa"/>
            <w:tcBorders>
              <w:top w:val="nil"/>
              <w:left w:val="nil"/>
              <w:bottom w:val="nil"/>
              <w:right w:val="nil"/>
            </w:tcBorders>
            <w:shd w:val="clear" w:color="auto" w:fill="auto"/>
            <w:vAlign w:val="center"/>
          </w:tcPr>
          <w:p w14:paraId="397A01C5" w14:textId="77777777" w:rsidR="001669D8" w:rsidRDefault="00E265B4">
            <w:pPr>
              <w:rPr>
                <w:color w:val="000000"/>
                <w:sz w:val="22"/>
                <w:szCs w:val="22"/>
              </w:rPr>
            </w:pPr>
            <w:r>
              <w:rPr>
                <w:color w:val="000000"/>
                <w:sz w:val="22"/>
                <w:szCs w:val="22"/>
              </w:rPr>
              <w:t>King's College London</w:t>
            </w:r>
          </w:p>
        </w:tc>
        <w:tc>
          <w:tcPr>
            <w:tcW w:w="3940" w:type="dxa"/>
            <w:tcBorders>
              <w:top w:val="nil"/>
              <w:left w:val="nil"/>
              <w:bottom w:val="nil"/>
              <w:right w:val="nil"/>
            </w:tcBorders>
            <w:shd w:val="clear" w:color="auto" w:fill="auto"/>
            <w:vAlign w:val="center"/>
          </w:tcPr>
          <w:p w14:paraId="18A2BA63" w14:textId="77777777" w:rsidR="001669D8" w:rsidRDefault="00E265B4">
            <w:pPr>
              <w:rPr>
                <w:color w:val="000000"/>
                <w:sz w:val="22"/>
                <w:szCs w:val="22"/>
              </w:rPr>
            </w:pPr>
            <w:r>
              <w:rPr>
                <w:color w:val="000000"/>
                <w:sz w:val="22"/>
                <w:szCs w:val="22"/>
              </w:rPr>
              <w:t>Coventry University</w:t>
            </w:r>
          </w:p>
        </w:tc>
      </w:tr>
      <w:tr w:rsidR="001669D8" w14:paraId="050740A5" w14:textId="77777777">
        <w:trPr>
          <w:trHeight w:val="300"/>
        </w:trPr>
        <w:tc>
          <w:tcPr>
            <w:tcW w:w="5086" w:type="dxa"/>
            <w:tcBorders>
              <w:top w:val="nil"/>
              <w:left w:val="nil"/>
              <w:bottom w:val="nil"/>
              <w:right w:val="nil"/>
            </w:tcBorders>
            <w:shd w:val="clear" w:color="auto" w:fill="auto"/>
            <w:vAlign w:val="center"/>
          </w:tcPr>
          <w:p w14:paraId="4ADE177B" w14:textId="77777777" w:rsidR="001669D8" w:rsidRDefault="00E265B4">
            <w:pPr>
              <w:rPr>
                <w:color w:val="000000"/>
                <w:sz w:val="22"/>
                <w:szCs w:val="22"/>
              </w:rPr>
            </w:pPr>
            <w:r>
              <w:rPr>
                <w:color w:val="000000"/>
                <w:sz w:val="22"/>
                <w:szCs w:val="22"/>
              </w:rPr>
              <w:t>London School of Economics and Political Science</w:t>
            </w:r>
          </w:p>
        </w:tc>
        <w:tc>
          <w:tcPr>
            <w:tcW w:w="3940" w:type="dxa"/>
            <w:tcBorders>
              <w:top w:val="nil"/>
              <w:left w:val="nil"/>
              <w:bottom w:val="nil"/>
              <w:right w:val="nil"/>
            </w:tcBorders>
            <w:shd w:val="clear" w:color="auto" w:fill="auto"/>
            <w:vAlign w:val="center"/>
          </w:tcPr>
          <w:p w14:paraId="4537B428" w14:textId="77777777" w:rsidR="001669D8" w:rsidRDefault="00E265B4">
            <w:pPr>
              <w:rPr>
                <w:color w:val="000000"/>
                <w:sz w:val="22"/>
                <w:szCs w:val="22"/>
              </w:rPr>
            </w:pPr>
            <w:r>
              <w:rPr>
                <w:color w:val="000000"/>
                <w:sz w:val="22"/>
                <w:szCs w:val="22"/>
              </w:rPr>
              <w:t>Cranfield University</w:t>
            </w:r>
          </w:p>
        </w:tc>
      </w:tr>
      <w:tr w:rsidR="001669D8" w14:paraId="08C67D05" w14:textId="77777777">
        <w:trPr>
          <w:trHeight w:val="300"/>
        </w:trPr>
        <w:tc>
          <w:tcPr>
            <w:tcW w:w="5086" w:type="dxa"/>
            <w:tcBorders>
              <w:top w:val="nil"/>
              <w:left w:val="nil"/>
              <w:bottom w:val="nil"/>
              <w:right w:val="nil"/>
            </w:tcBorders>
            <w:shd w:val="clear" w:color="auto" w:fill="auto"/>
            <w:vAlign w:val="center"/>
          </w:tcPr>
          <w:p w14:paraId="0247B2D1" w14:textId="77777777" w:rsidR="001669D8" w:rsidRDefault="00E265B4">
            <w:pPr>
              <w:rPr>
                <w:color w:val="000000"/>
                <w:sz w:val="22"/>
                <w:szCs w:val="22"/>
              </w:rPr>
            </w:pPr>
            <w:r>
              <w:rPr>
                <w:color w:val="000000"/>
                <w:sz w:val="22"/>
                <w:szCs w:val="22"/>
              </w:rPr>
              <w:t>London School of Hygiene and Tropical Medicine</w:t>
            </w:r>
          </w:p>
        </w:tc>
        <w:tc>
          <w:tcPr>
            <w:tcW w:w="3940" w:type="dxa"/>
            <w:tcBorders>
              <w:top w:val="nil"/>
              <w:left w:val="nil"/>
              <w:bottom w:val="nil"/>
              <w:right w:val="nil"/>
            </w:tcBorders>
            <w:shd w:val="clear" w:color="auto" w:fill="auto"/>
            <w:vAlign w:val="center"/>
          </w:tcPr>
          <w:p w14:paraId="13A3AA3C" w14:textId="77777777" w:rsidR="001669D8" w:rsidRDefault="00E265B4">
            <w:pPr>
              <w:rPr>
                <w:color w:val="000000"/>
                <w:sz w:val="22"/>
                <w:szCs w:val="22"/>
              </w:rPr>
            </w:pPr>
            <w:r>
              <w:rPr>
                <w:color w:val="000000"/>
                <w:sz w:val="22"/>
                <w:szCs w:val="22"/>
              </w:rPr>
              <w:t>Edge Hill University</w:t>
            </w:r>
          </w:p>
        </w:tc>
      </w:tr>
      <w:tr w:rsidR="001669D8" w14:paraId="41FFE2C3" w14:textId="77777777">
        <w:trPr>
          <w:trHeight w:val="300"/>
        </w:trPr>
        <w:tc>
          <w:tcPr>
            <w:tcW w:w="5086" w:type="dxa"/>
            <w:tcBorders>
              <w:top w:val="nil"/>
              <w:left w:val="nil"/>
              <w:bottom w:val="nil"/>
              <w:right w:val="nil"/>
            </w:tcBorders>
            <w:shd w:val="clear" w:color="auto" w:fill="auto"/>
            <w:vAlign w:val="center"/>
          </w:tcPr>
          <w:p w14:paraId="41B6DC4B" w14:textId="77777777" w:rsidR="001669D8" w:rsidRDefault="00E265B4">
            <w:pPr>
              <w:rPr>
                <w:color w:val="000000"/>
                <w:sz w:val="22"/>
                <w:szCs w:val="22"/>
              </w:rPr>
            </w:pPr>
            <w:r>
              <w:rPr>
                <w:color w:val="000000"/>
                <w:sz w:val="22"/>
                <w:szCs w:val="22"/>
              </w:rPr>
              <w:t>Loughborough University</w:t>
            </w:r>
          </w:p>
        </w:tc>
        <w:tc>
          <w:tcPr>
            <w:tcW w:w="3940" w:type="dxa"/>
            <w:tcBorders>
              <w:top w:val="nil"/>
              <w:left w:val="nil"/>
              <w:bottom w:val="nil"/>
              <w:right w:val="nil"/>
            </w:tcBorders>
            <w:shd w:val="clear" w:color="auto" w:fill="auto"/>
            <w:vAlign w:val="center"/>
          </w:tcPr>
          <w:p w14:paraId="1F2DFAEC" w14:textId="77777777" w:rsidR="001669D8" w:rsidRDefault="00E265B4">
            <w:pPr>
              <w:rPr>
                <w:color w:val="000000"/>
                <w:sz w:val="22"/>
                <w:szCs w:val="22"/>
              </w:rPr>
            </w:pPr>
            <w:r>
              <w:rPr>
                <w:color w:val="000000"/>
                <w:sz w:val="22"/>
                <w:szCs w:val="22"/>
              </w:rPr>
              <w:t>Edinburgh Napier University</w:t>
            </w:r>
          </w:p>
        </w:tc>
      </w:tr>
      <w:tr w:rsidR="001669D8" w14:paraId="4366FA70" w14:textId="77777777">
        <w:trPr>
          <w:trHeight w:val="300"/>
        </w:trPr>
        <w:tc>
          <w:tcPr>
            <w:tcW w:w="5086" w:type="dxa"/>
            <w:tcBorders>
              <w:top w:val="nil"/>
              <w:left w:val="nil"/>
              <w:bottom w:val="nil"/>
              <w:right w:val="nil"/>
            </w:tcBorders>
            <w:shd w:val="clear" w:color="auto" w:fill="auto"/>
            <w:vAlign w:val="center"/>
          </w:tcPr>
          <w:p w14:paraId="10AB2111" w14:textId="77777777" w:rsidR="001669D8" w:rsidRDefault="00E265B4">
            <w:pPr>
              <w:rPr>
                <w:color w:val="000000"/>
                <w:sz w:val="22"/>
                <w:szCs w:val="22"/>
              </w:rPr>
            </w:pPr>
            <w:r>
              <w:rPr>
                <w:color w:val="000000"/>
                <w:sz w:val="22"/>
                <w:szCs w:val="22"/>
              </w:rPr>
              <w:t>Queen Mary University of London</w:t>
            </w:r>
          </w:p>
        </w:tc>
        <w:tc>
          <w:tcPr>
            <w:tcW w:w="3940" w:type="dxa"/>
            <w:tcBorders>
              <w:top w:val="nil"/>
              <w:left w:val="nil"/>
              <w:bottom w:val="nil"/>
              <w:right w:val="nil"/>
            </w:tcBorders>
            <w:shd w:val="clear" w:color="auto" w:fill="auto"/>
            <w:vAlign w:val="center"/>
          </w:tcPr>
          <w:p w14:paraId="102054EE" w14:textId="77777777" w:rsidR="001669D8" w:rsidRDefault="00E265B4">
            <w:pPr>
              <w:rPr>
                <w:color w:val="000000"/>
                <w:sz w:val="22"/>
                <w:szCs w:val="22"/>
              </w:rPr>
            </w:pPr>
            <w:r>
              <w:rPr>
                <w:color w:val="000000"/>
                <w:sz w:val="22"/>
                <w:szCs w:val="22"/>
              </w:rPr>
              <w:t>Glasgow Caledonian University</w:t>
            </w:r>
          </w:p>
        </w:tc>
      </w:tr>
      <w:tr w:rsidR="001669D8" w14:paraId="36FD9798" w14:textId="77777777">
        <w:trPr>
          <w:trHeight w:val="300"/>
        </w:trPr>
        <w:tc>
          <w:tcPr>
            <w:tcW w:w="5086" w:type="dxa"/>
            <w:tcBorders>
              <w:top w:val="nil"/>
              <w:left w:val="nil"/>
              <w:bottom w:val="nil"/>
              <w:right w:val="nil"/>
            </w:tcBorders>
            <w:shd w:val="clear" w:color="auto" w:fill="auto"/>
            <w:vAlign w:val="center"/>
          </w:tcPr>
          <w:p w14:paraId="60A27B91" w14:textId="77777777" w:rsidR="001669D8" w:rsidRDefault="00E265B4">
            <w:pPr>
              <w:rPr>
                <w:color w:val="000000"/>
                <w:sz w:val="22"/>
                <w:szCs w:val="22"/>
              </w:rPr>
            </w:pPr>
            <w:r>
              <w:rPr>
                <w:color w:val="000000"/>
                <w:sz w:val="22"/>
                <w:szCs w:val="22"/>
              </w:rPr>
              <w:t>Royal Holloway and Bedford New College</w:t>
            </w:r>
          </w:p>
        </w:tc>
        <w:tc>
          <w:tcPr>
            <w:tcW w:w="3940" w:type="dxa"/>
            <w:tcBorders>
              <w:top w:val="nil"/>
              <w:left w:val="nil"/>
              <w:bottom w:val="nil"/>
              <w:right w:val="nil"/>
            </w:tcBorders>
            <w:shd w:val="clear" w:color="auto" w:fill="auto"/>
            <w:vAlign w:val="center"/>
          </w:tcPr>
          <w:p w14:paraId="546B648F" w14:textId="77777777" w:rsidR="001669D8" w:rsidRDefault="00E265B4">
            <w:pPr>
              <w:rPr>
                <w:color w:val="000000"/>
                <w:sz w:val="22"/>
                <w:szCs w:val="22"/>
              </w:rPr>
            </w:pPr>
            <w:r>
              <w:rPr>
                <w:color w:val="000000"/>
                <w:sz w:val="22"/>
                <w:szCs w:val="22"/>
              </w:rPr>
              <w:t>Glyndŵr University</w:t>
            </w:r>
          </w:p>
        </w:tc>
      </w:tr>
      <w:tr w:rsidR="001669D8" w14:paraId="31A38B31" w14:textId="77777777">
        <w:trPr>
          <w:trHeight w:val="300"/>
        </w:trPr>
        <w:tc>
          <w:tcPr>
            <w:tcW w:w="5086" w:type="dxa"/>
            <w:tcBorders>
              <w:top w:val="nil"/>
              <w:left w:val="nil"/>
              <w:bottom w:val="nil"/>
              <w:right w:val="nil"/>
            </w:tcBorders>
            <w:shd w:val="clear" w:color="auto" w:fill="auto"/>
            <w:vAlign w:val="center"/>
          </w:tcPr>
          <w:p w14:paraId="39AD6D4C" w14:textId="77777777" w:rsidR="001669D8" w:rsidRDefault="00E265B4">
            <w:pPr>
              <w:rPr>
                <w:color w:val="000000"/>
                <w:sz w:val="22"/>
                <w:szCs w:val="22"/>
              </w:rPr>
            </w:pPr>
            <w:r>
              <w:rPr>
                <w:color w:val="000000"/>
                <w:sz w:val="22"/>
                <w:szCs w:val="22"/>
              </w:rPr>
              <w:t>St George's Hospital Medical School</w:t>
            </w:r>
          </w:p>
        </w:tc>
        <w:tc>
          <w:tcPr>
            <w:tcW w:w="3940" w:type="dxa"/>
            <w:tcBorders>
              <w:top w:val="nil"/>
              <w:left w:val="nil"/>
              <w:bottom w:val="nil"/>
              <w:right w:val="nil"/>
            </w:tcBorders>
            <w:shd w:val="clear" w:color="auto" w:fill="auto"/>
            <w:vAlign w:val="center"/>
          </w:tcPr>
          <w:p w14:paraId="4D46D699" w14:textId="77777777" w:rsidR="001669D8" w:rsidRDefault="00E265B4">
            <w:pPr>
              <w:rPr>
                <w:color w:val="000000"/>
                <w:sz w:val="22"/>
                <w:szCs w:val="22"/>
              </w:rPr>
            </w:pPr>
            <w:r>
              <w:rPr>
                <w:color w:val="000000"/>
                <w:sz w:val="22"/>
                <w:szCs w:val="22"/>
              </w:rPr>
              <w:t>Kingston University</w:t>
            </w:r>
          </w:p>
        </w:tc>
      </w:tr>
      <w:tr w:rsidR="001669D8" w14:paraId="14935653" w14:textId="77777777">
        <w:trPr>
          <w:trHeight w:val="300"/>
        </w:trPr>
        <w:tc>
          <w:tcPr>
            <w:tcW w:w="5086" w:type="dxa"/>
            <w:tcBorders>
              <w:top w:val="nil"/>
              <w:left w:val="nil"/>
              <w:bottom w:val="nil"/>
              <w:right w:val="nil"/>
            </w:tcBorders>
            <w:shd w:val="clear" w:color="auto" w:fill="auto"/>
            <w:vAlign w:val="center"/>
          </w:tcPr>
          <w:p w14:paraId="6A1FA7F2" w14:textId="77777777" w:rsidR="001669D8" w:rsidRDefault="00E265B4">
            <w:pPr>
              <w:rPr>
                <w:color w:val="000000"/>
                <w:sz w:val="22"/>
                <w:szCs w:val="22"/>
              </w:rPr>
            </w:pPr>
            <w:r>
              <w:rPr>
                <w:color w:val="000000"/>
                <w:sz w:val="22"/>
                <w:szCs w:val="22"/>
              </w:rPr>
              <w:t>Swansea University</w:t>
            </w:r>
          </w:p>
        </w:tc>
        <w:tc>
          <w:tcPr>
            <w:tcW w:w="3940" w:type="dxa"/>
            <w:tcBorders>
              <w:top w:val="nil"/>
              <w:left w:val="nil"/>
              <w:bottom w:val="nil"/>
              <w:right w:val="nil"/>
            </w:tcBorders>
            <w:shd w:val="clear" w:color="auto" w:fill="auto"/>
            <w:vAlign w:val="center"/>
          </w:tcPr>
          <w:p w14:paraId="5B7AE440" w14:textId="77777777" w:rsidR="001669D8" w:rsidRDefault="00E265B4">
            <w:pPr>
              <w:rPr>
                <w:color w:val="000000"/>
                <w:sz w:val="22"/>
                <w:szCs w:val="22"/>
              </w:rPr>
            </w:pPr>
            <w:r>
              <w:rPr>
                <w:color w:val="000000"/>
                <w:sz w:val="22"/>
                <w:szCs w:val="22"/>
              </w:rPr>
              <w:t>Leeds Beckett University</w:t>
            </w:r>
          </w:p>
        </w:tc>
      </w:tr>
      <w:tr w:rsidR="001669D8" w14:paraId="478C9BC3" w14:textId="77777777">
        <w:trPr>
          <w:trHeight w:val="300"/>
        </w:trPr>
        <w:tc>
          <w:tcPr>
            <w:tcW w:w="5086" w:type="dxa"/>
            <w:tcBorders>
              <w:top w:val="nil"/>
              <w:left w:val="nil"/>
              <w:bottom w:val="nil"/>
              <w:right w:val="nil"/>
            </w:tcBorders>
            <w:shd w:val="clear" w:color="auto" w:fill="auto"/>
            <w:vAlign w:val="center"/>
          </w:tcPr>
          <w:p w14:paraId="73637748" w14:textId="77777777" w:rsidR="001669D8" w:rsidRDefault="00E265B4">
            <w:pPr>
              <w:rPr>
                <w:color w:val="000000"/>
                <w:sz w:val="22"/>
                <w:szCs w:val="22"/>
              </w:rPr>
            </w:pPr>
            <w:r>
              <w:rPr>
                <w:color w:val="000000"/>
                <w:sz w:val="22"/>
                <w:szCs w:val="22"/>
              </w:rPr>
              <w:t>The City University</w:t>
            </w:r>
          </w:p>
        </w:tc>
        <w:tc>
          <w:tcPr>
            <w:tcW w:w="3940" w:type="dxa"/>
            <w:tcBorders>
              <w:top w:val="nil"/>
              <w:left w:val="nil"/>
              <w:bottom w:val="nil"/>
              <w:right w:val="nil"/>
            </w:tcBorders>
            <w:shd w:val="clear" w:color="auto" w:fill="auto"/>
            <w:vAlign w:val="center"/>
          </w:tcPr>
          <w:p w14:paraId="49E3E9C9" w14:textId="77777777" w:rsidR="001669D8" w:rsidRDefault="00E265B4">
            <w:pPr>
              <w:rPr>
                <w:color w:val="000000"/>
                <w:sz w:val="22"/>
                <w:szCs w:val="22"/>
              </w:rPr>
            </w:pPr>
            <w:r>
              <w:rPr>
                <w:color w:val="000000"/>
                <w:sz w:val="22"/>
                <w:szCs w:val="22"/>
              </w:rPr>
              <w:t>Leeds Trinity University</w:t>
            </w:r>
          </w:p>
        </w:tc>
      </w:tr>
      <w:tr w:rsidR="001669D8" w14:paraId="273B6B4C" w14:textId="77777777">
        <w:trPr>
          <w:trHeight w:val="300"/>
        </w:trPr>
        <w:tc>
          <w:tcPr>
            <w:tcW w:w="5086" w:type="dxa"/>
            <w:tcBorders>
              <w:top w:val="nil"/>
              <w:left w:val="nil"/>
              <w:bottom w:val="nil"/>
              <w:right w:val="nil"/>
            </w:tcBorders>
            <w:shd w:val="clear" w:color="auto" w:fill="auto"/>
            <w:vAlign w:val="center"/>
          </w:tcPr>
          <w:p w14:paraId="78405636" w14:textId="77777777" w:rsidR="001669D8" w:rsidRDefault="00E265B4">
            <w:pPr>
              <w:rPr>
                <w:color w:val="000000"/>
                <w:sz w:val="22"/>
                <w:szCs w:val="22"/>
              </w:rPr>
            </w:pPr>
            <w:r>
              <w:rPr>
                <w:color w:val="000000"/>
                <w:sz w:val="22"/>
                <w:szCs w:val="22"/>
              </w:rPr>
              <w:t>The Institute of Cancer Research</w:t>
            </w:r>
          </w:p>
        </w:tc>
        <w:tc>
          <w:tcPr>
            <w:tcW w:w="3940" w:type="dxa"/>
            <w:tcBorders>
              <w:top w:val="nil"/>
              <w:left w:val="nil"/>
              <w:bottom w:val="nil"/>
              <w:right w:val="nil"/>
            </w:tcBorders>
            <w:shd w:val="clear" w:color="auto" w:fill="auto"/>
            <w:vAlign w:val="center"/>
          </w:tcPr>
          <w:p w14:paraId="573855AB" w14:textId="77777777" w:rsidR="001669D8" w:rsidRDefault="00E265B4">
            <w:pPr>
              <w:rPr>
                <w:color w:val="000000"/>
                <w:sz w:val="22"/>
                <w:szCs w:val="22"/>
              </w:rPr>
            </w:pPr>
            <w:r>
              <w:rPr>
                <w:color w:val="000000"/>
                <w:sz w:val="22"/>
                <w:szCs w:val="22"/>
              </w:rPr>
              <w:t>Liverpool Hope University</w:t>
            </w:r>
          </w:p>
        </w:tc>
      </w:tr>
      <w:tr w:rsidR="001669D8" w14:paraId="49247E9C" w14:textId="77777777">
        <w:trPr>
          <w:trHeight w:val="300"/>
        </w:trPr>
        <w:tc>
          <w:tcPr>
            <w:tcW w:w="5086" w:type="dxa"/>
            <w:tcBorders>
              <w:top w:val="nil"/>
              <w:left w:val="nil"/>
              <w:bottom w:val="nil"/>
              <w:right w:val="nil"/>
            </w:tcBorders>
            <w:shd w:val="clear" w:color="auto" w:fill="auto"/>
            <w:vAlign w:val="center"/>
          </w:tcPr>
          <w:p w14:paraId="2D9004D9" w14:textId="77777777" w:rsidR="001669D8" w:rsidRDefault="00E265B4">
            <w:pPr>
              <w:rPr>
                <w:color w:val="000000"/>
                <w:sz w:val="22"/>
                <w:szCs w:val="22"/>
              </w:rPr>
            </w:pPr>
            <w:r>
              <w:rPr>
                <w:color w:val="000000"/>
                <w:sz w:val="22"/>
                <w:szCs w:val="22"/>
              </w:rPr>
              <w:t>The Open University</w:t>
            </w:r>
          </w:p>
        </w:tc>
        <w:tc>
          <w:tcPr>
            <w:tcW w:w="3940" w:type="dxa"/>
            <w:tcBorders>
              <w:top w:val="nil"/>
              <w:left w:val="nil"/>
              <w:bottom w:val="nil"/>
              <w:right w:val="nil"/>
            </w:tcBorders>
            <w:shd w:val="clear" w:color="auto" w:fill="auto"/>
            <w:vAlign w:val="center"/>
          </w:tcPr>
          <w:p w14:paraId="0916C231" w14:textId="77777777" w:rsidR="001669D8" w:rsidRDefault="00E265B4">
            <w:pPr>
              <w:rPr>
                <w:color w:val="000000"/>
                <w:sz w:val="22"/>
                <w:szCs w:val="22"/>
              </w:rPr>
            </w:pPr>
            <w:r>
              <w:rPr>
                <w:color w:val="000000"/>
                <w:sz w:val="22"/>
                <w:szCs w:val="22"/>
              </w:rPr>
              <w:t>Liverpool John Moores University</w:t>
            </w:r>
          </w:p>
        </w:tc>
      </w:tr>
      <w:tr w:rsidR="001669D8" w14:paraId="54006BF1" w14:textId="77777777">
        <w:trPr>
          <w:trHeight w:val="300"/>
        </w:trPr>
        <w:tc>
          <w:tcPr>
            <w:tcW w:w="5086" w:type="dxa"/>
            <w:tcBorders>
              <w:top w:val="nil"/>
              <w:left w:val="nil"/>
              <w:bottom w:val="nil"/>
              <w:right w:val="nil"/>
            </w:tcBorders>
            <w:shd w:val="clear" w:color="auto" w:fill="auto"/>
            <w:vAlign w:val="center"/>
          </w:tcPr>
          <w:p w14:paraId="1819F1FA" w14:textId="77777777" w:rsidR="001669D8" w:rsidRDefault="00E265B4">
            <w:pPr>
              <w:rPr>
                <w:color w:val="000000"/>
                <w:sz w:val="22"/>
                <w:szCs w:val="22"/>
              </w:rPr>
            </w:pPr>
            <w:r>
              <w:rPr>
                <w:color w:val="000000"/>
                <w:sz w:val="22"/>
                <w:szCs w:val="22"/>
              </w:rPr>
              <w:t>The Robert Gordon University</w:t>
            </w:r>
          </w:p>
        </w:tc>
        <w:tc>
          <w:tcPr>
            <w:tcW w:w="3940" w:type="dxa"/>
            <w:tcBorders>
              <w:top w:val="nil"/>
              <w:left w:val="nil"/>
              <w:bottom w:val="nil"/>
              <w:right w:val="nil"/>
            </w:tcBorders>
            <w:shd w:val="clear" w:color="auto" w:fill="auto"/>
            <w:vAlign w:val="center"/>
          </w:tcPr>
          <w:p w14:paraId="3664CC5A" w14:textId="77777777" w:rsidR="001669D8" w:rsidRDefault="00E265B4">
            <w:pPr>
              <w:rPr>
                <w:color w:val="000000"/>
                <w:sz w:val="22"/>
                <w:szCs w:val="22"/>
              </w:rPr>
            </w:pPr>
            <w:r>
              <w:rPr>
                <w:color w:val="000000"/>
                <w:sz w:val="22"/>
                <w:szCs w:val="22"/>
              </w:rPr>
              <w:t>London Metropolitan University</w:t>
            </w:r>
          </w:p>
        </w:tc>
      </w:tr>
      <w:tr w:rsidR="001669D8" w14:paraId="0459EE70" w14:textId="77777777">
        <w:trPr>
          <w:trHeight w:val="300"/>
        </w:trPr>
        <w:tc>
          <w:tcPr>
            <w:tcW w:w="5086" w:type="dxa"/>
            <w:tcBorders>
              <w:top w:val="nil"/>
              <w:left w:val="nil"/>
              <w:bottom w:val="nil"/>
              <w:right w:val="nil"/>
            </w:tcBorders>
            <w:shd w:val="clear" w:color="auto" w:fill="auto"/>
            <w:vAlign w:val="center"/>
          </w:tcPr>
          <w:p w14:paraId="2F39CED3" w14:textId="77777777" w:rsidR="001669D8" w:rsidRDefault="00E265B4">
            <w:pPr>
              <w:rPr>
                <w:color w:val="000000"/>
                <w:sz w:val="22"/>
                <w:szCs w:val="22"/>
              </w:rPr>
            </w:pPr>
            <w:r>
              <w:rPr>
                <w:color w:val="000000"/>
                <w:sz w:val="22"/>
                <w:szCs w:val="22"/>
              </w:rPr>
              <w:t>The School of Oriental and African Studies</w:t>
            </w:r>
          </w:p>
        </w:tc>
        <w:tc>
          <w:tcPr>
            <w:tcW w:w="3940" w:type="dxa"/>
            <w:tcBorders>
              <w:top w:val="nil"/>
              <w:left w:val="nil"/>
              <w:bottom w:val="nil"/>
              <w:right w:val="nil"/>
            </w:tcBorders>
            <w:shd w:val="clear" w:color="auto" w:fill="auto"/>
            <w:vAlign w:val="center"/>
          </w:tcPr>
          <w:p w14:paraId="57C03910" w14:textId="77777777" w:rsidR="001669D8" w:rsidRDefault="00E265B4">
            <w:pPr>
              <w:rPr>
                <w:color w:val="000000"/>
                <w:sz w:val="22"/>
                <w:szCs w:val="22"/>
              </w:rPr>
            </w:pPr>
            <w:r>
              <w:rPr>
                <w:color w:val="000000"/>
                <w:sz w:val="22"/>
                <w:szCs w:val="22"/>
              </w:rPr>
              <w:t>London South Bank University</w:t>
            </w:r>
          </w:p>
        </w:tc>
      </w:tr>
      <w:tr w:rsidR="001669D8" w14:paraId="1AF87A09" w14:textId="77777777">
        <w:trPr>
          <w:trHeight w:val="300"/>
        </w:trPr>
        <w:tc>
          <w:tcPr>
            <w:tcW w:w="5086" w:type="dxa"/>
            <w:tcBorders>
              <w:top w:val="nil"/>
              <w:left w:val="nil"/>
              <w:bottom w:val="nil"/>
              <w:right w:val="nil"/>
            </w:tcBorders>
            <w:shd w:val="clear" w:color="auto" w:fill="auto"/>
            <w:vAlign w:val="center"/>
          </w:tcPr>
          <w:p w14:paraId="091CE714" w14:textId="77777777" w:rsidR="001669D8" w:rsidRDefault="00E265B4">
            <w:pPr>
              <w:rPr>
                <w:color w:val="000000"/>
                <w:sz w:val="22"/>
                <w:szCs w:val="22"/>
              </w:rPr>
            </w:pPr>
            <w:r>
              <w:rPr>
                <w:color w:val="000000"/>
                <w:sz w:val="22"/>
                <w:szCs w:val="22"/>
              </w:rPr>
              <w:t>The University of Aberdeen</w:t>
            </w:r>
          </w:p>
        </w:tc>
        <w:tc>
          <w:tcPr>
            <w:tcW w:w="3940" w:type="dxa"/>
            <w:tcBorders>
              <w:top w:val="nil"/>
              <w:left w:val="nil"/>
              <w:bottom w:val="nil"/>
              <w:right w:val="nil"/>
            </w:tcBorders>
            <w:shd w:val="clear" w:color="auto" w:fill="auto"/>
            <w:vAlign w:val="center"/>
          </w:tcPr>
          <w:p w14:paraId="34D99A12" w14:textId="77777777" w:rsidR="001669D8" w:rsidRDefault="00E265B4">
            <w:pPr>
              <w:rPr>
                <w:color w:val="000000"/>
                <w:sz w:val="22"/>
                <w:szCs w:val="22"/>
              </w:rPr>
            </w:pPr>
            <w:r>
              <w:rPr>
                <w:color w:val="000000"/>
                <w:sz w:val="22"/>
                <w:szCs w:val="22"/>
              </w:rPr>
              <w:t>Middlesex University</w:t>
            </w:r>
          </w:p>
        </w:tc>
      </w:tr>
      <w:tr w:rsidR="001669D8" w14:paraId="766C4FBB" w14:textId="77777777">
        <w:trPr>
          <w:trHeight w:val="300"/>
        </w:trPr>
        <w:tc>
          <w:tcPr>
            <w:tcW w:w="5086" w:type="dxa"/>
            <w:tcBorders>
              <w:top w:val="nil"/>
              <w:left w:val="nil"/>
              <w:bottom w:val="nil"/>
              <w:right w:val="nil"/>
            </w:tcBorders>
            <w:shd w:val="clear" w:color="auto" w:fill="auto"/>
            <w:vAlign w:val="center"/>
          </w:tcPr>
          <w:p w14:paraId="496E6869" w14:textId="77777777" w:rsidR="001669D8" w:rsidRDefault="00E265B4">
            <w:pPr>
              <w:rPr>
                <w:color w:val="000000"/>
                <w:sz w:val="22"/>
                <w:szCs w:val="22"/>
              </w:rPr>
            </w:pPr>
            <w:r>
              <w:rPr>
                <w:color w:val="000000"/>
                <w:sz w:val="22"/>
                <w:szCs w:val="22"/>
              </w:rPr>
              <w:t>The University of Bath</w:t>
            </w:r>
          </w:p>
        </w:tc>
        <w:tc>
          <w:tcPr>
            <w:tcW w:w="3940" w:type="dxa"/>
            <w:tcBorders>
              <w:top w:val="nil"/>
              <w:left w:val="nil"/>
              <w:bottom w:val="nil"/>
              <w:right w:val="nil"/>
            </w:tcBorders>
            <w:shd w:val="clear" w:color="auto" w:fill="auto"/>
            <w:vAlign w:val="center"/>
          </w:tcPr>
          <w:p w14:paraId="2BA86661" w14:textId="77777777" w:rsidR="001669D8" w:rsidRDefault="00E265B4">
            <w:pPr>
              <w:rPr>
                <w:color w:val="000000"/>
                <w:sz w:val="22"/>
                <w:szCs w:val="22"/>
              </w:rPr>
            </w:pPr>
            <w:r>
              <w:rPr>
                <w:color w:val="000000"/>
                <w:sz w:val="22"/>
                <w:szCs w:val="22"/>
              </w:rPr>
              <w:t>Newman University</w:t>
            </w:r>
          </w:p>
        </w:tc>
      </w:tr>
      <w:tr w:rsidR="001669D8" w14:paraId="467A86A1" w14:textId="77777777">
        <w:trPr>
          <w:trHeight w:val="300"/>
        </w:trPr>
        <w:tc>
          <w:tcPr>
            <w:tcW w:w="5086" w:type="dxa"/>
            <w:tcBorders>
              <w:top w:val="nil"/>
              <w:left w:val="nil"/>
              <w:bottom w:val="nil"/>
              <w:right w:val="nil"/>
            </w:tcBorders>
            <w:shd w:val="clear" w:color="auto" w:fill="auto"/>
            <w:vAlign w:val="center"/>
          </w:tcPr>
          <w:p w14:paraId="343BB77D" w14:textId="77777777" w:rsidR="001669D8" w:rsidRDefault="00E265B4">
            <w:pPr>
              <w:rPr>
                <w:color w:val="000000"/>
                <w:sz w:val="22"/>
                <w:szCs w:val="22"/>
              </w:rPr>
            </w:pPr>
            <w:r>
              <w:rPr>
                <w:color w:val="000000"/>
                <w:sz w:val="22"/>
                <w:szCs w:val="22"/>
              </w:rPr>
              <w:t>The University of Birmingham</w:t>
            </w:r>
          </w:p>
        </w:tc>
        <w:tc>
          <w:tcPr>
            <w:tcW w:w="3940" w:type="dxa"/>
            <w:tcBorders>
              <w:top w:val="nil"/>
              <w:left w:val="nil"/>
              <w:bottom w:val="nil"/>
              <w:right w:val="nil"/>
            </w:tcBorders>
            <w:shd w:val="clear" w:color="auto" w:fill="auto"/>
            <w:vAlign w:val="center"/>
          </w:tcPr>
          <w:p w14:paraId="71FB084E" w14:textId="77777777" w:rsidR="001669D8" w:rsidRDefault="00E265B4">
            <w:pPr>
              <w:rPr>
                <w:color w:val="000000"/>
                <w:sz w:val="22"/>
                <w:szCs w:val="22"/>
              </w:rPr>
            </w:pPr>
            <w:r>
              <w:rPr>
                <w:color w:val="000000"/>
                <w:sz w:val="22"/>
                <w:szCs w:val="22"/>
              </w:rPr>
              <w:t>Oxford Brookes University</w:t>
            </w:r>
          </w:p>
        </w:tc>
      </w:tr>
      <w:tr w:rsidR="001669D8" w14:paraId="1B3D25D6" w14:textId="77777777">
        <w:trPr>
          <w:trHeight w:val="300"/>
        </w:trPr>
        <w:tc>
          <w:tcPr>
            <w:tcW w:w="5086" w:type="dxa"/>
            <w:tcBorders>
              <w:top w:val="nil"/>
              <w:left w:val="nil"/>
              <w:bottom w:val="nil"/>
              <w:right w:val="nil"/>
            </w:tcBorders>
            <w:shd w:val="clear" w:color="auto" w:fill="auto"/>
            <w:vAlign w:val="center"/>
          </w:tcPr>
          <w:p w14:paraId="658BB6B6" w14:textId="77777777" w:rsidR="001669D8" w:rsidRDefault="00E265B4">
            <w:pPr>
              <w:rPr>
                <w:color w:val="000000"/>
                <w:sz w:val="22"/>
                <w:szCs w:val="22"/>
              </w:rPr>
            </w:pPr>
            <w:r>
              <w:rPr>
                <w:color w:val="000000"/>
                <w:sz w:val="22"/>
                <w:szCs w:val="22"/>
              </w:rPr>
              <w:t>The University of Bradford</w:t>
            </w:r>
          </w:p>
        </w:tc>
        <w:tc>
          <w:tcPr>
            <w:tcW w:w="3940" w:type="dxa"/>
            <w:tcBorders>
              <w:top w:val="nil"/>
              <w:left w:val="nil"/>
              <w:bottom w:val="nil"/>
              <w:right w:val="nil"/>
            </w:tcBorders>
            <w:shd w:val="clear" w:color="auto" w:fill="auto"/>
            <w:vAlign w:val="center"/>
          </w:tcPr>
          <w:p w14:paraId="3BED575C" w14:textId="77777777" w:rsidR="001669D8" w:rsidRDefault="00E265B4">
            <w:pPr>
              <w:rPr>
                <w:color w:val="000000"/>
                <w:sz w:val="22"/>
                <w:szCs w:val="22"/>
              </w:rPr>
            </w:pPr>
            <w:r>
              <w:rPr>
                <w:color w:val="000000"/>
                <w:sz w:val="22"/>
                <w:szCs w:val="22"/>
              </w:rPr>
              <w:t>Queen Margaret University, Edinburgh</w:t>
            </w:r>
          </w:p>
        </w:tc>
      </w:tr>
      <w:tr w:rsidR="001669D8" w14:paraId="790EA8CE" w14:textId="77777777">
        <w:trPr>
          <w:trHeight w:val="300"/>
        </w:trPr>
        <w:tc>
          <w:tcPr>
            <w:tcW w:w="5086" w:type="dxa"/>
            <w:tcBorders>
              <w:top w:val="nil"/>
              <w:left w:val="nil"/>
              <w:bottom w:val="nil"/>
              <w:right w:val="nil"/>
            </w:tcBorders>
            <w:shd w:val="clear" w:color="auto" w:fill="auto"/>
            <w:vAlign w:val="center"/>
          </w:tcPr>
          <w:p w14:paraId="13E14C2D" w14:textId="77777777" w:rsidR="001669D8" w:rsidRDefault="00E265B4">
            <w:pPr>
              <w:rPr>
                <w:color w:val="000000"/>
                <w:sz w:val="22"/>
                <w:szCs w:val="22"/>
              </w:rPr>
            </w:pPr>
            <w:r>
              <w:rPr>
                <w:color w:val="000000"/>
                <w:sz w:val="22"/>
                <w:szCs w:val="22"/>
              </w:rPr>
              <w:t>The University of Bristol</w:t>
            </w:r>
          </w:p>
        </w:tc>
        <w:tc>
          <w:tcPr>
            <w:tcW w:w="3940" w:type="dxa"/>
            <w:tcBorders>
              <w:top w:val="nil"/>
              <w:left w:val="nil"/>
              <w:bottom w:val="nil"/>
              <w:right w:val="nil"/>
            </w:tcBorders>
            <w:shd w:val="clear" w:color="auto" w:fill="auto"/>
            <w:vAlign w:val="center"/>
          </w:tcPr>
          <w:p w14:paraId="45340E20" w14:textId="77777777" w:rsidR="001669D8" w:rsidRDefault="00E265B4">
            <w:pPr>
              <w:rPr>
                <w:color w:val="000000"/>
                <w:sz w:val="22"/>
                <w:szCs w:val="22"/>
              </w:rPr>
            </w:pPr>
            <w:r>
              <w:rPr>
                <w:color w:val="000000"/>
                <w:sz w:val="22"/>
                <w:szCs w:val="22"/>
              </w:rPr>
              <w:t>Roehampton University</w:t>
            </w:r>
          </w:p>
        </w:tc>
      </w:tr>
      <w:tr w:rsidR="001669D8" w14:paraId="17C9BA4F" w14:textId="77777777">
        <w:trPr>
          <w:trHeight w:val="300"/>
        </w:trPr>
        <w:tc>
          <w:tcPr>
            <w:tcW w:w="5086" w:type="dxa"/>
            <w:tcBorders>
              <w:top w:val="nil"/>
              <w:left w:val="nil"/>
              <w:bottom w:val="nil"/>
              <w:right w:val="nil"/>
            </w:tcBorders>
            <w:shd w:val="clear" w:color="auto" w:fill="auto"/>
            <w:vAlign w:val="center"/>
          </w:tcPr>
          <w:p w14:paraId="426ED61B" w14:textId="77777777" w:rsidR="001669D8" w:rsidRDefault="00E265B4">
            <w:pPr>
              <w:rPr>
                <w:color w:val="000000"/>
                <w:sz w:val="22"/>
                <w:szCs w:val="22"/>
              </w:rPr>
            </w:pPr>
            <w:r>
              <w:rPr>
                <w:color w:val="000000"/>
                <w:sz w:val="22"/>
                <w:szCs w:val="22"/>
              </w:rPr>
              <w:t>The University of Cambridge</w:t>
            </w:r>
          </w:p>
        </w:tc>
        <w:tc>
          <w:tcPr>
            <w:tcW w:w="3940" w:type="dxa"/>
            <w:tcBorders>
              <w:top w:val="nil"/>
              <w:left w:val="nil"/>
              <w:bottom w:val="nil"/>
              <w:right w:val="nil"/>
            </w:tcBorders>
            <w:shd w:val="clear" w:color="auto" w:fill="auto"/>
            <w:vAlign w:val="center"/>
          </w:tcPr>
          <w:p w14:paraId="3118999C" w14:textId="77777777" w:rsidR="001669D8" w:rsidRDefault="00E265B4">
            <w:pPr>
              <w:rPr>
                <w:color w:val="000000"/>
                <w:sz w:val="22"/>
                <w:szCs w:val="22"/>
              </w:rPr>
            </w:pPr>
            <w:r>
              <w:rPr>
                <w:color w:val="000000"/>
                <w:sz w:val="22"/>
                <w:szCs w:val="22"/>
              </w:rPr>
              <w:t>Sheffield Hallam University</w:t>
            </w:r>
          </w:p>
        </w:tc>
      </w:tr>
      <w:tr w:rsidR="001669D8" w14:paraId="7ED8F7C6" w14:textId="77777777">
        <w:trPr>
          <w:trHeight w:val="300"/>
        </w:trPr>
        <w:tc>
          <w:tcPr>
            <w:tcW w:w="5086" w:type="dxa"/>
            <w:tcBorders>
              <w:top w:val="nil"/>
              <w:left w:val="nil"/>
              <w:bottom w:val="nil"/>
              <w:right w:val="nil"/>
            </w:tcBorders>
            <w:shd w:val="clear" w:color="auto" w:fill="auto"/>
            <w:vAlign w:val="center"/>
          </w:tcPr>
          <w:p w14:paraId="30FD2ADD" w14:textId="77777777" w:rsidR="001669D8" w:rsidRDefault="00E265B4">
            <w:pPr>
              <w:rPr>
                <w:color w:val="000000"/>
                <w:sz w:val="22"/>
                <w:szCs w:val="22"/>
              </w:rPr>
            </w:pPr>
            <w:r>
              <w:rPr>
                <w:color w:val="000000"/>
                <w:sz w:val="22"/>
                <w:szCs w:val="22"/>
              </w:rPr>
              <w:t>The University of Dundee</w:t>
            </w:r>
          </w:p>
        </w:tc>
        <w:tc>
          <w:tcPr>
            <w:tcW w:w="3940" w:type="dxa"/>
            <w:tcBorders>
              <w:top w:val="nil"/>
              <w:left w:val="nil"/>
              <w:bottom w:val="nil"/>
              <w:right w:val="nil"/>
            </w:tcBorders>
            <w:shd w:val="clear" w:color="auto" w:fill="auto"/>
            <w:vAlign w:val="center"/>
          </w:tcPr>
          <w:p w14:paraId="7B6222AB" w14:textId="77777777" w:rsidR="001669D8" w:rsidRDefault="00E265B4">
            <w:pPr>
              <w:rPr>
                <w:color w:val="000000"/>
                <w:sz w:val="22"/>
                <w:szCs w:val="22"/>
              </w:rPr>
            </w:pPr>
            <w:r>
              <w:rPr>
                <w:color w:val="000000"/>
                <w:sz w:val="22"/>
                <w:szCs w:val="22"/>
              </w:rPr>
              <w:t>Southampton Solent University</w:t>
            </w:r>
          </w:p>
        </w:tc>
      </w:tr>
      <w:tr w:rsidR="001669D8" w14:paraId="088A9A18" w14:textId="77777777">
        <w:trPr>
          <w:trHeight w:val="300"/>
        </w:trPr>
        <w:tc>
          <w:tcPr>
            <w:tcW w:w="5086" w:type="dxa"/>
            <w:tcBorders>
              <w:top w:val="nil"/>
              <w:left w:val="nil"/>
              <w:bottom w:val="nil"/>
              <w:right w:val="nil"/>
            </w:tcBorders>
            <w:shd w:val="clear" w:color="auto" w:fill="auto"/>
            <w:vAlign w:val="center"/>
          </w:tcPr>
          <w:p w14:paraId="64A6584B" w14:textId="77777777" w:rsidR="001669D8" w:rsidRDefault="00E265B4">
            <w:pPr>
              <w:rPr>
                <w:color w:val="000000"/>
                <w:sz w:val="22"/>
                <w:szCs w:val="22"/>
              </w:rPr>
            </w:pPr>
            <w:r>
              <w:rPr>
                <w:color w:val="000000"/>
                <w:sz w:val="22"/>
                <w:szCs w:val="22"/>
              </w:rPr>
              <w:t>The University of East Anglia</w:t>
            </w:r>
          </w:p>
        </w:tc>
        <w:tc>
          <w:tcPr>
            <w:tcW w:w="3940" w:type="dxa"/>
            <w:tcBorders>
              <w:top w:val="nil"/>
              <w:left w:val="nil"/>
              <w:bottom w:val="nil"/>
              <w:right w:val="nil"/>
            </w:tcBorders>
            <w:shd w:val="clear" w:color="auto" w:fill="auto"/>
            <w:vAlign w:val="center"/>
          </w:tcPr>
          <w:p w14:paraId="5C962EB4" w14:textId="77777777" w:rsidR="001669D8" w:rsidRDefault="00E265B4">
            <w:pPr>
              <w:rPr>
                <w:color w:val="000000"/>
                <w:sz w:val="22"/>
                <w:szCs w:val="22"/>
              </w:rPr>
            </w:pPr>
            <w:r>
              <w:rPr>
                <w:color w:val="000000"/>
                <w:sz w:val="22"/>
                <w:szCs w:val="22"/>
              </w:rPr>
              <w:t>St Mary's University, Twickenham</w:t>
            </w:r>
          </w:p>
        </w:tc>
      </w:tr>
      <w:tr w:rsidR="001669D8" w14:paraId="01CB7F61" w14:textId="77777777">
        <w:trPr>
          <w:trHeight w:val="300"/>
        </w:trPr>
        <w:tc>
          <w:tcPr>
            <w:tcW w:w="5086" w:type="dxa"/>
            <w:tcBorders>
              <w:top w:val="nil"/>
              <w:left w:val="nil"/>
              <w:bottom w:val="nil"/>
              <w:right w:val="nil"/>
            </w:tcBorders>
            <w:shd w:val="clear" w:color="auto" w:fill="auto"/>
            <w:vAlign w:val="center"/>
          </w:tcPr>
          <w:p w14:paraId="48463102" w14:textId="77777777" w:rsidR="001669D8" w:rsidRDefault="00E265B4">
            <w:pPr>
              <w:rPr>
                <w:color w:val="000000"/>
                <w:sz w:val="22"/>
                <w:szCs w:val="22"/>
              </w:rPr>
            </w:pPr>
            <w:r>
              <w:rPr>
                <w:color w:val="000000"/>
                <w:sz w:val="22"/>
                <w:szCs w:val="22"/>
              </w:rPr>
              <w:t>The University of Edinburgh</w:t>
            </w:r>
          </w:p>
        </w:tc>
        <w:tc>
          <w:tcPr>
            <w:tcW w:w="3940" w:type="dxa"/>
            <w:tcBorders>
              <w:top w:val="nil"/>
              <w:left w:val="nil"/>
              <w:bottom w:val="nil"/>
              <w:right w:val="nil"/>
            </w:tcBorders>
            <w:shd w:val="clear" w:color="auto" w:fill="auto"/>
            <w:vAlign w:val="center"/>
          </w:tcPr>
          <w:p w14:paraId="47D2EC99" w14:textId="77777777" w:rsidR="001669D8" w:rsidRDefault="00E265B4">
            <w:pPr>
              <w:rPr>
                <w:color w:val="000000"/>
                <w:sz w:val="22"/>
                <w:szCs w:val="22"/>
              </w:rPr>
            </w:pPr>
            <w:r>
              <w:rPr>
                <w:color w:val="000000"/>
                <w:sz w:val="22"/>
                <w:szCs w:val="22"/>
              </w:rPr>
              <w:t>Staffordshire University</w:t>
            </w:r>
          </w:p>
        </w:tc>
      </w:tr>
      <w:tr w:rsidR="001669D8" w14:paraId="0DBE58C4" w14:textId="77777777">
        <w:trPr>
          <w:trHeight w:val="300"/>
        </w:trPr>
        <w:tc>
          <w:tcPr>
            <w:tcW w:w="5086" w:type="dxa"/>
            <w:tcBorders>
              <w:top w:val="nil"/>
              <w:left w:val="nil"/>
              <w:bottom w:val="nil"/>
              <w:right w:val="nil"/>
            </w:tcBorders>
            <w:shd w:val="clear" w:color="auto" w:fill="auto"/>
            <w:vAlign w:val="center"/>
          </w:tcPr>
          <w:p w14:paraId="76E25EE3" w14:textId="77777777" w:rsidR="001669D8" w:rsidRDefault="00E265B4">
            <w:pPr>
              <w:rPr>
                <w:color w:val="000000"/>
                <w:sz w:val="22"/>
                <w:szCs w:val="22"/>
              </w:rPr>
            </w:pPr>
            <w:r>
              <w:rPr>
                <w:color w:val="000000"/>
                <w:sz w:val="22"/>
                <w:szCs w:val="22"/>
              </w:rPr>
              <w:t>The University of Essex</w:t>
            </w:r>
          </w:p>
        </w:tc>
        <w:tc>
          <w:tcPr>
            <w:tcW w:w="3940" w:type="dxa"/>
            <w:tcBorders>
              <w:top w:val="nil"/>
              <w:left w:val="nil"/>
              <w:bottom w:val="nil"/>
              <w:right w:val="nil"/>
            </w:tcBorders>
            <w:shd w:val="clear" w:color="auto" w:fill="auto"/>
            <w:vAlign w:val="center"/>
          </w:tcPr>
          <w:p w14:paraId="655F2293" w14:textId="77777777" w:rsidR="001669D8" w:rsidRDefault="00E265B4">
            <w:pPr>
              <w:rPr>
                <w:color w:val="000000"/>
                <w:sz w:val="22"/>
                <w:szCs w:val="22"/>
              </w:rPr>
            </w:pPr>
            <w:r>
              <w:rPr>
                <w:color w:val="000000"/>
                <w:sz w:val="22"/>
                <w:szCs w:val="22"/>
              </w:rPr>
              <w:t>Teesside University</w:t>
            </w:r>
          </w:p>
        </w:tc>
      </w:tr>
      <w:tr w:rsidR="001669D8" w14:paraId="08BA43B4" w14:textId="77777777">
        <w:trPr>
          <w:trHeight w:val="300"/>
        </w:trPr>
        <w:tc>
          <w:tcPr>
            <w:tcW w:w="5086" w:type="dxa"/>
            <w:tcBorders>
              <w:top w:val="nil"/>
              <w:left w:val="nil"/>
              <w:bottom w:val="nil"/>
              <w:right w:val="nil"/>
            </w:tcBorders>
            <w:shd w:val="clear" w:color="auto" w:fill="auto"/>
            <w:vAlign w:val="center"/>
          </w:tcPr>
          <w:p w14:paraId="5A60183D" w14:textId="77777777" w:rsidR="001669D8" w:rsidRDefault="00E265B4">
            <w:pPr>
              <w:rPr>
                <w:color w:val="000000"/>
                <w:sz w:val="22"/>
                <w:szCs w:val="22"/>
              </w:rPr>
            </w:pPr>
            <w:r>
              <w:rPr>
                <w:color w:val="000000"/>
                <w:sz w:val="22"/>
                <w:szCs w:val="22"/>
              </w:rPr>
              <w:t>The University of Exeter</w:t>
            </w:r>
          </w:p>
        </w:tc>
        <w:tc>
          <w:tcPr>
            <w:tcW w:w="3940" w:type="dxa"/>
            <w:tcBorders>
              <w:top w:val="nil"/>
              <w:left w:val="nil"/>
              <w:bottom w:val="nil"/>
              <w:right w:val="nil"/>
            </w:tcBorders>
            <w:shd w:val="clear" w:color="auto" w:fill="auto"/>
            <w:vAlign w:val="center"/>
          </w:tcPr>
          <w:p w14:paraId="338ECF7A" w14:textId="77777777" w:rsidR="001669D8" w:rsidRDefault="00E265B4">
            <w:pPr>
              <w:rPr>
                <w:color w:val="000000"/>
                <w:sz w:val="22"/>
                <w:szCs w:val="22"/>
              </w:rPr>
            </w:pPr>
            <w:r>
              <w:rPr>
                <w:color w:val="000000"/>
                <w:sz w:val="22"/>
                <w:szCs w:val="22"/>
              </w:rPr>
              <w:t>The Manchester Metropolitan University</w:t>
            </w:r>
          </w:p>
        </w:tc>
      </w:tr>
      <w:tr w:rsidR="001669D8" w14:paraId="30AEEE28" w14:textId="77777777">
        <w:trPr>
          <w:trHeight w:val="300"/>
        </w:trPr>
        <w:tc>
          <w:tcPr>
            <w:tcW w:w="5086" w:type="dxa"/>
            <w:tcBorders>
              <w:top w:val="nil"/>
              <w:left w:val="nil"/>
              <w:bottom w:val="nil"/>
              <w:right w:val="nil"/>
            </w:tcBorders>
            <w:shd w:val="clear" w:color="auto" w:fill="auto"/>
            <w:vAlign w:val="center"/>
          </w:tcPr>
          <w:p w14:paraId="6CC415B2" w14:textId="77777777" w:rsidR="001669D8" w:rsidRDefault="00E265B4">
            <w:pPr>
              <w:rPr>
                <w:color w:val="000000"/>
                <w:sz w:val="22"/>
                <w:szCs w:val="22"/>
              </w:rPr>
            </w:pPr>
            <w:r>
              <w:rPr>
                <w:color w:val="000000"/>
                <w:sz w:val="22"/>
                <w:szCs w:val="22"/>
              </w:rPr>
              <w:t>The University of Glasgow</w:t>
            </w:r>
          </w:p>
        </w:tc>
        <w:tc>
          <w:tcPr>
            <w:tcW w:w="3940" w:type="dxa"/>
            <w:tcBorders>
              <w:top w:val="nil"/>
              <w:left w:val="nil"/>
              <w:bottom w:val="nil"/>
              <w:right w:val="nil"/>
            </w:tcBorders>
            <w:shd w:val="clear" w:color="auto" w:fill="auto"/>
            <w:vAlign w:val="center"/>
          </w:tcPr>
          <w:p w14:paraId="39814E8B" w14:textId="77777777" w:rsidR="001669D8" w:rsidRDefault="00E265B4">
            <w:pPr>
              <w:rPr>
                <w:color w:val="000000"/>
                <w:sz w:val="22"/>
                <w:szCs w:val="22"/>
              </w:rPr>
            </w:pPr>
            <w:r>
              <w:rPr>
                <w:color w:val="000000"/>
                <w:sz w:val="22"/>
                <w:szCs w:val="22"/>
              </w:rPr>
              <w:t>The Nottingham Trent University</w:t>
            </w:r>
          </w:p>
        </w:tc>
      </w:tr>
      <w:tr w:rsidR="001669D8" w14:paraId="4FA0C543" w14:textId="77777777">
        <w:trPr>
          <w:trHeight w:val="300"/>
        </w:trPr>
        <w:tc>
          <w:tcPr>
            <w:tcW w:w="5086" w:type="dxa"/>
            <w:tcBorders>
              <w:top w:val="nil"/>
              <w:left w:val="nil"/>
              <w:bottom w:val="nil"/>
              <w:right w:val="nil"/>
            </w:tcBorders>
            <w:shd w:val="clear" w:color="auto" w:fill="auto"/>
            <w:vAlign w:val="center"/>
          </w:tcPr>
          <w:p w14:paraId="41F34F32" w14:textId="77777777" w:rsidR="001669D8" w:rsidRDefault="00E265B4">
            <w:pPr>
              <w:rPr>
                <w:color w:val="000000"/>
                <w:sz w:val="22"/>
                <w:szCs w:val="22"/>
              </w:rPr>
            </w:pPr>
            <w:r>
              <w:rPr>
                <w:color w:val="000000"/>
                <w:sz w:val="22"/>
                <w:szCs w:val="22"/>
              </w:rPr>
              <w:t>The University of Hull</w:t>
            </w:r>
          </w:p>
        </w:tc>
        <w:tc>
          <w:tcPr>
            <w:tcW w:w="3940" w:type="dxa"/>
            <w:tcBorders>
              <w:top w:val="nil"/>
              <w:left w:val="nil"/>
              <w:bottom w:val="nil"/>
              <w:right w:val="nil"/>
            </w:tcBorders>
            <w:shd w:val="clear" w:color="auto" w:fill="auto"/>
            <w:vAlign w:val="center"/>
          </w:tcPr>
          <w:p w14:paraId="2E3202C3" w14:textId="77777777" w:rsidR="001669D8" w:rsidRDefault="00E265B4">
            <w:pPr>
              <w:rPr>
                <w:color w:val="000000"/>
                <w:sz w:val="22"/>
                <w:szCs w:val="22"/>
              </w:rPr>
            </w:pPr>
            <w:r>
              <w:rPr>
                <w:color w:val="000000"/>
                <w:sz w:val="22"/>
                <w:szCs w:val="22"/>
              </w:rPr>
              <w:t>The University of Bolton</w:t>
            </w:r>
          </w:p>
        </w:tc>
      </w:tr>
      <w:tr w:rsidR="001669D8" w14:paraId="192026ED" w14:textId="77777777">
        <w:trPr>
          <w:trHeight w:val="300"/>
        </w:trPr>
        <w:tc>
          <w:tcPr>
            <w:tcW w:w="5086" w:type="dxa"/>
            <w:tcBorders>
              <w:top w:val="nil"/>
              <w:left w:val="nil"/>
              <w:bottom w:val="nil"/>
              <w:right w:val="nil"/>
            </w:tcBorders>
            <w:shd w:val="clear" w:color="auto" w:fill="auto"/>
            <w:vAlign w:val="center"/>
          </w:tcPr>
          <w:p w14:paraId="65BC6DAF" w14:textId="77777777" w:rsidR="001669D8" w:rsidRDefault="00E265B4">
            <w:pPr>
              <w:rPr>
                <w:color w:val="000000"/>
                <w:sz w:val="22"/>
                <w:szCs w:val="22"/>
              </w:rPr>
            </w:pPr>
            <w:r>
              <w:rPr>
                <w:color w:val="000000"/>
                <w:sz w:val="22"/>
                <w:szCs w:val="22"/>
              </w:rPr>
              <w:t>The University of Keele</w:t>
            </w:r>
          </w:p>
        </w:tc>
        <w:tc>
          <w:tcPr>
            <w:tcW w:w="3940" w:type="dxa"/>
            <w:tcBorders>
              <w:top w:val="nil"/>
              <w:left w:val="nil"/>
              <w:bottom w:val="nil"/>
              <w:right w:val="nil"/>
            </w:tcBorders>
            <w:shd w:val="clear" w:color="auto" w:fill="auto"/>
            <w:vAlign w:val="center"/>
          </w:tcPr>
          <w:p w14:paraId="08C8C452" w14:textId="77777777" w:rsidR="001669D8" w:rsidRDefault="00E265B4">
            <w:pPr>
              <w:rPr>
                <w:color w:val="000000"/>
                <w:sz w:val="22"/>
                <w:szCs w:val="22"/>
              </w:rPr>
            </w:pPr>
            <w:r>
              <w:rPr>
                <w:color w:val="000000"/>
                <w:sz w:val="22"/>
                <w:szCs w:val="22"/>
              </w:rPr>
              <w:t>The University of Brighton</w:t>
            </w:r>
          </w:p>
        </w:tc>
      </w:tr>
      <w:tr w:rsidR="001669D8" w14:paraId="7E3415F2" w14:textId="77777777">
        <w:trPr>
          <w:trHeight w:val="300"/>
        </w:trPr>
        <w:tc>
          <w:tcPr>
            <w:tcW w:w="5086" w:type="dxa"/>
            <w:tcBorders>
              <w:top w:val="nil"/>
              <w:left w:val="nil"/>
              <w:bottom w:val="nil"/>
              <w:right w:val="nil"/>
            </w:tcBorders>
            <w:shd w:val="clear" w:color="auto" w:fill="auto"/>
            <w:vAlign w:val="center"/>
          </w:tcPr>
          <w:p w14:paraId="0182213A" w14:textId="77777777" w:rsidR="001669D8" w:rsidRDefault="00E265B4">
            <w:pPr>
              <w:rPr>
                <w:color w:val="000000"/>
                <w:sz w:val="22"/>
                <w:szCs w:val="22"/>
              </w:rPr>
            </w:pPr>
            <w:r>
              <w:rPr>
                <w:color w:val="000000"/>
                <w:sz w:val="22"/>
                <w:szCs w:val="22"/>
              </w:rPr>
              <w:t>The University of Kent</w:t>
            </w:r>
          </w:p>
        </w:tc>
        <w:tc>
          <w:tcPr>
            <w:tcW w:w="3940" w:type="dxa"/>
            <w:tcBorders>
              <w:top w:val="nil"/>
              <w:left w:val="nil"/>
              <w:bottom w:val="nil"/>
              <w:right w:val="nil"/>
            </w:tcBorders>
            <w:shd w:val="clear" w:color="auto" w:fill="auto"/>
            <w:vAlign w:val="center"/>
          </w:tcPr>
          <w:p w14:paraId="78415A5A" w14:textId="77777777" w:rsidR="001669D8" w:rsidRDefault="00E265B4">
            <w:pPr>
              <w:rPr>
                <w:color w:val="000000"/>
                <w:sz w:val="22"/>
                <w:szCs w:val="22"/>
              </w:rPr>
            </w:pPr>
            <w:r>
              <w:rPr>
                <w:color w:val="000000"/>
                <w:sz w:val="22"/>
                <w:szCs w:val="22"/>
              </w:rPr>
              <w:t>The University of Chichester</w:t>
            </w:r>
          </w:p>
        </w:tc>
      </w:tr>
      <w:tr w:rsidR="001669D8" w14:paraId="0D82159B" w14:textId="77777777">
        <w:trPr>
          <w:trHeight w:val="300"/>
        </w:trPr>
        <w:tc>
          <w:tcPr>
            <w:tcW w:w="5086" w:type="dxa"/>
            <w:tcBorders>
              <w:top w:val="nil"/>
              <w:left w:val="nil"/>
              <w:bottom w:val="nil"/>
              <w:right w:val="nil"/>
            </w:tcBorders>
            <w:shd w:val="clear" w:color="auto" w:fill="auto"/>
            <w:vAlign w:val="center"/>
          </w:tcPr>
          <w:p w14:paraId="2F3AD5D5" w14:textId="77777777" w:rsidR="001669D8" w:rsidRDefault="00E265B4">
            <w:pPr>
              <w:rPr>
                <w:color w:val="000000"/>
                <w:sz w:val="22"/>
                <w:szCs w:val="22"/>
              </w:rPr>
            </w:pPr>
            <w:r>
              <w:rPr>
                <w:color w:val="000000"/>
                <w:sz w:val="22"/>
                <w:szCs w:val="22"/>
              </w:rPr>
              <w:t>The University of Lancaster</w:t>
            </w:r>
          </w:p>
        </w:tc>
        <w:tc>
          <w:tcPr>
            <w:tcW w:w="3940" w:type="dxa"/>
            <w:tcBorders>
              <w:top w:val="nil"/>
              <w:left w:val="nil"/>
              <w:bottom w:val="nil"/>
              <w:right w:val="nil"/>
            </w:tcBorders>
            <w:shd w:val="clear" w:color="auto" w:fill="auto"/>
            <w:vAlign w:val="center"/>
          </w:tcPr>
          <w:p w14:paraId="7F2A1C06" w14:textId="77777777" w:rsidR="001669D8" w:rsidRDefault="00E265B4">
            <w:pPr>
              <w:rPr>
                <w:color w:val="000000"/>
                <w:sz w:val="22"/>
                <w:szCs w:val="22"/>
              </w:rPr>
            </w:pPr>
            <w:r>
              <w:rPr>
                <w:color w:val="000000"/>
                <w:sz w:val="22"/>
                <w:szCs w:val="22"/>
              </w:rPr>
              <w:t>The University of East London</w:t>
            </w:r>
          </w:p>
        </w:tc>
      </w:tr>
      <w:tr w:rsidR="001669D8" w14:paraId="61387403" w14:textId="77777777">
        <w:trPr>
          <w:trHeight w:val="300"/>
        </w:trPr>
        <w:tc>
          <w:tcPr>
            <w:tcW w:w="5086" w:type="dxa"/>
            <w:tcBorders>
              <w:top w:val="nil"/>
              <w:left w:val="nil"/>
              <w:bottom w:val="nil"/>
              <w:right w:val="nil"/>
            </w:tcBorders>
            <w:shd w:val="clear" w:color="auto" w:fill="auto"/>
            <w:vAlign w:val="center"/>
          </w:tcPr>
          <w:p w14:paraId="5283A5DD" w14:textId="77777777" w:rsidR="001669D8" w:rsidRDefault="00E265B4">
            <w:pPr>
              <w:rPr>
                <w:color w:val="000000"/>
                <w:sz w:val="22"/>
                <w:szCs w:val="22"/>
              </w:rPr>
            </w:pPr>
            <w:r>
              <w:rPr>
                <w:color w:val="000000"/>
                <w:sz w:val="22"/>
                <w:szCs w:val="22"/>
              </w:rPr>
              <w:t>The University of Leeds</w:t>
            </w:r>
          </w:p>
        </w:tc>
        <w:tc>
          <w:tcPr>
            <w:tcW w:w="3940" w:type="dxa"/>
            <w:tcBorders>
              <w:top w:val="nil"/>
              <w:left w:val="nil"/>
              <w:bottom w:val="nil"/>
              <w:right w:val="nil"/>
            </w:tcBorders>
            <w:shd w:val="clear" w:color="auto" w:fill="auto"/>
            <w:vAlign w:val="center"/>
          </w:tcPr>
          <w:p w14:paraId="1F7EDEDC" w14:textId="77777777" w:rsidR="001669D8" w:rsidRDefault="00E265B4">
            <w:pPr>
              <w:rPr>
                <w:color w:val="000000"/>
                <w:sz w:val="22"/>
                <w:szCs w:val="22"/>
              </w:rPr>
            </w:pPr>
            <w:r>
              <w:rPr>
                <w:color w:val="000000"/>
                <w:sz w:val="22"/>
                <w:szCs w:val="22"/>
              </w:rPr>
              <w:t>The University of Greenwich</w:t>
            </w:r>
          </w:p>
        </w:tc>
      </w:tr>
      <w:tr w:rsidR="001669D8" w14:paraId="0EA94046" w14:textId="77777777">
        <w:trPr>
          <w:trHeight w:val="300"/>
        </w:trPr>
        <w:tc>
          <w:tcPr>
            <w:tcW w:w="5086" w:type="dxa"/>
            <w:tcBorders>
              <w:top w:val="nil"/>
              <w:left w:val="nil"/>
              <w:bottom w:val="nil"/>
              <w:right w:val="nil"/>
            </w:tcBorders>
            <w:shd w:val="clear" w:color="auto" w:fill="auto"/>
            <w:vAlign w:val="center"/>
          </w:tcPr>
          <w:p w14:paraId="4DC78BFA" w14:textId="77777777" w:rsidR="001669D8" w:rsidRDefault="00E265B4">
            <w:pPr>
              <w:rPr>
                <w:color w:val="000000"/>
                <w:sz w:val="22"/>
                <w:szCs w:val="22"/>
              </w:rPr>
            </w:pPr>
            <w:r>
              <w:rPr>
                <w:color w:val="000000"/>
                <w:sz w:val="22"/>
                <w:szCs w:val="22"/>
              </w:rPr>
              <w:t>The University of Leicester</w:t>
            </w:r>
          </w:p>
        </w:tc>
        <w:tc>
          <w:tcPr>
            <w:tcW w:w="3940" w:type="dxa"/>
            <w:tcBorders>
              <w:top w:val="nil"/>
              <w:left w:val="nil"/>
              <w:bottom w:val="nil"/>
              <w:right w:val="nil"/>
            </w:tcBorders>
            <w:shd w:val="clear" w:color="auto" w:fill="auto"/>
            <w:vAlign w:val="center"/>
          </w:tcPr>
          <w:p w14:paraId="7B51DD71" w14:textId="77777777" w:rsidR="001669D8" w:rsidRDefault="00E265B4">
            <w:pPr>
              <w:rPr>
                <w:color w:val="000000"/>
                <w:sz w:val="22"/>
                <w:szCs w:val="22"/>
              </w:rPr>
            </w:pPr>
            <w:r>
              <w:rPr>
                <w:color w:val="000000"/>
                <w:sz w:val="22"/>
                <w:szCs w:val="22"/>
              </w:rPr>
              <w:t>The University of Huddersfield</w:t>
            </w:r>
          </w:p>
        </w:tc>
      </w:tr>
      <w:tr w:rsidR="001669D8" w14:paraId="7A737658" w14:textId="77777777">
        <w:trPr>
          <w:trHeight w:val="300"/>
        </w:trPr>
        <w:tc>
          <w:tcPr>
            <w:tcW w:w="5086" w:type="dxa"/>
            <w:tcBorders>
              <w:top w:val="nil"/>
              <w:left w:val="nil"/>
              <w:bottom w:val="nil"/>
              <w:right w:val="nil"/>
            </w:tcBorders>
            <w:shd w:val="clear" w:color="auto" w:fill="auto"/>
            <w:vAlign w:val="center"/>
          </w:tcPr>
          <w:p w14:paraId="0E13799A" w14:textId="77777777" w:rsidR="001669D8" w:rsidRDefault="00E265B4">
            <w:pPr>
              <w:rPr>
                <w:color w:val="000000"/>
                <w:sz w:val="22"/>
                <w:szCs w:val="22"/>
              </w:rPr>
            </w:pPr>
            <w:r>
              <w:rPr>
                <w:color w:val="000000"/>
                <w:sz w:val="22"/>
                <w:szCs w:val="22"/>
              </w:rPr>
              <w:t>The University of Lincoln</w:t>
            </w:r>
          </w:p>
        </w:tc>
        <w:tc>
          <w:tcPr>
            <w:tcW w:w="3940" w:type="dxa"/>
            <w:tcBorders>
              <w:top w:val="nil"/>
              <w:left w:val="nil"/>
              <w:bottom w:val="nil"/>
              <w:right w:val="nil"/>
            </w:tcBorders>
            <w:shd w:val="clear" w:color="auto" w:fill="auto"/>
            <w:vAlign w:val="center"/>
          </w:tcPr>
          <w:p w14:paraId="1C2CB6F4" w14:textId="77777777" w:rsidR="001669D8" w:rsidRDefault="00E265B4">
            <w:pPr>
              <w:rPr>
                <w:color w:val="000000"/>
                <w:sz w:val="22"/>
                <w:szCs w:val="22"/>
              </w:rPr>
            </w:pPr>
            <w:r>
              <w:rPr>
                <w:color w:val="000000"/>
                <w:sz w:val="22"/>
                <w:szCs w:val="22"/>
              </w:rPr>
              <w:t>The University of Northampton</w:t>
            </w:r>
          </w:p>
        </w:tc>
      </w:tr>
      <w:tr w:rsidR="001669D8" w14:paraId="204C2CEF" w14:textId="77777777">
        <w:trPr>
          <w:trHeight w:val="300"/>
        </w:trPr>
        <w:tc>
          <w:tcPr>
            <w:tcW w:w="5086" w:type="dxa"/>
            <w:tcBorders>
              <w:top w:val="nil"/>
              <w:left w:val="nil"/>
              <w:bottom w:val="nil"/>
              <w:right w:val="nil"/>
            </w:tcBorders>
            <w:shd w:val="clear" w:color="auto" w:fill="auto"/>
            <w:vAlign w:val="center"/>
          </w:tcPr>
          <w:p w14:paraId="3A9007A7" w14:textId="77777777" w:rsidR="001669D8" w:rsidRDefault="00E265B4">
            <w:pPr>
              <w:rPr>
                <w:color w:val="000000"/>
                <w:sz w:val="22"/>
                <w:szCs w:val="22"/>
              </w:rPr>
            </w:pPr>
            <w:r>
              <w:rPr>
                <w:color w:val="000000"/>
                <w:sz w:val="22"/>
                <w:szCs w:val="22"/>
              </w:rPr>
              <w:t>The University of Liverpool</w:t>
            </w:r>
          </w:p>
        </w:tc>
        <w:tc>
          <w:tcPr>
            <w:tcW w:w="3940" w:type="dxa"/>
            <w:tcBorders>
              <w:top w:val="nil"/>
              <w:left w:val="nil"/>
              <w:bottom w:val="nil"/>
              <w:right w:val="nil"/>
            </w:tcBorders>
            <w:shd w:val="clear" w:color="auto" w:fill="auto"/>
            <w:vAlign w:val="center"/>
          </w:tcPr>
          <w:p w14:paraId="42826AE8" w14:textId="77777777" w:rsidR="001669D8" w:rsidRDefault="00E265B4">
            <w:pPr>
              <w:rPr>
                <w:color w:val="000000"/>
                <w:sz w:val="22"/>
                <w:szCs w:val="22"/>
              </w:rPr>
            </w:pPr>
            <w:r>
              <w:rPr>
                <w:color w:val="000000"/>
                <w:sz w:val="22"/>
                <w:szCs w:val="22"/>
              </w:rPr>
              <w:t>The University of Portsmouth</w:t>
            </w:r>
          </w:p>
        </w:tc>
      </w:tr>
      <w:tr w:rsidR="001669D8" w14:paraId="1248A6E2" w14:textId="77777777">
        <w:trPr>
          <w:trHeight w:val="300"/>
        </w:trPr>
        <w:tc>
          <w:tcPr>
            <w:tcW w:w="5086" w:type="dxa"/>
            <w:tcBorders>
              <w:top w:val="nil"/>
              <w:left w:val="nil"/>
              <w:bottom w:val="nil"/>
              <w:right w:val="nil"/>
            </w:tcBorders>
            <w:shd w:val="clear" w:color="auto" w:fill="auto"/>
            <w:vAlign w:val="center"/>
          </w:tcPr>
          <w:p w14:paraId="2564A0D2" w14:textId="77777777" w:rsidR="001669D8" w:rsidRDefault="00E265B4">
            <w:pPr>
              <w:rPr>
                <w:color w:val="000000"/>
                <w:sz w:val="22"/>
                <w:szCs w:val="22"/>
              </w:rPr>
            </w:pPr>
            <w:r>
              <w:rPr>
                <w:color w:val="000000"/>
                <w:sz w:val="22"/>
                <w:szCs w:val="22"/>
              </w:rPr>
              <w:t>The University of Manchester</w:t>
            </w:r>
          </w:p>
        </w:tc>
        <w:tc>
          <w:tcPr>
            <w:tcW w:w="3940" w:type="dxa"/>
            <w:tcBorders>
              <w:top w:val="nil"/>
              <w:left w:val="nil"/>
              <w:bottom w:val="nil"/>
              <w:right w:val="nil"/>
            </w:tcBorders>
            <w:shd w:val="clear" w:color="auto" w:fill="auto"/>
            <w:vAlign w:val="center"/>
          </w:tcPr>
          <w:p w14:paraId="207A6385" w14:textId="77777777" w:rsidR="001669D8" w:rsidRDefault="00E265B4">
            <w:pPr>
              <w:rPr>
                <w:color w:val="000000"/>
                <w:sz w:val="22"/>
                <w:szCs w:val="22"/>
              </w:rPr>
            </w:pPr>
            <w:r>
              <w:rPr>
                <w:color w:val="000000"/>
                <w:sz w:val="22"/>
                <w:szCs w:val="22"/>
              </w:rPr>
              <w:t>The University of Sunderland</w:t>
            </w:r>
          </w:p>
        </w:tc>
      </w:tr>
      <w:tr w:rsidR="001669D8" w14:paraId="4852B5AF" w14:textId="77777777">
        <w:trPr>
          <w:trHeight w:val="300"/>
        </w:trPr>
        <w:tc>
          <w:tcPr>
            <w:tcW w:w="5086" w:type="dxa"/>
            <w:tcBorders>
              <w:top w:val="nil"/>
              <w:left w:val="nil"/>
              <w:bottom w:val="nil"/>
              <w:right w:val="nil"/>
            </w:tcBorders>
            <w:shd w:val="clear" w:color="auto" w:fill="auto"/>
            <w:vAlign w:val="center"/>
          </w:tcPr>
          <w:p w14:paraId="0836DD1C" w14:textId="77777777" w:rsidR="001669D8" w:rsidRDefault="00E265B4">
            <w:pPr>
              <w:rPr>
                <w:color w:val="000000"/>
                <w:sz w:val="22"/>
                <w:szCs w:val="22"/>
              </w:rPr>
            </w:pPr>
            <w:r>
              <w:rPr>
                <w:color w:val="000000"/>
                <w:sz w:val="22"/>
                <w:szCs w:val="22"/>
              </w:rPr>
              <w:t>The University of Oxford</w:t>
            </w:r>
          </w:p>
        </w:tc>
        <w:tc>
          <w:tcPr>
            <w:tcW w:w="3940" w:type="dxa"/>
            <w:tcBorders>
              <w:top w:val="nil"/>
              <w:left w:val="nil"/>
              <w:bottom w:val="nil"/>
              <w:right w:val="nil"/>
            </w:tcBorders>
            <w:shd w:val="clear" w:color="auto" w:fill="auto"/>
            <w:vAlign w:val="center"/>
          </w:tcPr>
          <w:p w14:paraId="3BCD26B5" w14:textId="77777777" w:rsidR="001669D8" w:rsidRDefault="00E265B4">
            <w:pPr>
              <w:rPr>
                <w:color w:val="000000"/>
                <w:sz w:val="22"/>
                <w:szCs w:val="22"/>
              </w:rPr>
            </w:pPr>
            <w:r>
              <w:rPr>
                <w:color w:val="000000"/>
                <w:sz w:val="22"/>
                <w:szCs w:val="22"/>
              </w:rPr>
              <w:t>The University of the West of Scotland</w:t>
            </w:r>
          </w:p>
        </w:tc>
      </w:tr>
      <w:tr w:rsidR="001669D8" w14:paraId="79C3011B" w14:textId="77777777">
        <w:trPr>
          <w:trHeight w:val="300"/>
        </w:trPr>
        <w:tc>
          <w:tcPr>
            <w:tcW w:w="5086" w:type="dxa"/>
            <w:tcBorders>
              <w:top w:val="nil"/>
              <w:left w:val="nil"/>
              <w:bottom w:val="nil"/>
              <w:right w:val="nil"/>
            </w:tcBorders>
            <w:shd w:val="clear" w:color="auto" w:fill="auto"/>
            <w:vAlign w:val="center"/>
          </w:tcPr>
          <w:p w14:paraId="2810E2CD" w14:textId="77777777" w:rsidR="001669D8" w:rsidRDefault="00E265B4">
            <w:pPr>
              <w:rPr>
                <w:color w:val="000000"/>
                <w:sz w:val="22"/>
                <w:szCs w:val="22"/>
              </w:rPr>
            </w:pPr>
            <w:r>
              <w:rPr>
                <w:color w:val="000000"/>
                <w:sz w:val="22"/>
                <w:szCs w:val="22"/>
              </w:rPr>
              <w:t>The University of Reading</w:t>
            </w:r>
          </w:p>
        </w:tc>
        <w:tc>
          <w:tcPr>
            <w:tcW w:w="3940" w:type="dxa"/>
            <w:tcBorders>
              <w:top w:val="nil"/>
              <w:left w:val="nil"/>
              <w:bottom w:val="nil"/>
              <w:right w:val="nil"/>
            </w:tcBorders>
            <w:shd w:val="clear" w:color="auto" w:fill="auto"/>
            <w:vAlign w:val="center"/>
          </w:tcPr>
          <w:p w14:paraId="2AD99F5A" w14:textId="77777777" w:rsidR="001669D8" w:rsidRDefault="00E265B4">
            <w:pPr>
              <w:rPr>
                <w:color w:val="000000"/>
                <w:sz w:val="22"/>
                <w:szCs w:val="22"/>
              </w:rPr>
            </w:pPr>
            <w:r>
              <w:rPr>
                <w:color w:val="000000"/>
                <w:sz w:val="22"/>
                <w:szCs w:val="22"/>
              </w:rPr>
              <w:t>The University of West London</w:t>
            </w:r>
          </w:p>
        </w:tc>
      </w:tr>
      <w:tr w:rsidR="001669D8" w14:paraId="67ACA12C" w14:textId="77777777">
        <w:trPr>
          <w:trHeight w:val="300"/>
        </w:trPr>
        <w:tc>
          <w:tcPr>
            <w:tcW w:w="5086" w:type="dxa"/>
            <w:tcBorders>
              <w:top w:val="nil"/>
              <w:left w:val="nil"/>
              <w:bottom w:val="nil"/>
              <w:right w:val="nil"/>
            </w:tcBorders>
            <w:shd w:val="clear" w:color="auto" w:fill="auto"/>
            <w:vAlign w:val="center"/>
          </w:tcPr>
          <w:p w14:paraId="490E589A" w14:textId="77777777" w:rsidR="001669D8" w:rsidRDefault="00E265B4">
            <w:pPr>
              <w:rPr>
                <w:color w:val="000000"/>
                <w:sz w:val="22"/>
                <w:szCs w:val="22"/>
              </w:rPr>
            </w:pPr>
            <w:r>
              <w:rPr>
                <w:color w:val="000000"/>
                <w:sz w:val="22"/>
                <w:szCs w:val="22"/>
              </w:rPr>
              <w:t>The University of Salford</w:t>
            </w:r>
          </w:p>
        </w:tc>
        <w:tc>
          <w:tcPr>
            <w:tcW w:w="3940" w:type="dxa"/>
            <w:tcBorders>
              <w:top w:val="nil"/>
              <w:left w:val="nil"/>
              <w:bottom w:val="nil"/>
              <w:right w:val="nil"/>
            </w:tcBorders>
            <w:shd w:val="clear" w:color="auto" w:fill="auto"/>
            <w:vAlign w:val="center"/>
          </w:tcPr>
          <w:p w14:paraId="4669E615" w14:textId="77777777" w:rsidR="001669D8" w:rsidRDefault="00E265B4">
            <w:pPr>
              <w:rPr>
                <w:color w:val="000000"/>
                <w:sz w:val="22"/>
                <w:szCs w:val="22"/>
              </w:rPr>
            </w:pPr>
            <w:r>
              <w:rPr>
                <w:color w:val="000000"/>
                <w:sz w:val="22"/>
                <w:szCs w:val="22"/>
              </w:rPr>
              <w:t>The University of Westminster</w:t>
            </w:r>
          </w:p>
        </w:tc>
      </w:tr>
      <w:tr w:rsidR="001669D8" w14:paraId="48602445" w14:textId="77777777">
        <w:trPr>
          <w:trHeight w:val="300"/>
        </w:trPr>
        <w:tc>
          <w:tcPr>
            <w:tcW w:w="5086" w:type="dxa"/>
            <w:tcBorders>
              <w:top w:val="nil"/>
              <w:left w:val="nil"/>
              <w:bottom w:val="nil"/>
              <w:right w:val="nil"/>
            </w:tcBorders>
            <w:shd w:val="clear" w:color="auto" w:fill="auto"/>
            <w:vAlign w:val="center"/>
          </w:tcPr>
          <w:p w14:paraId="64B00440" w14:textId="77777777" w:rsidR="001669D8" w:rsidRDefault="00E265B4">
            <w:pPr>
              <w:rPr>
                <w:color w:val="000000"/>
                <w:sz w:val="22"/>
                <w:szCs w:val="22"/>
              </w:rPr>
            </w:pPr>
            <w:r>
              <w:rPr>
                <w:color w:val="000000"/>
                <w:sz w:val="22"/>
                <w:szCs w:val="22"/>
              </w:rPr>
              <w:t>The University of Sheffield</w:t>
            </w:r>
          </w:p>
        </w:tc>
        <w:tc>
          <w:tcPr>
            <w:tcW w:w="3940" w:type="dxa"/>
            <w:tcBorders>
              <w:top w:val="nil"/>
              <w:left w:val="nil"/>
              <w:bottom w:val="nil"/>
              <w:right w:val="nil"/>
            </w:tcBorders>
            <w:shd w:val="clear" w:color="auto" w:fill="auto"/>
            <w:vAlign w:val="center"/>
          </w:tcPr>
          <w:p w14:paraId="4FA00156" w14:textId="77777777" w:rsidR="001669D8" w:rsidRDefault="00E265B4">
            <w:pPr>
              <w:rPr>
                <w:color w:val="000000"/>
                <w:sz w:val="22"/>
                <w:szCs w:val="22"/>
              </w:rPr>
            </w:pPr>
            <w:r>
              <w:rPr>
                <w:color w:val="000000"/>
                <w:sz w:val="22"/>
                <w:szCs w:val="22"/>
              </w:rPr>
              <w:t>The University of Winchester</w:t>
            </w:r>
          </w:p>
        </w:tc>
      </w:tr>
      <w:tr w:rsidR="001669D8" w14:paraId="1047C197" w14:textId="77777777">
        <w:trPr>
          <w:trHeight w:val="300"/>
        </w:trPr>
        <w:tc>
          <w:tcPr>
            <w:tcW w:w="5086" w:type="dxa"/>
            <w:tcBorders>
              <w:top w:val="nil"/>
              <w:left w:val="nil"/>
              <w:bottom w:val="nil"/>
              <w:right w:val="nil"/>
            </w:tcBorders>
            <w:shd w:val="clear" w:color="auto" w:fill="auto"/>
            <w:vAlign w:val="center"/>
          </w:tcPr>
          <w:p w14:paraId="2B5C57B7" w14:textId="77777777" w:rsidR="001669D8" w:rsidRDefault="00E265B4">
            <w:pPr>
              <w:rPr>
                <w:color w:val="000000"/>
                <w:sz w:val="22"/>
                <w:szCs w:val="22"/>
              </w:rPr>
            </w:pPr>
            <w:r>
              <w:rPr>
                <w:color w:val="000000"/>
                <w:sz w:val="22"/>
                <w:szCs w:val="22"/>
              </w:rPr>
              <w:t>The University of Southampton</w:t>
            </w:r>
          </w:p>
        </w:tc>
        <w:tc>
          <w:tcPr>
            <w:tcW w:w="3940" w:type="dxa"/>
            <w:tcBorders>
              <w:top w:val="nil"/>
              <w:left w:val="nil"/>
              <w:bottom w:val="nil"/>
              <w:right w:val="nil"/>
            </w:tcBorders>
            <w:shd w:val="clear" w:color="auto" w:fill="auto"/>
            <w:vAlign w:val="center"/>
          </w:tcPr>
          <w:p w14:paraId="109DC97F" w14:textId="77777777" w:rsidR="001669D8" w:rsidRDefault="00E265B4">
            <w:pPr>
              <w:rPr>
                <w:color w:val="000000"/>
                <w:sz w:val="22"/>
                <w:szCs w:val="22"/>
              </w:rPr>
            </w:pPr>
            <w:r>
              <w:rPr>
                <w:color w:val="000000"/>
                <w:sz w:val="22"/>
                <w:szCs w:val="22"/>
              </w:rPr>
              <w:t>The University of Wolverhampton</w:t>
            </w:r>
          </w:p>
        </w:tc>
      </w:tr>
      <w:tr w:rsidR="001669D8" w14:paraId="7E55B94D" w14:textId="77777777">
        <w:trPr>
          <w:trHeight w:val="300"/>
        </w:trPr>
        <w:tc>
          <w:tcPr>
            <w:tcW w:w="5086" w:type="dxa"/>
            <w:tcBorders>
              <w:top w:val="nil"/>
              <w:left w:val="nil"/>
              <w:bottom w:val="nil"/>
              <w:right w:val="nil"/>
            </w:tcBorders>
            <w:shd w:val="clear" w:color="auto" w:fill="auto"/>
            <w:vAlign w:val="center"/>
          </w:tcPr>
          <w:p w14:paraId="2BDA7707" w14:textId="77777777" w:rsidR="001669D8" w:rsidRDefault="00E265B4">
            <w:pPr>
              <w:rPr>
                <w:color w:val="000000"/>
                <w:sz w:val="22"/>
                <w:szCs w:val="22"/>
              </w:rPr>
            </w:pPr>
            <w:r>
              <w:rPr>
                <w:color w:val="000000"/>
                <w:sz w:val="22"/>
                <w:szCs w:val="22"/>
              </w:rPr>
              <w:t>The University of St Andrews</w:t>
            </w:r>
          </w:p>
        </w:tc>
        <w:tc>
          <w:tcPr>
            <w:tcW w:w="3940" w:type="dxa"/>
            <w:tcBorders>
              <w:top w:val="nil"/>
              <w:left w:val="nil"/>
              <w:bottom w:val="nil"/>
              <w:right w:val="nil"/>
            </w:tcBorders>
            <w:shd w:val="clear" w:color="auto" w:fill="auto"/>
            <w:vAlign w:val="center"/>
          </w:tcPr>
          <w:p w14:paraId="771511B8" w14:textId="77777777" w:rsidR="001669D8" w:rsidRDefault="00E265B4">
            <w:pPr>
              <w:rPr>
                <w:color w:val="000000"/>
                <w:sz w:val="22"/>
                <w:szCs w:val="22"/>
              </w:rPr>
            </w:pPr>
            <w:r>
              <w:rPr>
                <w:color w:val="000000"/>
                <w:sz w:val="22"/>
                <w:szCs w:val="22"/>
              </w:rPr>
              <w:t>University of Abertay Dundee</w:t>
            </w:r>
          </w:p>
        </w:tc>
      </w:tr>
      <w:tr w:rsidR="001669D8" w14:paraId="6B3C7358" w14:textId="77777777">
        <w:trPr>
          <w:trHeight w:val="300"/>
        </w:trPr>
        <w:tc>
          <w:tcPr>
            <w:tcW w:w="5086" w:type="dxa"/>
            <w:tcBorders>
              <w:top w:val="nil"/>
              <w:left w:val="nil"/>
              <w:bottom w:val="nil"/>
              <w:right w:val="nil"/>
            </w:tcBorders>
            <w:shd w:val="clear" w:color="auto" w:fill="auto"/>
            <w:vAlign w:val="center"/>
          </w:tcPr>
          <w:p w14:paraId="39B2A9BF" w14:textId="77777777" w:rsidR="001669D8" w:rsidRDefault="00E265B4">
            <w:pPr>
              <w:rPr>
                <w:color w:val="000000"/>
                <w:sz w:val="22"/>
                <w:szCs w:val="22"/>
              </w:rPr>
            </w:pPr>
            <w:r>
              <w:rPr>
                <w:color w:val="000000"/>
                <w:sz w:val="22"/>
                <w:szCs w:val="22"/>
              </w:rPr>
              <w:t>The University of Stirling</w:t>
            </w:r>
          </w:p>
        </w:tc>
        <w:tc>
          <w:tcPr>
            <w:tcW w:w="3940" w:type="dxa"/>
            <w:tcBorders>
              <w:top w:val="nil"/>
              <w:left w:val="nil"/>
              <w:bottom w:val="nil"/>
              <w:right w:val="nil"/>
            </w:tcBorders>
            <w:shd w:val="clear" w:color="auto" w:fill="auto"/>
            <w:vAlign w:val="center"/>
          </w:tcPr>
          <w:p w14:paraId="1626D816" w14:textId="77777777" w:rsidR="001669D8" w:rsidRDefault="00E265B4">
            <w:pPr>
              <w:rPr>
                <w:color w:val="000000"/>
                <w:sz w:val="22"/>
                <w:szCs w:val="22"/>
              </w:rPr>
            </w:pPr>
            <w:r>
              <w:rPr>
                <w:color w:val="000000"/>
                <w:sz w:val="22"/>
                <w:szCs w:val="22"/>
              </w:rPr>
              <w:t>University of Chester</w:t>
            </w:r>
          </w:p>
        </w:tc>
      </w:tr>
      <w:tr w:rsidR="001669D8" w14:paraId="0E36F5AA" w14:textId="77777777">
        <w:trPr>
          <w:trHeight w:val="300"/>
        </w:trPr>
        <w:tc>
          <w:tcPr>
            <w:tcW w:w="5086" w:type="dxa"/>
            <w:tcBorders>
              <w:top w:val="nil"/>
              <w:left w:val="nil"/>
              <w:bottom w:val="nil"/>
              <w:right w:val="nil"/>
            </w:tcBorders>
            <w:shd w:val="clear" w:color="auto" w:fill="auto"/>
            <w:vAlign w:val="center"/>
          </w:tcPr>
          <w:p w14:paraId="0921EF62" w14:textId="77777777" w:rsidR="001669D8" w:rsidRDefault="00E265B4">
            <w:pPr>
              <w:rPr>
                <w:color w:val="000000"/>
                <w:sz w:val="22"/>
                <w:szCs w:val="22"/>
              </w:rPr>
            </w:pPr>
            <w:r>
              <w:rPr>
                <w:color w:val="000000"/>
                <w:sz w:val="22"/>
                <w:szCs w:val="22"/>
              </w:rPr>
              <w:t>The University of Strathclyde</w:t>
            </w:r>
          </w:p>
        </w:tc>
        <w:tc>
          <w:tcPr>
            <w:tcW w:w="3940" w:type="dxa"/>
            <w:tcBorders>
              <w:top w:val="nil"/>
              <w:left w:val="nil"/>
              <w:bottom w:val="nil"/>
              <w:right w:val="nil"/>
            </w:tcBorders>
            <w:shd w:val="clear" w:color="auto" w:fill="auto"/>
            <w:vAlign w:val="center"/>
          </w:tcPr>
          <w:p w14:paraId="75E9322E" w14:textId="77777777" w:rsidR="001669D8" w:rsidRDefault="00E265B4">
            <w:pPr>
              <w:rPr>
                <w:color w:val="000000"/>
                <w:sz w:val="22"/>
                <w:szCs w:val="22"/>
              </w:rPr>
            </w:pPr>
            <w:r>
              <w:rPr>
                <w:color w:val="000000"/>
                <w:sz w:val="22"/>
                <w:szCs w:val="22"/>
              </w:rPr>
              <w:t>University of Cumbria</w:t>
            </w:r>
          </w:p>
        </w:tc>
      </w:tr>
      <w:tr w:rsidR="001669D8" w14:paraId="68DC95C4" w14:textId="77777777">
        <w:trPr>
          <w:trHeight w:val="300"/>
        </w:trPr>
        <w:tc>
          <w:tcPr>
            <w:tcW w:w="5086" w:type="dxa"/>
            <w:tcBorders>
              <w:top w:val="nil"/>
              <w:left w:val="nil"/>
              <w:bottom w:val="nil"/>
              <w:right w:val="nil"/>
            </w:tcBorders>
            <w:shd w:val="clear" w:color="auto" w:fill="auto"/>
            <w:vAlign w:val="center"/>
          </w:tcPr>
          <w:p w14:paraId="6D7B4469" w14:textId="77777777" w:rsidR="001669D8" w:rsidRDefault="00E265B4">
            <w:pPr>
              <w:rPr>
                <w:color w:val="000000"/>
                <w:sz w:val="22"/>
                <w:szCs w:val="22"/>
              </w:rPr>
            </w:pPr>
            <w:r>
              <w:rPr>
                <w:color w:val="000000"/>
                <w:sz w:val="22"/>
                <w:szCs w:val="22"/>
              </w:rPr>
              <w:t>The University of Surrey</w:t>
            </w:r>
          </w:p>
        </w:tc>
        <w:tc>
          <w:tcPr>
            <w:tcW w:w="3940" w:type="dxa"/>
            <w:tcBorders>
              <w:top w:val="nil"/>
              <w:left w:val="nil"/>
              <w:bottom w:val="nil"/>
              <w:right w:val="nil"/>
            </w:tcBorders>
            <w:shd w:val="clear" w:color="auto" w:fill="auto"/>
            <w:vAlign w:val="center"/>
          </w:tcPr>
          <w:p w14:paraId="2CFC5F31" w14:textId="77777777" w:rsidR="001669D8" w:rsidRDefault="00E265B4">
            <w:pPr>
              <w:rPr>
                <w:color w:val="000000"/>
                <w:sz w:val="22"/>
                <w:szCs w:val="22"/>
              </w:rPr>
            </w:pPr>
            <w:r>
              <w:rPr>
                <w:color w:val="000000"/>
                <w:sz w:val="22"/>
                <w:szCs w:val="22"/>
              </w:rPr>
              <w:t>University of Derby</w:t>
            </w:r>
          </w:p>
        </w:tc>
      </w:tr>
      <w:tr w:rsidR="001669D8" w14:paraId="13F7CF57" w14:textId="77777777">
        <w:trPr>
          <w:trHeight w:val="300"/>
        </w:trPr>
        <w:tc>
          <w:tcPr>
            <w:tcW w:w="5086" w:type="dxa"/>
            <w:tcBorders>
              <w:top w:val="nil"/>
              <w:left w:val="nil"/>
              <w:bottom w:val="nil"/>
              <w:right w:val="nil"/>
            </w:tcBorders>
            <w:shd w:val="clear" w:color="auto" w:fill="auto"/>
            <w:vAlign w:val="center"/>
          </w:tcPr>
          <w:p w14:paraId="716A7E88" w14:textId="77777777" w:rsidR="001669D8" w:rsidRDefault="00E265B4">
            <w:pPr>
              <w:rPr>
                <w:color w:val="000000"/>
                <w:sz w:val="22"/>
                <w:szCs w:val="22"/>
              </w:rPr>
            </w:pPr>
            <w:r>
              <w:rPr>
                <w:color w:val="000000"/>
                <w:sz w:val="22"/>
                <w:szCs w:val="22"/>
              </w:rPr>
              <w:t>The University of Sussex</w:t>
            </w:r>
          </w:p>
        </w:tc>
        <w:tc>
          <w:tcPr>
            <w:tcW w:w="3940" w:type="dxa"/>
            <w:tcBorders>
              <w:top w:val="nil"/>
              <w:left w:val="nil"/>
              <w:bottom w:val="nil"/>
              <w:right w:val="nil"/>
            </w:tcBorders>
            <w:shd w:val="clear" w:color="auto" w:fill="auto"/>
            <w:vAlign w:val="center"/>
          </w:tcPr>
          <w:p w14:paraId="1D850AB0" w14:textId="77777777" w:rsidR="001669D8" w:rsidRDefault="00E265B4">
            <w:pPr>
              <w:rPr>
                <w:color w:val="000000"/>
                <w:sz w:val="22"/>
                <w:szCs w:val="22"/>
              </w:rPr>
            </w:pPr>
            <w:r>
              <w:rPr>
                <w:color w:val="000000"/>
                <w:sz w:val="22"/>
                <w:szCs w:val="22"/>
              </w:rPr>
              <w:t>University of Gloucestershire</w:t>
            </w:r>
          </w:p>
        </w:tc>
      </w:tr>
      <w:tr w:rsidR="001669D8" w14:paraId="3340FCD4" w14:textId="77777777">
        <w:trPr>
          <w:trHeight w:val="300"/>
        </w:trPr>
        <w:tc>
          <w:tcPr>
            <w:tcW w:w="5086" w:type="dxa"/>
            <w:tcBorders>
              <w:top w:val="nil"/>
              <w:left w:val="nil"/>
              <w:bottom w:val="nil"/>
              <w:right w:val="nil"/>
            </w:tcBorders>
            <w:shd w:val="clear" w:color="auto" w:fill="auto"/>
            <w:vAlign w:val="center"/>
          </w:tcPr>
          <w:p w14:paraId="24DA086F" w14:textId="77777777" w:rsidR="001669D8" w:rsidRDefault="00E265B4">
            <w:pPr>
              <w:rPr>
                <w:color w:val="000000"/>
                <w:sz w:val="22"/>
                <w:szCs w:val="22"/>
              </w:rPr>
            </w:pPr>
            <w:r>
              <w:rPr>
                <w:color w:val="000000"/>
                <w:sz w:val="22"/>
                <w:szCs w:val="22"/>
              </w:rPr>
              <w:t>The University of Warwick</w:t>
            </w:r>
          </w:p>
        </w:tc>
        <w:tc>
          <w:tcPr>
            <w:tcW w:w="3940" w:type="dxa"/>
            <w:tcBorders>
              <w:top w:val="nil"/>
              <w:left w:val="nil"/>
              <w:bottom w:val="nil"/>
              <w:right w:val="nil"/>
            </w:tcBorders>
            <w:shd w:val="clear" w:color="auto" w:fill="auto"/>
            <w:vAlign w:val="center"/>
          </w:tcPr>
          <w:p w14:paraId="5B825D45" w14:textId="77777777" w:rsidR="001669D8" w:rsidRDefault="00E265B4">
            <w:pPr>
              <w:rPr>
                <w:color w:val="000000"/>
                <w:sz w:val="22"/>
                <w:szCs w:val="22"/>
              </w:rPr>
            </w:pPr>
            <w:r>
              <w:rPr>
                <w:color w:val="000000"/>
                <w:sz w:val="22"/>
                <w:szCs w:val="22"/>
              </w:rPr>
              <w:t>University of Hertfordshire</w:t>
            </w:r>
          </w:p>
        </w:tc>
      </w:tr>
      <w:tr w:rsidR="001669D8" w14:paraId="74879509" w14:textId="77777777">
        <w:trPr>
          <w:trHeight w:val="300"/>
        </w:trPr>
        <w:tc>
          <w:tcPr>
            <w:tcW w:w="5086" w:type="dxa"/>
            <w:tcBorders>
              <w:top w:val="nil"/>
              <w:left w:val="nil"/>
              <w:bottom w:val="nil"/>
              <w:right w:val="nil"/>
            </w:tcBorders>
            <w:shd w:val="clear" w:color="auto" w:fill="auto"/>
            <w:vAlign w:val="center"/>
          </w:tcPr>
          <w:p w14:paraId="5F3025E8" w14:textId="77777777" w:rsidR="001669D8" w:rsidRDefault="00E265B4">
            <w:pPr>
              <w:rPr>
                <w:color w:val="000000"/>
                <w:sz w:val="22"/>
                <w:szCs w:val="22"/>
              </w:rPr>
            </w:pPr>
            <w:r>
              <w:rPr>
                <w:color w:val="000000"/>
                <w:sz w:val="22"/>
                <w:szCs w:val="22"/>
              </w:rPr>
              <w:t>The University of York</w:t>
            </w:r>
          </w:p>
        </w:tc>
        <w:tc>
          <w:tcPr>
            <w:tcW w:w="3940" w:type="dxa"/>
            <w:tcBorders>
              <w:top w:val="nil"/>
              <w:left w:val="nil"/>
              <w:bottom w:val="nil"/>
              <w:right w:val="nil"/>
            </w:tcBorders>
            <w:shd w:val="clear" w:color="auto" w:fill="auto"/>
            <w:vAlign w:val="center"/>
          </w:tcPr>
          <w:p w14:paraId="552B2DC4" w14:textId="77777777" w:rsidR="001669D8" w:rsidRDefault="00E265B4">
            <w:pPr>
              <w:rPr>
                <w:color w:val="000000"/>
                <w:sz w:val="22"/>
                <w:szCs w:val="22"/>
              </w:rPr>
            </w:pPr>
            <w:r>
              <w:rPr>
                <w:color w:val="000000"/>
                <w:sz w:val="22"/>
                <w:szCs w:val="22"/>
              </w:rPr>
              <w:t>University of Northumbria at Newcastle</w:t>
            </w:r>
          </w:p>
        </w:tc>
      </w:tr>
      <w:tr w:rsidR="001669D8" w14:paraId="6DEEF5AA" w14:textId="77777777">
        <w:trPr>
          <w:trHeight w:val="300"/>
        </w:trPr>
        <w:tc>
          <w:tcPr>
            <w:tcW w:w="5086" w:type="dxa"/>
            <w:tcBorders>
              <w:top w:val="nil"/>
              <w:left w:val="nil"/>
              <w:bottom w:val="nil"/>
              <w:right w:val="nil"/>
            </w:tcBorders>
            <w:shd w:val="clear" w:color="auto" w:fill="auto"/>
            <w:vAlign w:val="center"/>
          </w:tcPr>
          <w:p w14:paraId="106D7C80" w14:textId="77777777" w:rsidR="001669D8" w:rsidRDefault="00E265B4">
            <w:pPr>
              <w:rPr>
                <w:color w:val="000000"/>
                <w:sz w:val="22"/>
                <w:szCs w:val="22"/>
              </w:rPr>
            </w:pPr>
            <w:r>
              <w:rPr>
                <w:color w:val="000000"/>
                <w:sz w:val="22"/>
                <w:szCs w:val="22"/>
              </w:rPr>
              <w:t>University College London</w:t>
            </w:r>
          </w:p>
        </w:tc>
        <w:tc>
          <w:tcPr>
            <w:tcW w:w="3940" w:type="dxa"/>
            <w:tcBorders>
              <w:top w:val="nil"/>
              <w:left w:val="nil"/>
              <w:bottom w:val="nil"/>
              <w:right w:val="nil"/>
            </w:tcBorders>
            <w:shd w:val="clear" w:color="auto" w:fill="auto"/>
            <w:vAlign w:val="center"/>
          </w:tcPr>
          <w:p w14:paraId="534DE249" w14:textId="77777777" w:rsidR="001669D8" w:rsidRDefault="00E265B4">
            <w:pPr>
              <w:rPr>
                <w:color w:val="000000"/>
                <w:sz w:val="22"/>
                <w:szCs w:val="22"/>
              </w:rPr>
            </w:pPr>
            <w:r>
              <w:rPr>
                <w:color w:val="000000"/>
                <w:sz w:val="22"/>
                <w:szCs w:val="22"/>
              </w:rPr>
              <w:t>University of Plymouth</w:t>
            </w:r>
          </w:p>
        </w:tc>
      </w:tr>
      <w:tr w:rsidR="001669D8" w14:paraId="1FF2D01D" w14:textId="77777777">
        <w:trPr>
          <w:trHeight w:val="300"/>
        </w:trPr>
        <w:tc>
          <w:tcPr>
            <w:tcW w:w="5086" w:type="dxa"/>
            <w:tcBorders>
              <w:top w:val="nil"/>
              <w:left w:val="nil"/>
              <w:bottom w:val="nil"/>
              <w:right w:val="nil"/>
            </w:tcBorders>
            <w:shd w:val="clear" w:color="auto" w:fill="auto"/>
            <w:vAlign w:val="center"/>
          </w:tcPr>
          <w:p w14:paraId="03537139" w14:textId="77777777" w:rsidR="001669D8" w:rsidRDefault="00E265B4">
            <w:pPr>
              <w:rPr>
                <w:color w:val="000000"/>
                <w:sz w:val="22"/>
                <w:szCs w:val="22"/>
              </w:rPr>
            </w:pPr>
            <w:r>
              <w:rPr>
                <w:color w:val="000000"/>
                <w:sz w:val="22"/>
                <w:szCs w:val="22"/>
              </w:rPr>
              <w:t>University of Durham</w:t>
            </w:r>
          </w:p>
        </w:tc>
        <w:tc>
          <w:tcPr>
            <w:tcW w:w="3940" w:type="dxa"/>
            <w:tcBorders>
              <w:top w:val="nil"/>
              <w:left w:val="nil"/>
              <w:bottom w:val="nil"/>
              <w:right w:val="nil"/>
            </w:tcBorders>
            <w:shd w:val="clear" w:color="auto" w:fill="auto"/>
            <w:vAlign w:val="center"/>
          </w:tcPr>
          <w:p w14:paraId="332B51ED" w14:textId="77777777" w:rsidR="001669D8" w:rsidRDefault="00E265B4">
            <w:pPr>
              <w:rPr>
                <w:color w:val="000000"/>
                <w:sz w:val="22"/>
                <w:szCs w:val="22"/>
              </w:rPr>
            </w:pPr>
            <w:r>
              <w:rPr>
                <w:color w:val="000000"/>
                <w:sz w:val="22"/>
                <w:szCs w:val="22"/>
              </w:rPr>
              <w:t>University of the Highlands and Islands</w:t>
            </w:r>
          </w:p>
        </w:tc>
      </w:tr>
      <w:tr w:rsidR="001669D8" w14:paraId="4A494CB6" w14:textId="77777777">
        <w:trPr>
          <w:trHeight w:val="300"/>
        </w:trPr>
        <w:tc>
          <w:tcPr>
            <w:tcW w:w="5086" w:type="dxa"/>
            <w:tcBorders>
              <w:top w:val="nil"/>
              <w:left w:val="nil"/>
              <w:bottom w:val="nil"/>
              <w:right w:val="nil"/>
            </w:tcBorders>
            <w:shd w:val="clear" w:color="auto" w:fill="auto"/>
            <w:vAlign w:val="center"/>
          </w:tcPr>
          <w:p w14:paraId="412698F0" w14:textId="77777777" w:rsidR="001669D8" w:rsidRDefault="00E265B4">
            <w:pPr>
              <w:rPr>
                <w:color w:val="000000"/>
                <w:sz w:val="22"/>
                <w:szCs w:val="22"/>
              </w:rPr>
            </w:pPr>
            <w:r>
              <w:rPr>
                <w:color w:val="000000"/>
                <w:sz w:val="22"/>
                <w:szCs w:val="22"/>
              </w:rPr>
              <w:t>University of Newcastle-upon-Tyne</w:t>
            </w:r>
          </w:p>
        </w:tc>
        <w:tc>
          <w:tcPr>
            <w:tcW w:w="3940" w:type="dxa"/>
            <w:tcBorders>
              <w:top w:val="nil"/>
              <w:left w:val="nil"/>
              <w:bottom w:val="nil"/>
              <w:right w:val="nil"/>
            </w:tcBorders>
            <w:shd w:val="clear" w:color="auto" w:fill="auto"/>
            <w:vAlign w:val="center"/>
          </w:tcPr>
          <w:p w14:paraId="00C61611" w14:textId="77777777" w:rsidR="001669D8" w:rsidRDefault="00E265B4">
            <w:pPr>
              <w:rPr>
                <w:color w:val="000000"/>
                <w:sz w:val="22"/>
                <w:szCs w:val="22"/>
              </w:rPr>
            </w:pPr>
            <w:r>
              <w:rPr>
                <w:color w:val="000000"/>
                <w:sz w:val="22"/>
                <w:szCs w:val="22"/>
              </w:rPr>
              <w:t>University of the West of England, Bristol</w:t>
            </w:r>
          </w:p>
        </w:tc>
      </w:tr>
      <w:tr w:rsidR="001669D8" w14:paraId="3F0DACE8" w14:textId="77777777">
        <w:trPr>
          <w:trHeight w:val="300"/>
        </w:trPr>
        <w:tc>
          <w:tcPr>
            <w:tcW w:w="5086" w:type="dxa"/>
            <w:tcBorders>
              <w:top w:val="nil"/>
              <w:left w:val="nil"/>
              <w:bottom w:val="nil"/>
              <w:right w:val="nil"/>
            </w:tcBorders>
            <w:shd w:val="clear" w:color="auto" w:fill="auto"/>
            <w:vAlign w:val="center"/>
          </w:tcPr>
          <w:p w14:paraId="7910C758" w14:textId="77777777" w:rsidR="001669D8" w:rsidRDefault="00E265B4">
            <w:pPr>
              <w:rPr>
                <w:color w:val="000000"/>
                <w:sz w:val="22"/>
                <w:szCs w:val="22"/>
              </w:rPr>
            </w:pPr>
            <w:r>
              <w:rPr>
                <w:color w:val="000000"/>
                <w:sz w:val="22"/>
                <w:szCs w:val="22"/>
              </w:rPr>
              <w:t>University of Nottingham</w:t>
            </w:r>
          </w:p>
        </w:tc>
        <w:tc>
          <w:tcPr>
            <w:tcW w:w="3940" w:type="dxa"/>
            <w:tcBorders>
              <w:top w:val="nil"/>
              <w:left w:val="nil"/>
              <w:bottom w:val="nil"/>
              <w:right w:val="nil"/>
            </w:tcBorders>
            <w:shd w:val="clear" w:color="auto" w:fill="auto"/>
            <w:vAlign w:val="center"/>
          </w:tcPr>
          <w:p w14:paraId="13BC6F7C" w14:textId="77777777" w:rsidR="001669D8" w:rsidRDefault="00E265B4">
            <w:pPr>
              <w:rPr>
                <w:color w:val="000000"/>
                <w:sz w:val="22"/>
                <w:szCs w:val="22"/>
              </w:rPr>
            </w:pPr>
            <w:r>
              <w:rPr>
                <w:color w:val="000000"/>
                <w:sz w:val="22"/>
                <w:szCs w:val="22"/>
              </w:rPr>
              <w:t>University of Worcester</w:t>
            </w:r>
          </w:p>
        </w:tc>
      </w:tr>
      <w:tr w:rsidR="001669D8" w14:paraId="278CA443" w14:textId="77777777">
        <w:trPr>
          <w:trHeight w:val="300"/>
        </w:trPr>
        <w:tc>
          <w:tcPr>
            <w:tcW w:w="5086" w:type="dxa"/>
            <w:tcBorders>
              <w:top w:val="nil"/>
              <w:left w:val="nil"/>
              <w:bottom w:val="nil"/>
              <w:right w:val="nil"/>
            </w:tcBorders>
            <w:shd w:val="clear" w:color="auto" w:fill="auto"/>
            <w:vAlign w:val="center"/>
          </w:tcPr>
          <w:p w14:paraId="0AAF175A" w14:textId="77777777" w:rsidR="001669D8" w:rsidRDefault="00E265B4">
            <w:pPr>
              <w:rPr>
                <w:color w:val="000000"/>
                <w:sz w:val="22"/>
                <w:szCs w:val="22"/>
              </w:rPr>
            </w:pPr>
            <w:r>
              <w:rPr>
                <w:color w:val="000000"/>
                <w:sz w:val="22"/>
                <w:szCs w:val="22"/>
              </w:rPr>
              <w:t>University of Ulster</w:t>
            </w:r>
          </w:p>
        </w:tc>
        <w:tc>
          <w:tcPr>
            <w:tcW w:w="3940" w:type="dxa"/>
            <w:tcBorders>
              <w:top w:val="nil"/>
              <w:left w:val="nil"/>
              <w:bottom w:val="nil"/>
              <w:right w:val="nil"/>
            </w:tcBorders>
            <w:shd w:val="clear" w:color="auto" w:fill="auto"/>
            <w:vAlign w:val="center"/>
          </w:tcPr>
          <w:p w14:paraId="7A1F8DB7" w14:textId="77777777" w:rsidR="001669D8" w:rsidRDefault="00E265B4">
            <w:pPr>
              <w:rPr>
                <w:color w:val="000000"/>
                <w:sz w:val="22"/>
                <w:szCs w:val="22"/>
              </w:rPr>
            </w:pPr>
            <w:r>
              <w:rPr>
                <w:color w:val="000000"/>
                <w:sz w:val="22"/>
                <w:szCs w:val="22"/>
              </w:rPr>
              <w:t>Writtle University College</w:t>
            </w:r>
          </w:p>
        </w:tc>
      </w:tr>
      <w:tr w:rsidR="001669D8" w14:paraId="01F03C2B" w14:textId="77777777">
        <w:trPr>
          <w:trHeight w:val="300"/>
        </w:trPr>
        <w:tc>
          <w:tcPr>
            <w:tcW w:w="5086" w:type="dxa"/>
            <w:tcBorders>
              <w:top w:val="nil"/>
              <w:left w:val="nil"/>
              <w:bottom w:val="single" w:sz="8" w:space="0" w:color="000000"/>
              <w:right w:val="nil"/>
            </w:tcBorders>
            <w:shd w:val="clear" w:color="auto" w:fill="auto"/>
            <w:vAlign w:val="bottom"/>
          </w:tcPr>
          <w:p w14:paraId="59865EB4" w14:textId="77777777" w:rsidR="001669D8" w:rsidRDefault="00E265B4">
            <w:pPr>
              <w:rPr>
                <w:color w:val="000000"/>
                <w:sz w:val="22"/>
                <w:szCs w:val="22"/>
              </w:rPr>
            </w:pPr>
            <w:r>
              <w:rPr>
                <w:color w:val="000000"/>
                <w:sz w:val="22"/>
                <w:szCs w:val="22"/>
              </w:rPr>
              <w:t> </w:t>
            </w:r>
          </w:p>
        </w:tc>
        <w:tc>
          <w:tcPr>
            <w:tcW w:w="3940" w:type="dxa"/>
            <w:tcBorders>
              <w:top w:val="nil"/>
              <w:left w:val="nil"/>
              <w:bottom w:val="single" w:sz="8" w:space="0" w:color="000000"/>
              <w:right w:val="nil"/>
            </w:tcBorders>
            <w:shd w:val="clear" w:color="auto" w:fill="auto"/>
            <w:vAlign w:val="center"/>
          </w:tcPr>
          <w:p w14:paraId="12EBFA5B" w14:textId="77777777" w:rsidR="001669D8" w:rsidRDefault="00E265B4">
            <w:pPr>
              <w:rPr>
                <w:color w:val="000000"/>
                <w:sz w:val="22"/>
                <w:szCs w:val="22"/>
              </w:rPr>
            </w:pPr>
            <w:r>
              <w:rPr>
                <w:color w:val="000000"/>
                <w:sz w:val="22"/>
                <w:szCs w:val="22"/>
              </w:rPr>
              <w:t>York St John University</w:t>
            </w:r>
          </w:p>
        </w:tc>
      </w:tr>
    </w:tbl>
    <w:p w14:paraId="7840FF8E" w14:textId="77777777" w:rsidR="001669D8" w:rsidRDefault="001669D8">
      <w:pPr>
        <w:rPr>
          <w:color w:val="000000"/>
        </w:rPr>
      </w:pPr>
    </w:p>
    <w:p w14:paraId="7098E4CB" w14:textId="77777777" w:rsidR="001669D8" w:rsidRDefault="001669D8">
      <w:pPr>
        <w:rPr>
          <w:b/>
          <w:color w:val="000000"/>
        </w:rPr>
      </w:pPr>
    </w:p>
    <w:p w14:paraId="348E3A68" w14:textId="77777777" w:rsidR="001669D8" w:rsidRDefault="001669D8">
      <w:pPr>
        <w:rPr>
          <w:b/>
          <w:color w:val="000000"/>
        </w:rPr>
      </w:pPr>
    </w:p>
    <w:p w14:paraId="4F636898" w14:textId="77777777" w:rsidR="001669D8" w:rsidRDefault="001669D8">
      <w:pPr>
        <w:rPr>
          <w:b/>
          <w:color w:val="000000"/>
        </w:rPr>
      </w:pPr>
    </w:p>
    <w:p w14:paraId="33B06DA1" w14:textId="77777777" w:rsidR="001669D8" w:rsidRDefault="001669D8">
      <w:pPr>
        <w:rPr>
          <w:b/>
          <w:color w:val="000000"/>
        </w:rPr>
      </w:pPr>
    </w:p>
    <w:p w14:paraId="126A8E3C" w14:textId="77777777" w:rsidR="001669D8" w:rsidRDefault="001669D8">
      <w:pPr>
        <w:rPr>
          <w:b/>
          <w:color w:val="000000"/>
        </w:rPr>
      </w:pPr>
    </w:p>
    <w:p w14:paraId="1CDF57FC" w14:textId="77777777" w:rsidR="001669D8" w:rsidRDefault="001669D8">
      <w:pPr>
        <w:rPr>
          <w:b/>
          <w:color w:val="000000"/>
        </w:rPr>
      </w:pPr>
    </w:p>
    <w:p w14:paraId="3F3F1D43" w14:textId="77777777" w:rsidR="001669D8" w:rsidRDefault="001669D8">
      <w:pPr>
        <w:rPr>
          <w:b/>
          <w:color w:val="000000"/>
        </w:rPr>
      </w:pPr>
    </w:p>
    <w:p w14:paraId="73526E73" w14:textId="77777777" w:rsidR="001669D8" w:rsidRDefault="001669D8">
      <w:pPr>
        <w:rPr>
          <w:b/>
          <w:color w:val="000000"/>
        </w:rPr>
      </w:pPr>
    </w:p>
    <w:p w14:paraId="3C642D2F" w14:textId="77777777" w:rsidR="001669D8" w:rsidRDefault="001669D8">
      <w:pPr>
        <w:rPr>
          <w:b/>
          <w:color w:val="000000"/>
        </w:rPr>
      </w:pPr>
    </w:p>
    <w:p w14:paraId="6A264434" w14:textId="77777777" w:rsidR="000F60AB" w:rsidRDefault="000F60AB">
      <w:pPr>
        <w:rPr>
          <w:b/>
          <w:color w:val="000000"/>
        </w:rPr>
      </w:pPr>
    </w:p>
    <w:p w14:paraId="591380D1" w14:textId="77777777" w:rsidR="000F60AB" w:rsidRDefault="000F60AB">
      <w:pPr>
        <w:rPr>
          <w:b/>
          <w:color w:val="000000"/>
        </w:rPr>
      </w:pPr>
    </w:p>
    <w:p w14:paraId="5C41AA6A" w14:textId="77777777" w:rsidR="000F60AB" w:rsidRDefault="000F60AB">
      <w:pPr>
        <w:rPr>
          <w:b/>
          <w:color w:val="000000"/>
        </w:rPr>
      </w:pPr>
    </w:p>
    <w:p w14:paraId="5E339234" w14:textId="77777777" w:rsidR="000F60AB" w:rsidRDefault="000F60AB">
      <w:pPr>
        <w:rPr>
          <w:b/>
          <w:color w:val="000000"/>
        </w:rPr>
      </w:pPr>
    </w:p>
    <w:p w14:paraId="7B7CABBB" w14:textId="77777777" w:rsidR="000F60AB" w:rsidRDefault="000F60AB">
      <w:pPr>
        <w:rPr>
          <w:b/>
          <w:color w:val="000000"/>
        </w:rPr>
      </w:pPr>
    </w:p>
    <w:p w14:paraId="78D512C6" w14:textId="77777777" w:rsidR="000F60AB" w:rsidRDefault="000F60AB">
      <w:pPr>
        <w:rPr>
          <w:b/>
          <w:color w:val="000000"/>
        </w:rPr>
      </w:pPr>
    </w:p>
    <w:p w14:paraId="213E4139" w14:textId="77777777" w:rsidR="000F60AB" w:rsidRDefault="000F60AB">
      <w:pPr>
        <w:rPr>
          <w:b/>
          <w:color w:val="000000"/>
        </w:rPr>
      </w:pPr>
    </w:p>
    <w:p w14:paraId="6C58F4F5" w14:textId="77777777" w:rsidR="000F60AB" w:rsidRDefault="000F60AB">
      <w:pPr>
        <w:rPr>
          <w:b/>
          <w:color w:val="000000"/>
        </w:rPr>
      </w:pPr>
    </w:p>
    <w:p w14:paraId="2BBA3F42" w14:textId="77777777" w:rsidR="000F60AB" w:rsidRDefault="000F60AB">
      <w:pPr>
        <w:rPr>
          <w:b/>
          <w:color w:val="000000"/>
        </w:rPr>
      </w:pPr>
    </w:p>
    <w:p w14:paraId="2319A251" w14:textId="77777777" w:rsidR="000F60AB" w:rsidRDefault="000F60AB">
      <w:pPr>
        <w:rPr>
          <w:b/>
          <w:color w:val="000000"/>
        </w:rPr>
      </w:pPr>
    </w:p>
    <w:p w14:paraId="2974C103" w14:textId="77777777" w:rsidR="000F60AB" w:rsidRDefault="000F60AB">
      <w:pPr>
        <w:rPr>
          <w:b/>
          <w:color w:val="000000"/>
        </w:rPr>
      </w:pPr>
    </w:p>
    <w:p w14:paraId="7F1D63C8" w14:textId="77777777" w:rsidR="000F60AB" w:rsidRDefault="000F60AB">
      <w:pPr>
        <w:rPr>
          <w:b/>
          <w:color w:val="000000"/>
        </w:rPr>
      </w:pPr>
    </w:p>
    <w:p w14:paraId="2589EBBD" w14:textId="77777777" w:rsidR="000F60AB" w:rsidRDefault="000F60AB">
      <w:pPr>
        <w:rPr>
          <w:b/>
          <w:color w:val="000000"/>
        </w:rPr>
      </w:pPr>
    </w:p>
    <w:p w14:paraId="372583B5" w14:textId="77777777" w:rsidR="000F60AB" w:rsidRDefault="000F60AB">
      <w:pPr>
        <w:rPr>
          <w:b/>
          <w:color w:val="000000"/>
        </w:rPr>
      </w:pPr>
    </w:p>
    <w:p w14:paraId="353A8C9F" w14:textId="77777777" w:rsidR="000F60AB" w:rsidRDefault="000F60AB">
      <w:pPr>
        <w:rPr>
          <w:b/>
          <w:color w:val="000000"/>
        </w:rPr>
      </w:pPr>
    </w:p>
    <w:p w14:paraId="22318FBF" w14:textId="77777777" w:rsidR="000F60AB" w:rsidRDefault="000F60AB">
      <w:pPr>
        <w:rPr>
          <w:b/>
          <w:color w:val="000000"/>
        </w:rPr>
      </w:pPr>
    </w:p>
    <w:p w14:paraId="62646003" w14:textId="77777777" w:rsidR="000F60AB" w:rsidRDefault="000F60AB">
      <w:pPr>
        <w:rPr>
          <w:b/>
          <w:color w:val="000000"/>
        </w:rPr>
      </w:pPr>
    </w:p>
    <w:p w14:paraId="3FC433D3" w14:textId="77777777" w:rsidR="000F60AB" w:rsidRDefault="000F60AB">
      <w:pPr>
        <w:rPr>
          <w:b/>
          <w:color w:val="000000"/>
        </w:rPr>
      </w:pPr>
    </w:p>
    <w:p w14:paraId="6504EC3C" w14:textId="77777777" w:rsidR="001669D8" w:rsidRDefault="001669D8">
      <w:pPr>
        <w:rPr>
          <w:b/>
          <w:color w:val="000000"/>
        </w:rPr>
      </w:pPr>
    </w:p>
    <w:p w14:paraId="08E797B0" w14:textId="77777777" w:rsidR="001669D8" w:rsidRDefault="001669D8">
      <w:pPr>
        <w:rPr>
          <w:b/>
          <w:color w:val="000000"/>
        </w:rPr>
      </w:pPr>
    </w:p>
    <w:p w14:paraId="37B2DEE7" w14:textId="77777777" w:rsidR="001669D8" w:rsidRDefault="001669D8">
      <w:pPr>
        <w:rPr>
          <w:b/>
          <w:color w:val="000000"/>
        </w:rPr>
      </w:pPr>
    </w:p>
    <w:p w14:paraId="641E24F3" w14:textId="77777777" w:rsidR="001669D8" w:rsidRDefault="00E265B4">
      <w:pPr>
        <w:rPr>
          <w:b/>
          <w:color w:val="000000"/>
        </w:rPr>
      </w:pPr>
      <w:r>
        <w:rPr>
          <w:b/>
          <w:color w:val="000000"/>
        </w:rPr>
        <w:t>Appendix B: Factor analysis for inputs and outputs</w:t>
      </w:r>
    </w:p>
    <w:p w14:paraId="737C60BB" w14:textId="77777777" w:rsidR="001669D8" w:rsidRDefault="001669D8">
      <w:pPr>
        <w:spacing w:line="360" w:lineRule="auto"/>
        <w:ind w:firstLine="567"/>
        <w:jc w:val="both"/>
        <w:rPr>
          <w:color w:val="000000"/>
        </w:rPr>
      </w:pPr>
    </w:p>
    <w:p w14:paraId="0597D9B4" w14:textId="77777777" w:rsidR="001669D8" w:rsidRDefault="00E265B4">
      <w:pPr>
        <w:spacing w:line="360" w:lineRule="auto"/>
        <w:ind w:firstLine="567"/>
        <w:jc w:val="both"/>
        <w:rPr>
          <w:color w:val="000000"/>
        </w:rPr>
      </w:pPr>
      <w:r>
        <w:rPr>
          <w:color w:val="000000"/>
        </w:rPr>
        <w:t>As described in Section 3, for the empirical analysis we have employed a factor analysis to reduce the number of inputs and outputs in order to get accurate estimation of efficiency, In particular, consistently with Bădin et al. (2012) and Wilson (2018), we replace the three scaled inputs by their best (non-centered) linear combination that is a unique factor. The same has been done for the three outputs. We apply this procedure for both “new universities” and “old universities”. We first scale the inputs and outputs by dividing each variable for its mean value. By aggregating the variables for both “new universities” and “old universities” we lose less than 15% of the information. In particular, for both “new universities” and “old universities” the factor relative to the inputs and outputs explains around 90 percent of total inertia of the original data. Finally, the factors are highly correlated with the original variables (more than 90 percent).</w:t>
      </w:r>
    </w:p>
    <w:p w14:paraId="2D8773EE" w14:textId="77777777" w:rsidR="001669D8" w:rsidRDefault="001669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Courier New" w:hAnsi="Courier New" w:cs="Courier New"/>
          <w:color w:val="000000"/>
        </w:rPr>
      </w:pPr>
    </w:p>
    <w:sectPr w:rsidR="001669D8">
      <w:headerReference w:type="default" r:id="rId18"/>
      <w:footerReference w:type="default" r:id="rId1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596AB" w14:textId="77777777" w:rsidR="00F14753" w:rsidRDefault="00F14753">
      <w:r>
        <w:separator/>
      </w:r>
    </w:p>
  </w:endnote>
  <w:endnote w:type="continuationSeparator" w:id="0">
    <w:p w14:paraId="2A26F0B6" w14:textId="77777777" w:rsidR="00F14753" w:rsidRDefault="00F1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GulliverRM">
    <w:altName w:val="Calibri"/>
    <w:charset w:val="00"/>
    <w:family w:val="auto"/>
    <w:pitch w:val="default"/>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dvOT596495f2">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A6372" w14:textId="66F8303B" w:rsidR="00EF3803" w:rsidRDefault="00EF3803">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C535B1">
      <w:rPr>
        <w:noProof/>
        <w:color w:val="000000"/>
      </w:rPr>
      <w:t>1</w:t>
    </w:r>
    <w:r>
      <w:rPr>
        <w:color w:val="000000"/>
      </w:rPr>
      <w:fldChar w:fldCharType="end"/>
    </w:r>
  </w:p>
  <w:p w14:paraId="5D35BA6B" w14:textId="77777777" w:rsidR="00EF3803" w:rsidRDefault="00EF380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28165" w14:textId="77777777" w:rsidR="00F14753" w:rsidRDefault="00F14753">
      <w:r>
        <w:separator/>
      </w:r>
    </w:p>
  </w:footnote>
  <w:footnote w:type="continuationSeparator" w:id="0">
    <w:p w14:paraId="27133271" w14:textId="77777777" w:rsidR="00F14753" w:rsidRDefault="00F14753">
      <w:r>
        <w:continuationSeparator/>
      </w:r>
    </w:p>
  </w:footnote>
  <w:footnote w:id="1">
    <w:p w14:paraId="0E4D3C41" w14:textId="77777777" w:rsidR="00EF3803" w:rsidRDefault="00EF3803">
      <w:pPr>
        <w:pBdr>
          <w:top w:val="nil"/>
          <w:left w:val="nil"/>
          <w:bottom w:val="nil"/>
          <w:right w:val="nil"/>
          <w:between w:val="nil"/>
        </w:pBdr>
        <w:rPr>
          <w:color w:val="000000"/>
          <w:sz w:val="20"/>
          <w:szCs w:val="20"/>
        </w:rPr>
      </w:pPr>
      <w:bookmarkStart w:id="3" w:name="_3dy6vkm" w:colFirst="0" w:colLast="0"/>
      <w:bookmarkEnd w:id="3"/>
      <w:r w:rsidRPr="008E1221">
        <w:rPr>
          <w:vertAlign w:val="superscript"/>
        </w:rPr>
        <w:footnoteRef/>
      </w:r>
      <w:r w:rsidRPr="008E1221">
        <w:rPr>
          <w:color w:val="000000"/>
          <w:sz w:val="20"/>
          <w:szCs w:val="20"/>
        </w:rPr>
        <w:t xml:space="preserve"> Nowadays</w:t>
      </w:r>
      <w:r>
        <w:rPr>
          <w:color w:val="000000"/>
          <w:sz w:val="20"/>
          <w:szCs w:val="20"/>
        </w:rPr>
        <w:t>, technical universities remain strongly rooted in some countries (i.e. the Netherlands), instead others, such as the UK, have eliminated that type altogether (i.e. the polytechnics).</w:t>
      </w:r>
    </w:p>
  </w:footnote>
  <w:footnote w:id="2">
    <w:p w14:paraId="440D49E7" w14:textId="77777777" w:rsidR="00EF3803" w:rsidRDefault="00EF3803">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sidRPr="0065405D">
        <w:rPr>
          <w:color w:val="000000"/>
          <w:sz w:val="20"/>
          <w:szCs w:val="20"/>
        </w:rPr>
        <w:t>The first mission relates to the teaching activities, the second to the research activities, whereas the third mission refers to their ability to interact with the socioeconomic environment (Sánchez Barrioluengo, 2014).</w:t>
      </w:r>
    </w:p>
  </w:footnote>
  <w:footnote w:id="3">
    <w:p w14:paraId="4CD8F6EA" w14:textId="77777777" w:rsidR="00EF3803" w:rsidRDefault="00EF3803">
      <w:pPr>
        <w:pBdr>
          <w:top w:val="nil"/>
          <w:left w:val="nil"/>
          <w:bottom w:val="nil"/>
          <w:right w:val="nil"/>
          <w:between w:val="nil"/>
        </w:pBdr>
        <w:rPr>
          <w:color w:val="000000"/>
        </w:rPr>
      </w:pPr>
      <w:r w:rsidRPr="0065405D">
        <w:rPr>
          <w:vertAlign w:val="superscript"/>
        </w:rPr>
        <w:footnoteRef/>
      </w:r>
      <w:r w:rsidRPr="0065405D">
        <w:rPr>
          <w:color w:val="000000"/>
          <w:sz w:val="20"/>
          <w:szCs w:val="20"/>
        </w:rPr>
        <w:t xml:space="preserve"> Student feedback is collected through the national student survey, which is active in the UK since 2005.</w:t>
      </w:r>
    </w:p>
  </w:footnote>
  <w:footnote w:id="4">
    <w:p w14:paraId="3A853A3D" w14:textId="77777777" w:rsidR="00EF3803" w:rsidRDefault="00EF3803">
      <w:pPr>
        <w:pBdr>
          <w:top w:val="nil"/>
          <w:left w:val="nil"/>
          <w:bottom w:val="nil"/>
          <w:right w:val="nil"/>
          <w:between w:val="nil"/>
        </w:pBdr>
        <w:rPr>
          <w:color w:val="000000"/>
          <w:sz w:val="20"/>
          <w:szCs w:val="20"/>
        </w:rPr>
      </w:pPr>
      <w:r>
        <w:rPr>
          <w:vertAlign w:val="superscript"/>
        </w:rPr>
        <w:footnoteRef/>
      </w:r>
      <w:r>
        <w:rPr>
          <w:color w:val="000000"/>
          <w:sz w:val="20"/>
          <w:szCs w:val="20"/>
        </w:rPr>
        <w:t>Nowadays, technical universities remain strongly rooted in some countries (i.e. the Netherlands).</w:t>
      </w:r>
    </w:p>
  </w:footnote>
  <w:footnote w:id="5">
    <w:p w14:paraId="2417F7B9" w14:textId="63BBF5B3" w:rsidR="00EF3803" w:rsidRDefault="00EF380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Since GPA is a single measure (grade point average) and covers the entire period, the </w:t>
      </w:r>
      <w:r>
        <w:rPr>
          <w:rFonts w:ascii="Cambria Math" w:eastAsia="Cambria Math" w:hAnsi="Cambria Math" w:cs="Cambria Math"/>
          <w:color w:val="000000"/>
          <w:sz w:val="20"/>
          <w:szCs w:val="20"/>
        </w:rPr>
        <w:t>EFFi</w:t>
      </w:r>
      <w:r>
        <w:rPr>
          <w:color w:val="000000"/>
          <w:sz w:val="20"/>
          <w:szCs w:val="20"/>
        </w:rPr>
        <w:t xml:space="preserve"> is the only control variable we use and represents the mean efficiency score over the period from 2007–2014.</w:t>
      </w:r>
    </w:p>
  </w:footnote>
  <w:footnote w:id="6">
    <w:p w14:paraId="46874B93" w14:textId="77777777" w:rsidR="00EF3803" w:rsidRDefault="00EF380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The variables presented below are instruments for the estimated efficiency score.</w:t>
      </w:r>
    </w:p>
  </w:footnote>
  <w:footnote w:id="7">
    <w:p w14:paraId="4F6B184C" w14:textId="77777777" w:rsidR="00EF3803" w:rsidRDefault="00EF3803">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It refers to income for general research studentships (not awarded as part of a research grant or contract). </w:t>
      </w:r>
    </w:p>
  </w:footnote>
  <w:footnote w:id="8">
    <w:p w14:paraId="5A9009E7" w14:textId="302FF4C0" w:rsidR="00EF3803" w:rsidRDefault="00EF3803">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They include all fee income, including short courses, self-financing full-cost courses funded by private/non-private sources, and support grants in respect of all and only those students on courses for which fees are charged.</w:t>
      </w:r>
    </w:p>
    <w:p w14:paraId="62D8CB24" w14:textId="77777777" w:rsidR="00EF3803" w:rsidRDefault="00EF3803">
      <w:pPr>
        <w:pBdr>
          <w:top w:val="nil"/>
          <w:left w:val="nil"/>
          <w:bottom w:val="nil"/>
          <w:right w:val="nil"/>
          <w:between w:val="nil"/>
        </w:pBdr>
        <w:rPr>
          <w:color w:val="000000"/>
          <w:sz w:val="20"/>
          <w:szCs w:val="20"/>
        </w:rPr>
      </w:pPr>
    </w:p>
  </w:footnote>
  <w:footnote w:id="9">
    <w:p w14:paraId="1B610E36" w14:textId="3410ECFB" w:rsidR="00EF3803" w:rsidRDefault="00EF3803">
      <w:pPr>
        <w:pStyle w:val="FootnoteText"/>
      </w:pPr>
      <w:r>
        <w:rPr>
          <w:rStyle w:val="FootnoteReference"/>
        </w:rPr>
        <w:footnoteRef/>
      </w:r>
      <w:r>
        <w:t xml:space="preserve">For details see: </w:t>
      </w:r>
      <w:hyperlink r:id="rId1" w:history="1">
        <w:r w:rsidRPr="00F10457">
          <w:rPr>
            <w:rStyle w:val="Hyperlink"/>
          </w:rPr>
          <w:t>https://re.ukri.org/research/ref-impact/</w:t>
        </w:r>
      </w:hyperlink>
      <w:r>
        <w:t xml:space="preserve">. </w:t>
      </w:r>
    </w:p>
  </w:footnote>
  <w:footnote w:id="10">
    <w:p w14:paraId="31F61752" w14:textId="77777777" w:rsidR="00EF3803" w:rsidRDefault="00EF3803">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See https://www.timeshighereducation.com/sites/default/files/Attachments/2014/12/17/k/a/s/over-14-01.pdf for more details.</w:t>
      </w:r>
    </w:p>
  </w:footnote>
  <w:footnote w:id="11">
    <w:p w14:paraId="48E96634" w14:textId="77777777" w:rsidR="00EF3803" w:rsidRDefault="00EF3803">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Text retrieved from </w:t>
      </w:r>
      <w:hyperlink r:id="rId2">
        <w:r>
          <w:rPr>
            <w:color w:val="0000FF"/>
            <w:sz w:val="20"/>
            <w:szCs w:val="20"/>
            <w:u w:val="single"/>
          </w:rPr>
          <w:t>https://www.timeshighereducation.com/news/ref-2014-results-table-of-excellence/2017590.article</w:t>
        </w:r>
      </w:hyperlink>
      <w:r>
        <w:rPr>
          <w:color w:val="000000"/>
          <w:sz w:val="20"/>
          <w:szCs w:val="20"/>
        </w:rPr>
        <w:t>, accessed 27/04/2018.</w:t>
      </w:r>
    </w:p>
  </w:footnote>
  <w:footnote w:id="12">
    <w:p w14:paraId="3D02A252" w14:textId="77777777" w:rsidR="00EF3803" w:rsidRDefault="00EF380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The analytical efficiency scores for all the universities are available upon request.</w:t>
      </w:r>
    </w:p>
  </w:footnote>
  <w:footnote w:id="13">
    <w:p w14:paraId="2919FDEE" w14:textId="77777777" w:rsidR="00EF3803" w:rsidRDefault="00EF3803">
      <w:pPr>
        <w:pBdr>
          <w:top w:val="nil"/>
          <w:left w:val="nil"/>
          <w:bottom w:val="nil"/>
          <w:right w:val="nil"/>
          <w:between w:val="nil"/>
        </w:pBdr>
        <w:jc w:val="both"/>
        <w:rPr>
          <w:color w:val="000000"/>
          <w:sz w:val="20"/>
          <w:szCs w:val="20"/>
        </w:rPr>
      </w:pPr>
      <w:r w:rsidRPr="0065405D">
        <w:rPr>
          <w:vertAlign w:val="superscript"/>
        </w:rPr>
        <w:footnoteRef/>
      </w:r>
      <w:r w:rsidRPr="0065405D">
        <w:rPr>
          <w:color w:val="000000"/>
          <w:sz w:val="20"/>
          <w:szCs w:val="20"/>
        </w:rPr>
        <w:t xml:space="preserve"> The median for “old universities” is 14.829, while for “new universities” it is 19.793. Bootstrapped based sub-sampling techniques for efficiency and productivity estimators can be found in the studies by Kneip et al. (2008, 2011).</w:t>
      </w:r>
      <w:r>
        <w:rPr>
          <w:color w:val="000000"/>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22DF3" w14:textId="77777777" w:rsidR="00EF3803" w:rsidRDefault="00EF3803">
    <w:pPr>
      <w:pBdr>
        <w:top w:val="nil"/>
        <w:left w:val="nil"/>
        <w:bottom w:val="nil"/>
        <w:right w:val="nil"/>
        <w:between w:val="nil"/>
      </w:pBdr>
      <w:tabs>
        <w:tab w:val="center" w:pos="4513"/>
        <w:tab w:val="right" w:pos="9026"/>
      </w:tabs>
      <w:jc w:val="right"/>
      <w:rPr>
        <w:color w:val="000000"/>
      </w:rPr>
    </w:pPr>
  </w:p>
  <w:p w14:paraId="77A98489" w14:textId="77777777" w:rsidR="00EF3803" w:rsidRDefault="00EF3803">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90CA1"/>
    <w:multiLevelType w:val="multilevel"/>
    <w:tmpl w:val="732270CE"/>
    <w:lvl w:ilvl="0">
      <w:start w:val="1"/>
      <w:numFmt w:val="decimal"/>
      <w:lvlText w:val="%1."/>
      <w:lvlJc w:val="left"/>
      <w:pPr>
        <w:ind w:left="502" w:hanging="360"/>
      </w:pPr>
      <w:rPr>
        <w:rFonts w:ascii="Times New Roman" w:eastAsia="Times New Roman" w:hAnsi="Times New Roman" w:cs="Times New Roman"/>
      </w:rPr>
    </w:lvl>
    <w:lvl w:ilvl="1">
      <w:start w:val="1"/>
      <w:numFmt w:val="decimal"/>
      <w:lvlText w:val="%1.%2."/>
      <w:lvlJc w:val="left"/>
      <w:pPr>
        <w:ind w:left="360" w:hanging="360"/>
      </w:pPr>
      <w:rPr>
        <w:b/>
      </w:rPr>
    </w:lvl>
    <w:lvl w:ilvl="2">
      <w:start w:val="1"/>
      <w:numFmt w:val="decimal"/>
      <w:lvlText w:val="%1.%2.%3."/>
      <w:lvlJc w:val="left"/>
      <w:pPr>
        <w:ind w:left="1712" w:hanging="720"/>
      </w:pPr>
    </w:lvl>
    <w:lvl w:ilvl="3">
      <w:start w:val="1"/>
      <w:numFmt w:val="decimal"/>
      <w:lvlText w:val="%1.%2.%3.%4."/>
      <w:lvlJc w:val="left"/>
      <w:pPr>
        <w:ind w:left="2137" w:hanging="720"/>
      </w:pPr>
    </w:lvl>
    <w:lvl w:ilvl="4">
      <w:start w:val="1"/>
      <w:numFmt w:val="decimal"/>
      <w:lvlText w:val="%1.%2.%3.%4.%5."/>
      <w:lvlJc w:val="left"/>
      <w:pPr>
        <w:ind w:left="2922" w:hanging="1080"/>
      </w:pPr>
    </w:lvl>
    <w:lvl w:ilvl="5">
      <w:start w:val="1"/>
      <w:numFmt w:val="decimal"/>
      <w:lvlText w:val="%1.%2.%3.%4.%5.%6."/>
      <w:lvlJc w:val="left"/>
      <w:pPr>
        <w:ind w:left="3347" w:hanging="1080"/>
      </w:pPr>
    </w:lvl>
    <w:lvl w:ilvl="6">
      <w:start w:val="1"/>
      <w:numFmt w:val="decimal"/>
      <w:lvlText w:val="%1.%2.%3.%4.%5.%6.%7."/>
      <w:lvlJc w:val="left"/>
      <w:pPr>
        <w:ind w:left="4132" w:hanging="1440"/>
      </w:pPr>
    </w:lvl>
    <w:lvl w:ilvl="7">
      <w:start w:val="1"/>
      <w:numFmt w:val="decimal"/>
      <w:lvlText w:val="%1.%2.%3.%4.%5.%6.%7.%8."/>
      <w:lvlJc w:val="left"/>
      <w:pPr>
        <w:ind w:left="4557" w:hanging="1440"/>
      </w:pPr>
    </w:lvl>
    <w:lvl w:ilvl="8">
      <w:start w:val="1"/>
      <w:numFmt w:val="decimal"/>
      <w:lvlText w:val="%1.%2.%3.%4.%5.%6.%7.%8.%9."/>
      <w:lvlJc w:val="left"/>
      <w:pPr>
        <w:ind w:left="5342" w:hanging="1799"/>
      </w:pPr>
    </w:lvl>
  </w:abstractNum>
  <w:abstractNum w:abstractNumId="1" w15:restartNumberingAfterBreak="0">
    <w:nsid w:val="49B8633A"/>
    <w:multiLevelType w:val="multilevel"/>
    <w:tmpl w:val="0A40B4A2"/>
    <w:lvl w:ilvl="0">
      <w:start w:val="2"/>
      <w:numFmt w:val="decimal"/>
      <w:lvlText w:val="%1"/>
      <w:lvlJc w:val="left"/>
      <w:pPr>
        <w:ind w:left="360" w:hanging="360"/>
      </w:pPr>
    </w:lvl>
    <w:lvl w:ilvl="1">
      <w:start w:val="1"/>
      <w:numFmt w:val="decimal"/>
      <w:lvlText w:val="%1.%2"/>
      <w:lvlJc w:val="left"/>
      <w:pPr>
        <w:ind w:left="862" w:hanging="360"/>
      </w:pPr>
    </w:lvl>
    <w:lvl w:ilvl="2">
      <w:start w:val="1"/>
      <w:numFmt w:val="decimal"/>
      <w:lvlText w:val="%1.%2.%3"/>
      <w:lvlJc w:val="left"/>
      <w:pPr>
        <w:ind w:left="1724" w:hanging="720"/>
      </w:pPr>
    </w:lvl>
    <w:lvl w:ilvl="3">
      <w:start w:val="1"/>
      <w:numFmt w:val="decimal"/>
      <w:lvlText w:val="%1.%2.%3.%4"/>
      <w:lvlJc w:val="left"/>
      <w:pPr>
        <w:ind w:left="2226" w:hanging="720"/>
      </w:pPr>
    </w:lvl>
    <w:lvl w:ilvl="4">
      <w:start w:val="1"/>
      <w:numFmt w:val="decimal"/>
      <w:lvlText w:val="%1.%2.%3.%4.%5"/>
      <w:lvlJc w:val="left"/>
      <w:pPr>
        <w:ind w:left="3088" w:hanging="1080"/>
      </w:pPr>
    </w:lvl>
    <w:lvl w:ilvl="5">
      <w:start w:val="1"/>
      <w:numFmt w:val="decimal"/>
      <w:lvlText w:val="%1.%2.%3.%4.%5.%6"/>
      <w:lvlJc w:val="left"/>
      <w:pPr>
        <w:ind w:left="3590" w:hanging="1080"/>
      </w:pPr>
    </w:lvl>
    <w:lvl w:ilvl="6">
      <w:start w:val="1"/>
      <w:numFmt w:val="decimal"/>
      <w:lvlText w:val="%1.%2.%3.%4.%5.%6.%7"/>
      <w:lvlJc w:val="left"/>
      <w:pPr>
        <w:ind w:left="4452" w:hanging="1440"/>
      </w:pPr>
    </w:lvl>
    <w:lvl w:ilvl="7">
      <w:start w:val="1"/>
      <w:numFmt w:val="decimal"/>
      <w:lvlText w:val="%1.%2.%3.%4.%5.%6.%7.%8"/>
      <w:lvlJc w:val="left"/>
      <w:pPr>
        <w:ind w:left="4954" w:hanging="1440"/>
      </w:pPr>
    </w:lvl>
    <w:lvl w:ilvl="8">
      <w:start w:val="1"/>
      <w:numFmt w:val="decimal"/>
      <w:lvlText w:val="%1.%2.%3.%4.%5.%6.%7.%8.%9"/>
      <w:lvlJc w:val="left"/>
      <w:pPr>
        <w:ind w:left="5816"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D8"/>
    <w:rsid w:val="00036219"/>
    <w:rsid w:val="000558CC"/>
    <w:rsid w:val="000F60AB"/>
    <w:rsid w:val="001669D8"/>
    <w:rsid w:val="00224188"/>
    <w:rsid w:val="002925CB"/>
    <w:rsid w:val="003D549D"/>
    <w:rsid w:val="003F1D14"/>
    <w:rsid w:val="0046465F"/>
    <w:rsid w:val="004756B7"/>
    <w:rsid w:val="00511B94"/>
    <w:rsid w:val="0057798A"/>
    <w:rsid w:val="005E4932"/>
    <w:rsid w:val="0065405D"/>
    <w:rsid w:val="00670415"/>
    <w:rsid w:val="006F17A1"/>
    <w:rsid w:val="00750E35"/>
    <w:rsid w:val="007812CF"/>
    <w:rsid w:val="00802A6D"/>
    <w:rsid w:val="00861A02"/>
    <w:rsid w:val="00873163"/>
    <w:rsid w:val="008E1221"/>
    <w:rsid w:val="0090473C"/>
    <w:rsid w:val="009657B5"/>
    <w:rsid w:val="00971201"/>
    <w:rsid w:val="009D1D0F"/>
    <w:rsid w:val="00A852D7"/>
    <w:rsid w:val="00B648A7"/>
    <w:rsid w:val="00B64B18"/>
    <w:rsid w:val="00C535B1"/>
    <w:rsid w:val="00D40A8C"/>
    <w:rsid w:val="00E0165E"/>
    <w:rsid w:val="00E26063"/>
    <w:rsid w:val="00E265B4"/>
    <w:rsid w:val="00EF3803"/>
    <w:rsid w:val="00F14753"/>
    <w:rsid w:val="00F408D2"/>
    <w:rsid w:val="00F419F9"/>
    <w:rsid w:val="00FD7F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9388F"/>
  <w15:docId w15:val="{FD1258A0-CB01-4FF2-B0EC-08C06B570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outlineLvl w:val="0"/>
    </w:pPr>
    <w:rPr>
      <w:b/>
      <w:sz w:val="48"/>
      <w:szCs w:val="48"/>
    </w:rPr>
  </w:style>
  <w:style w:type="paragraph" w:styleId="Heading2">
    <w:name w:val="heading 2"/>
    <w:basedOn w:val="Normal"/>
    <w:next w:val="Normal"/>
    <w:uiPriority w:val="9"/>
    <w:semiHidden/>
    <w:unhideWhenUsed/>
    <w:qFormat/>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750E35"/>
    <w:rPr>
      <w:sz w:val="16"/>
      <w:szCs w:val="16"/>
    </w:rPr>
  </w:style>
  <w:style w:type="paragraph" w:styleId="CommentText">
    <w:name w:val="annotation text"/>
    <w:basedOn w:val="Normal"/>
    <w:link w:val="CommentTextChar"/>
    <w:uiPriority w:val="99"/>
    <w:semiHidden/>
    <w:unhideWhenUsed/>
    <w:rsid w:val="00750E35"/>
    <w:rPr>
      <w:sz w:val="20"/>
      <w:szCs w:val="20"/>
    </w:rPr>
  </w:style>
  <w:style w:type="character" w:customStyle="1" w:styleId="CommentTextChar">
    <w:name w:val="Comment Text Char"/>
    <w:basedOn w:val="DefaultParagraphFont"/>
    <w:link w:val="CommentText"/>
    <w:uiPriority w:val="99"/>
    <w:semiHidden/>
    <w:rsid w:val="00750E35"/>
    <w:rPr>
      <w:sz w:val="20"/>
      <w:szCs w:val="20"/>
    </w:rPr>
  </w:style>
  <w:style w:type="paragraph" w:styleId="CommentSubject">
    <w:name w:val="annotation subject"/>
    <w:basedOn w:val="CommentText"/>
    <w:next w:val="CommentText"/>
    <w:link w:val="CommentSubjectChar"/>
    <w:uiPriority w:val="99"/>
    <w:semiHidden/>
    <w:unhideWhenUsed/>
    <w:rsid w:val="00750E35"/>
    <w:rPr>
      <w:b/>
      <w:bCs/>
    </w:rPr>
  </w:style>
  <w:style w:type="character" w:customStyle="1" w:styleId="CommentSubjectChar">
    <w:name w:val="Comment Subject Char"/>
    <w:basedOn w:val="CommentTextChar"/>
    <w:link w:val="CommentSubject"/>
    <w:uiPriority w:val="99"/>
    <w:semiHidden/>
    <w:rsid w:val="00750E35"/>
    <w:rPr>
      <w:b/>
      <w:bCs/>
      <w:sz w:val="20"/>
      <w:szCs w:val="20"/>
    </w:rPr>
  </w:style>
  <w:style w:type="paragraph" w:styleId="BalloonText">
    <w:name w:val="Balloon Text"/>
    <w:basedOn w:val="Normal"/>
    <w:link w:val="BalloonTextChar"/>
    <w:uiPriority w:val="99"/>
    <w:semiHidden/>
    <w:unhideWhenUsed/>
    <w:rsid w:val="00750E35"/>
    <w:rPr>
      <w:rFonts w:ascii="Segoe UI" w:hAnsi="Segoe UI"/>
      <w:sz w:val="18"/>
      <w:szCs w:val="18"/>
    </w:rPr>
  </w:style>
  <w:style w:type="character" w:customStyle="1" w:styleId="BalloonTextChar">
    <w:name w:val="Balloon Text Char"/>
    <w:basedOn w:val="DefaultParagraphFont"/>
    <w:link w:val="BalloonText"/>
    <w:uiPriority w:val="99"/>
    <w:semiHidden/>
    <w:rsid w:val="00750E35"/>
    <w:rPr>
      <w:rFonts w:ascii="Segoe UI" w:hAnsi="Segoe UI"/>
      <w:sz w:val="18"/>
      <w:szCs w:val="18"/>
    </w:rPr>
  </w:style>
  <w:style w:type="paragraph" w:styleId="FootnoteText">
    <w:name w:val="footnote text"/>
    <w:basedOn w:val="Normal"/>
    <w:link w:val="FootnoteTextChar"/>
    <w:uiPriority w:val="99"/>
    <w:semiHidden/>
    <w:unhideWhenUsed/>
    <w:rsid w:val="005E4932"/>
    <w:rPr>
      <w:sz w:val="20"/>
      <w:szCs w:val="20"/>
    </w:rPr>
  </w:style>
  <w:style w:type="character" w:customStyle="1" w:styleId="FootnoteTextChar">
    <w:name w:val="Footnote Text Char"/>
    <w:basedOn w:val="DefaultParagraphFont"/>
    <w:link w:val="FootnoteText"/>
    <w:uiPriority w:val="99"/>
    <w:semiHidden/>
    <w:rsid w:val="005E4932"/>
    <w:rPr>
      <w:sz w:val="20"/>
      <w:szCs w:val="20"/>
    </w:rPr>
  </w:style>
  <w:style w:type="character" w:styleId="FootnoteReference">
    <w:name w:val="footnote reference"/>
    <w:basedOn w:val="DefaultParagraphFont"/>
    <w:uiPriority w:val="99"/>
    <w:semiHidden/>
    <w:unhideWhenUsed/>
    <w:rsid w:val="005E4932"/>
    <w:rPr>
      <w:vertAlign w:val="superscript"/>
    </w:rPr>
  </w:style>
  <w:style w:type="character" w:styleId="Hyperlink">
    <w:name w:val="Hyperlink"/>
    <w:basedOn w:val="DefaultParagraphFont"/>
    <w:uiPriority w:val="99"/>
    <w:unhideWhenUsed/>
    <w:rsid w:val="005E4932"/>
    <w:rPr>
      <w:color w:val="0000FF" w:themeColor="hyperlink"/>
      <w:u w:val="single"/>
    </w:rPr>
  </w:style>
  <w:style w:type="character" w:customStyle="1" w:styleId="UnresolvedMention1">
    <w:name w:val="Unresolved Mention1"/>
    <w:basedOn w:val="DefaultParagraphFont"/>
    <w:uiPriority w:val="99"/>
    <w:semiHidden/>
    <w:unhideWhenUsed/>
    <w:rsid w:val="005E4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user=ugO5HmAAAAAJ&amp;hl=en&amp;oi=sra" TargetMode="External"/><Relationship Id="rId13" Type="http://schemas.openxmlformats.org/officeDocument/2006/relationships/hyperlink" Target="https://en.wikipedia.org/wiki/New_universiti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New_universities" TargetMode="External"/><Relationship Id="rId17" Type="http://schemas.openxmlformats.org/officeDocument/2006/relationships/hyperlink" Target="http://sro.sussex.ac.uk/39800/" TargetMode="External"/><Relationship Id="rId2" Type="http://schemas.openxmlformats.org/officeDocument/2006/relationships/numbering" Target="numbering.xml"/><Relationship Id="rId16" Type="http://schemas.openxmlformats.org/officeDocument/2006/relationships/hyperlink" Target="https://www.sciencedirect.com/science/article/pii/S004873331100205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ouncil_for_National_Academic_Awards" TargetMode="External"/><Relationship Id="rId5" Type="http://schemas.openxmlformats.org/officeDocument/2006/relationships/webSettings" Target="webSettings.xml"/><Relationship Id="rId15" Type="http://schemas.openxmlformats.org/officeDocument/2006/relationships/hyperlink" Target="http://sro.sussex.ac.uk/60227/" TargetMode="External"/><Relationship Id="rId10" Type="http://schemas.openxmlformats.org/officeDocument/2006/relationships/hyperlink" Target="https://www.sciencedirect.com/science/article/pii/S004873331100205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cholar.google.com/citations?user=CXsT-q8AAAAJ&amp;hl=en&amp;oi=sra" TargetMode="External"/><Relationship Id="rId14" Type="http://schemas.openxmlformats.org/officeDocument/2006/relationships/hyperlink" Target="http://sro.sussex.ac.uk/6022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timeshighereducation.com/news/ref-2014-results-table-of-excellence/2017590.article" TargetMode="External"/><Relationship Id="rId1" Type="http://schemas.openxmlformats.org/officeDocument/2006/relationships/hyperlink" Target="https://re.ukri.org/research/ref-im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CD8DA-B22C-4C50-A3A8-6E2CBE7C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11339</Words>
  <Characters>64638</Characters>
  <Application>Microsoft Office Word</Application>
  <DocSecurity>4</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Degl'innocenti M.</dc:creator>
  <cp:lastModifiedBy>Edwards L.</cp:lastModifiedBy>
  <cp:revision>2</cp:revision>
  <dcterms:created xsi:type="dcterms:W3CDTF">2019-05-21T12:28:00Z</dcterms:created>
  <dcterms:modified xsi:type="dcterms:W3CDTF">2019-05-21T12:28:00Z</dcterms:modified>
</cp:coreProperties>
</file>