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A52" w:rsidRDefault="00E42B8C" w:rsidP="00F3631A">
      <w:pPr>
        <w:jc w:val="both"/>
        <w:rPr>
          <w:rFonts w:ascii="Garamond" w:hAnsi="Garamond"/>
          <w:b/>
          <w:bCs/>
          <w:color w:val="000000" w:themeColor="text1"/>
          <w:lang w:val="en-US"/>
        </w:rPr>
      </w:pPr>
      <w:bookmarkStart w:id="0" w:name="_GoBack"/>
      <w:bookmarkEnd w:id="0"/>
      <w:r w:rsidRPr="00F3631A">
        <w:rPr>
          <w:rFonts w:ascii="Garamond" w:hAnsi="Garamond"/>
          <w:b/>
          <w:bCs/>
          <w:color w:val="000000" w:themeColor="text1"/>
          <w:lang w:val="en-US"/>
        </w:rPr>
        <w:t xml:space="preserve">CJEU excludes retroactive application of reformed language of Article 7(1)(e)(iii) of the EU Trade Mark Regulation </w:t>
      </w:r>
      <w:r w:rsidR="00792A52">
        <w:rPr>
          <w:rFonts w:ascii="Garamond" w:hAnsi="Garamond"/>
          <w:b/>
          <w:bCs/>
          <w:color w:val="000000" w:themeColor="text1"/>
          <w:lang w:val="en-US"/>
        </w:rPr>
        <w:t>and</w:t>
      </w:r>
      <w:r w:rsidR="00A53953" w:rsidRPr="00F3631A">
        <w:rPr>
          <w:rFonts w:ascii="Garamond" w:hAnsi="Garamond"/>
          <w:b/>
          <w:bCs/>
          <w:color w:val="000000" w:themeColor="text1"/>
          <w:lang w:val="en-US"/>
        </w:rPr>
        <w:t xml:space="preserve"> </w:t>
      </w:r>
      <w:r w:rsidR="00792A52">
        <w:rPr>
          <w:rFonts w:ascii="Garamond" w:hAnsi="Garamond"/>
          <w:b/>
          <w:bCs/>
          <w:color w:val="000000" w:themeColor="text1"/>
          <w:lang w:val="en-US"/>
        </w:rPr>
        <w:t xml:space="preserve">does </w:t>
      </w:r>
      <w:r w:rsidR="00792A52" w:rsidRPr="00792A52">
        <w:rPr>
          <w:rFonts w:ascii="Garamond" w:hAnsi="Garamond"/>
          <w:b/>
          <w:bCs/>
          <w:strike/>
          <w:color w:val="000000" w:themeColor="text1"/>
          <w:lang w:val="en-US"/>
        </w:rPr>
        <w:t>not</w:t>
      </w:r>
      <w:r w:rsidR="00792A52">
        <w:rPr>
          <w:rFonts w:ascii="Garamond" w:hAnsi="Garamond"/>
          <w:b/>
          <w:bCs/>
          <w:color w:val="000000" w:themeColor="text1"/>
          <w:lang w:val="en-US"/>
        </w:rPr>
        <w:t xml:space="preserve"> clarify what ‘another characteristic’ means </w:t>
      </w:r>
    </w:p>
    <w:p w:rsidR="00792A52" w:rsidRPr="00F3631A" w:rsidRDefault="00792A52" w:rsidP="00F3631A">
      <w:pPr>
        <w:jc w:val="both"/>
        <w:rPr>
          <w:rFonts w:ascii="Garamond" w:hAnsi="Garamond"/>
          <w:color w:val="000000" w:themeColor="text1"/>
          <w:lang w:val="en-US"/>
        </w:rPr>
      </w:pPr>
    </w:p>
    <w:p w:rsidR="00E42B8C" w:rsidRPr="00F3631A" w:rsidRDefault="00E42B8C" w:rsidP="00F3631A">
      <w:pPr>
        <w:jc w:val="both"/>
        <w:rPr>
          <w:rFonts w:ascii="Garamond" w:hAnsi="Garamond"/>
          <w:b/>
          <w:bCs/>
          <w:color w:val="000000" w:themeColor="text1"/>
          <w:lang w:val="en-US"/>
        </w:rPr>
      </w:pPr>
      <w:r w:rsidRPr="00F3631A">
        <w:rPr>
          <w:rFonts w:ascii="Garamond" w:hAnsi="Garamond"/>
          <w:color w:val="000000" w:themeColor="text1"/>
          <w:lang w:val="en-US"/>
        </w:rPr>
        <w:t xml:space="preserve">CJEU, </w:t>
      </w:r>
      <w:proofErr w:type="spellStart"/>
      <w:r w:rsidRPr="00F3631A">
        <w:rPr>
          <w:rFonts w:ascii="Garamond" w:hAnsi="Garamond" w:cstheme="minorBidi"/>
          <w:i/>
          <w:iCs/>
          <w:color w:val="000000" w:themeColor="text1"/>
          <w:lang w:val="en-US"/>
        </w:rPr>
        <w:t>Textilis</w:t>
      </w:r>
      <w:proofErr w:type="spellEnd"/>
      <w:r w:rsidRPr="00F3631A">
        <w:rPr>
          <w:rFonts w:ascii="Garamond" w:hAnsi="Garamond" w:cstheme="minorBidi"/>
          <w:i/>
          <w:iCs/>
          <w:color w:val="000000" w:themeColor="text1"/>
          <w:lang w:val="en-US"/>
        </w:rPr>
        <w:t xml:space="preserve"> Ltd and </w:t>
      </w:r>
      <w:proofErr w:type="spellStart"/>
      <w:r w:rsidRPr="00F3631A">
        <w:rPr>
          <w:rFonts w:ascii="Garamond" w:hAnsi="Garamond" w:cstheme="minorBidi"/>
          <w:i/>
          <w:iCs/>
          <w:color w:val="000000" w:themeColor="text1"/>
          <w:lang w:val="en-US"/>
        </w:rPr>
        <w:t>Ozgur</w:t>
      </w:r>
      <w:proofErr w:type="spellEnd"/>
      <w:r w:rsidRPr="00F3631A">
        <w:rPr>
          <w:rFonts w:ascii="Garamond" w:hAnsi="Garamond" w:cstheme="minorBidi"/>
          <w:i/>
          <w:iCs/>
          <w:color w:val="000000" w:themeColor="text1"/>
          <w:lang w:val="en-US"/>
        </w:rPr>
        <w:t xml:space="preserve"> </w:t>
      </w:r>
      <w:proofErr w:type="spellStart"/>
      <w:r w:rsidRPr="00F3631A">
        <w:rPr>
          <w:rFonts w:ascii="Garamond" w:hAnsi="Garamond" w:cstheme="minorBidi"/>
          <w:i/>
          <w:iCs/>
          <w:color w:val="000000" w:themeColor="text1"/>
          <w:lang w:val="en-US"/>
        </w:rPr>
        <w:t>Keskin</w:t>
      </w:r>
      <w:proofErr w:type="spellEnd"/>
      <w:r w:rsidRPr="00F3631A">
        <w:rPr>
          <w:rFonts w:ascii="Garamond" w:hAnsi="Garamond" w:cstheme="minorBidi"/>
          <w:i/>
          <w:iCs/>
          <w:color w:val="000000" w:themeColor="text1"/>
          <w:lang w:val="en-US"/>
        </w:rPr>
        <w:t xml:space="preserve"> v </w:t>
      </w:r>
      <w:proofErr w:type="spellStart"/>
      <w:r w:rsidRPr="00F3631A">
        <w:rPr>
          <w:rFonts w:ascii="Garamond" w:hAnsi="Garamond" w:cstheme="minorBidi"/>
          <w:i/>
          <w:iCs/>
          <w:color w:val="000000" w:themeColor="text1"/>
          <w:lang w:val="en-US"/>
        </w:rPr>
        <w:t>Svenskt</w:t>
      </w:r>
      <w:proofErr w:type="spellEnd"/>
      <w:r w:rsidRPr="00F3631A">
        <w:rPr>
          <w:rFonts w:ascii="Garamond" w:hAnsi="Garamond" w:cstheme="minorBidi"/>
          <w:i/>
          <w:iCs/>
          <w:color w:val="000000" w:themeColor="text1"/>
          <w:lang w:val="en-US"/>
        </w:rPr>
        <w:t xml:space="preserve"> </w:t>
      </w:r>
      <w:proofErr w:type="spellStart"/>
      <w:r w:rsidRPr="00F3631A">
        <w:rPr>
          <w:rFonts w:ascii="Garamond" w:hAnsi="Garamond" w:cstheme="minorBidi"/>
          <w:i/>
          <w:iCs/>
          <w:color w:val="000000" w:themeColor="text1"/>
          <w:lang w:val="en-US"/>
        </w:rPr>
        <w:t>Tenn</w:t>
      </w:r>
      <w:proofErr w:type="spellEnd"/>
      <w:r w:rsidRPr="00F3631A">
        <w:rPr>
          <w:rFonts w:ascii="Garamond" w:hAnsi="Garamond" w:cstheme="minorBidi"/>
          <w:i/>
          <w:iCs/>
          <w:color w:val="000000" w:themeColor="text1"/>
          <w:lang w:val="en-US"/>
        </w:rPr>
        <w:t xml:space="preserve"> </w:t>
      </w:r>
      <w:proofErr w:type="spellStart"/>
      <w:r w:rsidRPr="00F3631A">
        <w:rPr>
          <w:rFonts w:ascii="Garamond" w:hAnsi="Garamond" w:cstheme="minorBidi"/>
          <w:i/>
          <w:iCs/>
          <w:color w:val="000000" w:themeColor="text1"/>
          <w:lang w:val="en-US"/>
        </w:rPr>
        <w:t>Aktiebolag</w:t>
      </w:r>
      <w:proofErr w:type="spellEnd"/>
      <w:r w:rsidRPr="00F3631A">
        <w:rPr>
          <w:rFonts w:ascii="Garamond" w:hAnsi="Garamond"/>
          <w:color w:val="000000" w:themeColor="text1"/>
          <w:lang w:val="en-US"/>
        </w:rPr>
        <w:t>, C-21/18, EU:C:2019:199, 14 March 2019</w:t>
      </w:r>
    </w:p>
    <w:p w:rsidR="00E42B8C" w:rsidRPr="00F3631A" w:rsidRDefault="00E42B8C" w:rsidP="00F3631A">
      <w:pPr>
        <w:jc w:val="both"/>
        <w:rPr>
          <w:rFonts w:ascii="Garamond" w:hAnsi="Garamond"/>
          <w:color w:val="000000" w:themeColor="text1"/>
          <w:lang w:val="en-US"/>
        </w:rPr>
      </w:pPr>
    </w:p>
    <w:p w:rsidR="00E42B8C" w:rsidRPr="00E42B8C" w:rsidRDefault="00E42B8C" w:rsidP="00F3631A">
      <w:pPr>
        <w:jc w:val="both"/>
        <w:rPr>
          <w:rFonts w:ascii="Garamond" w:hAnsi="Garamond"/>
          <w:color w:val="000000" w:themeColor="text1"/>
          <w:lang w:val="en-US"/>
        </w:rPr>
      </w:pPr>
      <w:r w:rsidRPr="00F3631A">
        <w:rPr>
          <w:rFonts w:ascii="Garamond" w:hAnsi="Garamond"/>
          <w:color w:val="000000" w:themeColor="text1"/>
          <w:lang w:val="en-US"/>
        </w:rPr>
        <w:t xml:space="preserve">In its judgment in </w:t>
      </w:r>
      <w:proofErr w:type="spellStart"/>
      <w:r w:rsidRPr="00F3631A">
        <w:rPr>
          <w:rFonts w:ascii="Garamond" w:hAnsi="Garamond" w:cstheme="minorBidi"/>
          <w:i/>
          <w:iCs/>
          <w:color w:val="000000" w:themeColor="text1"/>
          <w:lang w:val="en-US"/>
        </w:rPr>
        <w:t>Textilis</w:t>
      </w:r>
      <w:proofErr w:type="spellEnd"/>
      <w:r w:rsidRPr="00F3631A">
        <w:rPr>
          <w:rFonts w:ascii="Garamond" w:hAnsi="Garamond" w:cstheme="minorBidi"/>
          <w:i/>
          <w:iCs/>
          <w:color w:val="000000" w:themeColor="text1"/>
          <w:lang w:val="en-US"/>
        </w:rPr>
        <w:t xml:space="preserve"> Ltd and </w:t>
      </w:r>
      <w:proofErr w:type="spellStart"/>
      <w:r w:rsidRPr="00F3631A">
        <w:rPr>
          <w:rFonts w:ascii="Garamond" w:hAnsi="Garamond" w:cstheme="minorBidi"/>
          <w:i/>
          <w:iCs/>
          <w:color w:val="000000" w:themeColor="text1"/>
          <w:lang w:val="en-US"/>
        </w:rPr>
        <w:t>Ozgur</w:t>
      </w:r>
      <w:proofErr w:type="spellEnd"/>
      <w:r w:rsidRPr="00F3631A">
        <w:rPr>
          <w:rFonts w:ascii="Garamond" w:hAnsi="Garamond" w:cstheme="minorBidi"/>
          <w:i/>
          <w:iCs/>
          <w:color w:val="000000" w:themeColor="text1"/>
          <w:lang w:val="en-US"/>
        </w:rPr>
        <w:t xml:space="preserve"> </w:t>
      </w:r>
      <w:proofErr w:type="spellStart"/>
      <w:r w:rsidRPr="00F3631A">
        <w:rPr>
          <w:rFonts w:ascii="Garamond" w:hAnsi="Garamond" w:cstheme="minorBidi"/>
          <w:i/>
          <w:iCs/>
          <w:color w:val="000000" w:themeColor="text1"/>
          <w:lang w:val="en-US"/>
        </w:rPr>
        <w:t>Keskin</w:t>
      </w:r>
      <w:proofErr w:type="spellEnd"/>
      <w:r w:rsidRPr="00F3631A">
        <w:rPr>
          <w:rFonts w:ascii="Garamond" w:hAnsi="Garamond" w:cstheme="minorBidi"/>
          <w:i/>
          <w:iCs/>
          <w:color w:val="000000" w:themeColor="text1"/>
          <w:lang w:val="en-US"/>
        </w:rPr>
        <w:t xml:space="preserve"> v </w:t>
      </w:r>
      <w:proofErr w:type="spellStart"/>
      <w:r w:rsidRPr="00F3631A">
        <w:rPr>
          <w:rFonts w:ascii="Garamond" w:hAnsi="Garamond" w:cstheme="minorBidi"/>
          <w:i/>
          <w:iCs/>
          <w:color w:val="000000" w:themeColor="text1"/>
          <w:lang w:val="en-US"/>
        </w:rPr>
        <w:t>Svenskt</w:t>
      </w:r>
      <w:proofErr w:type="spellEnd"/>
      <w:r w:rsidRPr="00F3631A">
        <w:rPr>
          <w:rFonts w:ascii="Garamond" w:hAnsi="Garamond" w:cstheme="minorBidi"/>
          <w:i/>
          <w:iCs/>
          <w:color w:val="000000" w:themeColor="text1"/>
          <w:lang w:val="en-US"/>
        </w:rPr>
        <w:t xml:space="preserve"> </w:t>
      </w:r>
      <w:proofErr w:type="spellStart"/>
      <w:r w:rsidRPr="00F3631A">
        <w:rPr>
          <w:rFonts w:ascii="Garamond" w:hAnsi="Garamond" w:cstheme="minorBidi"/>
          <w:i/>
          <w:iCs/>
          <w:color w:val="000000" w:themeColor="text1"/>
          <w:lang w:val="en-US"/>
        </w:rPr>
        <w:t>Tenn</w:t>
      </w:r>
      <w:proofErr w:type="spellEnd"/>
      <w:r w:rsidRPr="00F3631A">
        <w:rPr>
          <w:rFonts w:ascii="Garamond" w:hAnsi="Garamond" w:cstheme="minorBidi"/>
          <w:i/>
          <w:iCs/>
          <w:color w:val="000000" w:themeColor="text1"/>
          <w:lang w:val="en-US"/>
        </w:rPr>
        <w:t xml:space="preserve"> </w:t>
      </w:r>
      <w:proofErr w:type="spellStart"/>
      <w:r w:rsidRPr="00F3631A">
        <w:rPr>
          <w:rFonts w:ascii="Garamond" w:hAnsi="Garamond" w:cstheme="minorBidi"/>
          <w:i/>
          <w:iCs/>
          <w:color w:val="000000" w:themeColor="text1"/>
          <w:lang w:val="en-US"/>
        </w:rPr>
        <w:t>Aktiebolag</w:t>
      </w:r>
      <w:proofErr w:type="spellEnd"/>
      <w:r w:rsidRPr="00F3631A">
        <w:rPr>
          <w:rFonts w:ascii="Garamond" w:hAnsi="Garamond"/>
          <w:i/>
          <w:iCs/>
          <w:color w:val="000000" w:themeColor="text1"/>
          <w:lang w:val="en-US"/>
        </w:rPr>
        <w:t xml:space="preserve"> </w:t>
      </w:r>
      <w:r w:rsidRPr="00F3631A">
        <w:rPr>
          <w:rFonts w:ascii="Garamond" w:hAnsi="Garamond"/>
          <w:color w:val="000000" w:themeColor="text1"/>
          <w:lang w:val="en-US"/>
        </w:rPr>
        <w:t>(‘</w:t>
      </w:r>
      <w:proofErr w:type="spellStart"/>
      <w:r w:rsidRPr="00F3631A">
        <w:rPr>
          <w:rFonts w:ascii="Garamond" w:hAnsi="Garamond"/>
          <w:i/>
          <w:iCs/>
          <w:color w:val="000000" w:themeColor="text1"/>
          <w:lang w:val="en-US"/>
        </w:rPr>
        <w:t>Textilis</w:t>
      </w:r>
      <w:proofErr w:type="spellEnd"/>
      <w:r w:rsidRPr="00F3631A">
        <w:rPr>
          <w:rFonts w:ascii="Garamond" w:hAnsi="Garamond"/>
          <w:color w:val="000000" w:themeColor="text1"/>
          <w:lang w:val="en-US"/>
        </w:rPr>
        <w:t>’), the Court of Justice of the European Union (CJEU) found that the reformed language of the absolute ground for refusal concerning signs which consist exclusively of the “</w:t>
      </w:r>
      <w:r w:rsidRPr="00F3631A">
        <w:rPr>
          <w:rFonts w:ascii="Garamond" w:hAnsi="Garamond"/>
          <w:color w:val="000000" w:themeColor="text1"/>
          <w:shd w:val="clear" w:color="auto" w:fill="FFFFFF"/>
          <w:lang w:val="en-US"/>
        </w:rPr>
        <w:t xml:space="preserve">the shape, or another characteristic, which gives substantial value to the goods”: (1) is not applicable to trade marks registered before the entry into force of </w:t>
      </w:r>
      <w:r w:rsidRPr="00E42B8C">
        <w:rPr>
          <w:rFonts w:ascii="Garamond" w:hAnsi="Garamond"/>
          <w:color w:val="000000" w:themeColor="text1"/>
          <w:lang w:val="en-US"/>
        </w:rPr>
        <w:t>Regulation 207/2009, as amended by Regulation 2015/2424</w:t>
      </w:r>
      <w:r w:rsidRPr="00F3631A">
        <w:rPr>
          <w:rFonts w:ascii="Garamond" w:hAnsi="Garamond"/>
          <w:color w:val="000000" w:themeColor="text1"/>
          <w:lang w:val="en-US"/>
        </w:rPr>
        <w:t xml:space="preserve">; and (2) does not apply to </w:t>
      </w:r>
      <w:r w:rsidRPr="00E42B8C">
        <w:rPr>
          <w:rFonts w:ascii="Garamond" w:hAnsi="Garamond"/>
          <w:color w:val="000000" w:themeColor="text1"/>
          <w:lang w:val="en-US"/>
        </w:rPr>
        <w:t xml:space="preserve">a sign </w:t>
      </w:r>
      <w:r w:rsidRPr="00F3631A">
        <w:rPr>
          <w:rFonts w:ascii="Garamond" w:hAnsi="Garamond"/>
          <w:color w:val="000000" w:themeColor="text1"/>
          <w:lang w:val="en-US"/>
        </w:rPr>
        <w:t>that consists</w:t>
      </w:r>
      <w:r w:rsidRPr="00E42B8C">
        <w:rPr>
          <w:rFonts w:ascii="Garamond" w:hAnsi="Garamond"/>
          <w:color w:val="000000" w:themeColor="text1"/>
          <w:lang w:val="en-US"/>
        </w:rPr>
        <w:t xml:space="preserve"> of two-dimensional decorative motifs</w:t>
      </w:r>
      <w:r w:rsidRPr="00F3631A">
        <w:rPr>
          <w:rFonts w:ascii="Garamond" w:hAnsi="Garamond"/>
          <w:color w:val="000000" w:themeColor="text1"/>
          <w:lang w:val="en-US"/>
        </w:rPr>
        <w:t xml:space="preserve"> </w:t>
      </w:r>
      <w:r w:rsidRPr="00E42B8C">
        <w:rPr>
          <w:rFonts w:ascii="Garamond" w:hAnsi="Garamond"/>
          <w:color w:val="000000" w:themeColor="text1"/>
          <w:lang w:val="en-US"/>
        </w:rPr>
        <w:t>affixed to goods.</w:t>
      </w:r>
    </w:p>
    <w:p w:rsidR="00E42B8C" w:rsidRPr="00E42B8C" w:rsidRDefault="00E42B8C" w:rsidP="00F3631A">
      <w:pPr>
        <w:jc w:val="both"/>
        <w:rPr>
          <w:rFonts w:ascii="Garamond" w:hAnsi="Garamond"/>
          <w:b/>
          <w:bCs/>
          <w:color w:val="000000" w:themeColor="text1"/>
          <w:lang w:val="en-US"/>
        </w:rPr>
      </w:pPr>
    </w:p>
    <w:p w:rsidR="00E42B8C" w:rsidRPr="00F3631A" w:rsidRDefault="00E42B8C" w:rsidP="00F3631A">
      <w:pPr>
        <w:jc w:val="both"/>
        <w:rPr>
          <w:rFonts w:ascii="Garamond" w:hAnsi="Garamond"/>
          <w:b/>
          <w:bCs/>
          <w:color w:val="000000" w:themeColor="text1"/>
          <w:lang w:val="en-US"/>
        </w:rPr>
      </w:pPr>
      <w:r w:rsidRPr="00F3631A">
        <w:rPr>
          <w:rFonts w:ascii="Garamond" w:hAnsi="Garamond"/>
          <w:b/>
          <w:bCs/>
          <w:color w:val="000000" w:themeColor="text1"/>
          <w:lang w:val="en-US"/>
        </w:rPr>
        <w:t>Legal context</w:t>
      </w:r>
    </w:p>
    <w:p w:rsidR="00E42B8C" w:rsidRPr="00F3631A" w:rsidRDefault="00E42B8C" w:rsidP="00F3631A">
      <w:pPr>
        <w:jc w:val="both"/>
        <w:rPr>
          <w:rFonts w:ascii="Garamond" w:hAnsi="Garamond"/>
          <w:color w:val="000000" w:themeColor="text1"/>
          <w:lang w:val="en-US"/>
        </w:rPr>
      </w:pPr>
    </w:p>
    <w:p w:rsidR="00FB5615" w:rsidRPr="00F3631A" w:rsidRDefault="00E42B8C" w:rsidP="00F3631A">
      <w:pPr>
        <w:jc w:val="both"/>
        <w:rPr>
          <w:rFonts w:ascii="Garamond" w:hAnsi="Garamond"/>
          <w:color w:val="000000" w:themeColor="text1"/>
          <w:lang w:val="en-US"/>
        </w:rPr>
      </w:pPr>
      <w:r w:rsidRPr="00F3631A">
        <w:rPr>
          <w:rFonts w:ascii="Garamond" w:hAnsi="Garamond"/>
          <w:color w:val="000000" w:themeColor="text1"/>
          <w:lang w:val="en-US"/>
        </w:rPr>
        <w:t xml:space="preserve">In the context of the 2015 EU trade mark reform, the language of the absolute ground for refusal </w:t>
      </w:r>
      <w:r w:rsidR="00FB5615" w:rsidRPr="00F3631A">
        <w:rPr>
          <w:rFonts w:ascii="Garamond" w:hAnsi="Garamond"/>
          <w:color w:val="000000" w:themeColor="text1"/>
          <w:lang w:val="en-US"/>
        </w:rPr>
        <w:t xml:space="preserve">in Article 7(1)(e)(iii) of the EU Trade Mark Regulation 207/2009 (now EU Trade Mark Regulation 2017/1001) was reformed, so that the exclusion from registration envisaged therein would not </w:t>
      </w:r>
      <w:r w:rsidR="00A745FD">
        <w:rPr>
          <w:rFonts w:ascii="Garamond" w:hAnsi="Garamond"/>
          <w:color w:val="000000" w:themeColor="text1"/>
          <w:lang w:val="en-US"/>
        </w:rPr>
        <w:t>just</w:t>
      </w:r>
      <w:r w:rsidR="00FB5615" w:rsidRPr="00F3631A">
        <w:rPr>
          <w:rFonts w:ascii="Garamond" w:hAnsi="Garamond"/>
          <w:color w:val="000000" w:themeColor="text1"/>
          <w:lang w:val="en-US"/>
        </w:rPr>
        <w:t xml:space="preserve"> apply to the ‘shape’, but also to ‘another characteristic’ that gives substantial value to the goods. </w:t>
      </w:r>
    </w:p>
    <w:p w:rsidR="00FB5615" w:rsidRPr="00F3631A" w:rsidRDefault="00FB5615" w:rsidP="00F3631A">
      <w:pPr>
        <w:jc w:val="both"/>
        <w:rPr>
          <w:rFonts w:ascii="Garamond" w:hAnsi="Garamond"/>
          <w:color w:val="000000" w:themeColor="text1"/>
          <w:lang w:val="en-US"/>
        </w:rPr>
      </w:pPr>
    </w:p>
    <w:p w:rsidR="00FB5615" w:rsidRPr="00F3631A" w:rsidRDefault="00FB5615" w:rsidP="00F3631A">
      <w:pPr>
        <w:jc w:val="both"/>
        <w:rPr>
          <w:rFonts w:ascii="Garamond" w:hAnsi="Garamond"/>
          <w:color w:val="000000" w:themeColor="text1"/>
          <w:lang w:val="en-US"/>
        </w:rPr>
      </w:pPr>
      <w:r w:rsidRPr="00F3631A">
        <w:rPr>
          <w:rFonts w:ascii="Garamond" w:hAnsi="Garamond"/>
          <w:color w:val="000000" w:themeColor="text1"/>
          <w:lang w:val="en-US"/>
        </w:rPr>
        <w:t>What remained unclear after the reform was both whether the reformed language of this absolute ground would be also applicable to trade marks registered prior to the entry into force of the new legislation</w:t>
      </w:r>
      <w:r w:rsidR="00792A52">
        <w:rPr>
          <w:rFonts w:ascii="Garamond" w:hAnsi="Garamond"/>
          <w:color w:val="000000" w:themeColor="text1"/>
          <w:lang w:val="en-US"/>
        </w:rPr>
        <w:t xml:space="preserve"> (</w:t>
      </w:r>
      <w:r w:rsidRPr="00F3631A">
        <w:rPr>
          <w:rFonts w:ascii="Garamond" w:hAnsi="Garamond"/>
          <w:color w:val="000000" w:themeColor="text1"/>
          <w:lang w:val="en-US"/>
        </w:rPr>
        <w:t xml:space="preserve">thus paving the way to </w:t>
      </w:r>
      <w:r w:rsidR="00792A52">
        <w:rPr>
          <w:rFonts w:ascii="Garamond" w:hAnsi="Garamond"/>
          <w:color w:val="000000" w:themeColor="text1"/>
          <w:lang w:val="en-US"/>
        </w:rPr>
        <w:t xml:space="preserve">the </w:t>
      </w:r>
      <w:r w:rsidRPr="00F3631A">
        <w:rPr>
          <w:rFonts w:ascii="Garamond" w:hAnsi="Garamond"/>
          <w:color w:val="000000" w:themeColor="text1"/>
          <w:lang w:val="en-US"/>
        </w:rPr>
        <w:t xml:space="preserve">potential invalidation of registrations granted under the earlier </w:t>
      </w:r>
      <w:r w:rsidR="00792A52">
        <w:rPr>
          <w:rFonts w:ascii="Garamond" w:hAnsi="Garamond"/>
          <w:color w:val="000000" w:themeColor="text1"/>
          <w:lang w:val="en-US"/>
        </w:rPr>
        <w:t>law)</w:t>
      </w:r>
      <w:r w:rsidRPr="00F3631A">
        <w:rPr>
          <w:rFonts w:ascii="Garamond" w:hAnsi="Garamond"/>
          <w:color w:val="000000" w:themeColor="text1"/>
          <w:lang w:val="en-US"/>
        </w:rPr>
        <w:t xml:space="preserve"> and the meaning of ‘another characteristic’. With particular regard to the latter, in fact, despite the attempt of Advocate General </w:t>
      </w:r>
      <w:r w:rsidR="00792A52">
        <w:rPr>
          <w:rFonts w:ascii="Garamond" w:hAnsi="Garamond"/>
          <w:color w:val="000000" w:themeColor="text1"/>
          <w:lang w:val="en-US"/>
        </w:rPr>
        <w:t xml:space="preserve">(AG) </w:t>
      </w:r>
      <w:r w:rsidRPr="00F3631A">
        <w:rPr>
          <w:rFonts w:ascii="Garamond" w:hAnsi="Garamond"/>
          <w:color w:val="000000" w:themeColor="text1"/>
          <w:lang w:val="en-US"/>
        </w:rPr>
        <w:t xml:space="preserve">Szpunar to touch upon it, especially in his First Opinion in </w:t>
      </w:r>
      <w:r w:rsidRPr="00F3631A">
        <w:rPr>
          <w:rFonts w:ascii="Garamond" w:hAnsi="Garamond"/>
          <w:i/>
          <w:iCs/>
          <w:color w:val="000000" w:themeColor="text1"/>
          <w:lang w:val="en-US"/>
        </w:rPr>
        <w:t xml:space="preserve">Christian Louboutin and Christian </w:t>
      </w:r>
      <w:proofErr w:type="spellStart"/>
      <w:r w:rsidRPr="00F3631A">
        <w:rPr>
          <w:rFonts w:ascii="Garamond" w:hAnsi="Garamond"/>
          <w:i/>
          <w:iCs/>
          <w:color w:val="000000" w:themeColor="text1"/>
          <w:lang w:val="en-US"/>
        </w:rPr>
        <w:t>Louboutin</w:t>
      </w:r>
      <w:proofErr w:type="spellEnd"/>
      <w:r w:rsidRPr="00F3631A">
        <w:rPr>
          <w:rFonts w:ascii="Garamond" w:hAnsi="Garamond"/>
          <w:i/>
          <w:iCs/>
          <w:color w:val="000000" w:themeColor="text1"/>
          <w:lang w:val="en-US"/>
        </w:rPr>
        <w:t xml:space="preserve"> </w:t>
      </w:r>
      <w:proofErr w:type="spellStart"/>
      <w:r w:rsidRPr="00F3631A">
        <w:rPr>
          <w:rFonts w:ascii="Garamond" w:hAnsi="Garamond"/>
          <w:i/>
          <w:iCs/>
          <w:color w:val="000000" w:themeColor="text1"/>
          <w:lang w:val="en-US"/>
        </w:rPr>
        <w:t>Sas</w:t>
      </w:r>
      <w:proofErr w:type="spellEnd"/>
      <w:r w:rsidRPr="00F3631A">
        <w:rPr>
          <w:rFonts w:ascii="Garamond" w:hAnsi="Garamond"/>
          <w:i/>
          <w:iCs/>
          <w:color w:val="000000" w:themeColor="text1"/>
          <w:lang w:val="en-US"/>
        </w:rPr>
        <w:t xml:space="preserve"> v van </w:t>
      </w:r>
      <w:proofErr w:type="spellStart"/>
      <w:r w:rsidRPr="00F3631A">
        <w:rPr>
          <w:rFonts w:ascii="Garamond" w:hAnsi="Garamond"/>
          <w:i/>
          <w:iCs/>
          <w:color w:val="000000" w:themeColor="text1"/>
          <w:lang w:val="en-US"/>
        </w:rPr>
        <w:t>Haren</w:t>
      </w:r>
      <w:proofErr w:type="spellEnd"/>
      <w:r w:rsidRPr="00F3631A">
        <w:rPr>
          <w:rFonts w:ascii="Garamond" w:hAnsi="Garamond"/>
          <w:i/>
          <w:iCs/>
          <w:color w:val="000000" w:themeColor="text1"/>
          <w:lang w:val="en-US"/>
        </w:rPr>
        <w:t xml:space="preserve"> </w:t>
      </w:r>
      <w:proofErr w:type="spellStart"/>
      <w:r w:rsidRPr="00F3631A">
        <w:rPr>
          <w:rFonts w:ascii="Garamond" w:hAnsi="Garamond"/>
          <w:i/>
          <w:iCs/>
          <w:color w:val="000000" w:themeColor="text1"/>
          <w:lang w:val="en-US"/>
        </w:rPr>
        <w:t>Schoenen</w:t>
      </w:r>
      <w:proofErr w:type="spellEnd"/>
      <w:r w:rsidRPr="00F3631A">
        <w:rPr>
          <w:rFonts w:ascii="Garamond" w:hAnsi="Garamond"/>
          <w:i/>
          <w:iCs/>
          <w:color w:val="000000" w:themeColor="text1"/>
          <w:lang w:val="en-US"/>
        </w:rPr>
        <w:t xml:space="preserve"> BV</w:t>
      </w:r>
      <w:r w:rsidRPr="00F3631A">
        <w:rPr>
          <w:rFonts w:ascii="Garamond" w:hAnsi="Garamond"/>
          <w:color w:val="000000" w:themeColor="text1"/>
          <w:lang w:val="en-US"/>
        </w:rPr>
        <w:t xml:space="preserve">, C-163/16, </w:t>
      </w:r>
      <w:r w:rsidRPr="00F3631A">
        <w:rPr>
          <w:rFonts w:ascii="Garamond" w:hAnsi="Garamond"/>
          <w:color w:val="000000" w:themeColor="text1"/>
          <w:shd w:val="clear" w:color="auto" w:fill="FFFFFF"/>
          <w:lang w:val="en-US"/>
        </w:rPr>
        <w:t>EU:C:2017:495</w:t>
      </w:r>
      <w:r w:rsidRPr="00F3631A">
        <w:rPr>
          <w:rFonts w:ascii="Garamond" w:hAnsi="Garamond"/>
          <w:color w:val="000000" w:themeColor="text1"/>
          <w:lang w:val="en-US"/>
        </w:rPr>
        <w:t xml:space="preserve">, paras 61-66, </w:t>
      </w:r>
      <w:r w:rsidR="00792A52">
        <w:rPr>
          <w:rFonts w:ascii="Garamond" w:hAnsi="Garamond"/>
          <w:color w:val="000000" w:themeColor="text1"/>
          <w:lang w:val="en-US"/>
        </w:rPr>
        <w:t xml:space="preserve">the CJEU failed to provide any </w:t>
      </w:r>
      <w:r w:rsidR="00A745FD">
        <w:rPr>
          <w:rFonts w:ascii="Garamond" w:hAnsi="Garamond"/>
          <w:color w:val="000000" w:themeColor="text1"/>
          <w:lang w:val="en-US"/>
        </w:rPr>
        <w:t xml:space="preserve">express </w:t>
      </w:r>
      <w:r w:rsidRPr="00F3631A">
        <w:rPr>
          <w:rFonts w:ascii="Garamond" w:hAnsi="Garamond"/>
          <w:color w:val="000000" w:themeColor="text1"/>
          <w:lang w:val="en-US"/>
        </w:rPr>
        <w:t xml:space="preserve">guidance in its 2018 judgment in </w:t>
      </w:r>
      <w:r w:rsidRPr="00F3631A">
        <w:rPr>
          <w:rFonts w:ascii="Garamond" w:hAnsi="Garamond"/>
          <w:i/>
          <w:iCs/>
          <w:color w:val="000000" w:themeColor="text1"/>
          <w:lang w:val="en-US"/>
        </w:rPr>
        <w:t xml:space="preserve">Christian Louboutin and Christian </w:t>
      </w:r>
      <w:proofErr w:type="spellStart"/>
      <w:r w:rsidRPr="00F3631A">
        <w:rPr>
          <w:rFonts w:ascii="Garamond" w:hAnsi="Garamond"/>
          <w:i/>
          <w:iCs/>
          <w:color w:val="000000" w:themeColor="text1"/>
          <w:lang w:val="en-US"/>
        </w:rPr>
        <w:t>Louboutin</w:t>
      </w:r>
      <w:proofErr w:type="spellEnd"/>
      <w:r w:rsidRPr="00F3631A">
        <w:rPr>
          <w:rFonts w:ascii="Garamond" w:hAnsi="Garamond"/>
          <w:i/>
          <w:iCs/>
          <w:color w:val="000000" w:themeColor="text1"/>
          <w:lang w:val="en-US"/>
        </w:rPr>
        <w:t xml:space="preserve"> </w:t>
      </w:r>
      <w:proofErr w:type="spellStart"/>
      <w:r w:rsidRPr="00F3631A">
        <w:rPr>
          <w:rFonts w:ascii="Garamond" w:hAnsi="Garamond"/>
          <w:i/>
          <w:iCs/>
          <w:color w:val="000000" w:themeColor="text1"/>
          <w:lang w:val="en-US"/>
        </w:rPr>
        <w:t>Sas</w:t>
      </w:r>
      <w:proofErr w:type="spellEnd"/>
      <w:r w:rsidRPr="00F3631A">
        <w:rPr>
          <w:rFonts w:ascii="Garamond" w:hAnsi="Garamond"/>
          <w:i/>
          <w:iCs/>
          <w:color w:val="000000" w:themeColor="text1"/>
          <w:lang w:val="en-US"/>
        </w:rPr>
        <w:t xml:space="preserve"> v van </w:t>
      </w:r>
      <w:proofErr w:type="spellStart"/>
      <w:r w:rsidRPr="00F3631A">
        <w:rPr>
          <w:rFonts w:ascii="Garamond" w:hAnsi="Garamond"/>
          <w:i/>
          <w:iCs/>
          <w:color w:val="000000" w:themeColor="text1"/>
          <w:lang w:val="en-US"/>
        </w:rPr>
        <w:t>Haren</w:t>
      </w:r>
      <w:proofErr w:type="spellEnd"/>
      <w:r w:rsidRPr="00F3631A">
        <w:rPr>
          <w:rFonts w:ascii="Garamond" w:hAnsi="Garamond"/>
          <w:i/>
          <w:iCs/>
          <w:color w:val="000000" w:themeColor="text1"/>
          <w:lang w:val="en-US"/>
        </w:rPr>
        <w:t xml:space="preserve"> </w:t>
      </w:r>
      <w:proofErr w:type="spellStart"/>
      <w:r w:rsidRPr="00F3631A">
        <w:rPr>
          <w:rFonts w:ascii="Garamond" w:hAnsi="Garamond"/>
          <w:i/>
          <w:iCs/>
          <w:color w:val="000000" w:themeColor="text1"/>
          <w:lang w:val="en-US"/>
        </w:rPr>
        <w:t>Schoenen</w:t>
      </w:r>
      <w:proofErr w:type="spellEnd"/>
      <w:r w:rsidRPr="00F3631A">
        <w:rPr>
          <w:rFonts w:ascii="Garamond" w:hAnsi="Garamond"/>
          <w:i/>
          <w:iCs/>
          <w:color w:val="000000" w:themeColor="text1"/>
          <w:lang w:val="en-US"/>
        </w:rPr>
        <w:t xml:space="preserve"> BV</w:t>
      </w:r>
      <w:r w:rsidRPr="00F3631A">
        <w:rPr>
          <w:rFonts w:ascii="Garamond" w:hAnsi="Garamond"/>
          <w:color w:val="000000" w:themeColor="text1"/>
          <w:lang w:val="en-US"/>
        </w:rPr>
        <w:t>, C-163/16, EU:C:2018:423</w:t>
      </w:r>
      <w:r w:rsidR="00A53953" w:rsidRPr="00F3631A">
        <w:rPr>
          <w:rFonts w:ascii="Garamond" w:hAnsi="Garamond"/>
          <w:color w:val="000000" w:themeColor="text1"/>
          <w:lang w:val="en-US"/>
        </w:rPr>
        <w:t xml:space="preserve"> (‘</w:t>
      </w:r>
      <w:r w:rsidR="00A53953" w:rsidRPr="00F3631A">
        <w:rPr>
          <w:rFonts w:ascii="Garamond" w:hAnsi="Garamond"/>
          <w:i/>
          <w:iCs/>
          <w:color w:val="000000" w:themeColor="text1"/>
          <w:lang w:val="en-US"/>
        </w:rPr>
        <w:t>Louboutin</w:t>
      </w:r>
      <w:r w:rsidR="00A53953" w:rsidRPr="00F3631A">
        <w:rPr>
          <w:rFonts w:ascii="Garamond" w:hAnsi="Garamond"/>
          <w:color w:val="000000" w:themeColor="text1"/>
          <w:lang w:val="en-US"/>
        </w:rPr>
        <w:t>’)</w:t>
      </w:r>
      <w:r w:rsidRPr="00F3631A">
        <w:rPr>
          <w:rFonts w:ascii="Garamond" w:hAnsi="Garamond"/>
          <w:color w:val="000000" w:themeColor="text1"/>
          <w:lang w:val="en-US"/>
        </w:rPr>
        <w:t xml:space="preserve">. </w:t>
      </w:r>
    </w:p>
    <w:p w:rsidR="00FB5615" w:rsidRPr="00F3631A" w:rsidRDefault="00FB5615" w:rsidP="00F3631A">
      <w:pPr>
        <w:jc w:val="both"/>
        <w:rPr>
          <w:rFonts w:ascii="Garamond" w:hAnsi="Garamond"/>
          <w:color w:val="000000" w:themeColor="text1"/>
          <w:lang w:val="en-US"/>
        </w:rPr>
      </w:pPr>
    </w:p>
    <w:p w:rsidR="00FB5615" w:rsidRPr="00F3631A" w:rsidRDefault="00FB5615" w:rsidP="00F3631A">
      <w:pPr>
        <w:jc w:val="both"/>
        <w:rPr>
          <w:rFonts w:ascii="Garamond" w:hAnsi="Garamond"/>
          <w:color w:val="000000" w:themeColor="text1"/>
          <w:lang w:val="en-US"/>
        </w:rPr>
      </w:pPr>
      <w:r w:rsidRPr="00F3631A">
        <w:rPr>
          <w:rFonts w:ascii="Garamond" w:hAnsi="Garamond"/>
          <w:b/>
          <w:bCs/>
          <w:color w:val="000000" w:themeColor="text1"/>
          <w:lang w:val="en-US"/>
        </w:rPr>
        <w:t>Facts</w:t>
      </w:r>
    </w:p>
    <w:p w:rsidR="00E42B8C" w:rsidRPr="00F3631A" w:rsidRDefault="00E42B8C" w:rsidP="00F3631A">
      <w:pPr>
        <w:jc w:val="both"/>
        <w:rPr>
          <w:rFonts w:ascii="Garamond" w:hAnsi="Garamond"/>
          <w:b/>
          <w:bCs/>
          <w:color w:val="000000" w:themeColor="text1"/>
          <w:lang w:val="en-US"/>
        </w:rPr>
      </w:pPr>
    </w:p>
    <w:p w:rsidR="00373DA0" w:rsidRPr="00792A52" w:rsidRDefault="00373DA0" w:rsidP="00F3631A">
      <w:pPr>
        <w:jc w:val="both"/>
        <w:rPr>
          <w:rFonts w:ascii="Garamond" w:hAnsi="Garamond"/>
          <w:color w:val="000000" w:themeColor="text1"/>
          <w:lang w:val="en-US"/>
        </w:rPr>
      </w:pPr>
      <w:r w:rsidRPr="00792A52">
        <w:rPr>
          <w:rFonts w:ascii="Garamond" w:hAnsi="Garamond"/>
          <w:color w:val="000000" w:themeColor="text1"/>
          <w:lang w:val="en-US"/>
        </w:rPr>
        <w:t>In the 1930</w:t>
      </w:r>
      <w:r w:rsidR="00792A52">
        <w:rPr>
          <w:rFonts w:ascii="Garamond" w:hAnsi="Garamond"/>
          <w:color w:val="000000" w:themeColor="text1"/>
          <w:lang w:val="en-US"/>
        </w:rPr>
        <w:t>s,</w:t>
      </w:r>
      <w:r w:rsidRPr="00792A52">
        <w:rPr>
          <w:rFonts w:ascii="Garamond" w:hAnsi="Garamond"/>
          <w:color w:val="000000" w:themeColor="text1"/>
          <w:lang w:val="en-US"/>
        </w:rPr>
        <w:t xml:space="preserve"> architect </w:t>
      </w:r>
      <w:r w:rsidRPr="00E42B8C">
        <w:rPr>
          <w:rFonts w:ascii="Garamond" w:hAnsi="Garamond"/>
          <w:color w:val="000000" w:themeColor="text1"/>
          <w:lang w:val="en-US"/>
        </w:rPr>
        <w:t>Joseph Frank</w:t>
      </w:r>
      <w:r w:rsidRPr="00792A52">
        <w:rPr>
          <w:rFonts w:ascii="Garamond" w:hAnsi="Garamond"/>
          <w:color w:val="000000" w:themeColor="text1"/>
          <w:lang w:val="en-US"/>
        </w:rPr>
        <w:t xml:space="preserve"> worked with </w:t>
      </w:r>
      <w:proofErr w:type="spellStart"/>
      <w:r w:rsidRPr="00792A52">
        <w:rPr>
          <w:rFonts w:ascii="Garamond" w:hAnsi="Garamond"/>
          <w:color w:val="000000" w:themeColor="text1"/>
          <w:lang w:val="en-US"/>
        </w:rPr>
        <w:t>Svenskt</w:t>
      </w:r>
      <w:proofErr w:type="spellEnd"/>
      <w:r w:rsidRPr="00792A52">
        <w:rPr>
          <w:rFonts w:ascii="Garamond" w:hAnsi="Garamond"/>
          <w:color w:val="000000" w:themeColor="text1"/>
          <w:lang w:val="en-US"/>
        </w:rPr>
        <w:t xml:space="preserve"> </w:t>
      </w:r>
      <w:proofErr w:type="spellStart"/>
      <w:r w:rsidRPr="00792A52">
        <w:rPr>
          <w:rFonts w:ascii="Garamond" w:hAnsi="Garamond"/>
          <w:color w:val="000000" w:themeColor="text1"/>
          <w:lang w:val="en-US"/>
        </w:rPr>
        <w:t>Tenn</w:t>
      </w:r>
      <w:proofErr w:type="spellEnd"/>
      <w:r w:rsidRPr="00792A52">
        <w:rPr>
          <w:rFonts w:ascii="Garamond" w:hAnsi="Garamond"/>
          <w:color w:val="000000" w:themeColor="text1"/>
          <w:lang w:val="en-US"/>
        </w:rPr>
        <w:t xml:space="preserve"> to create a pattern for furnishing fabrics that would then become iconic for this furniture and furnishing fabric house: MANHATTAN. </w:t>
      </w:r>
    </w:p>
    <w:p w:rsidR="00373DA0" w:rsidRPr="00F3631A" w:rsidRDefault="00373DA0" w:rsidP="00F3631A">
      <w:pPr>
        <w:jc w:val="both"/>
        <w:rPr>
          <w:rFonts w:ascii="Garamond" w:hAnsi="Garamond"/>
          <w:color w:val="000000" w:themeColor="text1"/>
          <w:lang w:val="en-US"/>
        </w:rPr>
      </w:pPr>
    </w:p>
    <w:p w:rsidR="00373DA0" w:rsidRDefault="00373DA0" w:rsidP="00F3631A">
      <w:pPr>
        <w:jc w:val="both"/>
        <w:rPr>
          <w:rFonts w:ascii="Garamond" w:hAnsi="Garamond"/>
          <w:color w:val="000000" w:themeColor="text1"/>
          <w:lang w:val="en-US"/>
        </w:rPr>
      </w:pPr>
      <w:r w:rsidRPr="00F3631A">
        <w:rPr>
          <w:rFonts w:ascii="Garamond" w:hAnsi="Garamond"/>
          <w:color w:val="000000" w:themeColor="text1"/>
          <w:lang w:val="en-US"/>
        </w:rPr>
        <w:t xml:space="preserve">In 2012, </w:t>
      </w:r>
      <w:proofErr w:type="spellStart"/>
      <w:r w:rsidRPr="00F3631A">
        <w:rPr>
          <w:rFonts w:ascii="Garamond" w:hAnsi="Garamond"/>
          <w:color w:val="000000" w:themeColor="text1"/>
          <w:lang w:val="en-US"/>
        </w:rPr>
        <w:t>Svenskt</w:t>
      </w:r>
      <w:proofErr w:type="spellEnd"/>
      <w:r w:rsidRPr="00F3631A">
        <w:rPr>
          <w:rFonts w:ascii="Garamond" w:hAnsi="Garamond"/>
          <w:color w:val="000000" w:themeColor="text1"/>
          <w:lang w:val="en-US"/>
        </w:rPr>
        <w:t xml:space="preserve"> </w:t>
      </w:r>
      <w:proofErr w:type="spellStart"/>
      <w:r w:rsidRPr="00F3631A">
        <w:rPr>
          <w:rFonts w:ascii="Garamond" w:hAnsi="Garamond"/>
          <w:color w:val="000000" w:themeColor="text1"/>
          <w:lang w:val="en-US"/>
        </w:rPr>
        <w:t>Tenn</w:t>
      </w:r>
      <w:proofErr w:type="spellEnd"/>
      <w:r w:rsidRPr="00F3631A">
        <w:rPr>
          <w:rFonts w:ascii="Garamond" w:hAnsi="Garamond"/>
          <w:color w:val="000000" w:themeColor="text1"/>
          <w:lang w:val="en-US"/>
        </w:rPr>
        <w:t xml:space="preserve"> successfully applied to register </w:t>
      </w:r>
      <w:r w:rsidR="00792A52">
        <w:rPr>
          <w:rFonts w:ascii="Garamond" w:hAnsi="Garamond"/>
          <w:color w:val="000000" w:themeColor="text1"/>
          <w:lang w:val="en-US"/>
        </w:rPr>
        <w:t>the MANHATTAN</w:t>
      </w:r>
      <w:r w:rsidRPr="00F3631A">
        <w:rPr>
          <w:rFonts w:ascii="Garamond" w:hAnsi="Garamond"/>
          <w:color w:val="000000" w:themeColor="text1"/>
          <w:lang w:val="en-US"/>
        </w:rPr>
        <w:t xml:space="preserve"> pattern (as represented below) as an EU trade mark for a variety of goods in classes </w:t>
      </w:r>
      <w:r w:rsidRPr="00E42B8C">
        <w:rPr>
          <w:rFonts w:ascii="Garamond" w:hAnsi="Garamond"/>
          <w:color w:val="000000" w:themeColor="text1"/>
          <w:lang w:val="en-US"/>
        </w:rPr>
        <w:t>11, 16, 20, 21, 24, 27</w:t>
      </w:r>
      <w:r w:rsidR="00A745FD">
        <w:rPr>
          <w:rFonts w:ascii="Garamond" w:hAnsi="Garamond"/>
          <w:color w:val="000000" w:themeColor="text1"/>
          <w:lang w:val="en-US"/>
        </w:rPr>
        <w:t>,</w:t>
      </w:r>
      <w:r w:rsidRPr="00E42B8C">
        <w:rPr>
          <w:rFonts w:ascii="Garamond" w:hAnsi="Garamond"/>
          <w:color w:val="000000" w:themeColor="text1"/>
          <w:lang w:val="en-US"/>
        </w:rPr>
        <w:t xml:space="preserve"> and 35</w:t>
      </w:r>
      <w:r w:rsidRPr="00F3631A">
        <w:rPr>
          <w:rFonts w:ascii="Garamond" w:hAnsi="Garamond"/>
          <w:color w:val="000000" w:themeColor="text1"/>
          <w:lang w:val="en-US"/>
        </w:rPr>
        <w:t>:</w:t>
      </w:r>
    </w:p>
    <w:p w:rsidR="00792A52" w:rsidRPr="00F3631A" w:rsidRDefault="00792A52" w:rsidP="00F3631A">
      <w:pPr>
        <w:jc w:val="both"/>
        <w:rPr>
          <w:rFonts w:ascii="Garamond" w:hAnsi="Garamond"/>
          <w:color w:val="000000" w:themeColor="text1"/>
          <w:lang w:val="en-US"/>
        </w:rPr>
      </w:pPr>
    </w:p>
    <w:p w:rsidR="00373DA0" w:rsidRPr="00F3631A" w:rsidRDefault="00373DA0" w:rsidP="00F3631A">
      <w:pPr>
        <w:jc w:val="both"/>
        <w:rPr>
          <w:rFonts w:ascii="Garamond" w:hAnsi="Garamond"/>
          <w:b/>
          <w:bCs/>
          <w:color w:val="000000" w:themeColor="text1"/>
          <w:lang w:val="en-US"/>
        </w:rPr>
      </w:pPr>
      <w:r w:rsidRPr="00F3631A">
        <w:rPr>
          <w:rFonts w:ascii="Garamond" w:hAnsi="Garamond"/>
          <w:noProof/>
          <w:color w:val="000000" w:themeColor="text1"/>
          <w:lang w:val="en-GB" w:eastAsia="en-GB"/>
        </w:rPr>
        <w:drawing>
          <wp:inline distT="0" distB="0" distL="0" distR="0" wp14:anchorId="343B34C2" wp14:editId="5E63B7BD">
            <wp:extent cx="2615807" cy="2145983"/>
            <wp:effectExtent l="0" t="0" r="635" b="635"/>
            <wp:docPr id="2" name="Picture 2" descr="/var/folders/0z/9lw1rdkd7l93c02qxqq0cpj80000gn/T/com.microsoft.Word/Content.MSO/1AB611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0z/9lw1rdkd7l93c02qxqq0cpj80000gn/T/com.microsoft.Word/Content.MSO/1AB6112E.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9668" cy="2157355"/>
                    </a:xfrm>
                    <a:prstGeom prst="rect">
                      <a:avLst/>
                    </a:prstGeom>
                    <a:noFill/>
                    <a:ln>
                      <a:noFill/>
                    </a:ln>
                  </pic:spPr>
                </pic:pic>
              </a:graphicData>
            </a:graphic>
          </wp:inline>
        </w:drawing>
      </w:r>
    </w:p>
    <w:p w:rsidR="00792A52" w:rsidRDefault="00792A52" w:rsidP="00F3631A">
      <w:pPr>
        <w:jc w:val="both"/>
        <w:rPr>
          <w:rFonts w:ascii="Garamond" w:hAnsi="Garamond"/>
          <w:color w:val="000000" w:themeColor="text1"/>
          <w:lang w:val="en-US"/>
        </w:rPr>
      </w:pPr>
    </w:p>
    <w:p w:rsidR="00792A52" w:rsidRDefault="00792A52" w:rsidP="00F3631A">
      <w:pPr>
        <w:jc w:val="both"/>
        <w:rPr>
          <w:rFonts w:ascii="Garamond" w:hAnsi="Garamond"/>
          <w:color w:val="000000" w:themeColor="text1"/>
          <w:lang w:val="en-US"/>
        </w:rPr>
      </w:pPr>
      <w:r>
        <w:rPr>
          <w:rFonts w:ascii="Garamond" w:hAnsi="Garamond"/>
          <w:color w:val="000000" w:themeColor="text1"/>
          <w:lang w:val="en-US"/>
        </w:rPr>
        <w:t xml:space="preserve">Subsequently, </w:t>
      </w:r>
      <w:proofErr w:type="spellStart"/>
      <w:r w:rsidR="00373DA0" w:rsidRPr="00F3631A">
        <w:rPr>
          <w:rFonts w:ascii="Garamond" w:hAnsi="Garamond"/>
          <w:color w:val="000000" w:themeColor="text1"/>
          <w:lang w:val="en-US"/>
        </w:rPr>
        <w:t>Svenskt</w:t>
      </w:r>
      <w:proofErr w:type="spellEnd"/>
      <w:r w:rsidR="00373DA0" w:rsidRPr="00F3631A">
        <w:rPr>
          <w:rFonts w:ascii="Garamond" w:hAnsi="Garamond"/>
          <w:color w:val="000000" w:themeColor="text1"/>
          <w:lang w:val="en-US"/>
        </w:rPr>
        <w:t xml:space="preserve"> </w:t>
      </w:r>
      <w:proofErr w:type="spellStart"/>
      <w:r w:rsidR="00373DA0" w:rsidRPr="00F3631A">
        <w:rPr>
          <w:rFonts w:ascii="Garamond" w:hAnsi="Garamond"/>
          <w:color w:val="000000" w:themeColor="text1"/>
          <w:lang w:val="en-US"/>
        </w:rPr>
        <w:t>Tenn</w:t>
      </w:r>
      <w:proofErr w:type="spellEnd"/>
      <w:r w:rsidR="00373DA0" w:rsidRPr="00F3631A">
        <w:rPr>
          <w:rFonts w:ascii="Garamond" w:hAnsi="Garamond"/>
          <w:color w:val="000000" w:themeColor="text1"/>
          <w:lang w:val="en-US"/>
        </w:rPr>
        <w:t xml:space="preserve"> sued UK company </w:t>
      </w:r>
      <w:proofErr w:type="spellStart"/>
      <w:r w:rsidR="00373DA0" w:rsidRPr="00F3631A">
        <w:rPr>
          <w:rFonts w:ascii="Garamond" w:hAnsi="Garamond"/>
          <w:color w:val="000000" w:themeColor="text1"/>
          <w:lang w:val="en-US"/>
        </w:rPr>
        <w:t>Textilis</w:t>
      </w:r>
      <w:proofErr w:type="spellEnd"/>
      <w:r w:rsidR="00373DA0" w:rsidRPr="00F3631A">
        <w:rPr>
          <w:rFonts w:ascii="Garamond" w:hAnsi="Garamond"/>
          <w:color w:val="000000" w:themeColor="text1"/>
          <w:lang w:val="en-US"/>
        </w:rPr>
        <w:t xml:space="preserve">, claiming that the latter’s </w:t>
      </w:r>
      <w:r w:rsidR="00373DA0" w:rsidRPr="00E42B8C">
        <w:rPr>
          <w:rFonts w:ascii="Garamond" w:hAnsi="Garamond"/>
          <w:color w:val="000000" w:themeColor="text1"/>
          <w:lang w:val="en-US"/>
        </w:rPr>
        <w:t>fabrics and goods for interior decoration bearing patterns similar to MANHATTAN</w:t>
      </w:r>
      <w:r w:rsidR="00373DA0" w:rsidRPr="00F3631A">
        <w:rPr>
          <w:rFonts w:ascii="Garamond" w:hAnsi="Garamond"/>
          <w:color w:val="000000" w:themeColor="text1"/>
          <w:lang w:val="en-US"/>
        </w:rPr>
        <w:t xml:space="preserve"> would infringe rights in its registered trade mark</w:t>
      </w:r>
      <w:r w:rsidR="00373DA0" w:rsidRPr="00E42B8C">
        <w:rPr>
          <w:rFonts w:ascii="Garamond" w:hAnsi="Garamond"/>
          <w:color w:val="000000" w:themeColor="text1"/>
          <w:lang w:val="en-US"/>
        </w:rPr>
        <w:t>.</w:t>
      </w:r>
      <w:r w:rsidR="00373DA0" w:rsidRPr="00F3631A">
        <w:rPr>
          <w:rFonts w:ascii="Garamond" w:hAnsi="Garamond"/>
          <w:color w:val="000000" w:themeColor="text1"/>
          <w:lang w:val="en-US"/>
        </w:rPr>
        <w:t xml:space="preserve"> As a counterclaim, </w:t>
      </w:r>
      <w:proofErr w:type="spellStart"/>
      <w:r w:rsidR="00373DA0" w:rsidRPr="00F3631A">
        <w:rPr>
          <w:rFonts w:ascii="Garamond" w:hAnsi="Garamond"/>
          <w:color w:val="000000" w:themeColor="text1"/>
          <w:lang w:val="en-US"/>
        </w:rPr>
        <w:t>Textilis</w:t>
      </w:r>
      <w:proofErr w:type="spellEnd"/>
      <w:r w:rsidR="00373DA0" w:rsidRPr="00F3631A">
        <w:rPr>
          <w:rFonts w:ascii="Garamond" w:hAnsi="Garamond"/>
          <w:color w:val="000000" w:themeColor="text1"/>
          <w:lang w:val="en-US"/>
        </w:rPr>
        <w:t xml:space="preserve"> requested a declaration of invalidity of the MANHATTAN trade mark </w:t>
      </w:r>
      <w:r w:rsidR="00373DA0" w:rsidRPr="00F3631A">
        <w:rPr>
          <w:rFonts w:ascii="Garamond" w:hAnsi="Garamond"/>
          <w:color w:val="000000" w:themeColor="text1"/>
          <w:lang w:val="en-US"/>
        </w:rPr>
        <w:lastRenderedPageBreak/>
        <w:t xml:space="preserve">on grounds, first, of insufficient distinctiveness and, second, that </w:t>
      </w:r>
      <w:r w:rsidR="00E42B8C" w:rsidRPr="00E42B8C">
        <w:rPr>
          <w:rFonts w:ascii="Garamond" w:hAnsi="Garamond"/>
          <w:color w:val="000000" w:themeColor="text1"/>
          <w:lang w:val="en-US"/>
        </w:rPr>
        <w:t xml:space="preserve">the way in which it </w:t>
      </w:r>
      <w:r>
        <w:rPr>
          <w:rFonts w:ascii="Garamond" w:hAnsi="Garamond"/>
          <w:color w:val="000000" w:themeColor="text1"/>
          <w:lang w:val="en-US"/>
        </w:rPr>
        <w:t>was</w:t>
      </w:r>
      <w:r w:rsidR="00E42B8C" w:rsidRPr="00E42B8C">
        <w:rPr>
          <w:rFonts w:ascii="Garamond" w:hAnsi="Garamond"/>
          <w:color w:val="000000" w:themeColor="text1"/>
          <w:lang w:val="en-US"/>
        </w:rPr>
        <w:t xml:space="preserve"> used</w:t>
      </w:r>
      <w:r w:rsidR="00373DA0" w:rsidRPr="00F3631A">
        <w:rPr>
          <w:rFonts w:ascii="Garamond" w:hAnsi="Garamond"/>
          <w:color w:val="000000" w:themeColor="text1"/>
          <w:lang w:val="en-US"/>
        </w:rPr>
        <w:t xml:space="preserve"> would render it a</w:t>
      </w:r>
      <w:r w:rsidR="00E42B8C" w:rsidRPr="00E42B8C">
        <w:rPr>
          <w:rFonts w:ascii="Garamond" w:hAnsi="Garamond"/>
          <w:color w:val="000000" w:themeColor="text1"/>
          <w:lang w:val="en-US"/>
        </w:rPr>
        <w:t xml:space="preserve"> shape which gives substantial value to the goods within the meaning of Article 7(1)(e)(iii) of </w:t>
      </w:r>
      <w:r w:rsidR="00373DA0" w:rsidRPr="00F3631A">
        <w:rPr>
          <w:rFonts w:ascii="Garamond" w:hAnsi="Garamond"/>
          <w:color w:val="000000" w:themeColor="text1"/>
          <w:lang w:val="en-US"/>
        </w:rPr>
        <w:t>the EU Trade Mark Regulation</w:t>
      </w:r>
      <w:r w:rsidR="00E42B8C" w:rsidRPr="00E42B8C">
        <w:rPr>
          <w:rFonts w:ascii="Garamond" w:hAnsi="Garamond"/>
          <w:color w:val="000000" w:themeColor="text1"/>
          <w:lang w:val="en-US"/>
        </w:rPr>
        <w:t>.</w:t>
      </w:r>
      <w:r>
        <w:rPr>
          <w:rFonts w:ascii="Garamond" w:hAnsi="Garamond"/>
          <w:color w:val="000000" w:themeColor="text1"/>
          <w:lang w:val="en-US"/>
        </w:rPr>
        <w:t xml:space="preserve"> </w:t>
      </w:r>
      <w:r w:rsidR="00373DA0" w:rsidRPr="00F3631A">
        <w:rPr>
          <w:rFonts w:ascii="Garamond" w:hAnsi="Garamond"/>
          <w:color w:val="000000" w:themeColor="text1"/>
          <w:lang w:val="en-US"/>
        </w:rPr>
        <w:t xml:space="preserve">The Stockholm District Court ruled in </w:t>
      </w:r>
      <w:proofErr w:type="spellStart"/>
      <w:r w:rsidR="00373DA0" w:rsidRPr="00F3631A">
        <w:rPr>
          <w:rFonts w:ascii="Garamond" w:hAnsi="Garamond"/>
          <w:color w:val="000000" w:themeColor="text1"/>
          <w:lang w:val="en-US"/>
        </w:rPr>
        <w:t>favour</w:t>
      </w:r>
      <w:proofErr w:type="spellEnd"/>
      <w:r w:rsidR="00373DA0" w:rsidRPr="00F3631A">
        <w:rPr>
          <w:rFonts w:ascii="Garamond" w:hAnsi="Garamond"/>
          <w:color w:val="000000" w:themeColor="text1"/>
          <w:lang w:val="en-US"/>
        </w:rPr>
        <w:t xml:space="preserve"> of </w:t>
      </w:r>
      <w:proofErr w:type="spellStart"/>
      <w:r w:rsidR="00373DA0" w:rsidRPr="00F3631A">
        <w:rPr>
          <w:rFonts w:ascii="Garamond" w:hAnsi="Garamond"/>
          <w:color w:val="000000" w:themeColor="text1"/>
          <w:lang w:val="en-US"/>
        </w:rPr>
        <w:t>Svenskt</w:t>
      </w:r>
      <w:proofErr w:type="spellEnd"/>
      <w:r w:rsidR="00373DA0" w:rsidRPr="00F3631A">
        <w:rPr>
          <w:rFonts w:ascii="Garamond" w:hAnsi="Garamond"/>
          <w:color w:val="000000" w:themeColor="text1"/>
          <w:lang w:val="en-US"/>
        </w:rPr>
        <w:t xml:space="preserve"> </w:t>
      </w:r>
      <w:proofErr w:type="spellStart"/>
      <w:r w:rsidR="00373DA0" w:rsidRPr="00F3631A">
        <w:rPr>
          <w:rFonts w:ascii="Garamond" w:hAnsi="Garamond"/>
          <w:color w:val="000000" w:themeColor="text1"/>
          <w:lang w:val="en-US"/>
        </w:rPr>
        <w:t>Tenn</w:t>
      </w:r>
      <w:proofErr w:type="spellEnd"/>
      <w:r w:rsidR="00373DA0" w:rsidRPr="00F3631A">
        <w:rPr>
          <w:rFonts w:ascii="Garamond" w:hAnsi="Garamond"/>
          <w:color w:val="000000" w:themeColor="text1"/>
          <w:lang w:val="en-US"/>
        </w:rPr>
        <w:t xml:space="preserve"> and also found that </w:t>
      </w:r>
      <w:proofErr w:type="spellStart"/>
      <w:r w:rsidR="00373DA0" w:rsidRPr="00F3631A">
        <w:rPr>
          <w:rFonts w:ascii="Garamond" w:hAnsi="Garamond"/>
          <w:color w:val="000000" w:themeColor="text1"/>
          <w:lang w:val="en-US"/>
        </w:rPr>
        <w:t>Textilis</w:t>
      </w:r>
      <w:proofErr w:type="spellEnd"/>
      <w:r w:rsidR="00373DA0" w:rsidRPr="00F3631A">
        <w:rPr>
          <w:rFonts w:ascii="Garamond" w:hAnsi="Garamond"/>
          <w:color w:val="000000" w:themeColor="text1"/>
          <w:lang w:val="en-US"/>
        </w:rPr>
        <w:t xml:space="preserve"> had infringed copyright in MANHATTAN.</w:t>
      </w:r>
      <w:r>
        <w:rPr>
          <w:rFonts w:ascii="Garamond" w:hAnsi="Garamond"/>
          <w:color w:val="000000" w:themeColor="text1"/>
          <w:lang w:val="en-US"/>
        </w:rPr>
        <w:t xml:space="preserve"> </w:t>
      </w:r>
    </w:p>
    <w:p w:rsidR="00792A52" w:rsidRDefault="00792A52" w:rsidP="00F3631A">
      <w:pPr>
        <w:jc w:val="both"/>
        <w:rPr>
          <w:rFonts w:ascii="Garamond" w:hAnsi="Garamond"/>
          <w:color w:val="000000" w:themeColor="text1"/>
          <w:lang w:val="en-US"/>
        </w:rPr>
      </w:pPr>
    </w:p>
    <w:p w:rsidR="009C7A1E" w:rsidRPr="00F3631A" w:rsidRDefault="00373DA0" w:rsidP="00F3631A">
      <w:pPr>
        <w:jc w:val="both"/>
        <w:rPr>
          <w:rFonts w:ascii="Garamond" w:hAnsi="Garamond"/>
          <w:color w:val="000000" w:themeColor="text1"/>
          <w:lang w:val="en-US"/>
        </w:rPr>
      </w:pPr>
      <w:proofErr w:type="spellStart"/>
      <w:r w:rsidRPr="00F3631A">
        <w:rPr>
          <w:rFonts w:ascii="Garamond" w:hAnsi="Garamond"/>
          <w:color w:val="000000" w:themeColor="text1"/>
          <w:lang w:val="en-US"/>
        </w:rPr>
        <w:t>Textilis</w:t>
      </w:r>
      <w:proofErr w:type="spellEnd"/>
      <w:r w:rsidRPr="00F3631A">
        <w:rPr>
          <w:rFonts w:ascii="Garamond" w:hAnsi="Garamond"/>
          <w:color w:val="000000" w:themeColor="text1"/>
          <w:lang w:val="en-US"/>
        </w:rPr>
        <w:t xml:space="preserve"> appealed, arguing that the rationale of the absolute ground in Article </w:t>
      </w:r>
      <w:r w:rsidRPr="00E42B8C">
        <w:rPr>
          <w:rFonts w:ascii="Garamond" w:hAnsi="Garamond"/>
          <w:color w:val="000000" w:themeColor="text1"/>
          <w:lang w:val="en-US"/>
        </w:rPr>
        <w:t xml:space="preserve">7(1)(e)(iii) </w:t>
      </w:r>
      <w:r w:rsidRPr="00F3631A">
        <w:rPr>
          <w:rFonts w:ascii="Garamond" w:hAnsi="Garamond"/>
          <w:color w:val="000000" w:themeColor="text1"/>
          <w:lang w:val="en-US"/>
        </w:rPr>
        <w:t xml:space="preserve">is such that </w:t>
      </w:r>
      <w:r w:rsidR="009C7A1E" w:rsidRPr="00F3631A">
        <w:rPr>
          <w:rFonts w:ascii="Garamond" w:hAnsi="Garamond"/>
          <w:color w:val="000000" w:themeColor="text1"/>
          <w:lang w:val="en-US"/>
        </w:rPr>
        <w:t>a sign</w:t>
      </w:r>
      <w:r w:rsidRPr="00E42B8C">
        <w:rPr>
          <w:rFonts w:ascii="Garamond" w:hAnsi="Garamond"/>
          <w:color w:val="000000" w:themeColor="text1"/>
          <w:lang w:val="en-US"/>
        </w:rPr>
        <w:t xml:space="preserve"> consisting of the pattern on a fabric cannot be registered as a trade mark without subverting the principle of </w:t>
      </w:r>
      <w:r w:rsidR="009C7A1E" w:rsidRPr="00F3631A">
        <w:rPr>
          <w:rFonts w:ascii="Garamond" w:hAnsi="Garamond"/>
          <w:color w:val="000000" w:themeColor="text1"/>
          <w:lang w:val="en-US"/>
        </w:rPr>
        <w:t xml:space="preserve">limited </w:t>
      </w:r>
      <w:r w:rsidR="00792A52">
        <w:rPr>
          <w:rFonts w:ascii="Garamond" w:hAnsi="Garamond"/>
          <w:color w:val="000000" w:themeColor="text1"/>
          <w:lang w:val="en-US"/>
        </w:rPr>
        <w:t xml:space="preserve">duration of </w:t>
      </w:r>
      <w:r w:rsidR="009C7A1E" w:rsidRPr="00F3631A">
        <w:rPr>
          <w:rFonts w:ascii="Garamond" w:hAnsi="Garamond"/>
          <w:color w:val="000000" w:themeColor="text1"/>
          <w:lang w:val="en-US"/>
        </w:rPr>
        <w:t>copyright protection</w:t>
      </w:r>
      <w:r w:rsidRPr="00E42B8C">
        <w:rPr>
          <w:rFonts w:ascii="Garamond" w:hAnsi="Garamond"/>
          <w:color w:val="000000" w:themeColor="text1"/>
          <w:lang w:val="en-US"/>
        </w:rPr>
        <w:t xml:space="preserve">. </w:t>
      </w:r>
      <w:r w:rsidR="00E42B8C" w:rsidRPr="00E42B8C">
        <w:rPr>
          <w:rFonts w:ascii="Garamond" w:hAnsi="Garamond"/>
          <w:color w:val="000000" w:themeColor="text1"/>
          <w:lang w:val="en-US"/>
        </w:rPr>
        <w:t xml:space="preserve">The </w:t>
      </w:r>
      <w:proofErr w:type="spellStart"/>
      <w:r w:rsidR="00E42B8C" w:rsidRPr="00E42B8C">
        <w:rPr>
          <w:rFonts w:ascii="Garamond" w:hAnsi="Garamond"/>
          <w:color w:val="000000" w:themeColor="text1"/>
          <w:lang w:val="en-US"/>
        </w:rPr>
        <w:t>Svea</w:t>
      </w:r>
      <w:proofErr w:type="spellEnd"/>
      <w:r w:rsidR="00E42B8C" w:rsidRPr="00E42B8C">
        <w:rPr>
          <w:rFonts w:ascii="Garamond" w:hAnsi="Garamond"/>
          <w:color w:val="000000" w:themeColor="text1"/>
          <w:lang w:val="en-US"/>
        </w:rPr>
        <w:t xml:space="preserve"> Court of Appeal, Patents and Market Court of Appeal, Stockholm</w:t>
      </w:r>
      <w:r w:rsidR="009C7A1E" w:rsidRPr="00F3631A">
        <w:rPr>
          <w:rFonts w:ascii="Garamond" w:hAnsi="Garamond"/>
          <w:color w:val="000000" w:themeColor="text1"/>
          <w:lang w:val="en-US"/>
        </w:rPr>
        <w:t xml:space="preserve"> stayed the proceedings and asked the CJEU to clarify, first, the application in time of the reformed language of Article </w:t>
      </w:r>
      <w:r w:rsidR="009C7A1E" w:rsidRPr="00E42B8C">
        <w:rPr>
          <w:rFonts w:ascii="Garamond" w:hAnsi="Garamond"/>
          <w:color w:val="000000" w:themeColor="text1"/>
          <w:lang w:val="en-US"/>
        </w:rPr>
        <w:t>7(1)(e)(iii)</w:t>
      </w:r>
      <w:r w:rsidR="009C7A1E" w:rsidRPr="00F3631A">
        <w:rPr>
          <w:rFonts w:ascii="Garamond" w:hAnsi="Garamond"/>
          <w:color w:val="000000" w:themeColor="text1"/>
          <w:lang w:val="en-US"/>
        </w:rPr>
        <w:t xml:space="preserve"> and, second, the content thereof, including whether</w:t>
      </w:r>
      <w:r w:rsidR="00A90AF6" w:rsidRPr="00F3631A">
        <w:rPr>
          <w:rFonts w:ascii="Garamond" w:hAnsi="Garamond"/>
          <w:color w:val="000000" w:themeColor="text1"/>
          <w:lang w:val="en-US"/>
        </w:rPr>
        <w:t xml:space="preserve"> </w:t>
      </w:r>
      <w:r w:rsidR="00792A52">
        <w:rPr>
          <w:rFonts w:ascii="Garamond" w:hAnsi="Garamond"/>
          <w:color w:val="000000" w:themeColor="text1"/>
          <w:lang w:val="en-US"/>
        </w:rPr>
        <w:t xml:space="preserve">it </w:t>
      </w:r>
      <w:r w:rsidR="009C7A1E" w:rsidRPr="00F3631A">
        <w:rPr>
          <w:rFonts w:ascii="Garamond" w:hAnsi="Garamond"/>
          <w:color w:val="000000" w:themeColor="text1"/>
          <w:lang w:val="en-US"/>
        </w:rPr>
        <w:t>is applicable to two-dimensional signs that represent two-dimensional goods</w:t>
      </w:r>
      <w:r w:rsidR="00A90AF6" w:rsidRPr="00F3631A">
        <w:rPr>
          <w:rFonts w:ascii="Garamond" w:hAnsi="Garamond"/>
          <w:color w:val="000000" w:themeColor="text1"/>
          <w:lang w:val="en-US"/>
        </w:rPr>
        <w:t xml:space="preserve"> and</w:t>
      </w:r>
      <w:r w:rsidR="00792A52">
        <w:rPr>
          <w:rFonts w:ascii="Garamond" w:hAnsi="Garamond"/>
          <w:color w:val="000000" w:themeColor="text1"/>
          <w:lang w:val="en-US"/>
        </w:rPr>
        <w:t xml:space="preserve"> such language</w:t>
      </w:r>
      <w:r w:rsidR="00A90AF6" w:rsidRPr="00F3631A">
        <w:rPr>
          <w:rFonts w:ascii="Garamond" w:hAnsi="Garamond"/>
          <w:color w:val="000000" w:themeColor="text1"/>
          <w:lang w:val="en-US"/>
        </w:rPr>
        <w:t xml:space="preserve"> </w:t>
      </w:r>
      <w:r w:rsidR="009C7A1E" w:rsidRPr="00F3631A">
        <w:rPr>
          <w:rFonts w:ascii="Garamond" w:hAnsi="Garamond"/>
          <w:color w:val="000000" w:themeColor="text1"/>
          <w:lang w:val="en-US"/>
        </w:rPr>
        <w:t xml:space="preserve">has resulted in a substantial alteration </w:t>
      </w:r>
      <w:r w:rsidR="00A90AF6" w:rsidRPr="00F3631A">
        <w:rPr>
          <w:rFonts w:ascii="Garamond" w:hAnsi="Garamond"/>
          <w:color w:val="000000" w:themeColor="text1"/>
          <w:lang w:val="en-US"/>
        </w:rPr>
        <w:t xml:space="preserve">(broadening) </w:t>
      </w:r>
      <w:r w:rsidR="009C7A1E" w:rsidRPr="00F3631A">
        <w:rPr>
          <w:rFonts w:ascii="Garamond" w:hAnsi="Garamond"/>
          <w:color w:val="000000" w:themeColor="text1"/>
          <w:lang w:val="en-US"/>
        </w:rPr>
        <w:t xml:space="preserve">of the </w:t>
      </w:r>
      <w:r w:rsidR="00A90AF6" w:rsidRPr="00F3631A">
        <w:rPr>
          <w:rFonts w:ascii="Garamond" w:hAnsi="Garamond"/>
          <w:color w:val="000000" w:themeColor="text1"/>
          <w:lang w:val="en-US"/>
        </w:rPr>
        <w:t xml:space="preserve">original </w:t>
      </w:r>
      <w:r w:rsidR="009C7A1E" w:rsidRPr="00F3631A">
        <w:rPr>
          <w:rFonts w:ascii="Garamond" w:hAnsi="Garamond"/>
          <w:color w:val="000000" w:themeColor="text1"/>
          <w:lang w:val="en-US"/>
        </w:rPr>
        <w:t>scope of the ground</w:t>
      </w:r>
      <w:r w:rsidR="00A90AF6" w:rsidRPr="00F3631A">
        <w:rPr>
          <w:rFonts w:ascii="Garamond" w:hAnsi="Garamond"/>
          <w:color w:val="000000" w:themeColor="text1"/>
          <w:lang w:val="en-US"/>
        </w:rPr>
        <w:t>, as well how the relevant assessment is to be undertaken.</w:t>
      </w:r>
    </w:p>
    <w:p w:rsidR="00A90AF6" w:rsidRPr="00F3631A" w:rsidRDefault="00A90AF6" w:rsidP="00F3631A">
      <w:pPr>
        <w:jc w:val="both"/>
        <w:rPr>
          <w:rFonts w:ascii="Garamond" w:hAnsi="Garamond"/>
          <w:color w:val="000000" w:themeColor="text1"/>
          <w:lang w:val="en-US"/>
        </w:rPr>
      </w:pPr>
    </w:p>
    <w:p w:rsidR="00A90AF6" w:rsidRPr="00F3631A" w:rsidRDefault="00A90AF6" w:rsidP="00F3631A">
      <w:pPr>
        <w:jc w:val="both"/>
        <w:rPr>
          <w:rFonts w:ascii="Garamond" w:hAnsi="Garamond"/>
          <w:b/>
          <w:bCs/>
          <w:color w:val="000000" w:themeColor="text1"/>
          <w:lang w:val="en-US"/>
        </w:rPr>
      </w:pPr>
      <w:r w:rsidRPr="00F3631A">
        <w:rPr>
          <w:rFonts w:ascii="Garamond" w:hAnsi="Garamond"/>
          <w:b/>
          <w:bCs/>
          <w:color w:val="000000" w:themeColor="text1"/>
          <w:lang w:val="en-US"/>
        </w:rPr>
        <w:t>Analysis</w:t>
      </w:r>
    </w:p>
    <w:p w:rsidR="00A90AF6" w:rsidRPr="00F3631A" w:rsidRDefault="00A90AF6" w:rsidP="00F3631A">
      <w:pPr>
        <w:jc w:val="both"/>
        <w:rPr>
          <w:rFonts w:ascii="Garamond" w:hAnsi="Garamond"/>
          <w:b/>
          <w:bCs/>
          <w:color w:val="000000" w:themeColor="text1"/>
          <w:lang w:val="en-US"/>
        </w:rPr>
      </w:pPr>
    </w:p>
    <w:p w:rsidR="00A90AF6" w:rsidRPr="00F3631A" w:rsidRDefault="00A90AF6" w:rsidP="00F3631A">
      <w:pPr>
        <w:jc w:val="both"/>
        <w:rPr>
          <w:rFonts w:ascii="Garamond" w:hAnsi="Garamond"/>
          <w:b/>
          <w:bCs/>
          <w:i/>
          <w:iCs/>
          <w:color w:val="000000" w:themeColor="text1"/>
          <w:lang w:val="en-US"/>
        </w:rPr>
      </w:pPr>
      <w:r w:rsidRPr="00F3631A">
        <w:rPr>
          <w:rFonts w:ascii="Garamond" w:hAnsi="Garamond"/>
          <w:b/>
          <w:bCs/>
          <w:i/>
          <w:iCs/>
          <w:color w:val="000000" w:themeColor="text1"/>
          <w:lang w:val="en-US"/>
        </w:rPr>
        <w:t xml:space="preserve">Application of the reformed language of </w:t>
      </w:r>
      <w:r w:rsidR="00E42B8C" w:rsidRPr="00E42B8C">
        <w:rPr>
          <w:rFonts w:ascii="Garamond" w:hAnsi="Garamond"/>
          <w:b/>
          <w:bCs/>
          <w:i/>
          <w:iCs/>
          <w:color w:val="000000" w:themeColor="text1"/>
          <w:lang w:val="en-US"/>
        </w:rPr>
        <w:t xml:space="preserve">Article 7(1)(e)(iii) </w:t>
      </w:r>
    </w:p>
    <w:p w:rsidR="00A90AF6" w:rsidRPr="00F3631A" w:rsidRDefault="00A90AF6" w:rsidP="00F3631A">
      <w:pPr>
        <w:jc w:val="both"/>
        <w:rPr>
          <w:rFonts w:ascii="Garamond" w:hAnsi="Garamond"/>
          <w:color w:val="000000" w:themeColor="text1"/>
          <w:lang w:val="en-US"/>
        </w:rPr>
      </w:pPr>
    </w:p>
    <w:p w:rsidR="00792A52" w:rsidRDefault="00A90AF6" w:rsidP="00F3631A">
      <w:pPr>
        <w:jc w:val="both"/>
        <w:rPr>
          <w:rFonts w:ascii="Garamond" w:hAnsi="Garamond"/>
          <w:color w:val="000000" w:themeColor="text1"/>
          <w:lang w:val="en-US"/>
        </w:rPr>
      </w:pPr>
      <w:r w:rsidRPr="00F3631A">
        <w:rPr>
          <w:rFonts w:ascii="Garamond" w:hAnsi="Garamond"/>
          <w:color w:val="000000" w:themeColor="text1"/>
          <w:lang w:val="en-US"/>
        </w:rPr>
        <w:t xml:space="preserve">Starting from the question </w:t>
      </w:r>
      <w:r w:rsidR="00792A52">
        <w:rPr>
          <w:rFonts w:ascii="Garamond" w:hAnsi="Garamond"/>
          <w:color w:val="000000" w:themeColor="text1"/>
          <w:lang w:val="en-US"/>
        </w:rPr>
        <w:t>relating to</w:t>
      </w:r>
      <w:r w:rsidRPr="00F3631A">
        <w:rPr>
          <w:rFonts w:ascii="Garamond" w:hAnsi="Garamond"/>
          <w:color w:val="000000" w:themeColor="text1"/>
          <w:lang w:val="en-US"/>
        </w:rPr>
        <w:t xml:space="preserve"> the application in time of the reformed language of Article 7(1)(e)(iii), the CJEU recalled the well-established principles of </w:t>
      </w:r>
      <w:r w:rsidR="00E42B8C" w:rsidRPr="00E42B8C">
        <w:rPr>
          <w:rFonts w:ascii="Garamond" w:hAnsi="Garamond"/>
          <w:color w:val="000000" w:themeColor="text1"/>
          <w:lang w:val="en-US"/>
        </w:rPr>
        <w:t>legal certainty and the protection of legitimate expectations</w:t>
      </w:r>
      <w:r w:rsidRPr="00F3631A">
        <w:rPr>
          <w:rFonts w:ascii="Garamond" w:hAnsi="Garamond"/>
          <w:color w:val="000000" w:themeColor="text1"/>
          <w:lang w:val="en-US"/>
        </w:rPr>
        <w:t xml:space="preserve"> to reiterate that </w:t>
      </w:r>
      <w:r w:rsidR="00E42B8C" w:rsidRPr="00E42B8C">
        <w:rPr>
          <w:rFonts w:ascii="Garamond" w:hAnsi="Garamond"/>
          <w:color w:val="000000" w:themeColor="text1"/>
          <w:lang w:val="en-US"/>
        </w:rPr>
        <w:t xml:space="preserve">the substantive rules of EU law </w:t>
      </w:r>
      <w:r w:rsidRPr="00F3631A">
        <w:rPr>
          <w:rFonts w:ascii="Garamond" w:hAnsi="Garamond"/>
          <w:color w:val="000000" w:themeColor="text1"/>
          <w:lang w:val="en-US"/>
        </w:rPr>
        <w:t xml:space="preserve">may </w:t>
      </w:r>
      <w:r w:rsidR="00E42B8C" w:rsidRPr="00E42B8C">
        <w:rPr>
          <w:rFonts w:ascii="Garamond" w:hAnsi="Garamond"/>
          <w:color w:val="000000" w:themeColor="text1"/>
          <w:lang w:val="en-US"/>
        </w:rPr>
        <w:t xml:space="preserve">apply to situations existing before their entry into force only insofar as </w:t>
      </w:r>
      <w:r w:rsidR="00792A52">
        <w:rPr>
          <w:rFonts w:ascii="Garamond" w:hAnsi="Garamond"/>
          <w:color w:val="000000" w:themeColor="text1"/>
          <w:lang w:val="en-US"/>
        </w:rPr>
        <w:t>it</w:t>
      </w:r>
      <w:r w:rsidR="00E42B8C" w:rsidRPr="00E42B8C">
        <w:rPr>
          <w:rFonts w:ascii="Garamond" w:hAnsi="Garamond"/>
          <w:color w:val="000000" w:themeColor="text1"/>
          <w:lang w:val="en-US"/>
        </w:rPr>
        <w:t xml:space="preserve"> clearly follows from their terms, objectives or general scheme that such effect must be given to them (</w:t>
      </w:r>
      <w:r w:rsidR="00E42B8C" w:rsidRPr="00E42B8C">
        <w:rPr>
          <w:rFonts w:ascii="Garamond" w:hAnsi="Garamond"/>
          <w:i/>
          <w:iCs/>
          <w:color w:val="000000" w:themeColor="text1"/>
          <w:lang w:val="en-US"/>
        </w:rPr>
        <w:t xml:space="preserve">Bureau national </w:t>
      </w:r>
      <w:proofErr w:type="spellStart"/>
      <w:r w:rsidR="00E42B8C" w:rsidRPr="00E42B8C">
        <w:rPr>
          <w:rFonts w:ascii="Garamond" w:hAnsi="Garamond"/>
          <w:i/>
          <w:iCs/>
          <w:color w:val="000000" w:themeColor="text1"/>
          <w:lang w:val="en-US"/>
        </w:rPr>
        <w:t>interprofessionnel</w:t>
      </w:r>
      <w:proofErr w:type="spellEnd"/>
      <w:r w:rsidR="00E42B8C" w:rsidRPr="00E42B8C">
        <w:rPr>
          <w:rFonts w:ascii="Garamond" w:hAnsi="Garamond"/>
          <w:i/>
          <w:iCs/>
          <w:color w:val="000000" w:themeColor="text1"/>
          <w:lang w:val="en-US"/>
        </w:rPr>
        <w:t xml:space="preserve"> du Cognac</w:t>
      </w:r>
      <w:r w:rsidR="00E42B8C" w:rsidRPr="00E42B8C">
        <w:rPr>
          <w:rFonts w:ascii="Garamond" w:hAnsi="Garamond"/>
          <w:color w:val="000000" w:themeColor="text1"/>
          <w:lang w:val="en-US"/>
        </w:rPr>
        <w:t>, C</w:t>
      </w:r>
      <w:r w:rsidR="00E42B8C" w:rsidRPr="00E42B8C">
        <w:rPr>
          <w:rFonts w:ascii="Garamond" w:hAnsi="Garamond"/>
          <w:color w:val="000000" w:themeColor="text1"/>
          <w:lang w:val="en-US"/>
        </w:rPr>
        <w:noBreakHyphen/>
        <w:t>4/10 and C</w:t>
      </w:r>
      <w:r w:rsidR="00E42B8C" w:rsidRPr="00E42B8C">
        <w:rPr>
          <w:rFonts w:ascii="Garamond" w:hAnsi="Garamond"/>
          <w:color w:val="000000" w:themeColor="text1"/>
          <w:lang w:val="en-US"/>
        </w:rPr>
        <w:noBreakHyphen/>
        <w:t xml:space="preserve">27/10, EU:C:2011:484, </w:t>
      </w:r>
      <w:r w:rsidRPr="00F3631A">
        <w:rPr>
          <w:rFonts w:ascii="Garamond" w:hAnsi="Garamond"/>
          <w:color w:val="000000" w:themeColor="text1"/>
          <w:lang w:val="en-US"/>
        </w:rPr>
        <w:t>para</w:t>
      </w:r>
      <w:r w:rsidR="00E42B8C" w:rsidRPr="00E42B8C">
        <w:rPr>
          <w:rFonts w:ascii="Garamond" w:hAnsi="Garamond"/>
          <w:color w:val="000000" w:themeColor="text1"/>
          <w:lang w:val="en-US"/>
        </w:rPr>
        <w:t> 26).</w:t>
      </w:r>
    </w:p>
    <w:p w:rsidR="00792A52" w:rsidRDefault="00792A52" w:rsidP="00F3631A">
      <w:pPr>
        <w:jc w:val="both"/>
        <w:rPr>
          <w:rFonts w:ascii="Garamond" w:hAnsi="Garamond"/>
          <w:color w:val="000000" w:themeColor="text1"/>
          <w:lang w:val="en-US"/>
        </w:rPr>
      </w:pPr>
    </w:p>
    <w:p w:rsidR="00E42B8C" w:rsidRPr="00F3631A" w:rsidRDefault="00A90AF6" w:rsidP="00F3631A">
      <w:pPr>
        <w:jc w:val="both"/>
        <w:rPr>
          <w:rFonts w:ascii="Garamond" w:hAnsi="Garamond"/>
          <w:color w:val="000000" w:themeColor="text1"/>
          <w:lang w:val="en-US"/>
        </w:rPr>
      </w:pPr>
      <w:r w:rsidRPr="00F3631A">
        <w:rPr>
          <w:rFonts w:ascii="Garamond" w:hAnsi="Garamond"/>
          <w:color w:val="000000" w:themeColor="text1"/>
          <w:lang w:val="en-US"/>
        </w:rPr>
        <w:t xml:space="preserve">This would not be the case of </w:t>
      </w:r>
      <w:r w:rsidR="00E42B8C" w:rsidRPr="00E42B8C">
        <w:rPr>
          <w:rFonts w:ascii="Garamond" w:hAnsi="Garamond"/>
          <w:color w:val="000000" w:themeColor="text1"/>
          <w:lang w:val="en-US"/>
        </w:rPr>
        <w:t>Regulation 2015/2424</w:t>
      </w:r>
      <w:r w:rsidRPr="00F3631A">
        <w:rPr>
          <w:rFonts w:ascii="Garamond" w:hAnsi="Garamond"/>
          <w:color w:val="000000" w:themeColor="text1"/>
          <w:lang w:val="en-US"/>
        </w:rPr>
        <w:t>, which actually highlights (Recital 12) the relevan</w:t>
      </w:r>
      <w:r w:rsidR="00792A52">
        <w:rPr>
          <w:rFonts w:ascii="Garamond" w:hAnsi="Garamond"/>
          <w:color w:val="000000" w:themeColor="text1"/>
          <w:lang w:val="en-US"/>
        </w:rPr>
        <w:t>ce</w:t>
      </w:r>
      <w:r w:rsidRPr="00F3631A">
        <w:rPr>
          <w:rFonts w:ascii="Garamond" w:hAnsi="Garamond"/>
          <w:color w:val="000000" w:themeColor="text1"/>
          <w:lang w:val="en-US"/>
        </w:rPr>
        <w:t xml:space="preserve"> that EU legislature attaches to the principle of legal certainty.</w:t>
      </w:r>
      <w:r w:rsidR="00792A52">
        <w:rPr>
          <w:rFonts w:ascii="Garamond" w:hAnsi="Garamond"/>
          <w:color w:val="000000" w:themeColor="text1"/>
          <w:lang w:val="en-US"/>
        </w:rPr>
        <w:t xml:space="preserve"> </w:t>
      </w:r>
      <w:r w:rsidRPr="00F3631A">
        <w:rPr>
          <w:rFonts w:ascii="Garamond" w:hAnsi="Garamond"/>
          <w:color w:val="000000" w:themeColor="text1"/>
          <w:lang w:val="en-US"/>
        </w:rPr>
        <w:t xml:space="preserve">As a result, the reformed language of </w:t>
      </w:r>
      <w:r w:rsidR="00E42B8C" w:rsidRPr="00E42B8C">
        <w:rPr>
          <w:rFonts w:ascii="Garamond" w:hAnsi="Garamond"/>
          <w:color w:val="000000" w:themeColor="text1"/>
          <w:lang w:val="en-US"/>
        </w:rPr>
        <w:t xml:space="preserve">Article 7(1)(e)(iii) </w:t>
      </w:r>
      <w:r w:rsidRPr="00F3631A">
        <w:rPr>
          <w:rFonts w:ascii="Garamond" w:hAnsi="Garamond"/>
          <w:color w:val="000000" w:themeColor="text1"/>
          <w:lang w:val="en-US"/>
        </w:rPr>
        <w:t xml:space="preserve">does not apply to trade </w:t>
      </w:r>
      <w:r w:rsidR="00E42B8C" w:rsidRPr="00E42B8C">
        <w:rPr>
          <w:rFonts w:ascii="Garamond" w:hAnsi="Garamond"/>
          <w:color w:val="000000" w:themeColor="text1"/>
          <w:lang w:val="en-US"/>
        </w:rPr>
        <w:t xml:space="preserve">marks registered before the entry into force of </w:t>
      </w:r>
      <w:r w:rsidR="00792A52">
        <w:rPr>
          <w:rFonts w:ascii="Garamond" w:hAnsi="Garamond"/>
          <w:color w:val="000000" w:themeColor="text1"/>
          <w:lang w:val="en-US"/>
        </w:rPr>
        <w:t>the</w:t>
      </w:r>
      <w:r w:rsidR="00E42B8C" w:rsidRPr="00E42B8C">
        <w:rPr>
          <w:rFonts w:ascii="Garamond" w:hAnsi="Garamond"/>
          <w:color w:val="000000" w:themeColor="text1"/>
          <w:lang w:val="en-US"/>
        </w:rPr>
        <w:t xml:space="preserve"> amended </w:t>
      </w:r>
      <w:r w:rsidRPr="00F3631A">
        <w:rPr>
          <w:rFonts w:ascii="Garamond" w:hAnsi="Garamond"/>
          <w:color w:val="000000" w:themeColor="text1"/>
          <w:lang w:val="en-US"/>
        </w:rPr>
        <w:t>EU Trade Mark R</w:t>
      </w:r>
      <w:r w:rsidR="00E42B8C" w:rsidRPr="00E42B8C">
        <w:rPr>
          <w:rFonts w:ascii="Garamond" w:hAnsi="Garamond"/>
          <w:color w:val="000000" w:themeColor="text1"/>
          <w:lang w:val="en-US"/>
        </w:rPr>
        <w:t>egulation.</w:t>
      </w:r>
    </w:p>
    <w:p w:rsidR="00A90AF6" w:rsidRPr="00F3631A" w:rsidRDefault="00A90AF6" w:rsidP="00F3631A">
      <w:pPr>
        <w:jc w:val="both"/>
        <w:rPr>
          <w:rFonts w:ascii="Garamond" w:hAnsi="Garamond"/>
          <w:color w:val="000000" w:themeColor="text1"/>
          <w:lang w:val="en-US"/>
        </w:rPr>
      </w:pPr>
    </w:p>
    <w:p w:rsidR="00A90AF6" w:rsidRPr="00F3631A" w:rsidRDefault="00A90AF6" w:rsidP="00F3631A">
      <w:pPr>
        <w:jc w:val="both"/>
        <w:rPr>
          <w:rFonts w:ascii="Garamond" w:hAnsi="Garamond"/>
          <w:b/>
          <w:bCs/>
          <w:i/>
          <w:iCs/>
          <w:color w:val="000000" w:themeColor="text1"/>
          <w:lang w:val="en-US"/>
        </w:rPr>
      </w:pPr>
      <w:r w:rsidRPr="00F3631A">
        <w:rPr>
          <w:rFonts w:ascii="Garamond" w:hAnsi="Garamond"/>
          <w:b/>
          <w:bCs/>
          <w:i/>
          <w:iCs/>
          <w:color w:val="000000" w:themeColor="text1"/>
          <w:lang w:val="en-US"/>
        </w:rPr>
        <w:t>Content and scope of the absolute ground contained in Article 7(1)(e)(iii)</w:t>
      </w:r>
    </w:p>
    <w:p w:rsidR="00A90AF6" w:rsidRPr="00F3631A" w:rsidRDefault="00A90AF6" w:rsidP="00F3631A">
      <w:pPr>
        <w:jc w:val="both"/>
        <w:rPr>
          <w:rFonts w:ascii="Garamond" w:hAnsi="Garamond"/>
          <w:color w:val="000000" w:themeColor="text1"/>
          <w:lang w:val="en-US"/>
        </w:rPr>
      </w:pPr>
      <w:bookmarkStart w:id="1" w:name="point34"/>
    </w:p>
    <w:p w:rsidR="00A53953" w:rsidRPr="00F3631A" w:rsidRDefault="00A53953" w:rsidP="00F3631A">
      <w:pPr>
        <w:jc w:val="both"/>
        <w:rPr>
          <w:rFonts w:ascii="Garamond" w:hAnsi="Garamond"/>
          <w:color w:val="000000" w:themeColor="text1"/>
          <w:lang w:val="en-US"/>
        </w:rPr>
      </w:pPr>
      <w:r w:rsidRPr="00F3631A">
        <w:rPr>
          <w:rFonts w:ascii="Garamond" w:hAnsi="Garamond"/>
          <w:color w:val="000000" w:themeColor="text1"/>
          <w:lang w:val="en-US"/>
        </w:rPr>
        <w:t xml:space="preserve">Turning to the assessment of the substantive content of Article 7(1)(e)(iii), the CJEU recalled the definition of ‘shape’ as provided in </w:t>
      </w:r>
      <w:r w:rsidRPr="00F3631A">
        <w:rPr>
          <w:rFonts w:ascii="Garamond" w:hAnsi="Garamond"/>
          <w:i/>
          <w:iCs/>
          <w:color w:val="000000" w:themeColor="text1"/>
          <w:lang w:val="en-US"/>
        </w:rPr>
        <w:t>Louboutin</w:t>
      </w:r>
      <w:r w:rsidRPr="00F3631A">
        <w:rPr>
          <w:rFonts w:ascii="Garamond" w:hAnsi="Garamond"/>
          <w:color w:val="000000" w:themeColor="text1"/>
          <w:lang w:val="en-US"/>
        </w:rPr>
        <w:t xml:space="preserve">, including the consideration that the application of a particular colour to a specific location of a product is not a ‘shape’ </w:t>
      </w:r>
      <w:bookmarkEnd w:id="1"/>
      <w:r w:rsidR="00E42B8C" w:rsidRPr="00E42B8C">
        <w:rPr>
          <w:rFonts w:ascii="Garamond" w:hAnsi="Garamond"/>
          <w:color w:val="000000" w:themeColor="text1"/>
          <w:lang w:val="en-US"/>
        </w:rPr>
        <w:t>where it is not the form of the product or part of the product that registration of the mark seeks to protect</w:t>
      </w:r>
      <w:bookmarkStart w:id="2" w:name="point38"/>
      <w:r w:rsidRPr="00F3631A">
        <w:rPr>
          <w:rFonts w:ascii="Garamond" w:hAnsi="Garamond"/>
          <w:color w:val="000000" w:themeColor="text1"/>
          <w:lang w:val="en-US"/>
        </w:rPr>
        <w:t xml:space="preserve">. The sign at issue </w:t>
      </w:r>
      <w:r w:rsidR="00FC02E2">
        <w:rPr>
          <w:rFonts w:ascii="Garamond" w:hAnsi="Garamond"/>
          <w:color w:val="000000" w:themeColor="text1"/>
          <w:lang w:val="en-US"/>
        </w:rPr>
        <w:t xml:space="preserve">in </w:t>
      </w:r>
      <w:proofErr w:type="spellStart"/>
      <w:r w:rsidR="00FC02E2" w:rsidRPr="00FC02E2">
        <w:rPr>
          <w:rFonts w:ascii="Garamond" w:hAnsi="Garamond"/>
          <w:i/>
          <w:iCs/>
          <w:color w:val="000000" w:themeColor="text1"/>
          <w:lang w:val="en-US"/>
        </w:rPr>
        <w:t>Textilis</w:t>
      </w:r>
      <w:proofErr w:type="spellEnd"/>
      <w:r w:rsidR="00FC02E2">
        <w:rPr>
          <w:rFonts w:ascii="Garamond" w:hAnsi="Garamond"/>
          <w:color w:val="000000" w:themeColor="text1"/>
          <w:lang w:val="en-US"/>
        </w:rPr>
        <w:t xml:space="preserve"> would </w:t>
      </w:r>
      <w:r w:rsidR="001C0AA7">
        <w:rPr>
          <w:rFonts w:ascii="Garamond" w:hAnsi="Garamond"/>
          <w:color w:val="000000" w:themeColor="text1"/>
          <w:lang w:val="en-US"/>
        </w:rPr>
        <w:t xml:space="preserve">not </w:t>
      </w:r>
      <w:r w:rsidR="00FC02E2">
        <w:rPr>
          <w:rFonts w:ascii="Garamond" w:hAnsi="Garamond"/>
          <w:color w:val="000000" w:themeColor="text1"/>
          <w:lang w:val="en-US"/>
        </w:rPr>
        <w:t>consist</w:t>
      </w:r>
      <w:r w:rsidRPr="00F3631A">
        <w:rPr>
          <w:rFonts w:ascii="Garamond" w:hAnsi="Garamond"/>
          <w:color w:val="000000" w:themeColor="text1"/>
          <w:lang w:val="en-US"/>
        </w:rPr>
        <w:t xml:space="preserve"> </w:t>
      </w:r>
      <w:bookmarkEnd w:id="2"/>
      <w:r w:rsidR="00E42B8C" w:rsidRPr="00E42B8C">
        <w:rPr>
          <w:rFonts w:ascii="Garamond" w:hAnsi="Garamond"/>
          <w:color w:val="000000" w:themeColor="text1"/>
          <w:lang w:val="en-US"/>
        </w:rPr>
        <w:t>‘exclusively of the shape</w:t>
      </w:r>
      <w:bookmarkStart w:id="3" w:name="point40"/>
      <w:r w:rsidR="00FC02E2">
        <w:rPr>
          <w:rFonts w:ascii="Garamond" w:hAnsi="Garamond"/>
          <w:color w:val="000000" w:themeColor="text1"/>
          <w:lang w:val="en-US"/>
        </w:rPr>
        <w:t>’</w:t>
      </w:r>
      <w:r w:rsidR="001C0AA7">
        <w:rPr>
          <w:rFonts w:ascii="Garamond" w:hAnsi="Garamond"/>
          <w:color w:val="000000" w:themeColor="text1"/>
          <w:lang w:val="en-US"/>
        </w:rPr>
        <w:t xml:space="preserve">. </w:t>
      </w:r>
      <w:r w:rsidR="00FC02E2">
        <w:rPr>
          <w:rFonts w:ascii="Garamond" w:hAnsi="Garamond"/>
          <w:color w:val="000000" w:themeColor="text1"/>
          <w:lang w:val="en-US"/>
        </w:rPr>
        <w:t xml:space="preserve">As a result, it would not </w:t>
      </w:r>
      <w:r w:rsidRPr="00F3631A">
        <w:rPr>
          <w:rFonts w:ascii="Garamond" w:hAnsi="Garamond"/>
          <w:color w:val="000000" w:themeColor="text1"/>
          <w:lang w:val="en-US"/>
        </w:rPr>
        <w:t>fall within the scope of the absolute ground:</w:t>
      </w:r>
    </w:p>
    <w:bookmarkEnd w:id="3"/>
    <w:p w:rsidR="00A53953" w:rsidRPr="00F3631A" w:rsidRDefault="00A53953" w:rsidP="00F3631A">
      <w:pPr>
        <w:jc w:val="both"/>
        <w:rPr>
          <w:rFonts w:ascii="Garamond" w:hAnsi="Garamond"/>
          <w:color w:val="000000" w:themeColor="text1"/>
          <w:lang w:val="en-US"/>
        </w:rPr>
      </w:pPr>
    </w:p>
    <w:p w:rsidR="00E42B8C" w:rsidRPr="00E42B8C" w:rsidRDefault="00E42B8C" w:rsidP="00F3631A">
      <w:pPr>
        <w:ind w:left="720"/>
        <w:jc w:val="both"/>
        <w:rPr>
          <w:rFonts w:ascii="Garamond" w:hAnsi="Garamond"/>
          <w:color w:val="000000" w:themeColor="text1"/>
          <w:lang w:val="en-US"/>
        </w:rPr>
      </w:pPr>
      <w:r w:rsidRPr="00E42B8C">
        <w:rPr>
          <w:rFonts w:ascii="Garamond" w:hAnsi="Garamond"/>
          <w:color w:val="000000" w:themeColor="text1"/>
          <w:lang w:val="en-US"/>
        </w:rPr>
        <w:t xml:space="preserve">Although it is true that, in the main proceedings, the sign under consideration represents shapes which are formed by the external outline of drawings representing, in a </w:t>
      </w:r>
      <w:proofErr w:type="spellStart"/>
      <w:r w:rsidRPr="00E42B8C">
        <w:rPr>
          <w:rFonts w:ascii="Garamond" w:hAnsi="Garamond"/>
          <w:color w:val="000000" w:themeColor="text1"/>
          <w:lang w:val="en-US"/>
        </w:rPr>
        <w:t>stylised</w:t>
      </w:r>
      <w:proofErr w:type="spellEnd"/>
      <w:r w:rsidRPr="00E42B8C">
        <w:rPr>
          <w:rFonts w:ascii="Garamond" w:hAnsi="Garamond"/>
          <w:color w:val="000000" w:themeColor="text1"/>
          <w:lang w:val="en-US"/>
        </w:rPr>
        <w:t xml:space="preserve"> manner, parts of geographical maps, the fact remains that, apart from those shapes, that sign contains decorative elements which are situated both inside and outside those outlines.</w:t>
      </w:r>
      <w:r w:rsidR="00A53953" w:rsidRPr="00F3631A">
        <w:rPr>
          <w:rFonts w:ascii="Garamond" w:hAnsi="Garamond"/>
          <w:color w:val="000000" w:themeColor="text1"/>
          <w:lang w:val="en-US"/>
        </w:rPr>
        <w:t xml:space="preserve"> (para 40)</w:t>
      </w:r>
    </w:p>
    <w:p w:rsidR="00FC02E2" w:rsidRDefault="00FC02E2" w:rsidP="00F3631A">
      <w:pPr>
        <w:jc w:val="both"/>
        <w:rPr>
          <w:rFonts w:ascii="Garamond" w:hAnsi="Garamond"/>
          <w:color w:val="000000" w:themeColor="text1"/>
          <w:lang w:val="en-US"/>
        </w:rPr>
      </w:pPr>
    </w:p>
    <w:p w:rsidR="00A53953" w:rsidRPr="00F3631A" w:rsidRDefault="00A53953" w:rsidP="00F3631A">
      <w:pPr>
        <w:jc w:val="both"/>
        <w:rPr>
          <w:rFonts w:ascii="Garamond" w:hAnsi="Garamond"/>
          <w:color w:val="000000" w:themeColor="text1"/>
          <w:lang w:val="en-US"/>
        </w:rPr>
      </w:pPr>
      <w:r w:rsidRPr="00F3631A">
        <w:rPr>
          <w:rFonts w:ascii="Garamond" w:hAnsi="Garamond"/>
          <w:color w:val="000000" w:themeColor="text1"/>
          <w:lang w:val="en-US"/>
        </w:rPr>
        <w:t xml:space="preserve">The Court added that the fact that the sign at issue is also protected by copyright has no bearing </w:t>
      </w:r>
      <w:r w:rsidR="00E42B8C" w:rsidRPr="00E42B8C">
        <w:rPr>
          <w:rFonts w:ascii="Garamond" w:hAnsi="Garamond"/>
          <w:color w:val="000000" w:themeColor="text1"/>
          <w:lang w:val="en-US"/>
        </w:rPr>
        <w:t>on whether or not it consists exclusively of a ‘shape’</w:t>
      </w:r>
      <w:bookmarkStart w:id="4" w:name="point46"/>
      <w:r w:rsidRPr="00F3631A">
        <w:rPr>
          <w:rFonts w:ascii="Garamond" w:hAnsi="Garamond"/>
          <w:color w:val="000000" w:themeColor="text1"/>
          <w:lang w:val="en-US"/>
        </w:rPr>
        <w:t>.</w:t>
      </w:r>
    </w:p>
    <w:p w:rsidR="00A53953" w:rsidRPr="00F3631A" w:rsidRDefault="00A53953" w:rsidP="00F3631A">
      <w:pPr>
        <w:jc w:val="both"/>
        <w:rPr>
          <w:rFonts w:ascii="Garamond" w:hAnsi="Garamond"/>
          <w:color w:val="000000" w:themeColor="text1"/>
          <w:lang w:val="en-US"/>
        </w:rPr>
      </w:pPr>
    </w:p>
    <w:p w:rsidR="00A53953" w:rsidRPr="00F3631A" w:rsidRDefault="00A53953" w:rsidP="00F3631A">
      <w:pPr>
        <w:jc w:val="both"/>
        <w:rPr>
          <w:rFonts w:ascii="Garamond" w:hAnsi="Garamond"/>
          <w:b/>
          <w:bCs/>
          <w:color w:val="000000" w:themeColor="text1"/>
          <w:lang w:val="en-US"/>
        </w:rPr>
      </w:pPr>
      <w:r w:rsidRPr="00F3631A">
        <w:rPr>
          <w:rFonts w:ascii="Garamond" w:hAnsi="Garamond"/>
          <w:b/>
          <w:bCs/>
          <w:color w:val="000000" w:themeColor="text1"/>
          <w:lang w:val="en-US"/>
        </w:rPr>
        <w:t>Practical significance</w:t>
      </w:r>
    </w:p>
    <w:p w:rsidR="00A53953" w:rsidRPr="00F3631A" w:rsidRDefault="00A53953" w:rsidP="00F3631A">
      <w:pPr>
        <w:jc w:val="both"/>
        <w:rPr>
          <w:rFonts w:ascii="Garamond" w:hAnsi="Garamond"/>
          <w:color w:val="000000" w:themeColor="text1"/>
          <w:lang w:val="en-US"/>
        </w:rPr>
      </w:pPr>
    </w:p>
    <w:p w:rsidR="00EF329B" w:rsidRPr="00F3631A" w:rsidRDefault="00A53953" w:rsidP="00F3631A">
      <w:pPr>
        <w:jc w:val="both"/>
        <w:rPr>
          <w:rFonts w:ascii="Garamond" w:hAnsi="Garamond"/>
          <w:color w:val="000000" w:themeColor="text1"/>
          <w:lang w:val="en-US"/>
        </w:rPr>
      </w:pPr>
      <w:r w:rsidRPr="00F3631A">
        <w:rPr>
          <w:rFonts w:ascii="Garamond" w:hAnsi="Garamond"/>
          <w:color w:val="000000" w:themeColor="text1"/>
          <w:lang w:val="en-US"/>
        </w:rPr>
        <w:t xml:space="preserve">As expected, the CJEU clarified that the reformed language of the EU Trade Mark Regulation does not apply to signs registered as </w:t>
      </w:r>
      <w:proofErr w:type="spellStart"/>
      <w:r w:rsidRPr="00F3631A">
        <w:rPr>
          <w:rFonts w:ascii="Garamond" w:hAnsi="Garamond"/>
          <w:color w:val="000000" w:themeColor="text1"/>
          <w:lang w:val="en-US"/>
        </w:rPr>
        <w:t>trade mark</w:t>
      </w:r>
      <w:r w:rsidR="00FC02E2">
        <w:rPr>
          <w:rFonts w:ascii="Garamond" w:hAnsi="Garamond"/>
          <w:color w:val="000000" w:themeColor="text1"/>
          <w:lang w:val="en-US"/>
        </w:rPr>
        <w:t>s</w:t>
      </w:r>
      <w:proofErr w:type="spellEnd"/>
      <w:r w:rsidRPr="00F3631A">
        <w:rPr>
          <w:rFonts w:ascii="Garamond" w:hAnsi="Garamond"/>
          <w:color w:val="000000" w:themeColor="text1"/>
          <w:lang w:val="en-US"/>
        </w:rPr>
        <w:t xml:space="preserve"> </w:t>
      </w:r>
      <w:r w:rsidR="00FC02E2">
        <w:rPr>
          <w:rFonts w:ascii="Garamond" w:hAnsi="Garamond"/>
          <w:color w:val="000000" w:themeColor="text1"/>
          <w:lang w:val="en-US"/>
        </w:rPr>
        <w:t>prior to</w:t>
      </w:r>
      <w:r w:rsidRPr="00F3631A">
        <w:rPr>
          <w:rFonts w:ascii="Garamond" w:hAnsi="Garamond"/>
          <w:color w:val="000000" w:themeColor="text1"/>
          <w:lang w:val="en-US"/>
        </w:rPr>
        <w:t xml:space="preserve"> the entry into force of the amended provisions. </w:t>
      </w:r>
    </w:p>
    <w:p w:rsidR="00EF329B" w:rsidRPr="00F3631A" w:rsidRDefault="00EF329B" w:rsidP="00F3631A">
      <w:pPr>
        <w:jc w:val="both"/>
        <w:rPr>
          <w:rFonts w:ascii="Garamond" w:hAnsi="Garamond"/>
          <w:color w:val="000000" w:themeColor="text1"/>
          <w:lang w:val="en-US"/>
        </w:rPr>
      </w:pPr>
    </w:p>
    <w:p w:rsidR="00EF329B" w:rsidRPr="00F3631A" w:rsidRDefault="00A53953" w:rsidP="00F3631A">
      <w:pPr>
        <w:jc w:val="both"/>
        <w:rPr>
          <w:rFonts w:ascii="Garamond" w:hAnsi="Garamond"/>
          <w:color w:val="000000" w:themeColor="text1"/>
          <w:lang w:val="en-US"/>
        </w:rPr>
      </w:pPr>
      <w:r w:rsidRPr="00F3631A">
        <w:rPr>
          <w:rFonts w:ascii="Garamond" w:hAnsi="Garamond"/>
          <w:color w:val="000000" w:themeColor="text1"/>
          <w:lang w:val="en-US"/>
        </w:rPr>
        <w:lastRenderedPageBreak/>
        <w:t xml:space="preserve">With regard to the substantive assessment of the content of the ground, the Court refrained from providing an explicit </w:t>
      </w:r>
      <w:r w:rsidR="00FC02E2">
        <w:rPr>
          <w:rFonts w:ascii="Garamond" w:hAnsi="Garamond"/>
          <w:color w:val="000000" w:themeColor="text1"/>
          <w:lang w:val="en-US"/>
        </w:rPr>
        <w:t>response to</w:t>
      </w:r>
      <w:r w:rsidRPr="00F3631A">
        <w:rPr>
          <w:rFonts w:ascii="Garamond" w:hAnsi="Garamond"/>
          <w:color w:val="000000" w:themeColor="text1"/>
          <w:lang w:val="en-US"/>
        </w:rPr>
        <w:t xml:space="preserve"> the question </w:t>
      </w:r>
      <w:r w:rsidR="00EF329B" w:rsidRPr="00F3631A">
        <w:rPr>
          <w:rFonts w:ascii="Garamond" w:hAnsi="Garamond"/>
          <w:color w:val="000000" w:themeColor="text1"/>
          <w:lang w:val="en-US"/>
        </w:rPr>
        <w:t>whether the reformed language of Article 7(1)(e) (not just (iii)) has entailed an alteration of the scope of th</w:t>
      </w:r>
      <w:r w:rsidR="00FC02E2">
        <w:rPr>
          <w:rFonts w:ascii="Garamond" w:hAnsi="Garamond"/>
          <w:color w:val="000000" w:themeColor="text1"/>
          <w:lang w:val="en-US"/>
        </w:rPr>
        <w:t>is</w:t>
      </w:r>
      <w:r w:rsidR="00EF329B" w:rsidRPr="00F3631A">
        <w:rPr>
          <w:rFonts w:ascii="Garamond" w:hAnsi="Garamond"/>
          <w:color w:val="000000" w:themeColor="text1"/>
          <w:lang w:val="en-US"/>
        </w:rPr>
        <w:t xml:space="preserve"> absolute ground for refusal. Indeed, the CJEU limited its analysis to consideration of whether the MANHATTAN print could be regarded as a shape</w:t>
      </w:r>
      <w:r w:rsidR="001C0AA7">
        <w:rPr>
          <w:rFonts w:ascii="Garamond" w:hAnsi="Garamond"/>
          <w:color w:val="000000" w:themeColor="text1"/>
          <w:lang w:val="en-US"/>
        </w:rPr>
        <w:t>. U</w:t>
      </w:r>
      <w:r w:rsidR="00EF329B" w:rsidRPr="00F3631A">
        <w:rPr>
          <w:rFonts w:ascii="Garamond" w:hAnsi="Garamond"/>
          <w:color w:val="000000" w:themeColor="text1"/>
          <w:lang w:val="en-US"/>
        </w:rPr>
        <w:t xml:space="preserve">nsurprisingly (considering the definition of ‘shape’ as laid down in </w:t>
      </w:r>
      <w:r w:rsidR="00EF329B" w:rsidRPr="00F3631A">
        <w:rPr>
          <w:rFonts w:ascii="Garamond" w:hAnsi="Garamond"/>
          <w:i/>
          <w:iCs/>
          <w:color w:val="000000" w:themeColor="text1"/>
          <w:lang w:val="en-US"/>
        </w:rPr>
        <w:t>Louboutin</w:t>
      </w:r>
      <w:r w:rsidR="00EF329B" w:rsidRPr="00F3631A">
        <w:rPr>
          <w:rFonts w:ascii="Garamond" w:hAnsi="Garamond"/>
          <w:color w:val="000000" w:themeColor="text1"/>
          <w:lang w:val="en-US"/>
        </w:rPr>
        <w:t>)</w:t>
      </w:r>
      <w:r w:rsidR="001C0AA7">
        <w:rPr>
          <w:rFonts w:ascii="Garamond" w:hAnsi="Garamond"/>
          <w:color w:val="000000" w:themeColor="text1"/>
          <w:lang w:val="en-US"/>
        </w:rPr>
        <w:t>, it</w:t>
      </w:r>
      <w:r w:rsidR="00EF329B" w:rsidRPr="00F3631A">
        <w:rPr>
          <w:rFonts w:ascii="Garamond" w:hAnsi="Garamond"/>
          <w:color w:val="000000" w:themeColor="text1"/>
          <w:lang w:val="en-US"/>
        </w:rPr>
        <w:t xml:space="preserve"> found that it </w:t>
      </w:r>
      <w:r w:rsidR="00FC02E2">
        <w:rPr>
          <w:rFonts w:ascii="Garamond" w:hAnsi="Garamond"/>
          <w:color w:val="000000" w:themeColor="text1"/>
          <w:lang w:val="en-US"/>
        </w:rPr>
        <w:t>could</w:t>
      </w:r>
      <w:r w:rsidR="00EF329B" w:rsidRPr="00F3631A">
        <w:rPr>
          <w:rFonts w:ascii="Garamond" w:hAnsi="Garamond"/>
          <w:color w:val="000000" w:themeColor="text1"/>
          <w:lang w:val="en-US"/>
        </w:rPr>
        <w:t xml:space="preserve"> not. </w:t>
      </w:r>
    </w:p>
    <w:p w:rsidR="00EF329B" w:rsidRPr="00F3631A" w:rsidRDefault="00EF329B" w:rsidP="00F3631A">
      <w:pPr>
        <w:jc w:val="both"/>
        <w:rPr>
          <w:rFonts w:ascii="Garamond" w:hAnsi="Garamond"/>
          <w:color w:val="000000" w:themeColor="text1"/>
          <w:lang w:val="en-US"/>
        </w:rPr>
      </w:pPr>
    </w:p>
    <w:p w:rsidR="00EF329B" w:rsidRPr="00F3631A" w:rsidRDefault="00EF329B" w:rsidP="00F3631A">
      <w:pPr>
        <w:jc w:val="both"/>
        <w:rPr>
          <w:rFonts w:ascii="Garamond" w:hAnsi="Garamond"/>
          <w:color w:val="000000" w:themeColor="text1"/>
          <w:lang w:val="en-US"/>
        </w:rPr>
      </w:pPr>
      <w:r w:rsidRPr="00F3631A">
        <w:rPr>
          <w:rFonts w:ascii="Garamond" w:hAnsi="Garamond"/>
          <w:color w:val="000000" w:themeColor="text1"/>
          <w:lang w:val="en-US"/>
        </w:rPr>
        <w:t>The judgment remains silent as to what the meaning of ‘another characteristic’</w:t>
      </w:r>
      <w:r w:rsidR="001C0AA7">
        <w:rPr>
          <w:rFonts w:ascii="Garamond" w:hAnsi="Garamond"/>
          <w:color w:val="000000" w:themeColor="text1"/>
          <w:lang w:val="en-US"/>
        </w:rPr>
        <w:t xml:space="preserve"> is</w:t>
      </w:r>
      <w:r w:rsidRPr="00F3631A">
        <w:rPr>
          <w:rFonts w:ascii="Garamond" w:hAnsi="Garamond"/>
          <w:color w:val="000000" w:themeColor="text1"/>
          <w:lang w:val="en-US"/>
        </w:rPr>
        <w:t xml:space="preserve">. It seems plausible to conclude that the reformed language of the absolute ground has not entailed a substantive change in the law, but </w:t>
      </w:r>
      <w:r w:rsidR="001C0AA7">
        <w:rPr>
          <w:rFonts w:ascii="Garamond" w:hAnsi="Garamond"/>
          <w:color w:val="000000" w:themeColor="text1"/>
          <w:lang w:val="en-US"/>
        </w:rPr>
        <w:t xml:space="preserve">merely </w:t>
      </w:r>
      <w:r w:rsidRPr="00F3631A">
        <w:rPr>
          <w:rFonts w:ascii="Garamond" w:hAnsi="Garamond"/>
          <w:color w:val="000000" w:themeColor="text1"/>
          <w:lang w:val="en-US"/>
        </w:rPr>
        <w:t xml:space="preserve">a clarification thereof. </w:t>
      </w:r>
      <w:r w:rsidR="001C0AA7">
        <w:rPr>
          <w:rFonts w:ascii="Garamond" w:hAnsi="Garamond"/>
          <w:color w:val="000000" w:themeColor="text1"/>
          <w:lang w:val="en-US"/>
        </w:rPr>
        <w:t xml:space="preserve">Two considerations support this conclusion. </w:t>
      </w:r>
      <w:r w:rsidR="00FC02E2">
        <w:rPr>
          <w:rFonts w:ascii="Garamond" w:hAnsi="Garamond"/>
          <w:color w:val="000000" w:themeColor="text1"/>
          <w:lang w:val="en-US"/>
        </w:rPr>
        <w:t>First, as</w:t>
      </w:r>
      <w:r w:rsidRPr="00F3631A">
        <w:rPr>
          <w:rFonts w:ascii="Garamond" w:hAnsi="Garamond"/>
          <w:color w:val="000000" w:themeColor="text1"/>
          <w:lang w:val="en-US"/>
        </w:rPr>
        <w:t xml:space="preserve"> AG </w:t>
      </w:r>
      <w:proofErr w:type="spellStart"/>
      <w:r w:rsidRPr="00F3631A">
        <w:rPr>
          <w:rFonts w:ascii="Garamond" w:hAnsi="Garamond"/>
          <w:color w:val="000000" w:themeColor="text1"/>
          <w:lang w:val="en-US"/>
        </w:rPr>
        <w:t>Szpunar</w:t>
      </w:r>
      <w:proofErr w:type="spellEnd"/>
      <w:r w:rsidRPr="00F3631A">
        <w:rPr>
          <w:rFonts w:ascii="Garamond" w:hAnsi="Garamond"/>
          <w:color w:val="000000" w:themeColor="text1"/>
          <w:lang w:val="en-US"/>
        </w:rPr>
        <w:t xml:space="preserve"> observed in his First Opinion in </w:t>
      </w:r>
      <w:r w:rsidRPr="00FC02E2">
        <w:rPr>
          <w:rFonts w:ascii="Garamond" w:hAnsi="Garamond"/>
          <w:i/>
          <w:iCs/>
          <w:color w:val="000000" w:themeColor="text1"/>
          <w:lang w:val="en-US"/>
        </w:rPr>
        <w:t>Louboutin</w:t>
      </w:r>
      <w:r w:rsidRPr="00F3631A">
        <w:rPr>
          <w:rFonts w:ascii="Garamond" w:hAnsi="Garamond"/>
          <w:color w:val="000000" w:themeColor="text1"/>
          <w:lang w:val="en-US"/>
        </w:rPr>
        <w:t xml:space="preserve"> (para 64) in relation to the new EU Trade Mark Directive 2015/2436, if EU legislature had meant to alter the scope of the absolute ground relating to shapes (and now also to other characteristics), it would have laid down transitional provisions. This has not been the case.</w:t>
      </w:r>
      <w:r w:rsidR="00FC02E2">
        <w:rPr>
          <w:rFonts w:ascii="Garamond" w:hAnsi="Garamond"/>
          <w:color w:val="000000" w:themeColor="text1"/>
          <w:lang w:val="en-US"/>
        </w:rPr>
        <w:t xml:space="preserve"> Second, the CJEU has provided an</w:t>
      </w:r>
      <w:r w:rsidR="00FC02E2" w:rsidRPr="00F3631A">
        <w:rPr>
          <w:rFonts w:ascii="Garamond" w:hAnsi="Garamond"/>
          <w:color w:val="000000" w:themeColor="text1"/>
          <w:lang w:val="en-US"/>
        </w:rPr>
        <w:t xml:space="preserve"> expansive definition</w:t>
      </w:r>
      <w:r w:rsidR="00FC02E2">
        <w:rPr>
          <w:rFonts w:ascii="Garamond" w:hAnsi="Garamond"/>
          <w:color w:val="000000" w:themeColor="text1"/>
          <w:lang w:val="en-US"/>
        </w:rPr>
        <w:t xml:space="preserve"> </w:t>
      </w:r>
      <w:r w:rsidR="00FC02E2" w:rsidRPr="00F3631A">
        <w:rPr>
          <w:rFonts w:ascii="Garamond" w:hAnsi="Garamond"/>
          <w:color w:val="000000" w:themeColor="text1"/>
          <w:lang w:val="en-US"/>
        </w:rPr>
        <w:t xml:space="preserve">of ‘shape’, </w:t>
      </w:r>
      <w:r w:rsidR="00FC02E2">
        <w:rPr>
          <w:rFonts w:ascii="Garamond" w:hAnsi="Garamond"/>
          <w:color w:val="000000" w:themeColor="text1"/>
          <w:lang w:val="en-US"/>
        </w:rPr>
        <w:t>both</w:t>
      </w:r>
      <w:r w:rsidR="00FC02E2" w:rsidRPr="00F3631A">
        <w:rPr>
          <w:rFonts w:ascii="Garamond" w:hAnsi="Garamond"/>
          <w:color w:val="000000" w:themeColor="text1"/>
          <w:lang w:val="en-US"/>
        </w:rPr>
        <w:t xml:space="preserve"> in </w:t>
      </w:r>
      <w:proofErr w:type="spellStart"/>
      <w:r w:rsidR="00FC02E2" w:rsidRPr="00F3631A">
        <w:rPr>
          <w:rFonts w:ascii="Garamond" w:hAnsi="Garamond"/>
          <w:i/>
          <w:iCs/>
          <w:color w:val="000000" w:themeColor="text1"/>
          <w:lang w:val="en-US"/>
        </w:rPr>
        <w:t>Louboutin</w:t>
      </w:r>
      <w:proofErr w:type="spellEnd"/>
      <w:r w:rsidR="00FC02E2" w:rsidRPr="00F3631A">
        <w:rPr>
          <w:rFonts w:ascii="Garamond" w:hAnsi="Garamond"/>
          <w:color w:val="000000" w:themeColor="text1"/>
          <w:lang w:val="en-US"/>
        </w:rPr>
        <w:t xml:space="preserve"> and in </w:t>
      </w:r>
      <w:proofErr w:type="spellStart"/>
      <w:r w:rsidR="00FC02E2" w:rsidRPr="00F3631A">
        <w:rPr>
          <w:rFonts w:ascii="Garamond" w:hAnsi="Garamond"/>
          <w:i/>
          <w:iCs/>
          <w:color w:val="000000" w:themeColor="text1"/>
          <w:lang w:val="en-US"/>
        </w:rPr>
        <w:t>Textilis</w:t>
      </w:r>
      <w:proofErr w:type="spellEnd"/>
      <w:r w:rsidR="00FC02E2">
        <w:rPr>
          <w:rFonts w:ascii="Garamond" w:hAnsi="Garamond"/>
          <w:color w:val="000000" w:themeColor="text1"/>
          <w:lang w:val="en-US"/>
        </w:rPr>
        <w:t>, so that one wonders what room is left for ‘another characteristic’</w:t>
      </w:r>
      <w:r w:rsidR="001C0AA7">
        <w:rPr>
          <w:rFonts w:ascii="Garamond" w:hAnsi="Garamond"/>
          <w:color w:val="000000" w:themeColor="text1"/>
          <w:lang w:val="en-US"/>
        </w:rPr>
        <w:t xml:space="preserve"> as a standalone concept</w:t>
      </w:r>
      <w:r w:rsidR="00FC02E2">
        <w:rPr>
          <w:rFonts w:ascii="Garamond" w:hAnsi="Garamond"/>
          <w:color w:val="000000" w:themeColor="text1"/>
          <w:lang w:val="en-US"/>
        </w:rPr>
        <w:t xml:space="preserve">. From all this </w:t>
      </w:r>
      <w:r w:rsidRPr="00F3631A">
        <w:rPr>
          <w:rFonts w:ascii="Garamond" w:hAnsi="Garamond"/>
          <w:color w:val="000000" w:themeColor="text1"/>
          <w:lang w:val="en-US"/>
        </w:rPr>
        <w:t xml:space="preserve">one might </w:t>
      </w:r>
      <w:r w:rsidR="001C0AA7">
        <w:rPr>
          <w:rFonts w:ascii="Garamond" w:hAnsi="Garamond"/>
          <w:color w:val="000000" w:themeColor="text1"/>
          <w:lang w:val="en-US"/>
        </w:rPr>
        <w:t>infer</w:t>
      </w:r>
      <w:r w:rsidRPr="00F3631A">
        <w:rPr>
          <w:rFonts w:ascii="Garamond" w:hAnsi="Garamond"/>
          <w:color w:val="000000" w:themeColor="text1"/>
          <w:lang w:val="en-US"/>
        </w:rPr>
        <w:t xml:space="preserve"> that, even in the </w:t>
      </w:r>
      <w:r w:rsidR="00FC02E2">
        <w:rPr>
          <w:rFonts w:ascii="Garamond" w:hAnsi="Garamond"/>
          <w:color w:val="000000" w:themeColor="text1"/>
          <w:lang w:val="en-US"/>
        </w:rPr>
        <w:t>event</w:t>
      </w:r>
      <w:r w:rsidRPr="00F3631A">
        <w:rPr>
          <w:rFonts w:ascii="Garamond" w:hAnsi="Garamond"/>
          <w:color w:val="000000" w:themeColor="text1"/>
          <w:lang w:val="en-US"/>
        </w:rPr>
        <w:t xml:space="preserve"> that the CJEU had deemed that the reformed language of Article 7(1)(e)(iii) applied to the MANHATTAN print, </w:t>
      </w:r>
      <w:r w:rsidR="00FC02E2">
        <w:rPr>
          <w:rFonts w:ascii="Garamond" w:hAnsi="Garamond"/>
          <w:color w:val="000000" w:themeColor="text1"/>
          <w:lang w:val="en-US"/>
        </w:rPr>
        <w:t xml:space="preserve">this would have not been enough to challenge </w:t>
      </w:r>
      <w:r w:rsidRPr="00F3631A">
        <w:rPr>
          <w:rFonts w:ascii="Garamond" w:hAnsi="Garamond"/>
          <w:color w:val="000000" w:themeColor="text1"/>
          <w:lang w:val="en-US"/>
        </w:rPr>
        <w:t xml:space="preserve">the validity of </w:t>
      </w:r>
      <w:r w:rsidR="00FC02E2">
        <w:rPr>
          <w:rFonts w:ascii="Garamond" w:hAnsi="Garamond"/>
          <w:color w:val="000000" w:themeColor="text1"/>
          <w:lang w:val="en-US"/>
        </w:rPr>
        <w:t>the MANHATTAN</w:t>
      </w:r>
      <w:r w:rsidRPr="00F3631A">
        <w:rPr>
          <w:rFonts w:ascii="Garamond" w:hAnsi="Garamond"/>
          <w:color w:val="000000" w:themeColor="text1"/>
          <w:lang w:val="en-US"/>
        </w:rPr>
        <w:t xml:space="preserve"> trade mark registration.</w:t>
      </w:r>
    </w:p>
    <w:p w:rsidR="00EF329B" w:rsidRDefault="00EF329B" w:rsidP="00F3631A">
      <w:pPr>
        <w:jc w:val="both"/>
        <w:rPr>
          <w:rFonts w:ascii="Garamond" w:hAnsi="Garamond"/>
          <w:color w:val="000000" w:themeColor="text1"/>
          <w:lang w:val="en-US"/>
        </w:rPr>
      </w:pPr>
    </w:p>
    <w:p w:rsidR="00D52E5E" w:rsidRPr="00F3631A" w:rsidRDefault="00D52E5E" w:rsidP="00F3631A">
      <w:pPr>
        <w:jc w:val="both"/>
        <w:rPr>
          <w:rFonts w:ascii="Garamond" w:hAnsi="Garamond"/>
          <w:color w:val="000000" w:themeColor="text1"/>
          <w:lang w:val="en-US"/>
        </w:rPr>
      </w:pPr>
    </w:p>
    <w:p w:rsidR="00EF329B" w:rsidRPr="00F3631A" w:rsidRDefault="00EF329B" w:rsidP="00F3631A">
      <w:pPr>
        <w:jc w:val="both"/>
        <w:rPr>
          <w:rFonts w:ascii="Garamond" w:hAnsi="Garamond"/>
          <w:color w:val="000000" w:themeColor="text1"/>
          <w:lang w:val="en-US"/>
        </w:rPr>
      </w:pPr>
      <w:r w:rsidRPr="00F3631A">
        <w:rPr>
          <w:rFonts w:ascii="Garamond" w:hAnsi="Garamond"/>
          <w:color w:val="000000" w:themeColor="text1"/>
          <w:lang w:val="en-US"/>
        </w:rPr>
        <w:t>Eleonora Rosati</w:t>
      </w:r>
    </w:p>
    <w:p w:rsidR="00EF329B" w:rsidRPr="00F3631A" w:rsidRDefault="00EF329B" w:rsidP="00F3631A">
      <w:pPr>
        <w:jc w:val="both"/>
        <w:rPr>
          <w:rFonts w:ascii="Garamond" w:hAnsi="Garamond"/>
          <w:color w:val="000000" w:themeColor="text1"/>
          <w:lang w:val="en-US"/>
        </w:rPr>
      </w:pPr>
      <w:r w:rsidRPr="00F3631A">
        <w:rPr>
          <w:rFonts w:ascii="Garamond" w:hAnsi="Garamond"/>
          <w:color w:val="000000" w:themeColor="text1"/>
          <w:lang w:val="en-US"/>
        </w:rPr>
        <w:t>University of Southampton and Bird</w:t>
      </w:r>
      <w:r w:rsidR="00A745FD">
        <w:rPr>
          <w:rFonts w:ascii="Garamond" w:hAnsi="Garamond"/>
          <w:color w:val="000000" w:themeColor="text1"/>
          <w:lang w:val="en-US"/>
        </w:rPr>
        <w:t xml:space="preserve"> </w:t>
      </w:r>
      <w:r w:rsidRPr="00F3631A">
        <w:rPr>
          <w:rFonts w:ascii="Garamond" w:hAnsi="Garamond"/>
          <w:color w:val="000000" w:themeColor="text1"/>
          <w:lang w:val="en-US"/>
        </w:rPr>
        <w:t>&amp;</w:t>
      </w:r>
      <w:r w:rsidR="00A745FD">
        <w:rPr>
          <w:rFonts w:ascii="Garamond" w:hAnsi="Garamond"/>
          <w:color w:val="000000" w:themeColor="text1"/>
          <w:lang w:val="en-US"/>
        </w:rPr>
        <w:t xml:space="preserve"> </w:t>
      </w:r>
      <w:r w:rsidRPr="00F3631A">
        <w:rPr>
          <w:rFonts w:ascii="Garamond" w:hAnsi="Garamond"/>
          <w:color w:val="000000" w:themeColor="text1"/>
          <w:lang w:val="en-US"/>
        </w:rPr>
        <w:t>Bird</w:t>
      </w:r>
    </w:p>
    <w:p w:rsidR="00A53953" w:rsidRPr="00F3631A" w:rsidRDefault="00D52E5E" w:rsidP="00F3631A">
      <w:pPr>
        <w:jc w:val="both"/>
        <w:rPr>
          <w:rFonts w:ascii="Garamond" w:hAnsi="Garamond"/>
          <w:color w:val="000000" w:themeColor="text1"/>
          <w:lang w:val="en-US"/>
        </w:rPr>
      </w:pPr>
      <w:r>
        <w:rPr>
          <w:rFonts w:ascii="Garamond" w:hAnsi="Garamond"/>
          <w:color w:val="000000" w:themeColor="text1"/>
          <w:lang w:val="en-US"/>
        </w:rPr>
        <w:t>eleonora@e-lawnora.com</w:t>
      </w:r>
    </w:p>
    <w:bookmarkEnd w:id="4"/>
    <w:p w:rsidR="00322D11" w:rsidRPr="00F3631A" w:rsidRDefault="00B13E51" w:rsidP="00F3631A">
      <w:pPr>
        <w:jc w:val="both"/>
        <w:rPr>
          <w:rFonts w:ascii="Garamond" w:hAnsi="Garamond"/>
          <w:color w:val="000000" w:themeColor="text1"/>
          <w:lang w:val="en-US"/>
        </w:rPr>
      </w:pPr>
    </w:p>
    <w:sectPr w:rsidR="00322D11" w:rsidRPr="00F3631A" w:rsidSect="000B61B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8C"/>
    <w:rsid w:val="000B61BD"/>
    <w:rsid w:val="001C0AA7"/>
    <w:rsid w:val="00373DA0"/>
    <w:rsid w:val="006A4C0C"/>
    <w:rsid w:val="00792A52"/>
    <w:rsid w:val="009C7A1E"/>
    <w:rsid w:val="00A53953"/>
    <w:rsid w:val="00A745FD"/>
    <w:rsid w:val="00A90AF6"/>
    <w:rsid w:val="00B13E51"/>
    <w:rsid w:val="00BB533F"/>
    <w:rsid w:val="00D52E5E"/>
    <w:rsid w:val="00E42B8C"/>
    <w:rsid w:val="00EF329B"/>
    <w:rsid w:val="00F3631A"/>
    <w:rsid w:val="00FB5615"/>
    <w:rsid w:val="00FC02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59F2D-67F3-A742-AEC1-2D55732B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61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B8C"/>
    <w:rPr>
      <w:color w:val="0563C1" w:themeColor="hyperlink"/>
      <w:u w:val="single"/>
    </w:rPr>
  </w:style>
  <w:style w:type="character" w:customStyle="1" w:styleId="UnresolvedMention">
    <w:name w:val="Unresolved Mention"/>
    <w:basedOn w:val="DefaultParagraphFont"/>
    <w:uiPriority w:val="99"/>
    <w:semiHidden/>
    <w:unhideWhenUsed/>
    <w:rsid w:val="00E42B8C"/>
    <w:rPr>
      <w:color w:val="605E5C"/>
      <w:shd w:val="clear" w:color="auto" w:fill="E1DFDD"/>
    </w:rPr>
  </w:style>
  <w:style w:type="paragraph" w:styleId="BalloonText">
    <w:name w:val="Balloon Text"/>
    <w:basedOn w:val="Normal"/>
    <w:link w:val="BalloonTextChar"/>
    <w:uiPriority w:val="99"/>
    <w:semiHidden/>
    <w:unhideWhenUsed/>
    <w:rsid w:val="00E42B8C"/>
    <w:rPr>
      <w:sz w:val="18"/>
      <w:szCs w:val="18"/>
    </w:rPr>
  </w:style>
  <w:style w:type="character" w:customStyle="1" w:styleId="BalloonTextChar">
    <w:name w:val="Balloon Text Char"/>
    <w:basedOn w:val="DefaultParagraphFont"/>
    <w:link w:val="BalloonText"/>
    <w:uiPriority w:val="99"/>
    <w:semiHidden/>
    <w:rsid w:val="00E42B8C"/>
    <w:rPr>
      <w:rFonts w:ascii="Times New Roman" w:hAnsi="Times New Roman" w:cs="Times New Roman"/>
      <w:sz w:val="18"/>
      <w:szCs w:val="18"/>
    </w:rPr>
  </w:style>
  <w:style w:type="paragraph" w:styleId="NormalWeb">
    <w:name w:val="Normal (Web)"/>
    <w:basedOn w:val="Normal"/>
    <w:uiPriority w:val="99"/>
    <w:semiHidden/>
    <w:unhideWhenUsed/>
    <w:rsid w:val="00E42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2973">
      <w:bodyDiv w:val="1"/>
      <w:marLeft w:val="0"/>
      <w:marRight w:val="0"/>
      <w:marTop w:val="0"/>
      <w:marBottom w:val="0"/>
      <w:divBdr>
        <w:top w:val="none" w:sz="0" w:space="0" w:color="auto"/>
        <w:left w:val="none" w:sz="0" w:space="0" w:color="auto"/>
        <w:bottom w:val="none" w:sz="0" w:space="0" w:color="auto"/>
        <w:right w:val="none" w:sz="0" w:space="0" w:color="auto"/>
      </w:divBdr>
    </w:div>
    <w:div w:id="106774018">
      <w:bodyDiv w:val="1"/>
      <w:marLeft w:val="0"/>
      <w:marRight w:val="0"/>
      <w:marTop w:val="0"/>
      <w:marBottom w:val="0"/>
      <w:divBdr>
        <w:top w:val="none" w:sz="0" w:space="0" w:color="auto"/>
        <w:left w:val="none" w:sz="0" w:space="0" w:color="auto"/>
        <w:bottom w:val="none" w:sz="0" w:space="0" w:color="auto"/>
        <w:right w:val="none" w:sz="0" w:space="0" w:color="auto"/>
      </w:divBdr>
    </w:div>
    <w:div w:id="149249978">
      <w:bodyDiv w:val="1"/>
      <w:marLeft w:val="0"/>
      <w:marRight w:val="0"/>
      <w:marTop w:val="0"/>
      <w:marBottom w:val="0"/>
      <w:divBdr>
        <w:top w:val="none" w:sz="0" w:space="0" w:color="auto"/>
        <w:left w:val="none" w:sz="0" w:space="0" w:color="auto"/>
        <w:bottom w:val="none" w:sz="0" w:space="0" w:color="auto"/>
        <w:right w:val="none" w:sz="0" w:space="0" w:color="auto"/>
      </w:divBdr>
    </w:div>
    <w:div w:id="297610815">
      <w:bodyDiv w:val="1"/>
      <w:marLeft w:val="0"/>
      <w:marRight w:val="0"/>
      <w:marTop w:val="0"/>
      <w:marBottom w:val="0"/>
      <w:divBdr>
        <w:top w:val="none" w:sz="0" w:space="0" w:color="auto"/>
        <w:left w:val="none" w:sz="0" w:space="0" w:color="auto"/>
        <w:bottom w:val="none" w:sz="0" w:space="0" w:color="auto"/>
        <w:right w:val="none" w:sz="0" w:space="0" w:color="auto"/>
      </w:divBdr>
    </w:div>
    <w:div w:id="372773072">
      <w:bodyDiv w:val="1"/>
      <w:marLeft w:val="0"/>
      <w:marRight w:val="0"/>
      <w:marTop w:val="0"/>
      <w:marBottom w:val="0"/>
      <w:divBdr>
        <w:top w:val="none" w:sz="0" w:space="0" w:color="auto"/>
        <w:left w:val="none" w:sz="0" w:space="0" w:color="auto"/>
        <w:bottom w:val="none" w:sz="0" w:space="0" w:color="auto"/>
        <w:right w:val="none" w:sz="0" w:space="0" w:color="auto"/>
      </w:divBdr>
    </w:div>
    <w:div w:id="473253285">
      <w:bodyDiv w:val="1"/>
      <w:marLeft w:val="0"/>
      <w:marRight w:val="0"/>
      <w:marTop w:val="0"/>
      <w:marBottom w:val="0"/>
      <w:divBdr>
        <w:top w:val="none" w:sz="0" w:space="0" w:color="auto"/>
        <w:left w:val="none" w:sz="0" w:space="0" w:color="auto"/>
        <w:bottom w:val="none" w:sz="0" w:space="0" w:color="auto"/>
        <w:right w:val="none" w:sz="0" w:space="0" w:color="auto"/>
      </w:divBdr>
    </w:div>
    <w:div w:id="763653729">
      <w:bodyDiv w:val="1"/>
      <w:marLeft w:val="0"/>
      <w:marRight w:val="0"/>
      <w:marTop w:val="0"/>
      <w:marBottom w:val="0"/>
      <w:divBdr>
        <w:top w:val="none" w:sz="0" w:space="0" w:color="auto"/>
        <w:left w:val="none" w:sz="0" w:space="0" w:color="auto"/>
        <w:bottom w:val="none" w:sz="0" w:space="0" w:color="auto"/>
        <w:right w:val="none" w:sz="0" w:space="0" w:color="auto"/>
      </w:divBdr>
    </w:div>
    <w:div w:id="941105621">
      <w:bodyDiv w:val="1"/>
      <w:marLeft w:val="0"/>
      <w:marRight w:val="0"/>
      <w:marTop w:val="0"/>
      <w:marBottom w:val="0"/>
      <w:divBdr>
        <w:top w:val="none" w:sz="0" w:space="0" w:color="auto"/>
        <w:left w:val="none" w:sz="0" w:space="0" w:color="auto"/>
        <w:bottom w:val="none" w:sz="0" w:space="0" w:color="auto"/>
        <w:right w:val="none" w:sz="0" w:space="0" w:color="auto"/>
      </w:divBdr>
    </w:div>
    <w:div w:id="1289320720">
      <w:bodyDiv w:val="1"/>
      <w:marLeft w:val="0"/>
      <w:marRight w:val="0"/>
      <w:marTop w:val="0"/>
      <w:marBottom w:val="0"/>
      <w:divBdr>
        <w:top w:val="none" w:sz="0" w:space="0" w:color="auto"/>
        <w:left w:val="none" w:sz="0" w:space="0" w:color="auto"/>
        <w:bottom w:val="none" w:sz="0" w:space="0" w:color="auto"/>
        <w:right w:val="none" w:sz="0" w:space="0" w:color="auto"/>
      </w:divBdr>
    </w:div>
    <w:div w:id="1358390541">
      <w:bodyDiv w:val="1"/>
      <w:marLeft w:val="0"/>
      <w:marRight w:val="0"/>
      <w:marTop w:val="0"/>
      <w:marBottom w:val="0"/>
      <w:divBdr>
        <w:top w:val="none" w:sz="0" w:space="0" w:color="auto"/>
        <w:left w:val="none" w:sz="0" w:space="0" w:color="auto"/>
        <w:bottom w:val="none" w:sz="0" w:space="0" w:color="auto"/>
        <w:right w:val="none" w:sz="0" w:space="0" w:color="auto"/>
      </w:divBdr>
    </w:div>
    <w:div w:id="1450781387">
      <w:bodyDiv w:val="1"/>
      <w:marLeft w:val="0"/>
      <w:marRight w:val="0"/>
      <w:marTop w:val="0"/>
      <w:marBottom w:val="0"/>
      <w:divBdr>
        <w:top w:val="none" w:sz="0" w:space="0" w:color="auto"/>
        <w:left w:val="none" w:sz="0" w:space="0" w:color="auto"/>
        <w:bottom w:val="none" w:sz="0" w:space="0" w:color="auto"/>
        <w:right w:val="none" w:sz="0" w:space="0" w:color="auto"/>
      </w:divBdr>
    </w:div>
    <w:div w:id="1516194188">
      <w:bodyDiv w:val="1"/>
      <w:marLeft w:val="0"/>
      <w:marRight w:val="0"/>
      <w:marTop w:val="0"/>
      <w:marBottom w:val="0"/>
      <w:divBdr>
        <w:top w:val="none" w:sz="0" w:space="0" w:color="auto"/>
        <w:left w:val="none" w:sz="0" w:space="0" w:color="auto"/>
        <w:bottom w:val="none" w:sz="0" w:space="0" w:color="auto"/>
        <w:right w:val="none" w:sz="0" w:space="0" w:color="auto"/>
      </w:divBdr>
    </w:div>
    <w:div w:id="1755398438">
      <w:bodyDiv w:val="1"/>
      <w:marLeft w:val="0"/>
      <w:marRight w:val="0"/>
      <w:marTop w:val="0"/>
      <w:marBottom w:val="0"/>
      <w:divBdr>
        <w:top w:val="none" w:sz="0" w:space="0" w:color="auto"/>
        <w:left w:val="none" w:sz="0" w:space="0" w:color="auto"/>
        <w:bottom w:val="none" w:sz="0" w:space="0" w:color="auto"/>
        <w:right w:val="none" w:sz="0" w:space="0" w:color="auto"/>
      </w:divBdr>
    </w:div>
    <w:div w:id="20731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Lapage K.P.</cp:lastModifiedBy>
  <cp:revision>2</cp:revision>
  <dcterms:created xsi:type="dcterms:W3CDTF">2019-06-07T14:20:00Z</dcterms:created>
  <dcterms:modified xsi:type="dcterms:W3CDTF">2019-06-07T14:20:00Z</dcterms:modified>
</cp:coreProperties>
</file>