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70F61" w14:textId="77777777" w:rsidR="002B4C45" w:rsidRPr="00277EE5" w:rsidRDefault="002B4C45" w:rsidP="00BF4A1D">
      <w:pPr>
        <w:jc w:val="center"/>
        <w:rPr>
          <w:rFonts w:ascii="Times New Roman" w:hAnsi="Times New Roman"/>
          <w:b/>
          <w:sz w:val="24"/>
          <w:szCs w:val="24"/>
        </w:rPr>
      </w:pPr>
      <w:bookmarkStart w:id="0" w:name="_GoBack"/>
      <w:bookmarkEnd w:id="0"/>
    </w:p>
    <w:p w14:paraId="0B8BB35C" w14:textId="77777777" w:rsidR="005F63A4" w:rsidRPr="00277EE5" w:rsidRDefault="005F63A4" w:rsidP="005F63A4">
      <w:pPr>
        <w:spacing w:line="240" w:lineRule="auto"/>
        <w:jc w:val="center"/>
        <w:rPr>
          <w:rFonts w:ascii="Times New Roman" w:hAnsi="Times New Roman"/>
          <w:b/>
          <w:sz w:val="24"/>
          <w:szCs w:val="24"/>
        </w:rPr>
      </w:pPr>
      <w:r w:rsidRPr="00277EE5">
        <w:rPr>
          <w:rFonts w:ascii="Times New Roman" w:hAnsi="Times New Roman"/>
          <w:b/>
          <w:sz w:val="24"/>
          <w:szCs w:val="24"/>
        </w:rPr>
        <w:t>Earnings Management under Different Ownership and Corporate Governance Structure: A Natural Experiment with Master Limited Partnerships</w:t>
      </w:r>
    </w:p>
    <w:p w14:paraId="40B71319" w14:textId="4F5BB193" w:rsidR="00E934B4" w:rsidRPr="00277EE5" w:rsidRDefault="00E934B4" w:rsidP="00F76507">
      <w:pPr>
        <w:spacing w:line="240" w:lineRule="auto"/>
        <w:contextualSpacing/>
        <w:jc w:val="center"/>
        <w:rPr>
          <w:rFonts w:ascii="Times New Roman" w:hAnsi="Times New Roman"/>
          <w:sz w:val="24"/>
          <w:szCs w:val="24"/>
        </w:rPr>
      </w:pPr>
    </w:p>
    <w:p w14:paraId="4A6474AE" w14:textId="77777777" w:rsidR="00E934B4" w:rsidRPr="00277EE5" w:rsidRDefault="00E934B4" w:rsidP="00BF4A1D">
      <w:pPr>
        <w:jc w:val="center"/>
        <w:rPr>
          <w:rFonts w:ascii="Times New Roman" w:hAnsi="Times New Roman"/>
          <w:sz w:val="24"/>
          <w:szCs w:val="24"/>
        </w:rPr>
      </w:pPr>
    </w:p>
    <w:p w14:paraId="7815C4C4" w14:textId="77777777" w:rsidR="002B4C45" w:rsidRPr="00277EE5" w:rsidRDefault="002B4C45" w:rsidP="00BF4A1D">
      <w:pPr>
        <w:jc w:val="center"/>
        <w:rPr>
          <w:rFonts w:ascii="Times New Roman" w:hAnsi="Times New Roman"/>
          <w:sz w:val="24"/>
          <w:szCs w:val="24"/>
        </w:rPr>
      </w:pPr>
    </w:p>
    <w:p w14:paraId="6421E7DA" w14:textId="77777777" w:rsidR="0058729B" w:rsidRPr="00277EE5" w:rsidRDefault="0058729B" w:rsidP="0058729B">
      <w:pPr>
        <w:spacing w:after="0" w:line="240" w:lineRule="auto"/>
        <w:jc w:val="center"/>
        <w:rPr>
          <w:rFonts w:ascii="Times New Roman" w:hAnsi="Times New Roman"/>
          <w:sz w:val="24"/>
          <w:szCs w:val="24"/>
        </w:rPr>
      </w:pPr>
    </w:p>
    <w:p w14:paraId="252089C8" w14:textId="77777777" w:rsidR="0058729B" w:rsidRPr="00A51DD1" w:rsidRDefault="0058729B" w:rsidP="00BF4A1D">
      <w:pPr>
        <w:jc w:val="center"/>
        <w:rPr>
          <w:rFonts w:ascii="Times New Roman" w:hAnsi="Times New Roman"/>
          <w:b/>
          <w:sz w:val="24"/>
          <w:szCs w:val="24"/>
        </w:rPr>
      </w:pPr>
    </w:p>
    <w:p w14:paraId="6C528F53" w14:textId="77777777" w:rsidR="0058729B" w:rsidRPr="00A51DD1" w:rsidRDefault="0058729B" w:rsidP="00BF4A1D">
      <w:pPr>
        <w:jc w:val="center"/>
        <w:rPr>
          <w:rFonts w:ascii="Times New Roman" w:hAnsi="Times New Roman"/>
          <w:b/>
          <w:sz w:val="24"/>
          <w:szCs w:val="24"/>
        </w:rPr>
      </w:pPr>
    </w:p>
    <w:p w14:paraId="365162E8" w14:textId="6E9F75C3" w:rsidR="0058729B" w:rsidRPr="00A51DD1" w:rsidRDefault="009121EE" w:rsidP="00B427BE">
      <w:pPr>
        <w:ind w:left="1080" w:right="720" w:hanging="360"/>
        <w:rPr>
          <w:rFonts w:ascii="Times New Roman" w:hAnsi="Times New Roman"/>
          <w:b/>
          <w:sz w:val="24"/>
          <w:szCs w:val="24"/>
        </w:rPr>
      </w:pPr>
      <w:r w:rsidRPr="00A51DD1">
        <w:rPr>
          <w:rFonts w:ascii="Times New Roman" w:hAnsi="Times New Roman"/>
          <w:b/>
          <w:sz w:val="24"/>
          <w:szCs w:val="24"/>
        </w:rPr>
        <w:t>Highlights:</w:t>
      </w:r>
    </w:p>
    <w:p w14:paraId="06371ECB" w14:textId="3DFCF81B" w:rsidR="009121EE" w:rsidRPr="00A51DD1" w:rsidRDefault="009121EE" w:rsidP="00B427BE">
      <w:pPr>
        <w:pStyle w:val="ListParagraph"/>
        <w:numPr>
          <w:ilvl w:val="0"/>
          <w:numId w:val="7"/>
        </w:numPr>
        <w:ind w:left="1080" w:right="720"/>
        <w:rPr>
          <w:rFonts w:ascii="Times New Roman" w:hAnsi="Times New Roman"/>
          <w:sz w:val="24"/>
          <w:szCs w:val="24"/>
        </w:rPr>
      </w:pPr>
      <w:r w:rsidRPr="00A51DD1">
        <w:rPr>
          <w:rFonts w:ascii="Times New Roman" w:hAnsi="Times New Roman"/>
          <w:sz w:val="24"/>
          <w:szCs w:val="24"/>
        </w:rPr>
        <w:t xml:space="preserve">MLPs and traditional corporations have </w:t>
      </w:r>
      <w:r w:rsidR="007021A9">
        <w:rPr>
          <w:rFonts w:ascii="Times New Roman" w:hAnsi="Times New Roman"/>
          <w:sz w:val="24"/>
          <w:szCs w:val="24"/>
        </w:rPr>
        <w:t xml:space="preserve">a </w:t>
      </w:r>
      <w:r w:rsidRPr="007021A9">
        <w:rPr>
          <w:rFonts w:ascii="Times New Roman" w:hAnsi="Times New Roman"/>
          <w:noProof/>
          <w:sz w:val="24"/>
          <w:szCs w:val="24"/>
        </w:rPr>
        <w:t>different</w:t>
      </w:r>
      <w:r w:rsidRPr="00A51DD1">
        <w:rPr>
          <w:rFonts w:ascii="Times New Roman" w:hAnsi="Times New Roman"/>
          <w:sz w:val="24"/>
          <w:szCs w:val="24"/>
        </w:rPr>
        <w:t xml:space="preserve"> ownership structure</w:t>
      </w:r>
    </w:p>
    <w:p w14:paraId="2D674A70" w14:textId="5222521C" w:rsidR="009121EE" w:rsidRPr="00A51DD1" w:rsidRDefault="009121EE" w:rsidP="00B427BE">
      <w:pPr>
        <w:pStyle w:val="ListParagraph"/>
        <w:numPr>
          <w:ilvl w:val="0"/>
          <w:numId w:val="7"/>
        </w:numPr>
        <w:ind w:left="1080" w:right="720"/>
        <w:rPr>
          <w:rFonts w:ascii="Times New Roman" w:hAnsi="Times New Roman"/>
          <w:sz w:val="24"/>
          <w:szCs w:val="24"/>
        </w:rPr>
      </w:pPr>
      <w:r w:rsidRPr="00A51DD1">
        <w:rPr>
          <w:rFonts w:ascii="Times New Roman" w:hAnsi="Times New Roman"/>
          <w:sz w:val="24"/>
          <w:szCs w:val="24"/>
        </w:rPr>
        <w:t>MLPs and corporations have different executive compensation methods</w:t>
      </w:r>
    </w:p>
    <w:p w14:paraId="55FFB398" w14:textId="628322EC" w:rsidR="009121EE" w:rsidRPr="00A51DD1" w:rsidRDefault="009121EE" w:rsidP="00B427BE">
      <w:pPr>
        <w:pStyle w:val="ListParagraph"/>
        <w:numPr>
          <w:ilvl w:val="0"/>
          <w:numId w:val="7"/>
        </w:numPr>
        <w:ind w:left="1080" w:right="720"/>
        <w:rPr>
          <w:rFonts w:ascii="Times New Roman" w:hAnsi="Times New Roman"/>
          <w:sz w:val="24"/>
          <w:szCs w:val="24"/>
        </w:rPr>
      </w:pPr>
      <w:r w:rsidRPr="00A51DD1">
        <w:rPr>
          <w:rFonts w:ascii="Times New Roman" w:hAnsi="Times New Roman"/>
          <w:sz w:val="24"/>
          <w:szCs w:val="24"/>
        </w:rPr>
        <w:t>MLPs engage in real activities management more than corporations do</w:t>
      </w:r>
    </w:p>
    <w:p w14:paraId="401502FD" w14:textId="2AF45C7E" w:rsidR="00AE163F" w:rsidRPr="00A51DD1" w:rsidRDefault="009121EE" w:rsidP="00B427BE">
      <w:pPr>
        <w:pStyle w:val="ListParagraph"/>
        <w:numPr>
          <w:ilvl w:val="0"/>
          <w:numId w:val="7"/>
        </w:numPr>
        <w:ind w:left="1080" w:right="720"/>
        <w:rPr>
          <w:rFonts w:ascii="Times New Roman" w:hAnsi="Times New Roman"/>
          <w:sz w:val="24"/>
          <w:szCs w:val="24"/>
        </w:rPr>
      </w:pPr>
      <w:r w:rsidRPr="00A51DD1">
        <w:rPr>
          <w:rFonts w:ascii="Times New Roman" w:hAnsi="Times New Roman"/>
          <w:sz w:val="24"/>
          <w:szCs w:val="24"/>
        </w:rPr>
        <w:t xml:space="preserve">MLPs respond to changes in market conditions more quickly </w:t>
      </w:r>
      <w:r w:rsidR="005E4689" w:rsidRPr="00A51DD1">
        <w:rPr>
          <w:rFonts w:ascii="Times New Roman" w:hAnsi="Times New Roman"/>
          <w:sz w:val="24"/>
          <w:szCs w:val="24"/>
        </w:rPr>
        <w:t xml:space="preserve">than </w:t>
      </w:r>
      <w:r w:rsidRPr="00A51DD1">
        <w:rPr>
          <w:rFonts w:ascii="Times New Roman" w:hAnsi="Times New Roman"/>
          <w:sz w:val="24"/>
          <w:szCs w:val="24"/>
        </w:rPr>
        <w:t>corporations do</w:t>
      </w:r>
    </w:p>
    <w:p w14:paraId="476F4C7C" w14:textId="2611B44C" w:rsidR="009121EE" w:rsidRPr="00A51DD1" w:rsidRDefault="00AE163F" w:rsidP="00B427BE">
      <w:pPr>
        <w:pStyle w:val="ListParagraph"/>
        <w:numPr>
          <w:ilvl w:val="0"/>
          <w:numId w:val="7"/>
        </w:numPr>
        <w:ind w:left="1080" w:right="720"/>
        <w:rPr>
          <w:rFonts w:ascii="Times New Roman" w:hAnsi="Times New Roman"/>
          <w:sz w:val="24"/>
          <w:szCs w:val="24"/>
        </w:rPr>
      </w:pPr>
      <w:r w:rsidRPr="00A51DD1">
        <w:rPr>
          <w:rFonts w:ascii="Times New Roman" w:hAnsi="Times New Roman"/>
          <w:sz w:val="24"/>
          <w:szCs w:val="24"/>
        </w:rPr>
        <w:t xml:space="preserve">The results support the efficient contracting hypothesis for </w:t>
      </w:r>
      <w:r w:rsidR="00934678" w:rsidRPr="00A51DD1">
        <w:rPr>
          <w:rFonts w:ascii="Times New Roman" w:hAnsi="Times New Roman"/>
          <w:sz w:val="24"/>
          <w:szCs w:val="24"/>
        </w:rPr>
        <w:t>MLPs</w:t>
      </w:r>
      <w:r w:rsidR="009121EE" w:rsidRPr="00A51DD1">
        <w:rPr>
          <w:rFonts w:ascii="Times New Roman" w:hAnsi="Times New Roman"/>
          <w:sz w:val="24"/>
          <w:szCs w:val="24"/>
        </w:rPr>
        <w:t xml:space="preserve"> </w:t>
      </w:r>
    </w:p>
    <w:p w14:paraId="5BDFB038" w14:textId="77777777" w:rsidR="009121EE" w:rsidRPr="00A51DD1" w:rsidRDefault="009121EE" w:rsidP="00B427BE">
      <w:pPr>
        <w:pStyle w:val="ListParagraph"/>
        <w:rPr>
          <w:rFonts w:ascii="Times New Roman" w:hAnsi="Times New Roman"/>
          <w:sz w:val="24"/>
          <w:szCs w:val="24"/>
        </w:rPr>
      </w:pPr>
    </w:p>
    <w:p w14:paraId="6B4C2C94" w14:textId="77777777" w:rsidR="0058729B" w:rsidRPr="00A51DD1" w:rsidRDefault="0058729B" w:rsidP="00BF4A1D">
      <w:pPr>
        <w:jc w:val="center"/>
        <w:rPr>
          <w:rFonts w:ascii="Times New Roman" w:hAnsi="Times New Roman"/>
          <w:b/>
          <w:sz w:val="24"/>
          <w:szCs w:val="24"/>
        </w:rPr>
      </w:pPr>
    </w:p>
    <w:p w14:paraId="5E766B12" w14:textId="77777777" w:rsidR="009121EE" w:rsidRPr="00A51DD1" w:rsidRDefault="009121EE" w:rsidP="00BF4A1D">
      <w:pPr>
        <w:jc w:val="center"/>
        <w:rPr>
          <w:rFonts w:ascii="Times New Roman" w:hAnsi="Times New Roman"/>
          <w:b/>
          <w:sz w:val="24"/>
          <w:szCs w:val="24"/>
        </w:rPr>
      </w:pPr>
    </w:p>
    <w:p w14:paraId="0ADD25CF" w14:textId="3F4619CE" w:rsidR="001C637D" w:rsidRPr="00A51DD1" w:rsidRDefault="001C637D" w:rsidP="00BF4A1D">
      <w:pPr>
        <w:jc w:val="center"/>
        <w:rPr>
          <w:rFonts w:ascii="Times New Roman" w:hAnsi="Times New Roman"/>
          <w:b/>
          <w:sz w:val="24"/>
          <w:szCs w:val="24"/>
        </w:rPr>
      </w:pPr>
      <w:r w:rsidRPr="00A51DD1">
        <w:rPr>
          <w:rFonts w:ascii="Times New Roman" w:hAnsi="Times New Roman"/>
          <w:b/>
          <w:sz w:val="24"/>
          <w:szCs w:val="24"/>
        </w:rPr>
        <w:t>Abstract</w:t>
      </w:r>
    </w:p>
    <w:p w14:paraId="61002D92" w14:textId="1511C7FC" w:rsidR="00617D6F" w:rsidRPr="00A51DD1" w:rsidRDefault="00A137C5" w:rsidP="0058729B">
      <w:pPr>
        <w:ind w:left="720" w:right="720"/>
        <w:jc w:val="both"/>
        <w:rPr>
          <w:rFonts w:ascii="Times New Roman" w:hAnsi="Times New Roman"/>
          <w:sz w:val="24"/>
          <w:szCs w:val="24"/>
        </w:rPr>
      </w:pPr>
      <w:r w:rsidRPr="00A51DD1">
        <w:rPr>
          <w:rFonts w:ascii="Times New Roman" w:hAnsi="Times New Roman"/>
          <w:sz w:val="24"/>
          <w:szCs w:val="24"/>
        </w:rPr>
        <w:t>Master</w:t>
      </w:r>
      <w:r w:rsidR="00B62DCD" w:rsidRPr="00A51DD1">
        <w:rPr>
          <w:rFonts w:ascii="Times New Roman" w:hAnsi="Times New Roman"/>
          <w:sz w:val="24"/>
          <w:szCs w:val="24"/>
        </w:rPr>
        <w:t xml:space="preserve"> </w:t>
      </w:r>
      <w:r w:rsidR="00C663F4" w:rsidRPr="00A51DD1">
        <w:rPr>
          <w:rFonts w:ascii="Times New Roman" w:hAnsi="Times New Roman"/>
          <w:sz w:val="24"/>
          <w:szCs w:val="24"/>
        </w:rPr>
        <w:t>l</w:t>
      </w:r>
      <w:r w:rsidR="00B62DCD" w:rsidRPr="00A51DD1">
        <w:rPr>
          <w:rFonts w:ascii="Times New Roman" w:hAnsi="Times New Roman"/>
          <w:sz w:val="24"/>
          <w:szCs w:val="24"/>
        </w:rPr>
        <w:t xml:space="preserve">imited </w:t>
      </w:r>
      <w:r w:rsidR="00C663F4" w:rsidRPr="00A51DD1">
        <w:rPr>
          <w:rFonts w:ascii="Times New Roman" w:hAnsi="Times New Roman"/>
          <w:sz w:val="24"/>
          <w:szCs w:val="24"/>
        </w:rPr>
        <w:t>p</w:t>
      </w:r>
      <w:r w:rsidR="00B62DCD" w:rsidRPr="00A51DD1">
        <w:rPr>
          <w:rFonts w:ascii="Times New Roman" w:hAnsi="Times New Roman"/>
          <w:sz w:val="24"/>
          <w:szCs w:val="24"/>
        </w:rPr>
        <w:t xml:space="preserve">artnership </w:t>
      </w:r>
      <w:r w:rsidR="004F3F8D" w:rsidRPr="00A51DD1">
        <w:rPr>
          <w:rFonts w:ascii="Times New Roman" w:hAnsi="Times New Roman"/>
          <w:sz w:val="24"/>
          <w:szCs w:val="24"/>
        </w:rPr>
        <w:t xml:space="preserve">(MLP) </w:t>
      </w:r>
      <w:r w:rsidR="00C663F4" w:rsidRPr="00A51DD1">
        <w:rPr>
          <w:rFonts w:ascii="Times New Roman" w:hAnsi="Times New Roman"/>
          <w:sz w:val="24"/>
          <w:szCs w:val="24"/>
        </w:rPr>
        <w:t xml:space="preserve">is a publicly traded partnership </w:t>
      </w:r>
      <w:r w:rsidR="00B6644E" w:rsidRPr="00A51DD1">
        <w:rPr>
          <w:rFonts w:ascii="Times New Roman" w:hAnsi="Times New Roman"/>
          <w:sz w:val="24"/>
          <w:szCs w:val="24"/>
        </w:rPr>
        <w:t>run</w:t>
      </w:r>
      <w:r w:rsidR="00407982" w:rsidRPr="00A51DD1">
        <w:rPr>
          <w:rFonts w:ascii="Times New Roman" w:hAnsi="Times New Roman"/>
          <w:sz w:val="24"/>
          <w:szCs w:val="24"/>
        </w:rPr>
        <w:t xml:space="preserve"> by a general partner (GP) </w:t>
      </w:r>
      <w:r w:rsidR="00C663F4" w:rsidRPr="00A51DD1">
        <w:rPr>
          <w:rFonts w:ascii="Times New Roman" w:hAnsi="Times New Roman"/>
          <w:sz w:val="24"/>
          <w:szCs w:val="24"/>
        </w:rPr>
        <w:t xml:space="preserve">with sole </w:t>
      </w:r>
      <w:r w:rsidR="00407982" w:rsidRPr="00A51DD1">
        <w:rPr>
          <w:rFonts w:ascii="Times New Roman" w:hAnsi="Times New Roman"/>
          <w:sz w:val="24"/>
          <w:szCs w:val="24"/>
        </w:rPr>
        <w:t>managerial decision-making</w:t>
      </w:r>
      <w:r w:rsidR="00C663F4" w:rsidRPr="00A51DD1">
        <w:rPr>
          <w:rFonts w:ascii="Times New Roman" w:hAnsi="Times New Roman"/>
          <w:sz w:val="24"/>
          <w:szCs w:val="24"/>
        </w:rPr>
        <w:t xml:space="preserve"> power</w:t>
      </w:r>
      <w:r w:rsidR="00CC4E39" w:rsidRPr="00A51DD1">
        <w:rPr>
          <w:rFonts w:ascii="Times New Roman" w:hAnsi="Times New Roman"/>
          <w:sz w:val="24"/>
          <w:szCs w:val="24"/>
        </w:rPr>
        <w:t>,</w:t>
      </w:r>
      <w:r w:rsidR="00407982" w:rsidRPr="00A51DD1">
        <w:rPr>
          <w:rFonts w:ascii="Times New Roman" w:hAnsi="Times New Roman"/>
          <w:sz w:val="24"/>
          <w:szCs w:val="24"/>
        </w:rPr>
        <w:t xml:space="preserve"> whereas </w:t>
      </w:r>
      <w:r w:rsidR="006870E8" w:rsidRPr="00A51DD1">
        <w:rPr>
          <w:rFonts w:ascii="Times New Roman" w:hAnsi="Times New Roman"/>
          <w:sz w:val="24"/>
          <w:szCs w:val="24"/>
        </w:rPr>
        <w:t>l</w:t>
      </w:r>
      <w:r w:rsidR="000D5929" w:rsidRPr="00A51DD1">
        <w:rPr>
          <w:rFonts w:ascii="Times New Roman" w:hAnsi="Times New Roman"/>
          <w:sz w:val="24"/>
          <w:szCs w:val="24"/>
        </w:rPr>
        <w:t xml:space="preserve">imited </w:t>
      </w:r>
      <w:r w:rsidR="006870E8" w:rsidRPr="00A51DD1">
        <w:rPr>
          <w:rFonts w:ascii="Times New Roman" w:hAnsi="Times New Roman"/>
          <w:sz w:val="24"/>
          <w:szCs w:val="24"/>
        </w:rPr>
        <w:t>p</w:t>
      </w:r>
      <w:r w:rsidR="000D5929" w:rsidRPr="00A51DD1">
        <w:rPr>
          <w:rFonts w:ascii="Times New Roman" w:hAnsi="Times New Roman"/>
          <w:sz w:val="24"/>
          <w:szCs w:val="24"/>
        </w:rPr>
        <w:t xml:space="preserve">artners (LPs) </w:t>
      </w:r>
      <w:r w:rsidR="006870E8" w:rsidRPr="00A51DD1">
        <w:rPr>
          <w:rFonts w:ascii="Times New Roman" w:hAnsi="Times New Roman"/>
          <w:sz w:val="24"/>
          <w:szCs w:val="24"/>
        </w:rPr>
        <w:t>have no role</w:t>
      </w:r>
      <w:r w:rsidR="005330C5" w:rsidRPr="00A51DD1">
        <w:rPr>
          <w:rFonts w:ascii="Times New Roman" w:hAnsi="Times New Roman"/>
          <w:sz w:val="24"/>
          <w:szCs w:val="24"/>
        </w:rPr>
        <w:t xml:space="preserve"> in</w:t>
      </w:r>
      <w:r w:rsidRPr="00A51DD1">
        <w:rPr>
          <w:rFonts w:ascii="Times New Roman" w:hAnsi="Times New Roman"/>
          <w:sz w:val="24"/>
          <w:szCs w:val="24"/>
        </w:rPr>
        <w:t xml:space="preserve"> the</w:t>
      </w:r>
      <w:r w:rsidR="005330C5" w:rsidRPr="00A51DD1">
        <w:rPr>
          <w:rFonts w:ascii="Times New Roman" w:hAnsi="Times New Roman"/>
          <w:sz w:val="24"/>
          <w:szCs w:val="24"/>
        </w:rPr>
        <w:t xml:space="preserve"> </w:t>
      </w:r>
      <w:r w:rsidRPr="00A51DD1">
        <w:rPr>
          <w:rFonts w:ascii="Times New Roman" w:hAnsi="Times New Roman"/>
          <w:sz w:val="24"/>
          <w:szCs w:val="24"/>
        </w:rPr>
        <w:t>operation</w:t>
      </w:r>
      <w:r w:rsidR="006870E8" w:rsidRPr="00A51DD1">
        <w:rPr>
          <w:rFonts w:ascii="Times New Roman" w:hAnsi="Times New Roman"/>
          <w:sz w:val="24"/>
          <w:szCs w:val="24"/>
        </w:rPr>
        <w:t>.</w:t>
      </w:r>
      <w:r w:rsidR="00DA7158" w:rsidRPr="00A51DD1">
        <w:rPr>
          <w:rFonts w:ascii="Times New Roman" w:hAnsi="Times New Roman"/>
          <w:sz w:val="24"/>
          <w:szCs w:val="24"/>
        </w:rPr>
        <w:t xml:space="preserve"> </w:t>
      </w:r>
      <w:r w:rsidR="00F77AAB" w:rsidRPr="00A51DD1">
        <w:rPr>
          <w:rFonts w:ascii="Times New Roman" w:hAnsi="Times New Roman"/>
          <w:sz w:val="24"/>
          <w:szCs w:val="24"/>
        </w:rPr>
        <w:t xml:space="preserve">As </w:t>
      </w:r>
      <w:r w:rsidR="00B6644E" w:rsidRPr="00A51DD1">
        <w:rPr>
          <w:rFonts w:ascii="Times New Roman" w:hAnsi="Times New Roman"/>
          <w:sz w:val="24"/>
          <w:szCs w:val="24"/>
        </w:rPr>
        <w:t>an alternative ownership structure to the traditional corporate ownership</w:t>
      </w:r>
      <w:r w:rsidR="00F77AAB" w:rsidRPr="00A51DD1">
        <w:rPr>
          <w:rFonts w:ascii="Times New Roman" w:hAnsi="Times New Roman"/>
          <w:sz w:val="24"/>
          <w:szCs w:val="24"/>
        </w:rPr>
        <w:t xml:space="preserve">, </w:t>
      </w:r>
      <w:r w:rsidR="00DA7158" w:rsidRPr="00A51DD1">
        <w:rPr>
          <w:rFonts w:ascii="Times New Roman" w:hAnsi="Times New Roman"/>
          <w:sz w:val="24"/>
          <w:szCs w:val="24"/>
        </w:rPr>
        <w:t xml:space="preserve">MLPs </w:t>
      </w:r>
      <w:r w:rsidR="00F77AAB" w:rsidRPr="00A51DD1">
        <w:rPr>
          <w:rFonts w:ascii="Times New Roman" w:hAnsi="Times New Roman"/>
          <w:sz w:val="24"/>
          <w:szCs w:val="24"/>
        </w:rPr>
        <w:t xml:space="preserve">by law must </w:t>
      </w:r>
      <w:r w:rsidR="00DA7158" w:rsidRPr="00A51DD1">
        <w:rPr>
          <w:rFonts w:ascii="Times New Roman" w:hAnsi="Times New Roman"/>
          <w:sz w:val="24"/>
          <w:szCs w:val="24"/>
        </w:rPr>
        <w:t>pay out available cash flow to GPs and LPs</w:t>
      </w:r>
      <w:r w:rsidR="00B6644E" w:rsidRPr="00A51DD1">
        <w:rPr>
          <w:rFonts w:ascii="Times New Roman" w:hAnsi="Times New Roman"/>
          <w:sz w:val="24"/>
          <w:szCs w:val="24"/>
        </w:rPr>
        <w:t>.</w:t>
      </w:r>
      <w:r w:rsidR="00DA7158" w:rsidRPr="00A51DD1">
        <w:rPr>
          <w:rFonts w:ascii="Times New Roman" w:hAnsi="Times New Roman"/>
          <w:sz w:val="24"/>
          <w:szCs w:val="24"/>
        </w:rPr>
        <w:t xml:space="preserve"> GPs are compensated not by standard stock options</w:t>
      </w:r>
      <w:r w:rsidR="00E00572" w:rsidRPr="00A51DD1">
        <w:rPr>
          <w:rFonts w:ascii="Times New Roman" w:hAnsi="Times New Roman"/>
          <w:sz w:val="24"/>
          <w:szCs w:val="24"/>
        </w:rPr>
        <w:t xml:space="preserve"> but by </w:t>
      </w:r>
      <w:r w:rsidR="00CB668B" w:rsidRPr="00A51DD1">
        <w:rPr>
          <w:rFonts w:ascii="Times New Roman" w:hAnsi="Times New Roman"/>
          <w:sz w:val="24"/>
          <w:szCs w:val="24"/>
        </w:rPr>
        <w:t xml:space="preserve">the distributed </w:t>
      </w:r>
      <w:r w:rsidR="00E00572" w:rsidRPr="00A51DD1">
        <w:rPr>
          <w:rFonts w:ascii="Times New Roman" w:hAnsi="Times New Roman"/>
          <w:sz w:val="24"/>
          <w:szCs w:val="24"/>
        </w:rPr>
        <w:t>cash flow</w:t>
      </w:r>
      <w:r w:rsidR="00DA7158" w:rsidRPr="00A51DD1">
        <w:rPr>
          <w:rFonts w:ascii="Times New Roman" w:hAnsi="Times New Roman"/>
          <w:sz w:val="24"/>
          <w:szCs w:val="24"/>
        </w:rPr>
        <w:t xml:space="preserve">. </w:t>
      </w:r>
      <w:r w:rsidR="00706BF4" w:rsidRPr="00A51DD1">
        <w:rPr>
          <w:rFonts w:ascii="Times New Roman" w:hAnsi="Times New Roman"/>
          <w:sz w:val="24"/>
          <w:szCs w:val="24"/>
        </w:rPr>
        <w:t xml:space="preserve">We </w:t>
      </w:r>
      <w:r w:rsidR="00A229F4" w:rsidRPr="00A51DD1">
        <w:rPr>
          <w:rFonts w:ascii="Times New Roman" w:hAnsi="Times New Roman"/>
          <w:sz w:val="24"/>
          <w:szCs w:val="24"/>
        </w:rPr>
        <w:t xml:space="preserve">find that </w:t>
      </w:r>
      <w:r w:rsidR="00B6644E" w:rsidRPr="00A51DD1">
        <w:rPr>
          <w:rFonts w:ascii="Times New Roman" w:hAnsi="Times New Roman"/>
          <w:sz w:val="24"/>
          <w:szCs w:val="24"/>
        </w:rPr>
        <w:t xml:space="preserve">the </w:t>
      </w:r>
      <w:r w:rsidR="00A229F4" w:rsidRPr="00A51DD1">
        <w:rPr>
          <w:rFonts w:ascii="Times New Roman" w:hAnsi="Times New Roman"/>
          <w:sz w:val="24"/>
          <w:szCs w:val="24"/>
        </w:rPr>
        <w:t xml:space="preserve">MLPs </w:t>
      </w:r>
      <w:r w:rsidR="00CB668B" w:rsidRPr="00A51DD1">
        <w:rPr>
          <w:rFonts w:ascii="Times New Roman" w:hAnsi="Times New Roman"/>
          <w:sz w:val="24"/>
          <w:szCs w:val="24"/>
        </w:rPr>
        <w:t xml:space="preserve">engage in </w:t>
      </w:r>
      <w:r w:rsidRPr="00A51DD1">
        <w:rPr>
          <w:rFonts w:ascii="Times New Roman" w:hAnsi="Times New Roman"/>
          <w:sz w:val="24"/>
          <w:szCs w:val="24"/>
        </w:rPr>
        <w:t xml:space="preserve">more </w:t>
      </w:r>
      <w:r w:rsidR="00A229F4" w:rsidRPr="00A51DD1">
        <w:rPr>
          <w:rFonts w:ascii="Times New Roman" w:hAnsi="Times New Roman"/>
          <w:sz w:val="24"/>
          <w:szCs w:val="24"/>
        </w:rPr>
        <w:t xml:space="preserve">real </w:t>
      </w:r>
      <w:r w:rsidR="00CB668B" w:rsidRPr="00A51DD1">
        <w:rPr>
          <w:rFonts w:ascii="Times New Roman" w:hAnsi="Times New Roman"/>
          <w:sz w:val="24"/>
          <w:szCs w:val="24"/>
        </w:rPr>
        <w:t xml:space="preserve">activities </w:t>
      </w:r>
      <w:r w:rsidR="00A229F4" w:rsidRPr="00A51DD1">
        <w:rPr>
          <w:rFonts w:ascii="Times New Roman" w:hAnsi="Times New Roman"/>
          <w:sz w:val="24"/>
          <w:szCs w:val="24"/>
        </w:rPr>
        <w:t>management</w:t>
      </w:r>
      <w:r w:rsidR="00E00572" w:rsidRPr="00A51DD1">
        <w:rPr>
          <w:rFonts w:ascii="Times New Roman" w:hAnsi="Times New Roman"/>
          <w:sz w:val="24"/>
          <w:szCs w:val="24"/>
        </w:rPr>
        <w:t xml:space="preserve"> than their matching corporations</w:t>
      </w:r>
      <w:r w:rsidR="00CB668B" w:rsidRPr="00A51DD1">
        <w:rPr>
          <w:rFonts w:ascii="Times New Roman" w:hAnsi="Times New Roman"/>
          <w:sz w:val="24"/>
          <w:szCs w:val="24"/>
        </w:rPr>
        <w:t xml:space="preserve"> do, but no difference in discretionary accruals management</w:t>
      </w:r>
      <w:r w:rsidR="00E00572" w:rsidRPr="00A51DD1">
        <w:rPr>
          <w:rFonts w:ascii="Times New Roman" w:hAnsi="Times New Roman"/>
          <w:sz w:val="24"/>
          <w:szCs w:val="24"/>
        </w:rPr>
        <w:t>.</w:t>
      </w:r>
      <w:r w:rsidR="00A229F4" w:rsidRPr="00A51DD1">
        <w:rPr>
          <w:rFonts w:ascii="Times New Roman" w:hAnsi="Times New Roman"/>
          <w:sz w:val="24"/>
          <w:szCs w:val="24"/>
        </w:rPr>
        <w:t xml:space="preserve"> </w:t>
      </w:r>
      <w:r w:rsidR="00E00572" w:rsidRPr="00A51DD1">
        <w:rPr>
          <w:rFonts w:ascii="Times New Roman" w:hAnsi="Times New Roman"/>
          <w:sz w:val="24"/>
          <w:szCs w:val="24"/>
        </w:rPr>
        <w:t xml:space="preserve">Since firm characteristic variables do not have </w:t>
      </w:r>
      <w:r w:rsidR="007021A9">
        <w:rPr>
          <w:rFonts w:ascii="Times New Roman" w:hAnsi="Times New Roman"/>
          <w:sz w:val="24"/>
          <w:szCs w:val="24"/>
        </w:rPr>
        <w:t xml:space="preserve">a </w:t>
      </w:r>
      <w:r w:rsidR="00E00572" w:rsidRPr="007021A9">
        <w:rPr>
          <w:rFonts w:ascii="Times New Roman" w:hAnsi="Times New Roman"/>
          <w:noProof/>
          <w:sz w:val="24"/>
          <w:szCs w:val="24"/>
        </w:rPr>
        <w:t>much</w:t>
      </w:r>
      <w:r w:rsidR="00E00572" w:rsidRPr="00A51DD1">
        <w:rPr>
          <w:rFonts w:ascii="Times New Roman" w:hAnsi="Times New Roman"/>
          <w:sz w:val="24"/>
          <w:szCs w:val="24"/>
        </w:rPr>
        <w:t xml:space="preserve"> moderating effect, </w:t>
      </w:r>
      <w:r w:rsidR="00CB668B" w:rsidRPr="00A51DD1">
        <w:rPr>
          <w:rFonts w:ascii="Times New Roman" w:hAnsi="Times New Roman"/>
          <w:sz w:val="24"/>
          <w:szCs w:val="24"/>
        </w:rPr>
        <w:t xml:space="preserve">the difference in governance structures is not the key driver for the behavioral difference, which we attribute to a more quick response by GPs to changes in market conditions. </w:t>
      </w:r>
      <w:r w:rsidR="00E00572" w:rsidRPr="00A51DD1">
        <w:rPr>
          <w:rFonts w:ascii="Times New Roman" w:hAnsi="Times New Roman"/>
          <w:sz w:val="24"/>
          <w:szCs w:val="24"/>
        </w:rPr>
        <w:t xml:space="preserve">MLPs have higher pressure </w:t>
      </w:r>
      <w:r w:rsidR="004F3F8D" w:rsidRPr="00A51DD1">
        <w:rPr>
          <w:rFonts w:ascii="Times New Roman" w:hAnsi="Times New Roman"/>
          <w:sz w:val="24"/>
          <w:szCs w:val="24"/>
        </w:rPr>
        <w:t xml:space="preserve">to generate a consistent stream of earnings and </w:t>
      </w:r>
      <w:r w:rsidR="00E00572" w:rsidRPr="00A51DD1">
        <w:rPr>
          <w:rFonts w:ascii="Times New Roman" w:hAnsi="Times New Roman"/>
          <w:sz w:val="24"/>
          <w:szCs w:val="24"/>
        </w:rPr>
        <w:t xml:space="preserve">to smooth </w:t>
      </w:r>
      <w:r w:rsidR="004F3F8D" w:rsidRPr="00A51DD1">
        <w:rPr>
          <w:rFonts w:ascii="Times New Roman" w:hAnsi="Times New Roman"/>
          <w:sz w:val="24"/>
          <w:szCs w:val="24"/>
        </w:rPr>
        <w:t>cash distributions to their unitholders</w:t>
      </w:r>
      <w:r w:rsidR="00A229F4" w:rsidRPr="00A51DD1">
        <w:rPr>
          <w:rFonts w:ascii="Times New Roman" w:hAnsi="Times New Roman"/>
          <w:sz w:val="24"/>
          <w:szCs w:val="24"/>
        </w:rPr>
        <w:t>.</w:t>
      </w:r>
    </w:p>
    <w:p w14:paraId="7D1A8104" w14:textId="77777777" w:rsidR="001C637D" w:rsidRPr="00A51DD1" w:rsidRDefault="001C637D" w:rsidP="0058729B">
      <w:pPr>
        <w:ind w:left="720" w:right="720"/>
        <w:rPr>
          <w:rFonts w:ascii="Times New Roman" w:hAnsi="Times New Roman"/>
          <w:sz w:val="24"/>
          <w:szCs w:val="24"/>
        </w:rPr>
      </w:pPr>
      <w:r w:rsidRPr="00A51DD1">
        <w:rPr>
          <w:rFonts w:ascii="Times New Roman" w:hAnsi="Times New Roman"/>
          <w:sz w:val="24"/>
          <w:szCs w:val="24"/>
        </w:rPr>
        <w:t xml:space="preserve">Keywords: Master </w:t>
      </w:r>
      <w:r w:rsidR="00B31821" w:rsidRPr="00A51DD1">
        <w:rPr>
          <w:rFonts w:ascii="Times New Roman" w:hAnsi="Times New Roman"/>
          <w:sz w:val="24"/>
          <w:szCs w:val="24"/>
        </w:rPr>
        <w:t xml:space="preserve">Limited Partnership; </w:t>
      </w:r>
      <w:r w:rsidR="002506F4" w:rsidRPr="00A51DD1">
        <w:rPr>
          <w:rFonts w:ascii="Times New Roman" w:hAnsi="Times New Roman"/>
          <w:sz w:val="24"/>
          <w:szCs w:val="24"/>
        </w:rPr>
        <w:t xml:space="preserve">Corporate </w:t>
      </w:r>
      <w:r w:rsidR="00B31821" w:rsidRPr="00A51DD1">
        <w:rPr>
          <w:rFonts w:ascii="Times New Roman" w:hAnsi="Times New Roman"/>
          <w:sz w:val="24"/>
          <w:szCs w:val="24"/>
        </w:rPr>
        <w:t xml:space="preserve">Governance; </w:t>
      </w:r>
      <w:r w:rsidR="002506F4" w:rsidRPr="00A51DD1">
        <w:rPr>
          <w:rFonts w:ascii="Times New Roman" w:hAnsi="Times New Roman"/>
          <w:sz w:val="24"/>
          <w:szCs w:val="24"/>
        </w:rPr>
        <w:t xml:space="preserve">Earnings </w:t>
      </w:r>
      <w:r w:rsidR="00B31821" w:rsidRPr="00A51DD1">
        <w:rPr>
          <w:rFonts w:ascii="Times New Roman" w:hAnsi="Times New Roman"/>
          <w:sz w:val="24"/>
          <w:szCs w:val="24"/>
        </w:rPr>
        <w:t>Management</w:t>
      </w:r>
    </w:p>
    <w:p w14:paraId="7CD47E85" w14:textId="77777777" w:rsidR="00FE0D24" w:rsidRPr="00A51DD1" w:rsidRDefault="001C637D" w:rsidP="0058729B">
      <w:pPr>
        <w:ind w:left="720" w:right="720"/>
        <w:rPr>
          <w:rFonts w:ascii="Times New Roman" w:hAnsi="Times New Roman"/>
          <w:sz w:val="24"/>
          <w:szCs w:val="24"/>
        </w:rPr>
      </w:pPr>
      <w:r w:rsidRPr="00A51DD1">
        <w:rPr>
          <w:rFonts w:ascii="Times New Roman" w:hAnsi="Times New Roman"/>
          <w:sz w:val="24"/>
          <w:szCs w:val="24"/>
        </w:rPr>
        <w:t>JEL Classifications: G11</w:t>
      </w:r>
      <w:r w:rsidR="005D226A" w:rsidRPr="00A51DD1">
        <w:rPr>
          <w:rFonts w:ascii="Times New Roman" w:hAnsi="Times New Roman"/>
          <w:sz w:val="24"/>
          <w:szCs w:val="24"/>
        </w:rPr>
        <w:t>; G30</w:t>
      </w:r>
    </w:p>
    <w:p w14:paraId="7F06AF1F" w14:textId="77777777" w:rsidR="00C339C4" w:rsidRPr="00A51DD1" w:rsidRDefault="00C339C4" w:rsidP="00C339C4">
      <w:pPr>
        <w:rPr>
          <w:rFonts w:ascii="Times New Roman" w:hAnsi="Times New Roman"/>
          <w:sz w:val="24"/>
          <w:szCs w:val="24"/>
        </w:rPr>
      </w:pPr>
      <w:r w:rsidRPr="00A51DD1">
        <w:rPr>
          <w:rFonts w:ascii="Times New Roman" w:hAnsi="Times New Roman"/>
          <w:sz w:val="24"/>
          <w:szCs w:val="24"/>
        </w:rPr>
        <w:br w:type="page"/>
      </w:r>
    </w:p>
    <w:p w14:paraId="49CE921E" w14:textId="32EFFB15" w:rsidR="00BF4A1D" w:rsidRPr="00A51DD1" w:rsidRDefault="00BF4A1D" w:rsidP="006F394E">
      <w:pPr>
        <w:spacing w:line="240" w:lineRule="auto"/>
        <w:jc w:val="center"/>
        <w:rPr>
          <w:rFonts w:ascii="Times New Roman" w:hAnsi="Times New Roman"/>
          <w:b/>
          <w:sz w:val="24"/>
          <w:szCs w:val="24"/>
        </w:rPr>
      </w:pPr>
      <w:r w:rsidRPr="00A51DD1">
        <w:rPr>
          <w:rFonts w:ascii="Times New Roman" w:hAnsi="Times New Roman"/>
          <w:b/>
          <w:sz w:val="24"/>
          <w:szCs w:val="24"/>
        </w:rPr>
        <w:lastRenderedPageBreak/>
        <w:t xml:space="preserve">Earnings Management </w:t>
      </w:r>
      <w:r w:rsidR="005F63A4" w:rsidRPr="00A51DD1">
        <w:rPr>
          <w:rFonts w:ascii="Times New Roman" w:hAnsi="Times New Roman"/>
          <w:b/>
          <w:sz w:val="24"/>
          <w:szCs w:val="24"/>
        </w:rPr>
        <w:t xml:space="preserve">under Different Ownership </w:t>
      </w:r>
      <w:r w:rsidRPr="00A51DD1">
        <w:rPr>
          <w:rFonts w:ascii="Times New Roman" w:hAnsi="Times New Roman"/>
          <w:b/>
          <w:sz w:val="24"/>
          <w:szCs w:val="24"/>
        </w:rPr>
        <w:t>and Corporate Governance</w:t>
      </w:r>
      <w:r w:rsidR="005F63A4" w:rsidRPr="00A51DD1">
        <w:rPr>
          <w:rFonts w:ascii="Times New Roman" w:hAnsi="Times New Roman"/>
          <w:b/>
          <w:sz w:val="24"/>
          <w:szCs w:val="24"/>
        </w:rPr>
        <w:t xml:space="preserve"> Structure</w:t>
      </w:r>
      <w:r w:rsidRPr="00A51DD1">
        <w:rPr>
          <w:rFonts w:ascii="Times New Roman" w:hAnsi="Times New Roman"/>
          <w:b/>
          <w:sz w:val="24"/>
          <w:szCs w:val="24"/>
        </w:rPr>
        <w:t>: A Natural Experiment with Master Limited Partnerships</w:t>
      </w:r>
    </w:p>
    <w:p w14:paraId="62AA8D2E" w14:textId="77777777" w:rsidR="002B4C45" w:rsidRPr="00A51DD1" w:rsidRDefault="002B4C45" w:rsidP="006F394E">
      <w:pPr>
        <w:spacing w:line="240" w:lineRule="auto"/>
        <w:jc w:val="center"/>
        <w:rPr>
          <w:rFonts w:ascii="Times New Roman" w:hAnsi="Times New Roman"/>
          <w:b/>
          <w:sz w:val="24"/>
          <w:szCs w:val="24"/>
        </w:rPr>
      </w:pPr>
    </w:p>
    <w:p w14:paraId="14C8655D" w14:textId="77777777" w:rsidR="001614CE" w:rsidRPr="00A51DD1" w:rsidRDefault="00BF4A1D" w:rsidP="00AD2F56">
      <w:pPr>
        <w:spacing w:before="120" w:after="0" w:line="480" w:lineRule="auto"/>
        <w:rPr>
          <w:rFonts w:ascii="Times New Roman" w:hAnsi="Times New Roman"/>
          <w:b/>
          <w:sz w:val="24"/>
          <w:szCs w:val="24"/>
        </w:rPr>
      </w:pPr>
      <w:r w:rsidRPr="00A51DD1">
        <w:rPr>
          <w:rFonts w:ascii="Times New Roman" w:hAnsi="Times New Roman"/>
          <w:b/>
          <w:sz w:val="24"/>
          <w:szCs w:val="24"/>
        </w:rPr>
        <w:t xml:space="preserve">1. </w:t>
      </w:r>
      <w:r w:rsidR="000A7A9D" w:rsidRPr="00A51DD1">
        <w:rPr>
          <w:rFonts w:ascii="Times New Roman" w:hAnsi="Times New Roman"/>
          <w:b/>
          <w:sz w:val="24"/>
          <w:szCs w:val="24"/>
        </w:rPr>
        <w:t>Introduction</w:t>
      </w:r>
    </w:p>
    <w:p w14:paraId="4F37F403" w14:textId="08AEE321" w:rsidR="00F44B58" w:rsidRPr="00A51DD1" w:rsidRDefault="006F7C33" w:rsidP="007E54D8">
      <w:pPr>
        <w:spacing w:after="0" w:line="480" w:lineRule="auto"/>
        <w:ind w:firstLine="720"/>
        <w:jc w:val="both"/>
        <w:rPr>
          <w:rFonts w:ascii="Times New Roman" w:hAnsi="Times New Roman"/>
          <w:sz w:val="24"/>
          <w:szCs w:val="24"/>
        </w:rPr>
      </w:pPr>
      <w:r w:rsidRPr="00A51DD1">
        <w:rPr>
          <w:rFonts w:ascii="Times New Roman" w:hAnsi="Times New Roman"/>
          <w:sz w:val="24"/>
          <w:szCs w:val="24"/>
        </w:rPr>
        <w:t xml:space="preserve">American corporations grow rapidly during the “Gilded Age” after the Civil War and start to </w:t>
      </w:r>
      <w:r w:rsidR="00E7593E" w:rsidRPr="00A51DD1">
        <w:rPr>
          <w:rFonts w:ascii="Times New Roman" w:hAnsi="Times New Roman"/>
          <w:sz w:val="24"/>
          <w:szCs w:val="24"/>
        </w:rPr>
        <w:t xml:space="preserve">dominate </w:t>
      </w:r>
      <w:r w:rsidR="00C260E2" w:rsidRPr="00A51DD1">
        <w:rPr>
          <w:rFonts w:ascii="Times New Roman" w:hAnsi="Times New Roman"/>
          <w:sz w:val="24"/>
          <w:szCs w:val="24"/>
        </w:rPr>
        <w:t xml:space="preserve">the </w:t>
      </w:r>
      <w:r w:rsidR="00E7593E" w:rsidRPr="00A51DD1">
        <w:rPr>
          <w:rFonts w:ascii="Times New Roman" w:hAnsi="Times New Roman"/>
          <w:sz w:val="24"/>
          <w:szCs w:val="24"/>
        </w:rPr>
        <w:t xml:space="preserve">domestic economy </w:t>
      </w:r>
      <w:r w:rsidR="00E43517" w:rsidRPr="00A51DD1">
        <w:rPr>
          <w:rFonts w:ascii="Times New Roman" w:hAnsi="Times New Roman"/>
          <w:sz w:val="24"/>
          <w:szCs w:val="24"/>
        </w:rPr>
        <w:t xml:space="preserve">initially </w:t>
      </w:r>
      <w:r w:rsidR="00C260E2" w:rsidRPr="00A51DD1">
        <w:rPr>
          <w:rFonts w:ascii="Times New Roman" w:hAnsi="Times New Roman"/>
          <w:sz w:val="24"/>
          <w:szCs w:val="24"/>
        </w:rPr>
        <w:t xml:space="preserve">and the world economy </w:t>
      </w:r>
      <w:r w:rsidR="00E43517" w:rsidRPr="00A51DD1">
        <w:rPr>
          <w:rFonts w:ascii="Times New Roman" w:hAnsi="Times New Roman"/>
          <w:sz w:val="24"/>
          <w:szCs w:val="24"/>
        </w:rPr>
        <w:t xml:space="preserve">after </w:t>
      </w:r>
      <w:r w:rsidR="00C260E2" w:rsidRPr="00A51DD1">
        <w:rPr>
          <w:rFonts w:ascii="Times New Roman" w:hAnsi="Times New Roman"/>
          <w:sz w:val="24"/>
          <w:szCs w:val="24"/>
        </w:rPr>
        <w:t>the W</w:t>
      </w:r>
      <w:r w:rsidR="00104109" w:rsidRPr="00A51DD1">
        <w:rPr>
          <w:rFonts w:ascii="Times New Roman" w:hAnsi="Times New Roman"/>
          <w:sz w:val="24"/>
          <w:szCs w:val="24"/>
        </w:rPr>
        <w:t>WII</w:t>
      </w:r>
      <w:r w:rsidR="00C260E2" w:rsidRPr="00A51DD1">
        <w:rPr>
          <w:rFonts w:ascii="Times New Roman" w:hAnsi="Times New Roman"/>
          <w:sz w:val="24"/>
          <w:szCs w:val="24"/>
        </w:rPr>
        <w:t xml:space="preserve">. </w:t>
      </w:r>
      <w:r w:rsidR="00E7593E" w:rsidRPr="00A51DD1">
        <w:rPr>
          <w:rFonts w:ascii="Times New Roman" w:hAnsi="Times New Roman"/>
          <w:sz w:val="24"/>
          <w:szCs w:val="24"/>
        </w:rPr>
        <w:t>Alfred Chandler (198</w:t>
      </w:r>
      <w:r w:rsidR="00C260E2" w:rsidRPr="00A51DD1">
        <w:rPr>
          <w:rFonts w:ascii="Times New Roman" w:hAnsi="Times New Roman"/>
          <w:sz w:val="24"/>
          <w:szCs w:val="24"/>
        </w:rPr>
        <w:t>4</w:t>
      </w:r>
      <w:r w:rsidR="00E7593E" w:rsidRPr="00A51DD1">
        <w:rPr>
          <w:rFonts w:ascii="Times New Roman" w:hAnsi="Times New Roman"/>
          <w:sz w:val="24"/>
          <w:szCs w:val="24"/>
        </w:rPr>
        <w:t xml:space="preserve">) coins the term “American managerial capitalism” </w:t>
      </w:r>
      <w:r w:rsidR="00C260E2" w:rsidRPr="00A51DD1">
        <w:rPr>
          <w:rFonts w:ascii="Times New Roman" w:hAnsi="Times New Roman"/>
          <w:sz w:val="24"/>
          <w:szCs w:val="24"/>
        </w:rPr>
        <w:t xml:space="preserve">(AMC) </w:t>
      </w:r>
      <w:r w:rsidR="00E7593E" w:rsidRPr="00A51DD1">
        <w:rPr>
          <w:rFonts w:ascii="Times New Roman" w:hAnsi="Times New Roman"/>
          <w:sz w:val="24"/>
          <w:szCs w:val="24"/>
        </w:rPr>
        <w:t xml:space="preserve">to distinguish </w:t>
      </w:r>
      <w:r w:rsidR="00C260E2" w:rsidRPr="00A51DD1">
        <w:rPr>
          <w:rFonts w:ascii="Times New Roman" w:hAnsi="Times New Roman"/>
          <w:sz w:val="24"/>
          <w:szCs w:val="24"/>
        </w:rPr>
        <w:t xml:space="preserve">the American economy from those </w:t>
      </w:r>
      <w:r w:rsidR="001850C3" w:rsidRPr="00A51DD1">
        <w:rPr>
          <w:rFonts w:ascii="Times New Roman" w:hAnsi="Times New Roman"/>
          <w:sz w:val="24"/>
          <w:szCs w:val="24"/>
        </w:rPr>
        <w:t xml:space="preserve">with large family-controlled firms </w:t>
      </w:r>
      <w:r w:rsidR="00C260E2" w:rsidRPr="00A51DD1">
        <w:rPr>
          <w:rFonts w:ascii="Times New Roman" w:hAnsi="Times New Roman"/>
          <w:sz w:val="24"/>
          <w:szCs w:val="24"/>
        </w:rPr>
        <w:t xml:space="preserve">in the UK and </w:t>
      </w:r>
      <w:r w:rsidR="001850C3" w:rsidRPr="00A51DD1">
        <w:rPr>
          <w:rFonts w:ascii="Times New Roman" w:hAnsi="Times New Roman"/>
          <w:sz w:val="24"/>
          <w:szCs w:val="24"/>
        </w:rPr>
        <w:t>Germany</w:t>
      </w:r>
      <w:r w:rsidR="00C260E2" w:rsidRPr="00A51DD1">
        <w:rPr>
          <w:rFonts w:ascii="Times New Roman" w:hAnsi="Times New Roman"/>
          <w:sz w:val="24"/>
          <w:szCs w:val="24"/>
        </w:rPr>
        <w:t xml:space="preserve">. In the heart of AMC </w:t>
      </w:r>
      <w:r w:rsidR="0044309D" w:rsidRPr="00A51DD1">
        <w:rPr>
          <w:rFonts w:ascii="Times New Roman" w:hAnsi="Times New Roman"/>
          <w:sz w:val="24"/>
          <w:szCs w:val="24"/>
        </w:rPr>
        <w:t xml:space="preserve">are </w:t>
      </w:r>
      <w:r w:rsidR="00C260E2" w:rsidRPr="00A51DD1">
        <w:rPr>
          <w:rFonts w:ascii="Times New Roman" w:hAnsi="Times New Roman"/>
          <w:sz w:val="24"/>
          <w:szCs w:val="24"/>
        </w:rPr>
        <w:t xml:space="preserve">professional managers, who </w:t>
      </w:r>
      <w:r w:rsidR="00173CC7" w:rsidRPr="00A51DD1">
        <w:rPr>
          <w:rFonts w:ascii="Times New Roman" w:hAnsi="Times New Roman"/>
          <w:sz w:val="24"/>
          <w:szCs w:val="24"/>
        </w:rPr>
        <w:t xml:space="preserve">must </w:t>
      </w:r>
      <w:r w:rsidR="00C260E2" w:rsidRPr="00A51DD1">
        <w:rPr>
          <w:rFonts w:ascii="Times New Roman" w:hAnsi="Times New Roman"/>
          <w:sz w:val="24"/>
          <w:szCs w:val="24"/>
        </w:rPr>
        <w:t xml:space="preserve">first </w:t>
      </w:r>
      <w:r w:rsidR="00173CC7" w:rsidRPr="00A51DD1">
        <w:rPr>
          <w:rFonts w:ascii="Times New Roman" w:hAnsi="Times New Roman"/>
          <w:sz w:val="24"/>
          <w:szCs w:val="24"/>
        </w:rPr>
        <w:t xml:space="preserve">stand out in </w:t>
      </w:r>
      <w:r w:rsidR="00C260E2" w:rsidRPr="00A51DD1">
        <w:rPr>
          <w:rFonts w:ascii="Times New Roman" w:hAnsi="Times New Roman"/>
          <w:sz w:val="24"/>
          <w:szCs w:val="24"/>
        </w:rPr>
        <w:t xml:space="preserve">a large pool of talented candidates and then </w:t>
      </w:r>
      <w:r w:rsidR="00173CC7" w:rsidRPr="00A51DD1">
        <w:rPr>
          <w:rFonts w:ascii="Times New Roman" w:hAnsi="Times New Roman"/>
          <w:sz w:val="24"/>
          <w:szCs w:val="24"/>
        </w:rPr>
        <w:t xml:space="preserve">go through </w:t>
      </w:r>
      <w:r w:rsidR="00C260E2" w:rsidRPr="00A51DD1">
        <w:rPr>
          <w:rFonts w:ascii="Times New Roman" w:hAnsi="Times New Roman"/>
          <w:sz w:val="24"/>
          <w:szCs w:val="24"/>
        </w:rPr>
        <w:t xml:space="preserve">rigorous </w:t>
      </w:r>
      <w:r w:rsidR="00173CC7" w:rsidRPr="00A51DD1">
        <w:rPr>
          <w:rFonts w:ascii="Times New Roman" w:hAnsi="Times New Roman"/>
          <w:sz w:val="24"/>
          <w:szCs w:val="24"/>
        </w:rPr>
        <w:t xml:space="preserve">training in </w:t>
      </w:r>
      <w:r w:rsidR="00C260E2" w:rsidRPr="00A51DD1">
        <w:rPr>
          <w:rFonts w:ascii="Times New Roman" w:hAnsi="Times New Roman"/>
          <w:sz w:val="24"/>
          <w:szCs w:val="24"/>
        </w:rPr>
        <w:t xml:space="preserve">business programs </w:t>
      </w:r>
      <w:r w:rsidR="00173CC7" w:rsidRPr="00A51DD1">
        <w:rPr>
          <w:rFonts w:ascii="Times New Roman" w:hAnsi="Times New Roman"/>
          <w:sz w:val="24"/>
          <w:szCs w:val="24"/>
        </w:rPr>
        <w:t>at the</w:t>
      </w:r>
      <w:r w:rsidR="00C260E2" w:rsidRPr="00A51DD1">
        <w:rPr>
          <w:rFonts w:ascii="Times New Roman" w:hAnsi="Times New Roman"/>
          <w:sz w:val="24"/>
          <w:szCs w:val="24"/>
        </w:rPr>
        <w:t xml:space="preserve"> top universities. </w:t>
      </w:r>
      <w:r w:rsidR="00F44B58" w:rsidRPr="00A51DD1">
        <w:rPr>
          <w:rFonts w:ascii="Times New Roman" w:hAnsi="Times New Roman"/>
          <w:sz w:val="24"/>
          <w:szCs w:val="24"/>
        </w:rPr>
        <w:t>Unfortunately,</w:t>
      </w:r>
      <w:r w:rsidR="0044309D" w:rsidRPr="00A51DD1">
        <w:rPr>
          <w:rFonts w:ascii="Times New Roman" w:hAnsi="Times New Roman"/>
          <w:sz w:val="24"/>
          <w:szCs w:val="24"/>
        </w:rPr>
        <w:t xml:space="preserve"> a series of financial scandals by corporate executives</w:t>
      </w:r>
      <w:r w:rsidR="00F44B58" w:rsidRPr="00A51DD1">
        <w:rPr>
          <w:rFonts w:ascii="Times New Roman" w:hAnsi="Times New Roman"/>
          <w:sz w:val="24"/>
          <w:szCs w:val="24"/>
        </w:rPr>
        <w:t xml:space="preserve">, which have resulted in some </w:t>
      </w:r>
      <w:r w:rsidR="0044309D" w:rsidRPr="00A51DD1">
        <w:rPr>
          <w:rFonts w:ascii="Times New Roman" w:hAnsi="Times New Roman"/>
          <w:sz w:val="24"/>
          <w:szCs w:val="24"/>
        </w:rPr>
        <w:t>infamous bankruptcies by several well-known larger American corporation since the 1980s</w:t>
      </w:r>
      <w:r w:rsidR="00F44B58" w:rsidRPr="00A51DD1">
        <w:rPr>
          <w:rFonts w:ascii="Times New Roman" w:hAnsi="Times New Roman"/>
          <w:sz w:val="24"/>
          <w:szCs w:val="24"/>
        </w:rPr>
        <w:t>, have tarnished the allure of AMC</w:t>
      </w:r>
      <w:r w:rsidR="0044309D" w:rsidRPr="00A51DD1">
        <w:rPr>
          <w:rFonts w:ascii="Times New Roman" w:hAnsi="Times New Roman"/>
          <w:sz w:val="24"/>
          <w:szCs w:val="24"/>
        </w:rPr>
        <w:t xml:space="preserve">. </w:t>
      </w:r>
    </w:p>
    <w:p w14:paraId="1EFEC0F1" w14:textId="2D68DF51" w:rsidR="001B7867" w:rsidRPr="00A51DD1" w:rsidRDefault="001850C3" w:rsidP="007E54D8">
      <w:pPr>
        <w:spacing w:after="0" w:line="480" w:lineRule="auto"/>
        <w:ind w:firstLine="720"/>
        <w:jc w:val="both"/>
        <w:rPr>
          <w:rFonts w:ascii="Times New Roman" w:hAnsi="Times New Roman"/>
          <w:sz w:val="24"/>
          <w:szCs w:val="24"/>
        </w:rPr>
      </w:pPr>
      <w:r w:rsidRPr="00A51DD1">
        <w:rPr>
          <w:rFonts w:ascii="Times New Roman" w:hAnsi="Times New Roman"/>
          <w:sz w:val="24"/>
          <w:szCs w:val="24"/>
        </w:rPr>
        <w:t>There are</w:t>
      </w:r>
      <w:r w:rsidR="004552B9" w:rsidRPr="00A51DD1">
        <w:rPr>
          <w:rFonts w:ascii="Times New Roman" w:hAnsi="Times New Roman"/>
          <w:sz w:val="24"/>
          <w:szCs w:val="24"/>
        </w:rPr>
        <w:t xml:space="preserve"> at least two culprit</w:t>
      </w:r>
      <w:r w:rsidR="001B7867" w:rsidRPr="00A51DD1">
        <w:rPr>
          <w:rFonts w:ascii="Times New Roman" w:hAnsi="Times New Roman"/>
          <w:sz w:val="24"/>
          <w:szCs w:val="24"/>
        </w:rPr>
        <w:t>s</w:t>
      </w:r>
      <w:r w:rsidR="004552B9" w:rsidRPr="00A51DD1">
        <w:rPr>
          <w:rFonts w:ascii="Times New Roman" w:hAnsi="Times New Roman"/>
          <w:sz w:val="24"/>
          <w:szCs w:val="24"/>
        </w:rPr>
        <w:t xml:space="preserve"> for the </w:t>
      </w:r>
      <w:r w:rsidR="001B7867" w:rsidRPr="00A51DD1">
        <w:rPr>
          <w:rFonts w:ascii="Times New Roman" w:hAnsi="Times New Roman"/>
          <w:sz w:val="24"/>
          <w:szCs w:val="24"/>
        </w:rPr>
        <w:t>declining</w:t>
      </w:r>
      <w:r w:rsidR="004552B9" w:rsidRPr="00A51DD1">
        <w:rPr>
          <w:rFonts w:ascii="Times New Roman" w:hAnsi="Times New Roman"/>
          <w:sz w:val="24"/>
          <w:szCs w:val="24"/>
        </w:rPr>
        <w:t xml:space="preserve"> of the AMC. First, there is the </w:t>
      </w:r>
      <w:r w:rsidR="00CC60ED" w:rsidRPr="00A51DD1">
        <w:rPr>
          <w:rFonts w:ascii="Times New Roman" w:hAnsi="Times New Roman"/>
          <w:sz w:val="24"/>
          <w:szCs w:val="24"/>
        </w:rPr>
        <w:t>inherent</w:t>
      </w:r>
      <w:r w:rsidR="004552B9" w:rsidRPr="00A51DD1">
        <w:rPr>
          <w:rFonts w:ascii="Times New Roman" w:hAnsi="Times New Roman"/>
          <w:sz w:val="24"/>
          <w:szCs w:val="24"/>
        </w:rPr>
        <w:t xml:space="preserve"> </w:t>
      </w:r>
      <w:r w:rsidR="007B5F8F" w:rsidRPr="00A51DD1">
        <w:rPr>
          <w:rFonts w:ascii="Times New Roman" w:hAnsi="Times New Roman"/>
          <w:sz w:val="24"/>
          <w:szCs w:val="24"/>
        </w:rPr>
        <w:t>principal</w:t>
      </w:r>
      <w:r w:rsidR="004552B9" w:rsidRPr="00A51DD1">
        <w:rPr>
          <w:rFonts w:ascii="Times New Roman" w:hAnsi="Times New Roman"/>
          <w:sz w:val="24"/>
          <w:szCs w:val="24"/>
        </w:rPr>
        <w:t>-</w:t>
      </w:r>
      <w:r w:rsidR="007B5F8F" w:rsidRPr="00A51DD1">
        <w:rPr>
          <w:rFonts w:ascii="Times New Roman" w:hAnsi="Times New Roman"/>
          <w:sz w:val="24"/>
          <w:szCs w:val="24"/>
        </w:rPr>
        <w:t>agent</w:t>
      </w:r>
      <w:r w:rsidR="004552B9" w:rsidRPr="00A51DD1">
        <w:rPr>
          <w:rFonts w:ascii="Times New Roman" w:hAnsi="Times New Roman"/>
          <w:sz w:val="24"/>
          <w:szCs w:val="24"/>
        </w:rPr>
        <w:t xml:space="preserve"> conflict. Jensen (1986) hypothesizes that the management</w:t>
      </w:r>
      <w:r w:rsidR="0005330E" w:rsidRPr="00A51DD1">
        <w:rPr>
          <w:rFonts w:ascii="Times New Roman" w:hAnsi="Times New Roman"/>
          <w:sz w:val="24"/>
          <w:szCs w:val="24"/>
        </w:rPr>
        <w:t xml:space="preserve"> (</w:t>
      </w:r>
      <w:r w:rsidR="004552B9" w:rsidRPr="00A51DD1">
        <w:rPr>
          <w:rFonts w:ascii="Times New Roman" w:hAnsi="Times New Roman"/>
          <w:sz w:val="24"/>
          <w:szCs w:val="24"/>
        </w:rPr>
        <w:t>the agent</w:t>
      </w:r>
      <w:r w:rsidR="0005330E" w:rsidRPr="00A51DD1">
        <w:rPr>
          <w:rFonts w:ascii="Times New Roman" w:hAnsi="Times New Roman"/>
          <w:sz w:val="24"/>
          <w:szCs w:val="24"/>
        </w:rPr>
        <w:t>)</w:t>
      </w:r>
      <w:r w:rsidR="004552B9" w:rsidRPr="00A51DD1">
        <w:rPr>
          <w:rFonts w:ascii="Times New Roman" w:hAnsi="Times New Roman"/>
          <w:sz w:val="24"/>
          <w:szCs w:val="24"/>
        </w:rPr>
        <w:t xml:space="preserve"> has the incentive to </w:t>
      </w:r>
      <w:r w:rsidR="00CC60ED" w:rsidRPr="00A51DD1">
        <w:rPr>
          <w:rFonts w:ascii="Times New Roman" w:hAnsi="Times New Roman"/>
          <w:sz w:val="24"/>
          <w:szCs w:val="24"/>
        </w:rPr>
        <w:t>hoard free cash flow (FCF)</w:t>
      </w:r>
      <w:r w:rsidR="0005330E" w:rsidRPr="00A51DD1">
        <w:rPr>
          <w:rFonts w:ascii="Times New Roman" w:hAnsi="Times New Roman"/>
          <w:sz w:val="24"/>
          <w:szCs w:val="24"/>
        </w:rPr>
        <w:t xml:space="preserve">, rather than paying out to shareholders (the principal), </w:t>
      </w:r>
      <w:r w:rsidR="00CC60ED" w:rsidRPr="00A51DD1">
        <w:rPr>
          <w:rFonts w:ascii="Times New Roman" w:hAnsi="Times New Roman"/>
          <w:sz w:val="24"/>
          <w:szCs w:val="24"/>
        </w:rPr>
        <w:t xml:space="preserve">and </w:t>
      </w:r>
      <w:r w:rsidR="004552B9" w:rsidRPr="00A51DD1">
        <w:rPr>
          <w:rFonts w:ascii="Times New Roman" w:hAnsi="Times New Roman"/>
          <w:sz w:val="24"/>
          <w:szCs w:val="24"/>
        </w:rPr>
        <w:t>grow the firm beyond the optimal size at the e</w:t>
      </w:r>
      <w:r w:rsidR="007B5F8F" w:rsidRPr="00A51DD1">
        <w:rPr>
          <w:rFonts w:ascii="Times New Roman" w:hAnsi="Times New Roman"/>
          <w:sz w:val="24"/>
          <w:szCs w:val="24"/>
        </w:rPr>
        <w:t>x</w:t>
      </w:r>
      <w:r w:rsidR="004552B9" w:rsidRPr="00A51DD1">
        <w:rPr>
          <w:rFonts w:ascii="Times New Roman" w:hAnsi="Times New Roman"/>
          <w:sz w:val="24"/>
          <w:szCs w:val="24"/>
        </w:rPr>
        <w:t xml:space="preserve">pense of the shareholders. </w:t>
      </w:r>
      <w:r w:rsidR="0005330E" w:rsidRPr="00A51DD1">
        <w:rPr>
          <w:rFonts w:ascii="Times New Roman" w:hAnsi="Times New Roman"/>
          <w:sz w:val="24"/>
          <w:szCs w:val="24"/>
        </w:rPr>
        <w:t>A</w:t>
      </w:r>
      <w:r w:rsidR="007B5F8F" w:rsidRPr="00A51DD1">
        <w:rPr>
          <w:rFonts w:ascii="Times New Roman" w:hAnsi="Times New Roman"/>
          <w:sz w:val="24"/>
          <w:szCs w:val="24"/>
        </w:rPr>
        <w:t xml:space="preserve"> solution to th</w:t>
      </w:r>
      <w:r w:rsidR="00CC60ED" w:rsidRPr="00A51DD1">
        <w:rPr>
          <w:rFonts w:ascii="Times New Roman" w:hAnsi="Times New Roman"/>
          <w:sz w:val="24"/>
          <w:szCs w:val="24"/>
        </w:rPr>
        <w:t xml:space="preserve">e principal-agent </w:t>
      </w:r>
      <w:r w:rsidR="007B5F8F" w:rsidRPr="00A51DD1">
        <w:rPr>
          <w:rFonts w:ascii="Times New Roman" w:hAnsi="Times New Roman"/>
          <w:sz w:val="24"/>
          <w:szCs w:val="24"/>
        </w:rPr>
        <w:t>problem is to distribut</w:t>
      </w:r>
      <w:r w:rsidR="00413EAB" w:rsidRPr="00A51DD1">
        <w:rPr>
          <w:rFonts w:ascii="Times New Roman" w:hAnsi="Times New Roman"/>
          <w:sz w:val="24"/>
          <w:szCs w:val="24"/>
        </w:rPr>
        <w:t>e</w:t>
      </w:r>
      <w:r w:rsidR="007B5F8F" w:rsidRPr="00A51DD1">
        <w:rPr>
          <w:rFonts w:ascii="Times New Roman" w:hAnsi="Times New Roman"/>
          <w:sz w:val="24"/>
          <w:szCs w:val="24"/>
        </w:rPr>
        <w:t xml:space="preserve"> </w:t>
      </w:r>
      <w:r w:rsidR="0005330E" w:rsidRPr="00A51DD1">
        <w:rPr>
          <w:rFonts w:ascii="Times New Roman" w:hAnsi="Times New Roman"/>
          <w:sz w:val="24"/>
          <w:szCs w:val="24"/>
        </w:rPr>
        <w:t>FCF</w:t>
      </w:r>
      <w:r w:rsidR="007B5F8F" w:rsidRPr="00A51DD1">
        <w:rPr>
          <w:rFonts w:ascii="Times New Roman" w:hAnsi="Times New Roman"/>
          <w:sz w:val="24"/>
          <w:szCs w:val="24"/>
        </w:rPr>
        <w:t xml:space="preserve"> to the shareholders and bondholders</w:t>
      </w:r>
      <w:r w:rsidR="00413EAB" w:rsidRPr="00A51DD1">
        <w:rPr>
          <w:rFonts w:ascii="Times New Roman" w:hAnsi="Times New Roman"/>
          <w:sz w:val="24"/>
          <w:szCs w:val="24"/>
        </w:rPr>
        <w:t xml:space="preserve">, i.e., reducing the </w:t>
      </w:r>
      <w:r w:rsidR="007021A9">
        <w:rPr>
          <w:rFonts w:ascii="Times New Roman" w:hAnsi="Times New Roman"/>
          <w:noProof/>
          <w:sz w:val="24"/>
          <w:szCs w:val="24"/>
        </w:rPr>
        <w:t>number</w:t>
      </w:r>
      <w:r w:rsidR="00413EAB" w:rsidRPr="00A51DD1">
        <w:rPr>
          <w:rFonts w:ascii="Times New Roman" w:hAnsi="Times New Roman"/>
          <w:sz w:val="24"/>
          <w:szCs w:val="24"/>
        </w:rPr>
        <w:t xml:space="preserve"> of extra resources available to the management</w:t>
      </w:r>
      <w:r w:rsidR="007B5F8F" w:rsidRPr="00A51DD1">
        <w:rPr>
          <w:rFonts w:ascii="Times New Roman" w:hAnsi="Times New Roman"/>
          <w:sz w:val="24"/>
          <w:szCs w:val="24"/>
        </w:rPr>
        <w:t xml:space="preserve">. </w:t>
      </w:r>
      <w:r w:rsidR="007021A9">
        <w:rPr>
          <w:rFonts w:ascii="Times New Roman" w:hAnsi="Times New Roman"/>
          <w:noProof/>
          <w:sz w:val="24"/>
          <w:szCs w:val="24"/>
        </w:rPr>
        <w:t>F</w:t>
      </w:r>
      <w:r w:rsidR="0005330E" w:rsidRPr="00A51DD1">
        <w:rPr>
          <w:rFonts w:ascii="Times New Roman" w:hAnsi="Times New Roman"/>
          <w:sz w:val="24"/>
          <w:szCs w:val="24"/>
        </w:rPr>
        <w:t xml:space="preserve">or traditional corporations, there is no law mandating the management to pay out FCF. </w:t>
      </w:r>
      <w:r w:rsidR="0050094D" w:rsidRPr="00A51DD1">
        <w:rPr>
          <w:rFonts w:ascii="Times New Roman" w:hAnsi="Times New Roman"/>
          <w:sz w:val="24"/>
          <w:szCs w:val="24"/>
        </w:rPr>
        <w:t>S</w:t>
      </w:r>
      <w:r w:rsidR="007B5F8F" w:rsidRPr="00A51DD1">
        <w:rPr>
          <w:rFonts w:ascii="Times New Roman" w:hAnsi="Times New Roman"/>
          <w:sz w:val="24"/>
          <w:szCs w:val="24"/>
        </w:rPr>
        <w:t>econd</w:t>
      </w:r>
      <w:r w:rsidR="0050094D" w:rsidRPr="00A51DD1">
        <w:rPr>
          <w:rFonts w:ascii="Times New Roman" w:hAnsi="Times New Roman"/>
          <w:sz w:val="24"/>
          <w:szCs w:val="24"/>
        </w:rPr>
        <w:t xml:space="preserve">ly, it </w:t>
      </w:r>
      <w:r w:rsidR="0050094D" w:rsidRPr="007021A9">
        <w:rPr>
          <w:rFonts w:ascii="Times New Roman" w:hAnsi="Times New Roman"/>
          <w:noProof/>
          <w:sz w:val="24"/>
          <w:szCs w:val="24"/>
        </w:rPr>
        <w:t xml:space="preserve">is </w:t>
      </w:r>
      <w:r w:rsidR="00173CC7" w:rsidRPr="007021A9">
        <w:rPr>
          <w:rFonts w:ascii="Times New Roman" w:hAnsi="Times New Roman"/>
          <w:noProof/>
          <w:sz w:val="24"/>
          <w:szCs w:val="24"/>
        </w:rPr>
        <w:t xml:space="preserve">widely </w:t>
      </w:r>
      <w:r w:rsidR="0050094D" w:rsidRPr="00D34BED">
        <w:rPr>
          <w:rFonts w:ascii="Times New Roman" w:hAnsi="Times New Roman"/>
          <w:noProof/>
          <w:sz w:val="24"/>
          <w:szCs w:val="24"/>
        </w:rPr>
        <w:t>suspected</w:t>
      </w:r>
      <w:r w:rsidR="0050094D" w:rsidRPr="00A51DD1">
        <w:rPr>
          <w:rFonts w:ascii="Times New Roman" w:hAnsi="Times New Roman"/>
          <w:sz w:val="24"/>
          <w:szCs w:val="24"/>
        </w:rPr>
        <w:t xml:space="preserve"> that </w:t>
      </w:r>
      <w:r w:rsidR="007B5F8F" w:rsidRPr="00A51DD1">
        <w:rPr>
          <w:rFonts w:ascii="Times New Roman" w:hAnsi="Times New Roman"/>
          <w:sz w:val="24"/>
          <w:szCs w:val="24"/>
        </w:rPr>
        <w:t xml:space="preserve">the abuse in rewarding </w:t>
      </w:r>
      <w:r w:rsidR="001B7867" w:rsidRPr="00A51DD1">
        <w:rPr>
          <w:rFonts w:ascii="Times New Roman" w:hAnsi="Times New Roman"/>
          <w:sz w:val="24"/>
          <w:szCs w:val="24"/>
        </w:rPr>
        <w:t xml:space="preserve">huge </w:t>
      </w:r>
      <w:r w:rsidR="007B5F8F" w:rsidRPr="00A51DD1">
        <w:rPr>
          <w:rFonts w:ascii="Times New Roman" w:hAnsi="Times New Roman"/>
          <w:sz w:val="24"/>
          <w:szCs w:val="24"/>
        </w:rPr>
        <w:t xml:space="preserve">stock options to the management </w:t>
      </w:r>
      <w:r w:rsidR="0005330E" w:rsidRPr="00A51DD1">
        <w:rPr>
          <w:rFonts w:ascii="Times New Roman" w:hAnsi="Times New Roman"/>
          <w:sz w:val="24"/>
          <w:szCs w:val="24"/>
        </w:rPr>
        <w:t xml:space="preserve">by corporate boards </w:t>
      </w:r>
      <w:r w:rsidR="007B5F8F" w:rsidRPr="00A51DD1">
        <w:rPr>
          <w:rFonts w:ascii="Times New Roman" w:hAnsi="Times New Roman"/>
          <w:sz w:val="24"/>
          <w:szCs w:val="24"/>
        </w:rPr>
        <w:t>since the 1980s</w:t>
      </w:r>
      <w:r w:rsidR="0050094D" w:rsidRPr="00A51DD1">
        <w:rPr>
          <w:rFonts w:ascii="Times New Roman" w:hAnsi="Times New Roman"/>
          <w:sz w:val="24"/>
          <w:szCs w:val="24"/>
        </w:rPr>
        <w:t xml:space="preserve"> incentivize misbehavior such as earnings manipulation</w:t>
      </w:r>
      <w:r w:rsidR="007B5F8F" w:rsidRPr="00A51DD1">
        <w:rPr>
          <w:rFonts w:ascii="Times New Roman" w:hAnsi="Times New Roman"/>
          <w:sz w:val="24"/>
          <w:szCs w:val="24"/>
        </w:rPr>
        <w:t xml:space="preserve">. The value of these stock options depends on share prices, which depends on earnings. As a result, </w:t>
      </w:r>
      <w:r w:rsidR="004552B9" w:rsidRPr="00A51DD1">
        <w:rPr>
          <w:rFonts w:ascii="Times New Roman" w:hAnsi="Times New Roman"/>
          <w:sz w:val="24"/>
          <w:szCs w:val="24"/>
        </w:rPr>
        <w:t xml:space="preserve">corporate </w:t>
      </w:r>
      <w:r w:rsidR="007B5F8F" w:rsidRPr="00A51DD1">
        <w:rPr>
          <w:rFonts w:ascii="Times New Roman" w:hAnsi="Times New Roman"/>
          <w:sz w:val="24"/>
          <w:szCs w:val="24"/>
        </w:rPr>
        <w:t>executive</w:t>
      </w:r>
      <w:r w:rsidR="00A137C5" w:rsidRPr="00A51DD1">
        <w:rPr>
          <w:rFonts w:ascii="Times New Roman" w:hAnsi="Times New Roman"/>
          <w:sz w:val="24"/>
          <w:szCs w:val="24"/>
        </w:rPr>
        <w:t>s</w:t>
      </w:r>
      <w:r w:rsidR="007B5F8F" w:rsidRPr="00A51DD1">
        <w:rPr>
          <w:rFonts w:ascii="Times New Roman" w:hAnsi="Times New Roman"/>
          <w:sz w:val="24"/>
          <w:szCs w:val="24"/>
        </w:rPr>
        <w:t xml:space="preserve"> have the incentive to manipulate earnings</w:t>
      </w:r>
      <w:r w:rsidR="00D81BCC" w:rsidRPr="00A51DD1">
        <w:rPr>
          <w:rFonts w:ascii="Times New Roman" w:hAnsi="Times New Roman"/>
          <w:sz w:val="24"/>
          <w:szCs w:val="24"/>
        </w:rPr>
        <w:t xml:space="preserve"> to boost share prices</w:t>
      </w:r>
      <w:r w:rsidR="007B5F8F" w:rsidRPr="00A51DD1">
        <w:rPr>
          <w:rFonts w:ascii="Times New Roman" w:hAnsi="Times New Roman"/>
          <w:sz w:val="24"/>
          <w:szCs w:val="24"/>
        </w:rPr>
        <w:t>.</w:t>
      </w:r>
      <w:r w:rsidR="004552B9" w:rsidRPr="00A51DD1">
        <w:rPr>
          <w:rFonts w:ascii="Times New Roman" w:hAnsi="Times New Roman"/>
          <w:sz w:val="24"/>
          <w:szCs w:val="24"/>
        </w:rPr>
        <w:t xml:space="preserve"> </w:t>
      </w:r>
    </w:p>
    <w:p w14:paraId="15F61A83" w14:textId="1A96C633" w:rsidR="009B7B44" w:rsidRPr="00A51DD1" w:rsidRDefault="00F7043C" w:rsidP="00F7043C">
      <w:pPr>
        <w:spacing w:after="0" w:line="480" w:lineRule="auto"/>
        <w:ind w:firstLine="720"/>
        <w:jc w:val="both"/>
        <w:rPr>
          <w:rFonts w:ascii="Times New Roman" w:hAnsi="Times New Roman"/>
          <w:sz w:val="24"/>
          <w:szCs w:val="24"/>
        </w:rPr>
      </w:pPr>
      <w:r w:rsidRPr="00A51DD1">
        <w:rPr>
          <w:rFonts w:ascii="Times New Roman" w:hAnsi="Times New Roman"/>
          <w:sz w:val="24"/>
          <w:szCs w:val="24"/>
        </w:rPr>
        <w:t xml:space="preserve">Although </w:t>
      </w:r>
      <w:r w:rsidR="007021A9">
        <w:rPr>
          <w:rFonts w:ascii="Times New Roman" w:hAnsi="Times New Roman"/>
          <w:sz w:val="24"/>
          <w:szCs w:val="24"/>
        </w:rPr>
        <w:t xml:space="preserve">the </w:t>
      </w:r>
      <w:r w:rsidRPr="007021A9">
        <w:rPr>
          <w:rFonts w:ascii="Times New Roman" w:hAnsi="Times New Roman"/>
          <w:noProof/>
          <w:sz w:val="24"/>
          <w:szCs w:val="24"/>
        </w:rPr>
        <w:t>corporation</w:t>
      </w:r>
      <w:r w:rsidRPr="00A51DD1">
        <w:rPr>
          <w:rFonts w:ascii="Times New Roman" w:hAnsi="Times New Roman"/>
          <w:sz w:val="24"/>
          <w:szCs w:val="24"/>
        </w:rPr>
        <w:t xml:space="preserve"> is the dominant business form</w:t>
      </w:r>
      <w:r w:rsidR="009B7B44" w:rsidRPr="00A51DD1">
        <w:rPr>
          <w:rFonts w:ascii="Times New Roman" w:hAnsi="Times New Roman"/>
          <w:sz w:val="24"/>
          <w:szCs w:val="24"/>
        </w:rPr>
        <w:t>, t</w:t>
      </w:r>
      <w:r w:rsidRPr="00A51DD1">
        <w:rPr>
          <w:rFonts w:ascii="Times New Roman" w:hAnsi="Times New Roman"/>
          <w:sz w:val="24"/>
          <w:szCs w:val="24"/>
        </w:rPr>
        <w:t xml:space="preserve">here is an alternative organizational form in the United States, i.e., Master Limited Partnerships (MLPs). MLPs </w:t>
      </w:r>
      <w:r w:rsidRPr="007021A9">
        <w:rPr>
          <w:rFonts w:ascii="Times New Roman" w:hAnsi="Times New Roman"/>
          <w:noProof/>
          <w:sz w:val="24"/>
          <w:szCs w:val="24"/>
        </w:rPr>
        <w:t>are publicly traded</w:t>
      </w:r>
      <w:r w:rsidRPr="00A51DD1">
        <w:rPr>
          <w:rFonts w:ascii="Times New Roman" w:hAnsi="Times New Roman"/>
          <w:sz w:val="24"/>
          <w:szCs w:val="24"/>
        </w:rPr>
        <w:t xml:space="preserve"> limited partnerships. An MLP has one general partner (GP) and many limited partners (LPs). The GP has unlimited liability as well as sole decision-making power. In contrast, LPs have limited liability and no role in decision-making. By law, MLPs have to pay out at least 90% of the free cash flow (FCF) to all partners. </w:t>
      </w:r>
      <w:r w:rsidR="007021A9">
        <w:rPr>
          <w:rFonts w:ascii="Times New Roman" w:hAnsi="Times New Roman"/>
          <w:noProof/>
          <w:sz w:val="24"/>
          <w:szCs w:val="24"/>
        </w:rPr>
        <w:t>Also</w:t>
      </w:r>
      <w:r w:rsidRPr="00A51DD1">
        <w:rPr>
          <w:rFonts w:ascii="Times New Roman" w:hAnsi="Times New Roman"/>
          <w:sz w:val="24"/>
          <w:szCs w:val="24"/>
        </w:rPr>
        <w:t xml:space="preserve">, a GP receives her compensation not from any options but only from the distributed FCF. These two features make MLPs quite special and different from the traditional corporations. </w:t>
      </w:r>
      <w:r w:rsidR="007021A9">
        <w:rPr>
          <w:rFonts w:ascii="Times New Roman" w:hAnsi="Times New Roman"/>
          <w:noProof/>
          <w:sz w:val="24"/>
          <w:szCs w:val="24"/>
        </w:rPr>
        <w:t>Many large MLPs are</w:t>
      </w:r>
      <w:r w:rsidR="009B7B44" w:rsidRPr="007021A9">
        <w:rPr>
          <w:rFonts w:ascii="Times New Roman" w:hAnsi="Times New Roman"/>
          <w:noProof/>
          <w:sz w:val="24"/>
          <w:szCs w:val="24"/>
        </w:rPr>
        <w:t xml:space="preserve"> competing</w:t>
      </w:r>
      <w:r w:rsidR="009B7B44" w:rsidRPr="00A51DD1">
        <w:rPr>
          <w:rFonts w:ascii="Times New Roman" w:hAnsi="Times New Roman"/>
          <w:sz w:val="24"/>
          <w:szCs w:val="24"/>
        </w:rPr>
        <w:t xml:space="preserve"> against well-known corporations in the energy and real estate sectors. </w:t>
      </w:r>
      <w:r w:rsidR="00314302">
        <w:rPr>
          <w:rFonts w:ascii="Times New Roman" w:hAnsi="Times New Roman"/>
          <w:sz w:val="24"/>
          <w:szCs w:val="24"/>
        </w:rPr>
        <w:t xml:space="preserve">Mandell (2015) shows </w:t>
      </w:r>
      <w:r w:rsidR="00833BA5">
        <w:rPr>
          <w:rFonts w:ascii="Times New Roman" w:hAnsi="Times New Roman"/>
          <w:sz w:val="24"/>
          <w:szCs w:val="24"/>
        </w:rPr>
        <w:t xml:space="preserve">a new wave </w:t>
      </w:r>
      <w:r w:rsidR="00314302">
        <w:rPr>
          <w:rFonts w:ascii="Times New Roman" w:hAnsi="Times New Roman"/>
          <w:sz w:val="24"/>
          <w:szCs w:val="24"/>
        </w:rPr>
        <w:t xml:space="preserve">formation of MLPs after 2004 as a result of </w:t>
      </w:r>
      <w:r w:rsidR="00833BA5">
        <w:rPr>
          <w:rFonts w:ascii="Times New Roman" w:hAnsi="Times New Roman"/>
          <w:sz w:val="24"/>
          <w:szCs w:val="24"/>
        </w:rPr>
        <w:t xml:space="preserve">a modification in </w:t>
      </w:r>
      <w:r w:rsidR="00833BA5" w:rsidRPr="00833BA5">
        <w:rPr>
          <w:rFonts w:ascii="Times New Roman" w:hAnsi="Times New Roman"/>
          <w:sz w:val="24"/>
          <w:szCs w:val="24"/>
        </w:rPr>
        <w:t>Delaware alternative entity law</w:t>
      </w:r>
      <w:r w:rsidR="00833BA5">
        <w:rPr>
          <w:rFonts w:ascii="Times New Roman" w:hAnsi="Times New Roman"/>
          <w:sz w:val="24"/>
          <w:szCs w:val="24"/>
        </w:rPr>
        <w:t xml:space="preserve"> permitting the full </w:t>
      </w:r>
      <w:r w:rsidR="00833BA5" w:rsidRPr="00833BA5">
        <w:rPr>
          <w:rFonts w:ascii="Times New Roman" w:hAnsi="Times New Roman"/>
          <w:sz w:val="24"/>
          <w:szCs w:val="24"/>
        </w:rPr>
        <w:t>waiver of fiduciary duty by partnerships and LLCs.</w:t>
      </w:r>
      <w:r w:rsidR="00314302">
        <w:rPr>
          <w:rFonts w:ascii="Times New Roman" w:hAnsi="Times New Roman"/>
          <w:sz w:val="24"/>
          <w:szCs w:val="24"/>
        </w:rPr>
        <w:t xml:space="preserve"> </w:t>
      </w:r>
      <w:r w:rsidR="007B6AFE" w:rsidRPr="00C63B19">
        <w:rPr>
          <w:rFonts w:ascii="Times New Roman" w:hAnsi="Times New Roman"/>
          <w:sz w:val="24"/>
          <w:szCs w:val="24"/>
        </w:rPr>
        <w:t>Atanassov</w:t>
      </w:r>
      <w:r w:rsidR="007B6AFE">
        <w:rPr>
          <w:rFonts w:ascii="Times New Roman" w:hAnsi="Times New Roman"/>
          <w:sz w:val="24"/>
          <w:szCs w:val="24"/>
        </w:rPr>
        <w:t xml:space="preserve"> and </w:t>
      </w:r>
      <w:r w:rsidR="007B6AFE" w:rsidRPr="00C63B19">
        <w:rPr>
          <w:rFonts w:ascii="Times New Roman" w:hAnsi="Times New Roman"/>
          <w:sz w:val="24"/>
          <w:szCs w:val="24"/>
        </w:rPr>
        <w:t>Mandell</w:t>
      </w:r>
      <w:r w:rsidR="007B6AFE">
        <w:rPr>
          <w:rFonts w:ascii="Times New Roman" w:hAnsi="Times New Roman"/>
          <w:sz w:val="24"/>
          <w:szCs w:val="24"/>
        </w:rPr>
        <w:t xml:space="preserve"> (2018) show that MLPs with a weak corporate governance structure tend to </w:t>
      </w:r>
      <w:r w:rsidR="007B6AFE" w:rsidRPr="007021A9">
        <w:rPr>
          <w:rFonts w:ascii="Times New Roman" w:hAnsi="Times New Roman"/>
          <w:noProof/>
          <w:sz w:val="24"/>
          <w:szCs w:val="24"/>
        </w:rPr>
        <w:t>pay</w:t>
      </w:r>
      <w:r w:rsidR="007021A9">
        <w:rPr>
          <w:rFonts w:ascii="Times New Roman" w:hAnsi="Times New Roman"/>
          <w:noProof/>
          <w:sz w:val="24"/>
          <w:szCs w:val="24"/>
        </w:rPr>
        <w:t xml:space="preserve"> </w:t>
      </w:r>
      <w:r w:rsidR="007B6AFE" w:rsidRPr="007021A9">
        <w:rPr>
          <w:rFonts w:ascii="Times New Roman" w:hAnsi="Times New Roman"/>
          <w:noProof/>
          <w:sz w:val="24"/>
          <w:szCs w:val="24"/>
        </w:rPr>
        <w:t>out</w:t>
      </w:r>
      <w:r w:rsidR="007B6AFE">
        <w:rPr>
          <w:rFonts w:ascii="Times New Roman" w:hAnsi="Times New Roman"/>
          <w:sz w:val="24"/>
          <w:szCs w:val="24"/>
        </w:rPr>
        <w:t xml:space="preserve"> higher dividends.</w:t>
      </w:r>
    </w:p>
    <w:p w14:paraId="768D506E" w14:textId="0893364C" w:rsidR="001C1D15" w:rsidRPr="00A51DD1" w:rsidRDefault="00F7043C" w:rsidP="00A24C3D">
      <w:pPr>
        <w:spacing w:after="0" w:line="480" w:lineRule="auto"/>
        <w:ind w:firstLine="720"/>
        <w:jc w:val="both"/>
        <w:rPr>
          <w:rFonts w:ascii="Times New Roman" w:hAnsi="Times New Roman"/>
          <w:sz w:val="24"/>
          <w:szCs w:val="24"/>
        </w:rPr>
      </w:pPr>
      <w:r w:rsidRPr="00A51DD1">
        <w:rPr>
          <w:rFonts w:ascii="Times New Roman" w:hAnsi="Times New Roman"/>
          <w:sz w:val="24"/>
          <w:szCs w:val="24"/>
        </w:rPr>
        <w:t xml:space="preserve">In this study, we examine how GPs behave differently from their corporate peers in practicing earnings management (EM). </w:t>
      </w:r>
      <w:r w:rsidR="00F44B58" w:rsidRPr="00A51DD1">
        <w:rPr>
          <w:rFonts w:ascii="Times New Roman" w:hAnsi="Times New Roman"/>
          <w:sz w:val="24"/>
          <w:szCs w:val="24"/>
        </w:rPr>
        <w:t xml:space="preserve">EM </w:t>
      </w:r>
      <w:r w:rsidR="004C5C53" w:rsidRPr="00A51DD1">
        <w:rPr>
          <w:rFonts w:ascii="Times New Roman" w:hAnsi="Times New Roman"/>
          <w:sz w:val="24"/>
          <w:szCs w:val="24"/>
        </w:rPr>
        <w:t xml:space="preserve">refers to the practice </w:t>
      </w:r>
      <w:r w:rsidR="009E7BA3" w:rsidRPr="00A51DD1">
        <w:rPr>
          <w:rFonts w:ascii="Times New Roman" w:hAnsi="Times New Roman"/>
          <w:sz w:val="24"/>
          <w:szCs w:val="24"/>
        </w:rPr>
        <w:t>by</w:t>
      </w:r>
      <w:r w:rsidR="004C5C53" w:rsidRPr="00A51DD1">
        <w:rPr>
          <w:rFonts w:ascii="Times New Roman" w:hAnsi="Times New Roman"/>
          <w:sz w:val="24"/>
          <w:szCs w:val="24"/>
        </w:rPr>
        <w:t xml:space="preserve"> </w:t>
      </w:r>
      <w:r w:rsidR="00F232C6" w:rsidRPr="00A51DD1">
        <w:rPr>
          <w:rFonts w:ascii="Times New Roman" w:hAnsi="Times New Roman"/>
          <w:sz w:val="24"/>
          <w:szCs w:val="24"/>
        </w:rPr>
        <w:t xml:space="preserve">top </w:t>
      </w:r>
      <w:r w:rsidR="004C5C53" w:rsidRPr="00A51DD1">
        <w:rPr>
          <w:rFonts w:ascii="Times New Roman" w:hAnsi="Times New Roman"/>
          <w:sz w:val="24"/>
          <w:szCs w:val="24"/>
        </w:rPr>
        <w:t>corporate executive</w:t>
      </w:r>
      <w:r w:rsidR="00F232C6" w:rsidRPr="00A51DD1">
        <w:rPr>
          <w:rFonts w:ascii="Times New Roman" w:hAnsi="Times New Roman"/>
          <w:sz w:val="24"/>
          <w:szCs w:val="24"/>
        </w:rPr>
        <w:t>s</w:t>
      </w:r>
      <w:r w:rsidR="004C5C53" w:rsidRPr="00A51DD1">
        <w:rPr>
          <w:rFonts w:ascii="Times New Roman" w:hAnsi="Times New Roman"/>
          <w:sz w:val="24"/>
          <w:szCs w:val="24"/>
        </w:rPr>
        <w:t xml:space="preserve"> </w:t>
      </w:r>
      <w:r w:rsidR="009E7BA3" w:rsidRPr="00A51DD1">
        <w:rPr>
          <w:rFonts w:ascii="Times New Roman" w:hAnsi="Times New Roman"/>
          <w:sz w:val="24"/>
          <w:szCs w:val="24"/>
        </w:rPr>
        <w:t xml:space="preserve">who </w:t>
      </w:r>
      <w:r w:rsidR="00F232C6" w:rsidRPr="00A51DD1">
        <w:rPr>
          <w:rFonts w:ascii="Times New Roman" w:hAnsi="Times New Roman"/>
          <w:sz w:val="24"/>
          <w:szCs w:val="24"/>
        </w:rPr>
        <w:t xml:space="preserve">take actions to steer financial reporting </w:t>
      </w:r>
      <w:r w:rsidR="00C653C6" w:rsidRPr="00A51DD1">
        <w:rPr>
          <w:rFonts w:ascii="Times New Roman" w:hAnsi="Times New Roman"/>
          <w:sz w:val="24"/>
          <w:szCs w:val="24"/>
        </w:rPr>
        <w:t xml:space="preserve">results </w:t>
      </w:r>
      <w:r w:rsidR="00F232C6" w:rsidRPr="00A51DD1">
        <w:rPr>
          <w:rFonts w:ascii="Times New Roman" w:hAnsi="Times New Roman"/>
          <w:sz w:val="24"/>
          <w:szCs w:val="24"/>
        </w:rPr>
        <w:t>toward specific target</w:t>
      </w:r>
      <w:r w:rsidR="00C653C6" w:rsidRPr="00A51DD1">
        <w:rPr>
          <w:rFonts w:ascii="Times New Roman" w:hAnsi="Times New Roman"/>
          <w:sz w:val="24"/>
          <w:szCs w:val="24"/>
        </w:rPr>
        <w:t>s</w:t>
      </w:r>
      <w:r w:rsidR="00F232C6" w:rsidRPr="00A51DD1">
        <w:rPr>
          <w:rFonts w:ascii="Times New Roman" w:hAnsi="Times New Roman"/>
          <w:sz w:val="24"/>
          <w:szCs w:val="24"/>
        </w:rPr>
        <w:t xml:space="preserve">. </w:t>
      </w:r>
      <w:r w:rsidR="00C653C6" w:rsidRPr="00A51DD1">
        <w:rPr>
          <w:rFonts w:ascii="Times New Roman" w:hAnsi="Times New Roman"/>
          <w:sz w:val="24"/>
          <w:szCs w:val="24"/>
        </w:rPr>
        <w:t xml:space="preserve">There are two types of EM. The first </w:t>
      </w:r>
      <w:r w:rsidR="002808D7" w:rsidRPr="00A51DD1">
        <w:rPr>
          <w:rFonts w:ascii="Times New Roman" w:hAnsi="Times New Roman"/>
          <w:sz w:val="24"/>
          <w:szCs w:val="24"/>
        </w:rPr>
        <w:t xml:space="preserve">is discretionary accruals management that </w:t>
      </w:r>
      <w:r w:rsidR="00C653C6" w:rsidRPr="00A51DD1">
        <w:rPr>
          <w:rFonts w:ascii="Times New Roman" w:hAnsi="Times New Roman"/>
          <w:sz w:val="24"/>
          <w:szCs w:val="24"/>
        </w:rPr>
        <w:t xml:space="preserve">involves altering the timing </w:t>
      </w:r>
      <w:r w:rsidR="009E7BA3" w:rsidRPr="00A51DD1">
        <w:rPr>
          <w:rFonts w:ascii="Times New Roman" w:hAnsi="Times New Roman"/>
          <w:sz w:val="24"/>
          <w:szCs w:val="24"/>
        </w:rPr>
        <w:t>and</w:t>
      </w:r>
      <w:r w:rsidR="00C653C6" w:rsidRPr="00A51DD1">
        <w:rPr>
          <w:rFonts w:ascii="Times New Roman" w:hAnsi="Times New Roman"/>
          <w:sz w:val="24"/>
          <w:szCs w:val="24"/>
        </w:rPr>
        <w:t xml:space="preserve"> am</w:t>
      </w:r>
      <w:r w:rsidR="002808D7" w:rsidRPr="00A51DD1">
        <w:rPr>
          <w:rFonts w:ascii="Times New Roman" w:hAnsi="Times New Roman"/>
          <w:sz w:val="24"/>
          <w:szCs w:val="24"/>
        </w:rPr>
        <w:t>ounts of accruals and deferrals</w:t>
      </w:r>
      <w:r w:rsidR="00C653C6" w:rsidRPr="00A51DD1">
        <w:rPr>
          <w:rFonts w:ascii="Times New Roman" w:hAnsi="Times New Roman"/>
          <w:sz w:val="24"/>
          <w:szCs w:val="24"/>
        </w:rPr>
        <w:t xml:space="preserve">. The second </w:t>
      </w:r>
      <w:r w:rsidR="0005330E" w:rsidRPr="00A51DD1">
        <w:rPr>
          <w:rFonts w:ascii="Times New Roman" w:hAnsi="Times New Roman"/>
          <w:sz w:val="24"/>
          <w:szCs w:val="24"/>
        </w:rPr>
        <w:t xml:space="preserve">type is real activities manipulation </w:t>
      </w:r>
      <w:r w:rsidR="00173CC7" w:rsidRPr="00A51DD1">
        <w:rPr>
          <w:rFonts w:ascii="Times New Roman" w:hAnsi="Times New Roman"/>
          <w:sz w:val="24"/>
          <w:szCs w:val="24"/>
        </w:rPr>
        <w:t>involving purposely-deviating</w:t>
      </w:r>
      <w:r w:rsidR="00A96E99" w:rsidRPr="00A51DD1">
        <w:rPr>
          <w:rFonts w:ascii="Times New Roman" w:hAnsi="Times New Roman"/>
          <w:sz w:val="24"/>
          <w:szCs w:val="24"/>
        </w:rPr>
        <w:t xml:space="preserve"> </w:t>
      </w:r>
      <w:r w:rsidR="00C653C6" w:rsidRPr="00A51DD1">
        <w:rPr>
          <w:rFonts w:ascii="Times New Roman" w:hAnsi="Times New Roman"/>
          <w:sz w:val="24"/>
          <w:szCs w:val="24"/>
        </w:rPr>
        <w:t xml:space="preserve">real activities such as </w:t>
      </w:r>
      <w:r w:rsidR="00A96E99" w:rsidRPr="00A51DD1">
        <w:rPr>
          <w:rFonts w:ascii="Times New Roman" w:hAnsi="Times New Roman"/>
          <w:sz w:val="24"/>
          <w:szCs w:val="24"/>
        </w:rPr>
        <w:t>production, s</w:t>
      </w:r>
      <w:r w:rsidR="0058542C" w:rsidRPr="00A51DD1">
        <w:rPr>
          <w:rFonts w:ascii="Times New Roman" w:hAnsi="Times New Roman"/>
          <w:sz w:val="24"/>
          <w:szCs w:val="24"/>
        </w:rPr>
        <w:t>ales</w:t>
      </w:r>
      <w:r w:rsidR="007021A9">
        <w:rPr>
          <w:rFonts w:ascii="Times New Roman" w:hAnsi="Times New Roman"/>
          <w:sz w:val="24"/>
          <w:szCs w:val="24"/>
        </w:rPr>
        <w:t>,</w:t>
      </w:r>
      <w:r w:rsidR="0058542C" w:rsidRPr="00A51DD1">
        <w:rPr>
          <w:rFonts w:ascii="Times New Roman" w:hAnsi="Times New Roman"/>
          <w:sz w:val="24"/>
          <w:szCs w:val="24"/>
        </w:rPr>
        <w:t xml:space="preserve"> </w:t>
      </w:r>
      <w:r w:rsidR="0058542C" w:rsidRPr="007021A9">
        <w:rPr>
          <w:rFonts w:ascii="Times New Roman" w:hAnsi="Times New Roman"/>
          <w:noProof/>
          <w:sz w:val="24"/>
          <w:szCs w:val="24"/>
        </w:rPr>
        <w:t>and</w:t>
      </w:r>
      <w:r w:rsidR="0058542C" w:rsidRPr="00A51DD1">
        <w:rPr>
          <w:rFonts w:ascii="Times New Roman" w:hAnsi="Times New Roman"/>
          <w:sz w:val="24"/>
          <w:szCs w:val="24"/>
        </w:rPr>
        <w:t xml:space="preserve"> administrative operation</w:t>
      </w:r>
      <w:r w:rsidR="00A96E99" w:rsidRPr="00A51DD1">
        <w:rPr>
          <w:rFonts w:ascii="Times New Roman" w:hAnsi="Times New Roman"/>
          <w:sz w:val="24"/>
          <w:szCs w:val="24"/>
        </w:rPr>
        <w:t xml:space="preserve">, and </w:t>
      </w:r>
      <w:r w:rsidR="00C653C6" w:rsidRPr="00A51DD1">
        <w:rPr>
          <w:rFonts w:ascii="Times New Roman" w:hAnsi="Times New Roman"/>
          <w:sz w:val="24"/>
          <w:szCs w:val="24"/>
        </w:rPr>
        <w:t xml:space="preserve">R&amp;D </w:t>
      </w:r>
      <w:r w:rsidR="00A96E99" w:rsidRPr="00A51DD1">
        <w:rPr>
          <w:rFonts w:ascii="Times New Roman" w:hAnsi="Times New Roman"/>
          <w:sz w:val="24"/>
          <w:szCs w:val="24"/>
        </w:rPr>
        <w:t xml:space="preserve">from the normal level </w:t>
      </w:r>
      <w:r w:rsidR="00C653C6" w:rsidRPr="00A51DD1">
        <w:rPr>
          <w:rFonts w:ascii="Times New Roman" w:hAnsi="Times New Roman"/>
          <w:sz w:val="24"/>
          <w:szCs w:val="24"/>
        </w:rPr>
        <w:t xml:space="preserve">to </w:t>
      </w:r>
      <w:r w:rsidR="0005330E" w:rsidRPr="00A51DD1">
        <w:rPr>
          <w:rFonts w:ascii="Times New Roman" w:hAnsi="Times New Roman"/>
          <w:sz w:val="24"/>
          <w:szCs w:val="24"/>
        </w:rPr>
        <w:t>move</w:t>
      </w:r>
      <w:r w:rsidR="0058542C" w:rsidRPr="00A51DD1">
        <w:rPr>
          <w:rFonts w:ascii="Times New Roman" w:hAnsi="Times New Roman"/>
          <w:sz w:val="24"/>
          <w:szCs w:val="24"/>
        </w:rPr>
        <w:t xml:space="preserve"> </w:t>
      </w:r>
      <w:r w:rsidR="00C653C6" w:rsidRPr="00A51DD1">
        <w:rPr>
          <w:rFonts w:ascii="Times New Roman" w:hAnsi="Times New Roman"/>
          <w:sz w:val="24"/>
          <w:szCs w:val="24"/>
        </w:rPr>
        <w:t>earnings</w:t>
      </w:r>
      <w:r w:rsidR="0005330E" w:rsidRPr="00A51DD1">
        <w:rPr>
          <w:rFonts w:ascii="Times New Roman" w:hAnsi="Times New Roman"/>
          <w:sz w:val="24"/>
          <w:szCs w:val="24"/>
        </w:rPr>
        <w:t xml:space="preserve"> toward a target level</w:t>
      </w:r>
      <w:r w:rsidR="00C653C6" w:rsidRPr="00A51DD1">
        <w:rPr>
          <w:rFonts w:ascii="Times New Roman" w:hAnsi="Times New Roman"/>
          <w:sz w:val="24"/>
          <w:szCs w:val="24"/>
        </w:rPr>
        <w:t xml:space="preserve">. </w:t>
      </w:r>
      <w:r w:rsidR="0005330E" w:rsidRPr="00A51DD1">
        <w:rPr>
          <w:rFonts w:ascii="Times New Roman" w:hAnsi="Times New Roman"/>
          <w:sz w:val="24"/>
          <w:szCs w:val="24"/>
        </w:rPr>
        <w:t xml:space="preserve">Discretional accruals management </w:t>
      </w:r>
      <w:r w:rsidR="007E54D8" w:rsidRPr="00A51DD1">
        <w:rPr>
          <w:rFonts w:ascii="Times New Roman" w:hAnsi="Times New Roman"/>
          <w:sz w:val="24"/>
          <w:szCs w:val="24"/>
        </w:rPr>
        <w:t xml:space="preserve">is easy to implement and thus quite common. Dechow, Sloan, and Sweeney (1995) </w:t>
      </w:r>
      <w:r w:rsidR="001A5E0F" w:rsidRPr="00A51DD1">
        <w:rPr>
          <w:rFonts w:ascii="Times New Roman" w:hAnsi="Times New Roman"/>
          <w:sz w:val="24"/>
          <w:szCs w:val="24"/>
        </w:rPr>
        <w:t xml:space="preserve">and Dechow and Dichev (2002) </w:t>
      </w:r>
      <w:r w:rsidR="007E54D8" w:rsidRPr="00A51DD1">
        <w:rPr>
          <w:rFonts w:ascii="Times New Roman" w:hAnsi="Times New Roman"/>
          <w:sz w:val="24"/>
          <w:szCs w:val="24"/>
        </w:rPr>
        <w:t xml:space="preserve">provide a discussion on </w:t>
      </w:r>
      <w:r w:rsidR="0032090B" w:rsidRPr="00A51DD1">
        <w:rPr>
          <w:rFonts w:ascii="Times New Roman" w:hAnsi="Times New Roman"/>
          <w:sz w:val="24"/>
          <w:szCs w:val="24"/>
        </w:rPr>
        <w:t xml:space="preserve">the rationale for managing discretionary accruals and the </w:t>
      </w:r>
      <w:r w:rsidR="007E54D8" w:rsidRPr="00A51DD1">
        <w:rPr>
          <w:rFonts w:ascii="Times New Roman" w:hAnsi="Times New Roman"/>
          <w:sz w:val="24"/>
          <w:szCs w:val="24"/>
        </w:rPr>
        <w:t xml:space="preserve">earlier evidence. Graham et al. (2005) present survey results showing that </w:t>
      </w:r>
      <w:r w:rsidR="0058542C" w:rsidRPr="00A51DD1">
        <w:rPr>
          <w:rFonts w:ascii="Times New Roman" w:hAnsi="Times New Roman"/>
          <w:sz w:val="24"/>
          <w:szCs w:val="24"/>
        </w:rPr>
        <w:t xml:space="preserve">corporate </w:t>
      </w:r>
      <w:r w:rsidR="007E54D8" w:rsidRPr="00A51DD1">
        <w:rPr>
          <w:rFonts w:ascii="Times New Roman" w:hAnsi="Times New Roman"/>
          <w:sz w:val="24"/>
          <w:szCs w:val="24"/>
        </w:rPr>
        <w:t xml:space="preserve">executives admit their propensity to alter real activities. Roychowdhury (2007) and Mellado-Cid, Jory, and Ngo (2018) provide empirical evidence for </w:t>
      </w:r>
      <w:r w:rsidR="00B95020" w:rsidRPr="00A51DD1">
        <w:rPr>
          <w:rFonts w:ascii="Times New Roman" w:hAnsi="Times New Roman"/>
          <w:sz w:val="24"/>
          <w:szCs w:val="24"/>
        </w:rPr>
        <w:t xml:space="preserve">the effects of </w:t>
      </w:r>
      <w:r w:rsidR="001E49E5" w:rsidRPr="00A51DD1">
        <w:rPr>
          <w:rFonts w:ascii="Times New Roman" w:hAnsi="Times New Roman"/>
          <w:sz w:val="24"/>
          <w:szCs w:val="24"/>
        </w:rPr>
        <w:t>real activities management</w:t>
      </w:r>
      <w:r w:rsidR="00B95020" w:rsidRPr="00A51DD1">
        <w:rPr>
          <w:rFonts w:ascii="Times New Roman" w:hAnsi="Times New Roman"/>
          <w:sz w:val="24"/>
          <w:szCs w:val="24"/>
        </w:rPr>
        <w:t xml:space="preserve"> on firm valuation</w:t>
      </w:r>
      <w:r w:rsidR="007E54D8" w:rsidRPr="00A51DD1">
        <w:rPr>
          <w:rFonts w:ascii="Times New Roman" w:hAnsi="Times New Roman"/>
          <w:sz w:val="24"/>
          <w:szCs w:val="24"/>
        </w:rPr>
        <w:t>.</w:t>
      </w:r>
      <w:r w:rsidR="00D81BCC" w:rsidRPr="00A51DD1">
        <w:rPr>
          <w:rFonts w:ascii="Times New Roman" w:hAnsi="Times New Roman"/>
          <w:sz w:val="24"/>
          <w:szCs w:val="24"/>
        </w:rPr>
        <w:t xml:space="preserve"> </w:t>
      </w:r>
    </w:p>
    <w:p w14:paraId="3008A9C8" w14:textId="60E62EDA" w:rsidR="0058542C" w:rsidRPr="00A51DD1" w:rsidRDefault="007E54D8" w:rsidP="00A24C3D">
      <w:pPr>
        <w:spacing w:after="0" w:line="480" w:lineRule="auto"/>
        <w:ind w:firstLine="720"/>
        <w:jc w:val="both"/>
        <w:rPr>
          <w:rFonts w:ascii="Times New Roman" w:hAnsi="Times New Roman"/>
          <w:sz w:val="24"/>
          <w:szCs w:val="24"/>
        </w:rPr>
      </w:pPr>
      <w:r w:rsidRPr="00A51DD1">
        <w:rPr>
          <w:rFonts w:ascii="Times New Roman" w:hAnsi="Times New Roman"/>
          <w:sz w:val="24"/>
          <w:szCs w:val="24"/>
        </w:rPr>
        <w:t xml:space="preserve">Some </w:t>
      </w:r>
      <w:r w:rsidR="00E55A1A" w:rsidRPr="00A51DD1">
        <w:rPr>
          <w:rFonts w:ascii="Times New Roman" w:hAnsi="Times New Roman"/>
          <w:sz w:val="24"/>
          <w:szCs w:val="24"/>
        </w:rPr>
        <w:t>EM</w:t>
      </w:r>
      <w:r w:rsidR="00C653C6" w:rsidRPr="00A51DD1">
        <w:rPr>
          <w:rFonts w:ascii="Times New Roman" w:hAnsi="Times New Roman"/>
          <w:sz w:val="24"/>
          <w:szCs w:val="24"/>
        </w:rPr>
        <w:t xml:space="preserve"> </w:t>
      </w:r>
      <w:r w:rsidRPr="00A51DD1">
        <w:rPr>
          <w:rFonts w:ascii="Times New Roman" w:hAnsi="Times New Roman"/>
          <w:sz w:val="24"/>
          <w:szCs w:val="24"/>
        </w:rPr>
        <w:t>practices can be outright financial frauds</w:t>
      </w:r>
      <w:r w:rsidR="007021A9">
        <w:rPr>
          <w:rFonts w:ascii="Times New Roman" w:hAnsi="Times New Roman"/>
          <w:sz w:val="24"/>
          <w:szCs w:val="24"/>
        </w:rPr>
        <w:t>,</w:t>
      </w:r>
      <w:r w:rsidRPr="00A51DD1">
        <w:rPr>
          <w:rFonts w:ascii="Times New Roman" w:hAnsi="Times New Roman"/>
          <w:sz w:val="24"/>
          <w:szCs w:val="24"/>
        </w:rPr>
        <w:t xml:space="preserve"> </w:t>
      </w:r>
      <w:r w:rsidRPr="007021A9">
        <w:rPr>
          <w:rFonts w:ascii="Times New Roman" w:hAnsi="Times New Roman"/>
          <w:noProof/>
          <w:sz w:val="24"/>
          <w:szCs w:val="24"/>
        </w:rPr>
        <w:t>but</w:t>
      </w:r>
      <w:r w:rsidRPr="00A51DD1">
        <w:rPr>
          <w:rFonts w:ascii="Times New Roman" w:hAnsi="Times New Roman"/>
          <w:sz w:val="24"/>
          <w:szCs w:val="24"/>
        </w:rPr>
        <w:t xml:space="preserve"> most are not necessarily so </w:t>
      </w:r>
      <w:r w:rsidR="00C653C6" w:rsidRPr="00A51DD1">
        <w:rPr>
          <w:rFonts w:ascii="Times New Roman" w:hAnsi="Times New Roman"/>
          <w:sz w:val="24"/>
          <w:szCs w:val="24"/>
        </w:rPr>
        <w:t>because the management can legall</w:t>
      </w:r>
      <w:r w:rsidR="00E55A1A" w:rsidRPr="00A51DD1">
        <w:rPr>
          <w:rFonts w:ascii="Times New Roman" w:hAnsi="Times New Roman"/>
          <w:sz w:val="24"/>
          <w:szCs w:val="24"/>
        </w:rPr>
        <w:t>y make adjustments to affect</w:t>
      </w:r>
      <w:r w:rsidR="00C653C6" w:rsidRPr="00A51DD1">
        <w:rPr>
          <w:rFonts w:ascii="Times New Roman" w:hAnsi="Times New Roman"/>
          <w:sz w:val="24"/>
          <w:szCs w:val="24"/>
        </w:rPr>
        <w:t xml:space="preserve"> earnings under the current regulatory framework and accounting rules. For example, </w:t>
      </w:r>
      <w:r w:rsidR="002808D7" w:rsidRPr="00A51DD1">
        <w:rPr>
          <w:rFonts w:ascii="Times New Roman" w:hAnsi="Times New Roman"/>
          <w:sz w:val="24"/>
          <w:szCs w:val="24"/>
        </w:rPr>
        <w:t xml:space="preserve">under </w:t>
      </w:r>
      <w:r w:rsidR="007021A9">
        <w:rPr>
          <w:rFonts w:ascii="Times New Roman" w:hAnsi="Times New Roman"/>
          <w:sz w:val="24"/>
          <w:szCs w:val="24"/>
        </w:rPr>
        <w:t xml:space="preserve">the </w:t>
      </w:r>
      <w:r w:rsidR="002808D7" w:rsidRPr="007021A9">
        <w:rPr>
          <w:rFonts w:ascii="Times New Roman" w:hAnsi="Times New Roman"/>
          <w:noProof/>
          <w:sz w:val="24"/>
          <w:szCs w:val="24"/>
        </w:rPr>
        <w:t>US</w:t>
      </w:r>
      <w:r w:rsidR="002808D7" w:rsidRPr="00A51DD1">
        <w:rPr>
          <w:rFonts w:ascii="Times New Roman" w:hAnsi="Times New Roman"/>
          <w:sz w:val="24"/>
          <w:szCs w:val="24"/>
        </w:rPr>
        <w:t xml:space="preserve"> Generally Acceptable Accounting Principles (GAAP), the management has the discretions permissible </w:t>
      </w:r>
      <w:r w:rsidR="009E7BA3" w:rsidRPr="00A51DD1">
        <w:rPr>
          <w:rFonts w:ascii="Times New Roman" w:hAnsi="Times New Roman"/>
          <w:sz w:val="24"/>
          <w:szCs w:val="24"/>
        </w:rPr>
        <w:t xml:space="preserve">to conduct </w:t>
      </w:r>
      <w:r w:rsidR="00B95020" w:rsidRPr="00A51DD1">
        <w:rPr>
          <w:rFonts w:ascii="Times New Roman" w:hAnsi="Times New Roman"/>
          <w:sz w:val="24"/>
          <w:szCs w:val="24"/>
        </w:rPr>
        <w:t>discretionary accrual earnings management</w:t>
      </w:r>
      <w:r w:rsidR="00C653C6" w:rsidRPr="00A51DD1">
        <w:rPr>
          <w:rFonts w:ascii="Times New Roman" w:hAnsi="Times New Roman"/>
          <w:sz w:val="24"/>
          <w:szCs w:val="24"/>
        </w:rPr>
        <w:t xml:space="preserve">. </w:t>
      </w:r>
      <w:r w:rsidR="00B95020" w:rsidRPr="00A51DD1">
        <w:rPr>
          <w:rFonts w:ascii="Times New Roman" w:hAnsi="Times New Roman"/>
          <w:sz w:val="24"/>
          <w:szCs w:val="24"/>
        </w:rPr>
        <w:t>Real earnings management</w:t>
      </w:r>
      <w:r w:rsidR="00C653C6" w:rsidRPr="00A51DD1">
        <w:rPr>
          <w:rFonts w:ascii="Times New Roman" w:hAnsi="Times New Roman"/>
          <w:sz w:val="24"/>
          <w:szCs w:val="24"/>
        </w:rPr>
        <w:t xml:space="preserve"> is also legal since the management has the decision-making power in adjusting advertising, R&amp;D, and other operations over time. </w:t>
      </w:r>
    </w:p>
    <w:p w14:paraId="341BF89E" w14:textId="253E628D" w:rsidR="00B301FC" w:rsidRPr="00A51DD1" w:rsidRDefault="00AB0E51" w:rsidP="00AD2F56">
      <w:pPr>
        <w:spacing w:after="0" w:line="480" w:lineRule="auto"/>
        <w:ind w:firstLine="720"/>
        <w:jc w:val="both"/>
        <w:rPr>
          <w:rFonts w:ascii="Times New Roman" w:hAnsi="Times New Roman"/>
          <w:sz w:val="24"/>
          <w:szCs w:val="24"/>
        </w:rPr>
      </w:pPr>
      <w:r w:rsidRPr="00A51DD1">
        <w:rPr>
          <w:rFonts w:ascii="Times New Roman" w:hAnsi="Times New Roman"/>
          <w:sz w:val="24"/>
          <w:szCs w:val="24"/>
        </w:rPr>
        <w:t xml:space="preserve">Because MLPs pay out most of the available cash flow to shareholders, the management </w:t>
      </w:r>
      <w:r w:rsidRPr="007021A9">
        <w:rPr>
          <w:rFonts w:ascii="Times New Roman" w:hAnsi="Times New Roman"/>
          <w:noProof/>
          <w:sz w:val="24"/>
          <w:szCs w:val="24"/>
        </w:rPr>
        <w:t>ha</w:t>
      </w:r>
      <w:r w:rsidR="007021A9">
        <w:rPr>
          <w:rFonts w:ascii="Times New Roman" w:hAnsi="Times New Roman"/>
          <w:noProof/>
          <w:sz w:val="24"/>
          <w:szCs w:val="24"/>
        </w:rPr>
        <w:t>s</w:t>
      </w:r>
      <w:r w:rsidRPr="00A51DD1">
        <w:rPr>
          <w:rFonts w:ascii="Times New Roman" w:hAnsi="Times New Roman"/>
          <w:sz w:val="24"/>
          <w:szCs w:val="24"/>
        </w:rPr>
        <w:t xml:space="preserve"> </w:t>
      </w:r>
      <w:r w:rsidR="00173CC7" w:rsidRPr="00A51DD1">
        <w:rPr>
          <w:rFonts w:ascii="Times New Roman" w:hAnsi="Times New Roman"/>
          <w:sz w:val="24"/>
          <w:szCs w:val="24"/>
        </w:rPr>
        <w:t>less resource</w:t>
      </w:r>
      <w:r w:rsidRPr="00A51DD1">
        <w:rPr>
          <w:rFonts w:ascii="Times New Roman" w:hAnsi="Times New Roman"/>
          <w:sz w:val="24"/>
          <w:szCs w:val="24"/>
        </w:rPr>
        <w:t xml:space="preserve"> to squander. MLPs have to raise funds at the capital market to finance new </w:t>
      </w:r>
      <w:r w:rsidR="00173CC7" w:rsidRPr="00A51DD1">
        <w:rPr>
          <w:rFonts w:ascii="Times New Roman" w:hAnsi="Times New Roman"/>
          <w:sz w:val="24"/>
          <w:szCs w:val="24"/>
        </w:rPr>
        <w:t>projects;</w:t>
      </w:r>
      <w:r w:rsidRPr="00A51DD1">
        <w:rPr>
          <w:rFonts w:ascii="Times New Roman" w:hAnsi="Times New Roman"/>
          <w:sz w:val="24"/>
          <w:szCs w:val="24"/>
        </w:rPr>
        <w:t xml:space="preserve"> there could be more effective monitoring from the investors and analysts. </w:t>
      </w:r>
      <w:r w:rsidR="00413EAB" w:rsidRPr="00A51DD1">
        <w:rPr>
          <w:rFonts w:ascii="Times New Roman" w:hAnsi="Times New Roman"/>
          <w:sz w:val="24"/>
          <w:szCs w:val="24"/>
        </w:rPr>
        <w:t xml:space="preserve">If the GPs of the MLPs behave </w:t>
      </w:r>
      <w:r w:rsidR="002204AA" w:rsidRPr="00A51DD1">
        <w:rPr>
          <w:rFonts w:ascii="Times New Roman" w:hAnsi="Times New Roman"/>
          <w:sz w:val="24"/>
          <w:szCs w:val="24"/>
        </w:rPr>
        <w:t xml:space="preserve">the same as the management of traditional corporations, the </w:t>
      </w:r>
      <w:r w:rsidR="00173CC7" w:rsidRPr="00A51DD1">
        <w:rPr>
          <w:rFonts w:ascii="Times New Roman" w:hAnsi="Times New Roman"/>
          <w:sz w:val="24"/>
          <w:szCs w:val="24"/>
        </w:rPr>
        <w:t>effectiveness in alleviating the agency problem</w:t>
      </w:r>
      <w:r w:rsidR="00173CC7" w:rsidRPr="00A51DD1" w:rsidDel="00173CC7">
        <w:rPr>
          <w:rFonts w:ascii="Times New Roman" w:hAnsi="Times New Roman"/>
          <w:sz w:val="24"/>
          <w:szCs w:val="24"/>
        </w:rPr>
        <w:t xml:space="preserve"> </w:t>
      </w:r>
      <w:r w:rsidR="00173CC7" w:rsidRPr="00A51DD1">
        <w:rPr>
          <w:rFonts w:ascii="Times New Roman" w:hAnsi="Times New Roman"/>
          <w:sz w:val="24"/>
          <w:szCs w:val="24"/>
        </w:rPr>
        <w:t xml:space="preserve">by </w:t>
      </w:r>
      <w:r w:rsidR="002204AA" w:rsidRPr="00A51DD1">
        <w:rPr>
          <w:rFonts w:ascii="Times New Roman" w:hAnsi="Times New Roman"/>
          <w:sz w:val="24"/>
          <w:szCs w:val="24"/>
        </w:rPr>
        <w:t>these two special features, i.e., mandatory distribution of free cash flow and compensation by distributed cash flow, may be question</w:t>
      </w:r>
      <w:r w:rsidR="00173CC7" w:rsidRPr="00A51DD1">
        <w:rPr>
          <w:rFonts w:ascii="Times New Roman" w:hAnsi="Times New Roman"/>
          <w:sz w:val="24"/>
          <w:szCs w:val="24"/>
        </w:rPr>
        <w:t>ed</w:t>
      </w:r>
      <w:r w:rsidR="002204AA" w:rsidRPr="00A51DD1">
        <w:rPr>
          <w:rFonts w:ascii="Times New Roman" w:hAnsi="Times New Roman"/>
          <w:sz w:val="24"/>
          <w:szCs w:val="24"/>
        </w:rPr>
        <w:t xml:space="preserve">. However, if GPs behave </w:t>
      </w:r>
      <w:r w:rsidR="00413EAB" w:rsidRPr="00A51DD1">
        <w:rPr>
          <w:rFonts w:ascii="Times New Roman" w:hAnsi="Times New Roman"/>
          <w:sz w:val="24"/>
          <w:szCs w:val="24"/>
        </w:rPr>
        <w:t xml:space="preserve">differently from the management of traditional corporations, regulators and corporate boards may be interested in looking into whether a mandatory distribution of FCF and a change in the executive compensation practice are warranted – without changing the business organization form. </w:t>
      </w:r>
      <w:r w:rsidR="00413EAB" w:rsidRPr="007021A9">
        <w:rPr>
          <w:rFonts w:ascii="Times New Roman" w:hAnsi="Times New Roman"/>
          <w:noProof/>
          <w:sz w:val="24"/>
          <w:szCs w:val="24"/>
        </w:rPr>
        <w:t>This</w:t>
      </w:r>
      <w:r w:rsidR="00413EAB" w:rsidRPr="00A51DD1">
        <w:rPr>
          <w:rFonts w:ascii="Times New Roman" w:hAnsi="Times New Roman"/>
          <w:sz w:val="24"/>
          <w:szCs w:val="24"/>
        </w:rPr>
        <w:t xml:space="preserve"> is the motivation of our study.</w:t>
      </w:r>
      <w:r w:rsidR="001B55B5" w:rsidRPr="00A51DD1">
        <w:rPr>
          <w:rFonts w:ascii="Times New Roman" w:hAnsi="Times New Roman"/>
          <w:sz w:val="24"/>
          <w:szCs w:val="24"/>
        </w:rPr>
        <w:t xml:space="preserve"> </w:t>
      </w:r>
    </w:p>
    <w:p w14:paraId="2176D0C0" w14:textId="73922B13" w:rsidR="004D7B46" w:rsidRDefault="007C516B" w:rsidP="00AD2F56">
      <w:pPr>
        <w:spacing w:after="0" w:line="480" w:lineRule="auto"/>
        <w:ind w:firstLine="720"/>
        <w:jc w:val="both"/>
        <w:rPr>
          <w:rFonts w:ascii="Times New Roman" w:hAnsi="Times New Roman"/>
          <w:sz w:val="24"/>
          <w:szCs w:val="24"/>
        </w:rPr>
      </w:pPr>
      <w:r w:rsidRPr="00A51DD1">
        <w:rPr>
          <w:rFonts w:ascii="Times New Roman" w:hAnsi="Times New Roman"/>
          <w:sz w:val="24"/>
          <w:szCs w:val="24"/>
        </w:rPr>
        <w:t xml:space="preserve">The rest of the paper proceeds as follows. </w:t>
      </w:r>
      <w:r w:rsidR="008150AE" w:rsidRPr="00A51DD1">
        <w:rPr>
          <w:rFonts w:ascii="Times New Roman" w:hAnsi="Times New Roman"/>
          <w:sz w:val="24"/>
          <w:szCs w:val="24"/>
        </w:rPr>
        <w:t xml:space="preserve">Section 2 </w:t>
      </w:r>
      <w:r w:rsidR="00815B67" w:rsidRPr="00A51DD1">
        <w:rPr>
          <w:rFonts w:ascii="Times New Roman" w:hAnsi="Times New Roman"/>
          <w:sz w:val="24"/>
          <w:szCs w:val="24"/>
        </w:rPr>
        <w:t xml:space="preserve">reviews related </w:t>
      </w:r>
      <w:r w:rsidR="00BA35FE" w:rsidRPr="00A51DD1">
        <w:rPr>
          <w:rFonts w:ascii="Times New Roman" w:hAnsi="Times New Roman"/>
          <w:sz w:val="24"/>
          <w:szCs w:val="24"/>
        </w:rPr>
        <w:t xml:space="preserve">literature and </w:t>
      </w:r>
      <w:r w:rsidR="00BA35FE" w:rsidRPr="007021A9">
        <w:rPr>
          <w:rFonts w:ascii="Times New Roman" w:hAnsi="Times New Roman"/>
          <w:noProof/>
          <w:sz w:val="24"/>
          <w:szCs w:val="24"/>
        </w:rPr>
        <w:t>formulate</w:t>
      </w:r>
      <w:r w:rsidR="00C61BB9" w:rsidRPr="007021A9">
        <w:rPr>
          <w:rFonts w:ascii="Times New Roman" w:hAnsi="Times New Roman"/>
          <w:noProof/>
          <w:sz w:val="24"/>
          <w:szCs w:val="24"/>
        </w:rPr>
        <w:t>s</w:t>
      </w:r>
      <w:r w:rsidR="00BA35FE" w:rsidRPr="00A51DD1">
        <w:rPr>
          <w:rFonts w:ascii="Times New Roman" w:hAnsi="Times New Roman"/>
          <w:sz w:val="24"/>
          <w:szCs w:val="24"/>
        </w:rPr>
        <w:t xml:space="preserve"> the hypotheses</w:t>
      </w:r>
      <w:r w:rsidR="00403841" w:rsidRPr="00A51DD1">
        <w:rPr>
          <w:rFonts w:ascii="Times New Roman" w:hAnsi="Times New Roman"/>
          <w:sz w:val="24"/>
          <w:szCs w:val="24"/>
        </w:rPr>
        <w:t xml:space="preserve">. </w:t>
      </w:r>
      <w:r w:rsidR="00815B67" w:rsidRPr="00A51DD1">
        <w:rPr>
          <w:rFonts w:ascii="Times New Roman" w:hAnsi="Times New Roman"/>
          <w:sz w:val="24"/>
          <w:szCs w:val="24"/>
        </w:rPr>
        <w:t>Section 3 discusses the data and the methodology.</w:t>
      </w:r>
      <w:r w:rsidR="00403841" w:rsidRPr="00A51DD1">
        <w:rPr>
          <w:rFonts w:ascii="Times New Roman" w:hAnsi="Times New Roman"/>
          <w:sz w:val="24"/>
          <w:szCs w:val="24"/>
        </w:rPr>
        <w:t xml:space="preserve"> Section </w:t>
      </w:r>
      <w:r w:rsidR="00BA35FE" w:rsidRPr="00A51DD1">
        <w:rPr>
          <w:rFonts w:ascii="Times New Roman" w:hAnsi="Times New Roman"/>
          <w:sz w:val="24"/>
          <w:szCs w:val="24"/>
        </w:rPr>
        <w:t>4</w:t>
      </w:r>
      <w:r w:rsidR="00815B67" w:rsidRPr="00A51DD1">
        <w:rPr>
          <w:rFonts w:ascii="Times New Roman" w:hAnsi="Times New Roman"/>
          <w:sz w:val="24"/>
          <w:szCs w:val="24"/>
        </w:rPr>
        <w:t xml:space="preserve"> presents empirical results. Section 5 discusses the </w:t>
      </w:r>
      <w:r w:rsidR="00403841" w:rsidRPr="00A51DD1">
        <w:rPr>
          <w:rFonts w:ascii="Times New Roman" w:hAnsi="Times New Roman"/>
          <w:sz w:val="24"/>
          <w:szCs w:val="24"/>
        </w:rPr>
        <w:t xml:space="preserve">findings </w:t>
      </w:r>
      <w:r w:rsidR="00815B67" w:rsidRPr="00A51DD1">
        <w:rPr>
          <w:rFonts w:ascii="Times New Roman" w:hAnsi="Times New Roman"/>
          <w:sz w:val="24"/>
          <w:szCs w:val="24"/>
        </w:rPr>
        <w:t>and concludes.</w:t>
      </w:r>
    </w:p>
    <w:p w14:paraId="498B5B08" w14:textId="65135926" w:rsidR="002F79D0" w:rsidRDefault="002F79D0" w:rsidP="00AD2F56">
      <w:pPr>
        <w:spacing w:after="0" w:line="480" w:lineRule="auto"/>
        <w:ind w:firstLine="720"/>
        <w:jc w:val="both"/>
        <w:rPr>
          <w:rFonts w:ascii="Times New Roman" w:hAnsi="Times New Roman"/>
          <w:sz w:val="24"/>
          <w:szCs w:val="24"/>
        </w:rPr>
      </w:pPr>
    </w:p>
    <w:p w14:paraId="324FEBCF" w14:textId="77777777" w:rsidR="002F79D0" w:rsidRPr="00A51DD1" w:rsidRDefault="002F79D0" w:rsidP="00AD2F56">
      <w:pPr>
        <w:spacing w:after="0" w:line="480" w:lineRule="auto"/>
        <w:ind w:firstLine="720"/>
        <w:jc w:val="both"/>
        <w:rPr>
          <w:rFonts w:ascii="Times New Roman" w:hAnsi="Times New Roman"/>
          <w:sz w:val="24"/>
          <w:szCs w:val="24"/>
        </w:rPr>
      </w:pPr>
    </w:p>
    <w:p w14:paraId="42D34FDA" w14:textId="147E49F0" w:rsidR="00362F27" w:rsidRPr="00A51DD1" w:rsidRDefault="000A77E8" w:rsidP="00AD2F56">
      <w:pPr>
        <w:spacing w:before="120" w:after="0" w:line="480" w:lineRule="auto"/>
        <w:rPr>
          <w:rFonts w:ascii="Times New Roman" w:hAnsi="Times New Roman"/>
          <w:b/>
          <w:sz w:val="24"/>
          <w:szCs w:val="24"/>
        </w:rPr>
      </w:pPr>
      <w:r w:rsidRPr="00A51DD1">
        <w:rPr>
          <w:rFonts w:ascii="Times New Roman" w:hAnsi="Times New Roman"/>
          <w:b/>
          <w:sz w:val="24"/>
          <w:szCs w:val="24"/>
        </w:rPr>
        <w:t xml:space="preserve">2. </w:t>
      </w:r>
      <w:r w:rsidR="0022489E" w:rsidRPr="00A51DD1">
        <w:rPr>
          <w:rFonts w:ascii="Times New Roman" w:hAnsi="Times New Roman"/>
          <w:b/>
          <w:sz w:val="24"/>
          <w:szCs w:val="24"/>
        </w:rPr>
        <w:t xml:space="preserve">Review of Related </w:t>
      </w:r>
      <w:r w:rsidR="00F144EF" w:rsidRPr="00A51DD1">
        <w:rPr>
          <w:rFonts w:ascii="Times New Roman" w:hAnsi="Times New Roman"/>
          <w:b/>
          <w:sz w:val="24"/>
          <w:szCs w:val="24"/>
        </w:rPr>
        <w:t xml:space="preserve">Literature and </w:t>
      </w:r>
      <w:r w:rsidR="0022489E" w:rsidRPr="00A51DD1">
        <w:rPr>
          <w:rFonts w:ascii="Times New Roman" w:hAnsi="Times New Roman"/>
          <w:b/>
          <w:sz w:val="24"/>
          <w:szCs w:val="24"/>
        </w:rPr>
        <w:t xml:space="preserve">the Formation of </w:t>
      </w:r>
      <w:r w:rsidR="00F144EF" w:rsidRPr="00A51DD1">
        <w:rPr>
          <w:rFonts w:ascii="Times New Roman" w:hAnsi="Times New Roman"/>
          <w:b/>
          <w:sz w:val="24"/>
          <w:szCs w:val="24"/>
        </w:rPr>
        <w:t>Hypotheses</w:t>
      </w:r>
    </w:p>
    <w:p w14:paraId="3FAB41DA" w14:textId="616C2BB5" w:rsidR="00F144EF" w:rsidRPr="00A51DD1" w:rsidRDefault="007B0EFD" w:rsidP="004253F6">
      <w:pPr>
        <w:spacing w:after="0" w:line="480" w:lineRule="auto"/>
        <w:ind w:firstLine="720"/>
        <w:jc w:val="both"/>
        <w:rPr>
          <w:rFonts w:ascii="Times New Roman" w:hAnsi="Times New Roman"/>
          <w:sz w:val="24"/>
          <w:szCs w:val="24"/>
        </w:rPr>
      </w:pPr>
      <w:r w:rsidRPr="00A51DD1">
        <w:rPr>
          <w:rFonts w:ascii="Times New Roman" w:hAnsi="Times New Roman"/>
          <w:sz w:val="24"/>
          <w:szCs w:val="24"/>
        </w:rPr>
        <w:t>In t</w:t>
      </w:r>
      <w:r w:rsidR="00F144EF" w:rsidRPr="00A51DD1">
        <w:rPr>
          <w:rFonts w:ascii="Times New Roman" w:hAnsi="Times New Roman"/>
          <w:sz w:val="24"/>
          <w:szCs w:val="24"/>
        </w:rPr>
        <w:t>his section</w:t>
      </w:r>
      <w:r w:rsidRPr="00A51DD1">
        <w:rPr>
          <w:rFonts w:ascii="Times New Roman" w:hAnsi="Times New Roman"/>
          <w:sz w:val="24"/>
          <w:szCs w:val="24"/>
        </w:rPr>
        <w:t>, we</w:t>
      </w:r>
      <w:r w:rsidR="00F144EF" w:rsidRPr="00A51DD1">
        <w:rPr>
          <w:rFonts w:ascii="Times New Roman" w:hAnsi="Times New Roman"/>
          <w:sz w:val="24"/>
          <w:szCs w:val="24"/>
        </w:rPr>
        <w:t xml:space="preserve"> first </w:t>
      </w:r>
      <w:r w:rsidR="00F15DF4" w:rsidRPr="00A51DD1">
        <w:rPr>
          <w:rFonts w:ascii="Times New Roman" w:hAnsi="Times New Roman"/>
          <w:sz w:val="24"/>
          <w:szCs w:val="24"/>
        </w:rPr>
        <w:t xml:space="preserve">discuss </w:t>
      </w:r>
      <w:r w:rsidR="00371189" w:rsidRPr="00A51DD1">
        <w:rPr>
          <w:rFonts w:ascii="Times New Roman" w:hAnsi="Times New Roman"/>
          <w:sz w:val="24"/>
          <w:szCs w:val="24"/>
        </w:rPr>
        <w:t>MLP organization structure and the governance issues.</w:t>
      </w:r>
      <w:r w:rsidR="00797356" w:rsidRPr="00A51DD1">
        <w:rPr>
          <w:rFonts w:ascii="Times New Roman" w:hAnsi="Times New Roman"/>
          <w:sz w:val="24"/>
          <w:szCs w:val="24"/>
        </w:rPr>
        <w:t xml:space="preserve"> Then, we </w:t>
      </w:r>
      <w:r w:rsidR="00371189" w:rsidRPr="00A51DD1">
        <w:rPr>
          <w:rFonts w:ascii="Times New Roman" w:hAnsi="Times New Roman"/>
          <w:sz w:val="24"/>
          <w:szCs w:val="24"/>
        </w:rPr>
        <w:t xml:space="preserve">review </w:t>
      </w:r>
      <w:r w:rsidR="00F15DF4" w:rsidRPr="00A51DD1">
        <w:rPr>
          <w:rFonts w:ascii="Times New Roman" w:hAnsi="Times New Roman"/>
          <w:sz w:val="24"/>
          <w:szCs w:val="24"/>
        </w:rPr>
        <w:t xml:space="preserve">related </w:t>
      </w:r>
      <w:r w:rsidR="00371189" w:rsidRPr="00A51DD1">
        <w:rPr>
          <w:rFonts w:ascii="Times New Roman" w:hAnsi="Times New Roman"/>
          <w:sz w:val="24"/>
          <w:szCs w:val="24"/>
        </w:rPr>
        <w:t xml:space="preserve">previous studies on the relation between corporate governance and EM. </w:t>
      </w:r>
      <w:r w:rsidRPr="00A51DD1">
        <w:rPr>
          <w:rFonts w:ascii="Times New Roman" w:hAnsi="Times New Roman"/>
          <w:sz w:val="24"/>
          <w:szCs w:val="24"/>
        </w:rPr>
        <w:t xml:space="preserve">Finally, we </w:t>
      </w:r>
      <w:r w:rsidR="00F15DF4" w:rsidRPr="00A51DD1">
        <w:rPr>
          <w:rFonts w:ascii="Times New Roman" w:hAnsi="Times New Roman"/>
          <w:sz w:val="24"/>
          <w:szCs w:val="24"/>
        </w:rPr>
        <w:t>develop several testable hypotheses</w:t>
      </w:r>
      <w:r w:rsidR="000A77E8" w:rsidRPr="00A51DD1">
        <w:rPr>
          <w:rFonts w:ascii="Times New Roman" w:hAnsi="Times New Roman"/>
          <w:sz w:val="24"/>
          <w:szCs w:val="24"/>
        </w:rPr>
        <w:t>.</w:t>
      </w:r>
    </w:p>
    <w:p w14:paraId="1EF22197" w14:textId="605FE631" w:rsidR="00371189" w:rsidRPr="002F79D0" w:rsidRDefault="00370A4E" w:rsidP="004253F6">
      <w:pPr>
        <w:tabs>
          <w:tab w:val="left" w:pos="90"/>
        </w:tabs>
        <w:spacing w:before="120" w:after="0" w:line="480" w:lineRule="auto"/>
        <w:rPr>
          <w:rFonts w:ascii="Times New Roman" w:hAnsi="Times New Roman"/>
          <w:b/>
          <w:i/>
          <w:sz w:val="24"/>
          <w:szCs w:val="24"/>
        </w:rPr>
      </w:pPr>
      <w:r w:rsidRPr="002F79D0">
        <w:rPr>
          <w:rFonts w:ascii="Times New Roman" w:hAnsi="Times New Roman"/>
          <w:b/>
          <w:i/>
          <w:sz w:val="24"/>
          <w:szCs w:val="24"/>
        </w:rPr>
        <w:t>2.1. Master limited partnerships organization structure</w:t>
      </w:r>
    </w:p>
    <w:p w14:paraId="105106A6" w14:textId="655794C3" w:rsidR="00C12CDB" w:rsidRPr="00A51DD1" w:rsidRDefault="00371189" w:rsidP="00C12CDB">
      <w:pPr>
        <w:spacing w:after="0" w:line="480" w:lineRule="auto"/>
        <w:ind w:firstLine="720"/>
        <w:jc w:val="both"/>
        <w:rPr>
          <w:rFonts w:ascii="Times New Roman" w:hAnsi="Times New Roman"/>
          <w:sz w:val="24"/>
          <w:szCs w:val="24"/>
        </w:rPr>
      </w:pPr>
      <w:r w:rsidRPr="00A51DD1">
        <w:rPr>
          <w:rFonts w:ascii="Times New Roman" w:hAnsi="Times New Roman"/>
          <w:sz w:val="24"/>
          <w:szCs w:val="24"/>
        </w:rPr>
        <w:t>A</w:t>
      </w:r>
      <w:r w:rsidR="008D1EB1" w:rsidRPr="00A51DD1">
        <w:rPr>
          <w:rFonts w:ascii="Times New Roman" w:hAnsi="Times New Roman"/>
          <w:sz w:val="24"/>
          <w:szCs w:val="24"/>
        </w:rPr>
        <w:t xml:space="preserve"> GP</w:t>
      </w:r>
      <w:r w:rsidR="004D7B46" w:rsidRPr="00A51DD1">
        <w:rPr>
          <w:rFonts w:ascii="Times New Roman" w:hAnsi="Times New Roman"/>
          <w:sz w:val="24"/>
          <w:szCs w:val="24"/>
        </w:rPr>
        <w:t xml:space="preserve"> </w:t>
      </w:r>
      <w:r w:rsidR="00EB1F5C" w:rsidRPr="00A51DD1">
        <w:rPr>
          <w:rFonts w:ascii="Times New Roman" w:hAnsi="Times New Roman"/>
          <w:sz w:val="24"/>
          <w:szCs w:val="24"/>
        </w:rPr>
        <w:t xml:space="preserve">can be </w:t>
      </w:r>
      <w:r w:rsidR="00C12CDB" w:rsidRPr="00A51DD1">
        <w:rPr>
          <w:rFonts w:ascii="Times New Roman" w:hAnsi="Times New Roman"/>
          <w:sz w:val="24"/>
          <w:szCs w:val="24"/>
        </w:rPr>
        <w:t xml:space="preserve">a holding company or a person appointed by a sponsoring company. The sponsoring company divest assets to the MLP </w:t>
      </w:r>
      <w:r w:rsidR="00C12CDB" w:rsidRPr="00D34BED">
        <w:rPr>
          <w:rFonts w:ascii="Times New Roman" w:hAnsi="Times New Roman"/>
          <w:noProof/>
          <w:sz w:val="24"/>
          <w:szCs w:val="24"/>
        </w:rPr>
        <w:t>and</w:t>
      </w:r>
      <w:r w:rsidR="00C12CDB" w:rsidRPr="00A51DD1">
        <w:rPr>
          <w:rFonts w:ascii="Times New Roman" w:hAnsi="Times New Roman"/>
          <w:sz w:val="24"/>
          <w:szCs w:val="24"/>
        </w:rPr>
        <w:t xml:space="preserve"> placing new assets or business streams in the MLP. </w:t>
      </w:r>
      <w:r w:rsidRPr="00A51DD1">
        <w:rPr>
          <w:rFonts w:ascii="Times New Roman" w:hAnsi="Times New Roman"/>
          <w:sz w:val="24"/>
          <w:szCs w:val="24"/>
        </w:rPr>
        <w:t>An MLP raise</w:t>
      </w:r>
      <w:r w:rsidR="00EB1F5C" w:rsidRPr="00A51DD1">
        <w:rPr>
          <w:rFonts w:ascii="Times New Roman" w:hAnsi="Times New Roman"/>
          <w:sz w:val="24"/>
          <w:szCs w:val="24"/>
        </w:rPr>
        <w:t>s</w:t>
      </w:r>
      <w:r w:rsidRPr="00A51DD1">
        <w:rPr>
          <w:rFonts w:ascii="Times New Roman" w:hAnsi="Times New Roman"/>
          <w:sz w:val="24"/>
          <w:szCs w:val="24"/>
        </w:rPr>
        <w:t xml:space="preserve"> capital by issuing units to investors, who become </w:t>
      </w:r>
      <w:r w:rsidR="00EB1F5C" w:rsidRPr="00A51DD1">
        <w:rPr>
          <w:rFonts w:ascii="Times New Roman" w:hAnsi="Times New Roman"/>
          <w:sz w:val="24"/>
          <w:szCs w:val="24"/>
        </w:rPr>
        <w:t xml:space="preserve">unitholders, i.e., shareholders. With </w:t>
      </w:r>
      <w:r w:rsidRPr="00A51DD1">
        <w:rPr>
          <w:rFonts w:ascii="Times New Roman" w:hAnsi="Times New Roman"/>
          <w:sz w:val="24"/>
          <w:szCs w:val="24"/>
        </w:rPr>
        <w:t xml:space="preserve">limited </w:t>
      </w:r>
      <w:r w:rsidR="00EB1F5C" w:rsidRPr="00A51DD1">
        <w:rPr>
          <w:rFonts w:ascii="Times New Roman" w:hAnsi="Times New Roman"/>
          <w:sz w:val="24"/>
          <w:szCs w:val="24"/>
        </w:rPr>
        <w:t xml:space="preserve">liability, LPs have no role in managerial decision-making but </w:t>
      </w:r>
      <w:r w:rsidR="00C12CDB" w:rsidRPr="00A51DD1">
        <w:rPr>
          <w:rFonts w:ascii="Times New Roman" w:hAnsi="Times New Roman"/>
          <w:sz w:val="24"/>
          <w:szCs w:val="24"/>
        </w:rPr>
        <w:t xml:space="preserve">hold most of the units issued by the partnership (98% in most cases). </w:t>
      </w:r>
      <w:r w:rsidR="00815B67" w:rsidRPr="00A51DD1">
        <w:rPr>
          <w:rFonts w:ascii="Times New Roman" w:hAnsi="Times New Roman"/>
          <w:sz w:val="24"/>
          <w:szCs w:val="24"/>
        </w:rPr>
        <w:t>These units</w:t>
      </w:r>
      <w:r w:rsidRPr="00A51DD1">
        <w:rPr>
          <w:rFonts w:ascii="Times New Roman" w:hAnsi="Times New Roman"/>
          <w:sz w:val="24"/>
          <w:szCs w:val="24"/>
        </w:rPr>
        <w:t xml:space="preserve"> </w:t>
      </w:r>
      <w:r w:rsidRPr="00D34BED">
        <w:rPr>
          <w:rFonts w:ascii="Times New Roman" w:hAnsi="Times New Roman"/>
          <w:noProof/>
          <w:sz w:val="24"/>
          <w:szCs w:val="24"/>
        </w:rPr>
        <w:t>are traded</w:t>
      </w:r>
      <w:r w:rsidRPr="00A51DD1">
        <w:rPr>
          <w:rFonts w:ascii="Times New Roman" w:hAnsi="Times New Roman"/>
          <w:sz w:val="24"/>
          <w:szCs w:val="24"/>
        </w:rPr>
        <w:t xml:space="preserve"> on regular stock exchanges. Thus, MLPs are public companies</w:t>
      </w:r>
      <w:r w:rsidR="00950C8E" w:rsidRPr="00A51DD1">
        <w:rPr>
          <w:rFonts w:ascii="Times New Roman" w:hAnsi="Times New Roman"/>
          <w:sz w:val="24"/>
          <w:szCs w:val="24"/>
        </w:rPr>
        <w:t xml:space="preserve"> and </w:t>
      </w:r>
      <w:r w:rsidRPr="00A51DD1">
        <w:rPr>
          <w:rFonts w:ascii="Times New Roman" w:hAnsi="Times New Roman"/>
          <w:sz w:val="24"/>
          <w:szCs w:val="24"/>
        </w:rPr>
        <w:t xml:space="preserve">release quarterly and annual reports as well as filing various other reports of material information with the Securities Exchange Commission (SEC). MLPs differ from traditional corporations in two important aspects. First, </w:t>
      </w:r>
      <w:r w:rsidR="00C12CDB" w:rsidRPr="00A51DD1">
        <w:rPr>
          <w:rFonts w:ascii="Times New Roman" w:hAnsi="Times New Roman"/>
          <w:sz w:val="24"/>
          <w:szCs w:val="24"/>
        </w:rPr>
        <w:t>as pass-through entities</w:t>
      </w:r>
      <w:r w:rsidRPr="00A51DD1">
        <w:rPr>
          <w:rFonts w:ascii="Times New Roman" w:hAnsi="Times New Roman"/>
          <w:sz w:val="24"/>
          <w:szCs w:val="24"/>
        </w:rPr>
        <w:t xml:space="preserve">, MLPs are not subject to </w:t>
      </w:r>
      <w:r w:rsidR="00C12CDB" w:rsidRPr="00A51DD1">
        <w:rPr>
          <w:rFonts w:ascii="Times New Roman" w:hAnsi="Times New Roman"/>
          <w:sz w:val="24"/>
          <w:szCs w:val="24"/>
        </w:rPr>
        <w:t xml:space="preserve">corporate taxation, thus avoiding </w:t>
      </w:r>
      <w:r w:rsidRPr="00A51DD1">
        <w:rPr>
          <w:rFonts w:ascii="Times New Roman" w:hAnsi="Times New Roman"/>
          <w:sz w:val="24"/>
          <w:szCs w:val="24"/>
        </w:rPr>
        <w:t>double taxation (</w:t>
      </w:r>
      <w:r w:rsidRPr="00D34BED">
        <w:rPr>
          <w:rFonts w:ascii="Times New Roman" w:hAnsi="Times New Roman"/>
          <w:noProof/>
          <w:sz w:val="24"/>
          <w:szCs w:val="24"/>
        </w:rPr>
        <w:t>i.e.</w:t>
      </w:r>
      <w:r w:rsidR="00D34BED">
        <w:rPr>
          <w:rFonts w:ascii="Times New Roman" w:hAnsi="Times New Roman"/>
          <w:noProof/>
          <w:sz w:val="24"/>
          <w:szCs w:val="24"/>
        </w:rPr>
        <w:t>,</w:t>
      </w:r>
      <w:r w:rsidRPr="00A51DD1">
        <w:rPr>
          <w:rFonts w:ascii="Times New Roman" w:hAnsi="Times New Roman"/>
          <w:sz w:val="24"/>
          <w:szCs w:val="24"/>
        </w:rPr>
        <w:t xml:space="preserve"> once at the corporate level and a second time at the individual shareholder level). </w:t>
      </w:r>
      <w:r w:rsidR="00C12CDB" w:rsidRPr="00A51DD1">
        <w:rPr>
          <w:rFonts w:ascii="Times New Roman" w:hAnsi="Times New Roman"/>
          <w:sz w:val="24"/>
          <w:szCs w:val="24"/>
        </w:rPr>
        <w:t xml:space="preserve">Secondly, </w:t>
      </w:r>
      <w:r w:rsidRPr="00A51DD1">
        <w:rPr>
          <w:rFonts w:ascii="Times New Roman" w:hAnsi="Times New Roman"/>
          <w:sz w:val="24"/>
          <w:szCs w:val="24"/>
        </w:rPr>
        <w:t xml:space="preserve">MLPs must distribute most of their income to their unitholders, who must pay taxes on their distributed income for income tax purposes, similar to the case of partners in a partnership. </w:t>
      </w:r>
    </w:p>
    <w:p w14:paraId="4582A9B8" w14:textId="6BF2D900" w:rsidR="002A40D0" w:rsidRPr="00A51DD1" w:rsidRDefault="00950C8E" w:rsidP="006B6E59">
      <w:pPr>
        <w:spacing w:after="0" w:line="480" w:lineRule="auto"/>
        <w:ind w:firstLine="720"/>
        <w:jc w:val="both"/>
        <w:rPr>
          <w:rFonts w:ascii="Times New Roman" w:hAnsi="Times New Roman"/>
          <w:sz w:val="24"/>
          <w:szCs w:val="24"/>
        </w:rPr>
      </w:pPr>
      <w:r w:rsidRPr="00A51DD1">
        <w:rPr>
          <w:rFonts w:ascii="Times New Roman" w:hAnsi="Times New Roman"/>
          <w:sz w:val="24"/>
          <w:szCs w:val="24"/>
        </w:rPr>
        <w:t xml:space="preserve">As Table 1 shows, the number of listed MLPs increased from three in 1995 to </w:t>
      </w:r>
      <w:r w:rsidR="004D7B46" w:rsidRPr="00D34BED">
        <w:rPr>
          <w:rFonts w:ascii="Times New Roman" w:hAnsi="Times New Roman"/>
          <w:noProof/>
          <w:sz w:val="24"/>
          <w:szCs w:val="24"/>
        </w:rPr>
        <w:t>ninety</w:t>
      </w:r>
      <w:r w:rsidR="00D34BED">
        <w:rPr>
          <w:rFonts w:ascii="Times New Roman" w:hAnsi="Times New Roman"/>
          <w:noProof/>
          <w:sz w:val="24"/>
          <w:szCs w:val="24"/>
        </w:rPr>
        <w:t>-</w:t>
      </w:r>
      <w:r w:rsidR="004D7B46" w:rsidRPr="00D34BED">
        <w:rPr>
          <w:rFonts w:ascii="Times New Roman" w:hAnsi="Times New Roman"/>
          <w:noProof/>
          <w:sz w:val="24"/>
          <w:szCs w:val="24"/>
        </w:rPr>
        <w:t>six</w:t>
      </w:r>
      <w:r w:rsidR="004D7B46" w:rsidRPr="00A51DD1">
        <w:rPr>
          <w:rFonts w:ascii="Times New Roman" w:hAnsi="Times New Roman"/>
          <w:sz w:val="24"/>
          <w:szCs w:val="24"/>
        </w:rPr>
        <w:t xml:space="preserve"> </w:t>
      </w:r>
      <w:r w:rsidRPr="00A51DD1">
        <w:rPr>
          <w:rFonts w:ascii="Times New Roman" w:hAnsi="Times New Roman"/>
          <w:sz w:val="24"/>
          <w:szCs w:val="24"/>
        </w:rPr>
        <w:t xml:space="preserve">in 2015. Most MLPs operate in the natural resources sector including oil, gas and petroleum exploration, processing, storage, transportation, pipeline, and related activities. </w:t>
      </w:r>
      <w:r w:rsidRPr="009F659E">
        <w:rPr>
          <w:rFonts w:ascii="Times New Roman" w:hAnsi="Times New Roman"/>
          <w:noProof/>
          <w:sz w:val="24"/>
          <w:szCs w:val="24"/>
        </w:rPr>
        <w:t>This</w:t>
      </w:r>
      <w:r w:rsidRPr="00A51DD1">
        <w:rPr>
          <w:rFonts w:ascii="Times New Roman" w:hAnsi="Times New Roman"/>
          <w:sz w:val="24"/>
          <w:szCs w:val="24"/>
        </w:rPr>
        <w:t xml:space="preserve"> is the case because IRS rules require that </w:t>
      </w:r>
      <w:r w:rsidR="00371189" w:rsidRPr="00A51DD1">
        <w:rPr>
          <w:rFonts w:ascii="Times New Roman" w:hAnsi="Times New Roman"/>
          <w:sz w:val="24"/>
          <w:szCs w:val="24"/>
        </w:rPr>
        <w:t xml:space="preserve">MLPs </w:t>
      </w:r>
      <w:r w:rsidRPr="00A51DD1">
        <w:rPr>
          <w:rFonts w:ascii="Times New Roman" w:hAnsi="Times New Roman"/>
          <w:sz w:val="24"/>
          <w:szCs w:val="24"/>
        </w:rPr>
        <w:t>c</w:t>
      </w:r>
      <w:r w:rsidR="00194092" w:rsidRPr="00A51DD1">
        <w:rPr>
          <w:rFonts w:ascii="Times New Roman" w:hAnsi="Times New Roman"/>
          <w:sz w:val="24"/>
          <w:szCs w:val="24"/>
        </w:rPr>
        <w:t>ould</w:t>
      </w:r>
      <w:r w:rsidRPr="00A51DD1">
        <w:rPr>
          <w:rFonts w:ascii="Times New Roman" w:hAnsi="Times New Roman"/>
          <w:sz w:val="24"/>
          <w:szCs w:val="24"/>
        </w:rPr>
        <w:t xml:space="preserve"> maintain their tax-exempt status only if they derive at least </w:t>
      </w:r>
      <w:r w:rsidR="00371189" w:rsidRPr="00A51DD1">
        <w:rPr>
          <w:rFonts w:ascii="Times New Roman" w:hAnsi="Times New Roman"/>
          <w:sz w:val="24"/>
          <w:szCs w:val="24"/>
        </w:rPr>
        <w:t>90% of their income from qualifying sources, which include revenues predominantly from natural resources</w:t>
      </w:r>
      <w:r w:rsidRPr="00A51DD1">
        <w:rPr>
          <w:rFonts w:ascii="Times New Roman" w:hAnsi="Times New Roman"/>
          <w:sz w:val="24"/>
          <w:szCs w:val="24"/>
        </w:rPr>
        <w:t>, energy</w:t>
      </w:r>
      <w:r w:rsidR="00D34BED">
        <w:rPr>
          <w:rFonts w:ascii="Times New Roman" w:hAnsi="Times New Roman"/>
          <w:sz w:val="24"/>
          <w:szCs w:val="24"/>
        </w:rPr>
        <w:t>,</w:t>
      </w:r>
      <w:r w:rsidRPr="00A51DD1">
        <w:rPr>
          <w:rFonts w:ascii="Times New Roman" w:hAnsi="Times New Roman"/>
          <w:sz w:val="24"/>
          <w:szCs w:val="24"/>
        </w:rPr>
        <w:t xml:space="preserve"> </w:t>
      </w:r>
      <w:r w:rsidRPr="00D34BED">
        <w:rPr>
          <w:rFonts w:ascii="Times New Roman" w:hAnsi="Times New Roman"/>
          <w:noProof/>
          <w:sz w:val="24"/>
          <w:szCs w:val="24"/>
        </w:rPr>
        <w:t>and</w:t>
      </w:r>
      <w:r w:rsidRPr="00A51DD1">
        <w:rPr>
          <w:rFonts w:ascii="Times New Roman" w:hAnsi="Times New Roman"/>
          <w:sz w:val="24"/>
          <w:szCs w:val="24"/>
        </w:rPr>
        <w:t xml:space="preserve"> commodities. </w:t>
      </w:r>
      <w:r w:rsidR="00371189" w:rsidRPr="00A51DD1">
        <w:rPr>
          <w:rFonts w:ascii="Times New Roman" w:hAnsi="Times New Roman"/>
          <w:sz w:val="24"/>
          <w:szCs w:val="24"/>
        </w:rPr>
        <w:t>With recent changes in legislation allowing more institutional investors to own MLP units (for example, mutual funds), and given MLPs’ ability to generate high yield on investment for investors due to their tax-free status, we expect interest in MLP units to increase.</w:t>
      </w:r>
    </w:p>
    <w:p w14:paraId="3824297C" w14:textId="5A0EBD2A" w:rsidR="00797356" w:rsidRPr="002F79D0" w:rsidRDefault="00370A4E" w:rsidP="004253F6">
      <w:pPr>
        <w:spacing w:before="120" w:after="0" w:line="480" w:lineRule="auto"/>
        <w:rPr>
          <w:rFonts w:ascii="Times New Roman" w:hAnsi="Times New Roman"/>
          <w:b/>
          <w:i/>
          <w:sz w:val="24"/>
          <w:szCs w:val="24"/>
        </w:rPr>
      </w:pPr>
      <w:r w:rsidRPr="002F79D0">
        <w:rPr>
          <w:rFonts w:ascii="Times New Roman" w:hAnsi="Times New Roman"/>
          <w:b/>
          <w:i/>
          <w:sz w:val="24"/>
          <w:szCs w:val="24"/>
        </w:rPr>
        <w:t>2.2. Corporate governance and earnings management</w:t>
      </w:r>
    </w:p>
    <w:p w14:paraId="14AFDDA6" w14:textId="4C56642D" w:rsidR="00194092" w:rsidRPr="00A51DD1" w:rsidRDefault="006F394E" w:rsidP="00B309E9">
      <w:pPr>
        <w:spacing w:after="0" w:line="480" w:lineRule="auto"/>
        <w:ind w:firstLine="720"/>
        <w:jc w:val="both"/>
        <w:rPr>
          <w:rFonts w:ascii="Times New Roman" w:hAnsi="Times New Roman"/>
          <w:sz w:val="24"/>
          <w:szCs w:val="24"/>
        </w:rPr>
      </w:pPr>
      <w:r w:rsidRPr="00A51DD1">
        <w:rPr>
          <w:rFonts w:ascii="Times New Roman" w:hAnsi="Times New Roman"/>
          <w:sz w:val="24"/>
          <w:szCs w:val="24"/>
        </w:rPr>
        <w:t>Even i</w:t>
      </w:r>
      <w:r w:rsidR="001F3636" w:rsidRPr="00A51DD1">
        <w:rPr>
          <w:rFonts w:ascii="Times New Roman" w:hAnsi="Times New Roman"/>
          <w:sz w:val="24"/>
          <w:szCs w:val="24"/>
        </w:rPr>
        <w:t xml:space="preserve">f </w:t>
      </w:r>
      <w:r w:rsidRPr="00A51DD1">
        <w:rPr>
          <w:rFonts w:ascii="Times New Roman" w:hAnsi="Times New Roman"/>
          <w:sz w:val="24"/>
          <w:szCs w:val="24"/>
        </w:rPr>
        <w:t xml:space="preserve">it is </w:t>
      </w:r>
      <w:r w:rsidR="001F3636" w:rsidRPr="00A51DD1">
        <w:rPr>
          <w:rFonts w:ascii="Times New Roman" w:hAnsi="Times New Roman"/>
          <w:sz w:val="24"/>
          <w:szCs w:val="24"/>
        </w:rPr>
        <w:t xml:space="preserve">not outright frauds, is EM still harmful to investors? The answer depends on the </w:t>
      </w:r>
      <w:r w:rsidR="00586C2C" w:rsidRPr="00A51DD1">
        <w:rPr>
          <w:rFonts w:ascii="Times New Roman" w:hAnsi="Times New Roman"/>
          <w:sz w:val="24"/>
          <w:szCs w:val="24"/>
        </w:rPr>
        <w:t xml:space="preserve">degree of </w:t>
      </w:r>
      <w:r w:rsidR="001F3636" w:rsidRPr="00A51DD1">
        <w:rPr>
          <w:rFonts w:ascii="Times New Roman" w:hAnsi="Times New Roman"/>
          <w:sz w:val="24"/>
          <w:szCs w:val="24"/>
        </w:rPr>
        <w:t>sophistication of the investors</w:t>
      </w:r>
      <w:r w:rsidR="00586C2C" w:rsidRPr="00A51DD1">
        <w:rPr>
          <w:rFonts w:ascii="Times New Roman" w:hAnsi="Times New Roman"/>
          <w:sz w:val="24"/>
          <w:szCs w:val="24"/>
        </w:rPr>
        <w:t>, corporate governance structures,</w:t>
      </w:r>
      <w:r w:rsidR="001F3636" w:rsidRPr="00A51DD1">
        <w:rPr>
          <w:rFonts w:ascii="Times New Roman" w:hAnsi="Times New Roman"/>
          <w:sz w:val="24"/>
          <w:szCs w:val="24"/>
        </w:rPr>
        <w:t xml:space="preserve"> and the ability of the management. If the capital market is efficient and there is effective monitoring on the management, conducting discretional accruals management is less likely to distort market valuation. </w:t>
      </w:r>
      <w:r w:rsidR="009F659E">
        <w:rPr>
          <w:rFonts w:ascii="Times New Roman" w:hAnsi="Times New Roman"/>
          <w:noProof/>
          <w:sz w:val="24"/>
          <w:szCs w:val="24"/>
        </w:rPr>
        <w:t>S</w:t>
      </w:r>
      <w:r w:rsidR="001F3636" w:rsidRPr="00A51DD1">
        <w:rPr>
          <w:rFonts w:ascii="Times New Roman" w:hAnsi="Times New Roman"/>
          <w:sz w:val="24"/>
          <w:szCs w:val="24"/>
        </w:rPr>
        <w:t xml:space="preserve">ome researchers have shown that the management may use discretional accruals management to smooth earnings fluctuation or to signal to investors about future performance. Subramanyam (1996) and Bowen, Rajgopal, and Venkatachalam (2008) provide evidence to support this so-called efficient contracting hypothesis of </w:t>
      </w:r>
      <w:r w:rsidR="00690CA7" w:rsidRPr="00A51DD1">
        <w:rPr>
          <w:rFonts w:ascii="Times New Roman" w:hAnsi="Times New Roman"/>
          <w:sz w:val="24"/>
          <w:szCs w:val="24"/>
        </w:rPr>
        <w:t>earnings management</w:t>
      </w:r>
      <w:r w:rsidR="001F3636" w:rsidRPr="00A51DD1">
        <w:rPr>
          <w:rFonts w:ascii="Times New Roman" w:hAnsi="Times New Roman"/>
          <w:sz w:val="24"/>
          <w:szCs w:val="24"/>
        </w:rPr>
        <w:t xml:space="preserve">. </w:t>
      </w:r>
      <w:r w:rsidR="002D472E" w:rsidRPr="00A51DD1">
        <w:rPr>
          <w:rFonts w:ascii="Times New Roman" w:hAnsi="Times New Roman"/>
          <w:sz w:val="24"/>
          <w:szCs w:val="24"/>
        </w:rPr>
        <w:t xml:space="preserve">However, </w:t>
      </w:r>
      <w:r w:rsidR="001F3636" w:rsidRPr="00A51DD1">
        <w:rPr>
          <w:rFonts w:ascii="Times New Roman" w:hAnsi="Times New Roman"/>
          <w:sz w:val="24"/>
          <w:szCs w:val="24"/>
        </w:rPr>
        <w:t xml:space="preserve">if the capital market is not efficient and investors are not sophisticated, the management can use EM to entrench itself at the expense of the shareholders, e.g., hide bad news. </w:t>
      </w:r>
    </w:p>
    <w:p w14:paraId="3945BD8B" w14:textId="294DF328" w:rsidR="009F659E" w:rsidRDefault="00586C2C" w:rsidP="00AF73BB">
      <w:pPr>
        <w:spacing w:after="0" w:line="480" w:lineRule="auto"/>
        <w:ind w:firstLine="720"/>
        <w:jc w:val="both"/>
        <w:rPr>
          <w:rFonts w:ascii="Times New Roman" w:hAnsi="Times New Roman"/>
          <w:noProof/>
          <w:sz w:val="24"/>
          <w:szCs w:val="24"/>
        </w:rPr>
      </w:pPr>
      <w:r w:rsidRPr="00A51DD1">
        <w:rPr>
          <w:rFonts w:ascii="Times New Roman" w:hAnsi="Times New Roman"/>
          <w:sz w:val="24"/>
          <w:szCs w:val="24"/>
        </w:rPr>
        <w:t>On the other hand, if a firm</w:t>
      </w:r>
      <w:r w:rsidR="00173CC7" w:rsidRPr="00A51DD1">
        <w:rPr>
          <w:rFonts w:ascii="Times New Roman" w:hAnsi="Times New Roman"/>
          <w:sz w:val="24"/>
          <w:szCs w:val="24"/>
        </w:rPr>
        <w:t xml:space="preserve"> has a weak </w:t>
      </w:r>
      <w:r w:rsidRPr="00A51DD1">
        <w:rPr>
          <w:rFonts w:ascii="Times New Roman" w:hAnsi="Times New Roman"/>
          <w:sz w:val="24"/>
          <w:szCs w:val="24"/>
        </w:rPr>
        <w:t xml:space="preserve">corporate governance </w:t>
      </w:r>
      <w:r w:rsidR="00173CC7" w:rsidRPr="00A51DD1">
        <w:rPr>
          <w:rFonts w:ascii="Times New Roman" w:hAnsi="Times New Roman"/>
          <w:sz w:val="24"/>
          <w:szCs w:val="24"/>
        </w:rPr>
        <w:t>structure</w:t>
      </w:r>
      <w:r w:rsidRPr="00A51DD1">
        <w:rPr>
          <w:rFonts w:ascii="Times New Roman" w:hAnsi="Times New Roman"/>
          <w:sz w:val="24"/>
          <w:szCs w:val="24"/>
        </w:rPr>
        <w:t xml:space="preserve">, its management </w:t>
      </w:r>
      <w:r w:rsidR="006D3FA2" w:rsidRPr="00A51DD1">
        <w:rPr>
          <w:rFonts w:ascii="Times New Roman" w:hAnsi="Times New Roman"/>
          <w:sz w:val="24"/>
          <w:szCs w:val="24"/>
        </w:rPr>
        <w:t xml:space="preserve">has </w:t>
      </w:r>
      <w:r w:rsidR="008E25EF" w:rsidRPr="00A51DD1">
        <w:rPr>
          <w:rFonts w:ascii="Times New Roman" w:hAnsi="Times New Roman"/>
          <w:sz w:val="24"/>
          <w:szCs w:val="24"/>
        </w:rPr>
        <w:t xml:space="preserve">fewer </w:t>
      </w:r>
      <w:r w:rsidR="00B309E9" w:rsidRPr="00A51DD1">
        <w:rPr>
          <w:rFonts w:ascii="Times New Roman" w:hAnsi="Times New Roman"/>
          <w:sz w:val="24"/>
          <w:szCs w:val="24"/>
        </w:rPr>
        <w:t>incentive</w:t>
      </w:r>
      <w:r w:rsidR="008E25EF" w:rsidRPr="00A51DD1">
        <w:rPr>
          <w:rFonts w:ascii="Times New Roman" w:hAnsi="Times New Roman"/>
          <w:sz w:val="24"/>
          <w:szCs w:val="24"/>
        </w:rPr>
        <w:t>s</w:t>
      </w:r>
      <w:r w:rsidR="00B309E9" w:rsidRPr="00A51DD1">
        <w:rPr>
          <w:rFonts w:ascii="Times New Roman" w:hAnsi="Times New Roman"/>
          <w:sz w:val="24"/>
          <w:szCs w:val="24"/>
        </w:rPr>
        <w:t xml:space="preserve"> to conduct EM since any repercussion against the management is limited.</w:t>
      </w:r>
      <w:r w:rsidR="00B309E9" w:rsidRPr="00A51DD1">
        <w:rPr>
          <w:sz w:val="24"/>
          <w:szCs w:val="24"/>
        </w:rPr>
        <w:t xml:space="preserve"> </w:t>
      </w:r>
      <w:r w:rsidR="005A4284" w:rsidRPr="00A51DD1">
        <w:rPr>
          <w:rFonts w:ascii="Times New Roman" w:hAnsi="Times New Roman"/>
          <w:sz w:val="24"/>
          <w:szCs w:val="24"/>
        </w:rPr>
        <w:t xml:space="preserve">As reviewed in </w:t>
      </w:r>
      <w:r w:rsidR="00815B67" w:rsidRPr="00A51DD1">
        <w:rPr>
          <w:rFonts w:ascii="Times New Roman" w:hAnsi="Times New Roman"/>
          <w:sz w:val="24"/>
          <w:szCs w:val="24"/>
        </w:rPr>
        <w:t xml:space="preserve">Healy and Wahlen (1999) and </w:t>
      </w:r>
      <w:r w:rsidR="005A4284" w:rsidRPr="00A51DD1">
        <w:rPr>
          <w:rFonts w:ascii="Times New Roman" w:hAnsi="Times New Roman"/>
          <w:sz w:val="24"/>
          <w:szCs w:val="24"/>
        </w:rPr>
        <w:t>Fields and Keys (2003), p</w:t>
      </w:r>
      <w:r w:rsidR="002D472E" w:rsidRPr="00A51DD1">
        <w:rPr>
          <w:rFonts w:ascii="Times New Roman" w:hAnsi="Times New Roman"/>
          <w:sz w:val="24"/>
          <w:szCs w:val="24"/>
        </w:rPr>
        <w:t xml:space="preserve">revious research </w:t>
      </w:r>
      <w:r w:rsidR="0076536C" w:rsidRPr="00A51DD1">
        <w:rPr>
          <w:rFonts w:ascii="Times New Roman" w:hAnsi="Times New Roman"/>
          <w:sz w:val="24"/>
          <w:szCs w:val="24"/>
        </w:rPr>
        <w:t xml:space="preserve">has </w:t>
      </w:r>
      <w:r w:rsidR="002D472E" w:rsidRPr="00A51DD1">
        <w:rPr>
          <w:rFonts w:ascii="Times New Roman" w:hAnsi="Times New Roman"/>
          <w:sz w:val="24"/>
          <w:szCs w:val="24"/>
        </w:rPr>
        <w:t xml:space="preserve">documented a link between corporate governance and </w:t>
      </w:r>
      <w:r w:rsidR="002D472E" w:rsidRPr="009F659E">
        <w:rPr>
          <w:rFonts w:ascii="Times New Roman" w:hAnsi="Times New Roman"/>
          <w:noProof/>
          <w:sz w:val="24"/>
          <w:szCs w:val="24"/>
        </w:rPr>
        <w:t>earning</w:t>
      </w:r>
      <w:r w:rsidR="009F659E">
        <w:rPr>
          <w:rFonts w:ascii="Times New Roman" w:hAnsi="Times New Roman"/>
          <w:noProof/>
          <w:sz w:val="24"/>
          <w:szCs w:val="24"/>
        </w:rPr>
        <w:t>s</w:t>
      </w:r>
      <w:r w:rsidR="002D472E" w:rsidRPr="00A51DD1">
        <w:rPr>
          <w:rFonts w:ascii="Times New Roman" w:hAnsi="Times New Roman"/>
          <w:sz w:val="24"/>
          <w:szCs w:val="24"/>
        </w:rPr>
        <w:t xml:space="preserve"> quality and the prevalence of EM. </w:t>
      </w:r>
      <w:r w:rsidR="00797356" w:rsidRPr="00A51DD1">
        <w:rPr>
          <w:rFonts w:ascii="Times New Roman" w:hAnsi="Times New Roman"/>
          <w:sz w:val="24"/>
          <w:szCs w:val="24"/>
        </w:rPr>
        <w:t xml:space="preserve">For example, Dechow, Sloan, and Sweeney (1995) find that firms with weak corporate governance, e.g., a board of directors dominated by management, </w:t>
      </w:r>
      <w:r w:rsidR="00363A78" w:rsidRPr="00A51DD1">
        <w:rPr>
          <w:rFonts w:ascii="Times New Roman" w:hAnsi="Times New Roman"/>
          <w:sz w:val="24"/>
          <w:szCs w:val="24"/>
        </w:rPr>
        <w:t xml:space="preserve">are </w:t>
      </w:r>
      <w:r w:rsidR="00797356" w:rsidRPr="00A51DD1">
        <w:rPr>
          <w:rFonts w:ascii="Times New Roman" w:hAnsi="Times New Roman"/>
          <w:sz w:val="24"/>
          <w:szCs w:val="24"/>
        </w:rPr>
        <w:t xml:space="preserve">more likely </w:t>
      </w:r>
      <w:r w:rsidR="00363A78" w:rsidRPr="00A51DD1">
        <w:rPr>
          <w:rFonts w:ascii="Times New Roman" w:hAnsi="Times New Roman"/>
          <w:sz w:val="24"/>
          <w:szCs w:val="24"/>
        </w:rPr>
        <w:t xml:space="preserve">to </w:t>
      </w:r>
      <w:r w:rsidR="00797356" w:rsidRPr="00A51DD1">
        <w:rPr>
          <w:rFonts w:ascii="Times New Roman" w:hAnsi="Times New Roman"/>
          <w:sz w:val="24"/>
          <w:szCs w:val="24"/>
        </w:rPr>
        <w:t>engag</w:t>
      </w:r>
      <w:r w:rsidR="00363A78" w:rsidRPr="00A51DD1">
        <w:rPr>
          <w:rFonts w:ascii="Times New Roman" w:hAnsi="Times New Roman"/>
          <w:sz w:val="24"/>
          <w:szCs w:val="24"/>
        </w:rPr>
        <w:t>e</w:t>
      </w:r>
      <w:r w:rsidR="00797356" w:rsidRPr="00A51DD1">
        <w:rPr>
          <w:rFonts w:ascii="Times New Roman" w:hAnsi="Times New Roman"/>
          <w:sz w:val="24"/>
          <w:szCs w:val="24"/>
        </w:rPr>
        <w:t xml:space="preserve"> in EM. </w:t>
      </w:r>
      <w:r w:rsidR="00A507A1" w:rsidRPr="00A51DD1">
        <w:rPr>
          <w:rFonts w:ascii="Times New Roman" w:hAnsi="Times New Roman"/>
          <w:sz w:val="24"/>
          <w:szCs w:val="24"/>
        </w:rPr>
        <w:t>Kasanen, Kinnunen</w:t>
      </w:r>
      <w:r w:rsidR="009F659E">
        <w:rPr>
          <w:rFonts w:ascii="Times New Roman" w:hAnsi="Times New Roman"/>
          <w:sz w:val="24"/>
          <w:szCs w:val="24"/>
        </w:rPr>
        <w:t>,</w:t>
      </w:r>
      <w:r w:rsidR="00A507A1" w:rsidRPr="00A51DD1">
        <w:rPr>
          <w:rFonts w:ascii="Times New Roman" w:hAnsi="Times New Roman"/>
          <w:sz w:val="24"/>
          <w:szCs w:val="24"/>
        </w:rPr>
        <w:t xml:space="preserve"> </w:t>
      </w:r>
      <w:r w:rsidR="00A507A1" w:rsidRPr="009F659E">
        <w:rPr>
          <w:rFonts w:ascii="Times New Roman" w:hAnsi="Times New Roman"/>
          <w:noProof/>
          <w:sz w:val="24"/>
          <w:szCs w:val="24"/>
        </w:rPr>
        <w:t>and</w:t>
      </w:r>
      <w:r w:rsidR="00A507A1" w:rsidRPr="00A51DD1">
        <w:rPr>
          <w:rFonts w:ascii="Times New Roman" w:hAnsi="Times New Roman"/>
          <w:sz w:val="24"/>
          <w:szCs w:val="24"/>
        </w:rPr>
        <w:t xml:space="preserve"> Niskasen (1996) argue that firms faced with a thin security market and concentrated ownership have more incentives to manage earnings upwards to satisfy their investors’ demands for smooth dividends. </w:t>
      </w:r>
      <w:r w:rsidR="00AE1B4B" w:rsidRPr="00A51DD1">
        <w:rPr>
          <w:rFonts w:ascii="Times New Roman" w:hAnsi="Times New Roman"/>
          <w:sz w:val="24"/>
          <w:szCs w:val="24"/>
        </w:rPr>
        <w:t xml:space="preserve">Lee, </w:t>
      </w:r>
      <w:r w:rsidR="00797356" w:rsidRPr="00A51DD1">
        <w:rPr>
          <w:rFonts w:ascii="Times New Roman" w:hAnsi="Times New Roman"/>
          <w:sz w:val="24"/>
          <w:szCs w:val="24"/>
        </w:rPr>
        <w:t>Lev</w:t>
      </w:r>
      <w:r w:rsidR="003F5A86" w:rsidRPr="00A51DD1">
        <w:rPr>
          <w:rFonts w:ascii="Times New Roman" w:hAnsi="Times New Roman"/>
          <w:sz w:val="24"/>
          <w:szCs w:val="24"/>
        </w:rPr>
        <w:t xml:space="preserve">, and </w:t>
      </w:r>
      <w:r w:rsidR="00AE1B4B" w:rsidRPr="00A51DD1">
        <w:rPr>
          <w:rFonts w:ascii="Times New Roman" w:hAnsi="Times New Roman"/>
          <w:sz w:val="24"/>
          <w:szCs w:val="24"/>
        </w:rPr>
        <w:t>Yeo</w:t>
      </w:r>
      <w:r w:rsidR="003F5A86" w:rsidRPr="00A51DD1">
        <w:rPr>
          <w:rFonts w:ascii="Times New Roman" w:hAnsi="Times New Roman"/>
          <w:sz w:val="24"/>
          <w:szCs w:val="24"/>
        </w:rPr>
        <w:t xml:space="preserve"> (</w:t>
      </w:r>
      <w:r w:rsidR="00797356" w:rsidRPr="00A51DD1">
        <w:rPr>
          <w:rFonts w:ascii="Times New Roman" w:hAnsi="Times New Roman"/>
          <w:sz w:val="24"/>
          <w:szCs w:val="24"/>
        </w:rPr>
        <w:t>2007</w:t>
      </w:r>
      <w:r w:rsidR="003F5A86" w:rsidRPr="00A51DD1">
        <w:rPr>
          <w:rFonts w:ascii="Times New Roman" w:hAnsi="Times New Roman"/>
          <w:sz w:val="24"/>
          <w:szCs w:val="24"/>
        </w:rPr>
        <w:t xml:space="preserve">) find that </w:t>
      </w:r>
      <w:r w:rsidR="00797356" w:rsidRPr="00A51DD1">
        <w:rPr>
          <w:rFonts w:ascii="Times New Roman" w:hAnsi="Times New Roman"/>
          <w:sz w:val="24"/>
          <w:szCs w:val="24"/>
        </w:rPr>
        <w:t xml:space="preserve">firms with </w:t>
      </w:r>
      <w:r w:rsidR="00363A78" w:rsidRPr="00A51DD1">
        <w:rPr>
          <w:rFonts w:ascii="Times New Roman" w:hAnsi="Times New Roman"/>
          <w:sz w:val="24"/>
          <w:szCs w:val="24"/>
        </w:rPr>
        <w:t>more independent</w:t>
      </w:r>
      <w:r w:rsidR="00797356" w:rsidRPr="00A51DD1">
        <w:rPr>
          <w:rFonts w:ascii="Times New Roman" w:hAnsi="Times New Roman"/>
          <w:sz w:val="24"/>
          <w:szCs w:val="24"/>
        </w:rPr>
        <w:t xml:space="preserve"> directors and </w:t>
      </w:r>
      <w:r w:rsidR="00797356" w:rsidRPr="009F659E">
        <w:rPr>
          <w:rFonts w:ascii="Times New Roman" w:hAnsi="Times New Roman"/>
          <w:noProof/>
          <w:sz w:val="24"/>
          <w:szCs w:val="24"/>
        </w:rPr>
        <w:t>high</w:t>
      </w:r>
      <w:r w:rsidR="00363A78" w:rsidRPr="009F659E">
        <w:rPr>
          <w:rFonts w:ascii="Times New Roman" w:hAnsi="Times New Roman"/>
          <w:noProof/>
          <w:sz w:val="24"/>
          <w:szCs w:val="24"/>
        </w:rPr>
        <w:t>er</w:t>
      </w:r>
      <w:r w:rsidR="00797356" w:rsidRPr="00A51DD1">
        <w:rPr>
          <w:rFonts w:ascii="Times New Roman" w:hAnsi="Times New Roman"/>
          <w:sz w:val="24"/>
          <w:szCs w:val="24"/>
        </w:rPr>
        <w:t xml:space="preserve"> institutional ownership </w:t>
      </w:r>
      <w:r w:rsidR="003F5A86" w:rsidRPr="00A51DD1">
        <w:rPr>
          <w:rFonts w:ascii="Times New Roman" w:hAnsi="Times New Roman"/>
          <w:sz w:val="24"/>
          <w:szCs w:val="24"/>
        </w:rPr>
        <w:t xml:space="preserve">are less likely to engage in </w:t>
      </w:r>
      <w:r w:rsidR="00797356" w:rsidRPr="00A51DD1">
        <w:rPr>
          <w:rFonts w:ascii="Times New Roman" w:hAnsi="Times New Roman"/>
          <w:sz w:val="24"/>
          <w:szCs w:val="24"/>
        </w:rPr>
        <w:t>earnings management</w:t>
      </w:r>
      <w:r w:rsidR="00797356" w:rsidRPr="009F659E">
        <w:rPr>
          <w:rFonts w:ascii="Times New Roman" w:hAnsi="Times New Roman"/>
          <w:noProof/>
          <w:sz w:val="24"/>
          <w:szCs w:val="24"/>
        </w:rPr>
        <w:t>.</w:t>
      </w:r>
    </w:p>
    <w:p w14:paraId="42AB7B13" w14:textId="2E761315" w:rsidR="00F855F9" w:rsidRPr="00A51DD1" w:rsidRDefault="002D472E" w:rsidP="00AF73BB">
      <w:pPr>
        <w:spacing w:after="0" w:line="480" w:lineRule="auto"/>
        <w:ind w:firstLine="720"/>
        <w:jc w:val="both"/>
        <w:rPr>
          <w:rFonts w:ascii="Times New Roman" w:hAnsi="Times New Roman"/>
          <w:sz w:val="24"/>
          <w:szCs w:val="24"/>
        </w:rPr>
      </w:pPr>
      <w:r w:rsidRPr="009F659E">
        <w:rPr>
          <w:rFonts w:ascii="Times New Roman" w:hAnsi="Times New Roman"/>
          <w:noProof/>
          <w:sz w:val="24"/>
          <w:szCs w:val="24"/>
        </w:rPr>
        <w:t>Similarly</w:t>
      </w:r>
      <w:r w:rsidRPr="00A51DD1">
        <w:rPr>
          <w:rFonts w:ascii="Times New Roman" w:hAnsi="Times New Roman"/>
          <w:sz w:val="24"/>
          <w:szCs w:val="24"/>
        </w:rPr>
        <w:t xml:space="preserve">, </w:t>
      </w:r>
      <w:r w:rsidR="00FB1F6B" w:rsidRPr="00A51DD1">
        <w:rPr>
          <w:rFonts w:ascii="Times New Roman" w:hAnsi="Times New Roman"/>
          <w:sz w:val="24"/>
          <w:szCs w:val="24"/>
        </w:rPr>
        <w:t xml:space="preserve">Cornett, Marcus, </w:t>
      </w:r>
      <w:r w:rsidRPr="00A51DD1">
        <w:rPr>
          <w:rFonts w:ascii="Times New Roman" w:hAnsi="Times New Roman"/>
          <w:sz w:val="24"/>
          <w:szCs w:val="24"/>
        </w:rPr>
        <w:t xml:space="preserve">and </w:t>
      </w:r>
      <w:r w:rsidR="00FB1F6B" w:rsidRPr="00A51DD1">
        <w:rPr>
          <w:rFonts w:ascii="Times New Roman" w:hAnsi="Times New Roman"/>
          <w:sz w:val="24"/>
          <w:szCs w:val="24"/>
        </w:rPr>
        <w:t>Tehranian</w:t>
      </w:r>
      <w:r w:rsidRPr="00A51DD1">
        <w:rPr>
          <w:rFonts w:ascii="Times New Roman" w:hAnsi="Times New Roman"/>
          <w:sz w:val="24"/>
          <w:szCs w:val="24"/>
        </w:rPr>
        <w:t xml:space="preserve"> (</w:t>
      </w:r>
      <w:r w:rsidR="00FB1F6B" w:rsidRPr="00A51DD1">
        <w:rPr>
          <w:rFonts w:ascii="Times New Roman" w:hAnsi="Times New Roman"/>
          <w:sz w:val="24"/>
          <w:szCs w:val="24"/>
        </w:rPr>
        <w:t>2008)</w:t>
      </w:r>
      <w:r w:rsidRPr="00A51DD1">
        <w:rPr>
          <w:rFonts w:ascii="Times New Roman" w:hAnsi="Times New Roman"/>
          <w:sz w:val="24"/>
          <w:szCs w:val="24"/>
        </w:rPr>
        <w:t xml:space="preserve"> find </w:t>
      </w:r>
      <w:r w:rsidR="00363A78" w:rsidRPr="00A51DD1">
        <w:rPr>
          <w:rFonts w:ascii="Times New Roman" w:hAnsi="Times New Roman"/>
          <w:sz w:val="24"/>
          <w:szCs w:val="24"/>
        </w:rPr>
        <w:t xml:space="preserve">firms with higher </w:t>
      </w:r>
      <w:r w:rsidRPr="00A51DD1">
        <w:rPr>
          <w:rFonts w:ascii="Times New Roman" w:hAnsi="Times New Roman"/>
          <w:sz w:val="24"/>
          <w:szCs w:val="24"/>
        </w:rPr>
        <w:t>i</w:t>
      </w:r>
      <w:r w:rsidR="00FB1F6B" w:rsidRPr="00A51DD1">
        <w:rPr>
          <w:rFonts w:ascii="Times New Roman" w:hAnsi="Times New Roman"/>
          <w:sz w:val="24"/>
          <w:szCs w:val="24"/>
        </w:rPr>
        <w:t>nstitutional ownership</w:t>
      </w:r>
      <w:r w:rsidR="00363A78" w:rsidRPr="00A51DD1">
        <w:rPr>
          <w:rFonts w:ascii="Times New Roman" w:hAnsi="Times New Roman"/>
          <w:sz w:val="24"/>
          <w:szCs w:val="24"/>
        </w:rPr>
        <w:t xml:space="preserve"> and higher presence of </w:t>
      </w:r>
      <w:r w:rsidR="00FB1F6B" w:rsidRPr="00A51DD1">
        <w:rPr>
          <w:rFonts w:ascii="Times New Roman" w:hAnsi="Times New Roman"/>
          <w:sz w:val="24"/>
          <w:szCs w:val="24"/>
        </w:rPr>
        <w:t xml:space="preserve">independent </w:t>
      </w:r>
      <w:r w:rsidR="00363A78" w:rsidRPr="00A51DD1">
        <w:rPr>
          <w:rFonts w:ascii="Times New Roman" w:hAnsi="Times New Roman"/>
          <w:sz w:val="24"/>
          <w:szCs w:val="24"/>
        </w:rPr>
        <w:t xml:space="preserve">directors </w:t>
      </w:r>
      <w:r w:rsidR="00363A78" w:rsidRPr="009F659E">
        <w:rPr>
          <w:rFonts w:ascii="Times New Roman" w:hAnsi="Times New Roman"/>
          <w:noProof/>
          <w:sz w:val="24"/>
          <w:szCs w:val="24"/>
        </w:rPr>
        <w:t>are associated</w:t>
      </w:r>
      <w:r w:rsidR="00363A78" w:rsidRPr="00A51DD1">
        <w:rPr>
          <w:rFonts w:ascii="Times New Roman" w:hAnsi="Times New Roman"/>
          <w:sz w:val="24"/>
          <w:szCs w:val="24"/>
        </w:rPr>
        <w:t xml:space="preserve"> with a lower level of using discretionary accruals in managing earnings</w:t>
      </w:r>
      <w:r w:rsidR="00DA34C0" w:rsidRPr="00A51DD1">
        <w:rPr>
          <w:rFonts w:ascii="Times New Roman" w:hAnsi="Times New Roman"/>
          <w:sz w:val="24"/>
          <w:szCs w:val="24"/>
        </w:rPr>
        <w:t xml:space="preserve">. </w:t>
      </w:r>
      <w:r w:rsidR="0017140D" w:rsidRPr="00A51DD1">
        <w:rPr>
          <w:rFonts w:ascii="Times New Roman" w:hAnsi="Times New Roman"/>
          <w:sz w:val="24"/>
          <w:szCs w:val="24"/>
        </w:rPr>
        <w:t xml:space="preserve">Small, </w:t>
      </w:r>
      <w:r w:rsidR="0017140D" w:rsidRPr="009F659E">
        <w:rPr>
          <w:rFonts w:ascii="Times New Roman" w:hAnsi="Times New Roman"/>
          <w:noProof/>
          <w:sz w:val="24"/>
          <w:szCs w:val="24"/>
        </w:rPr>
        <w:t>Kwag,</w:t>
      </w:r>
      <w:r w:rsidR="0017140D" w:rsidRPr="00A51DD1">
        <w:rPr>
          <w:rFonts w:ascii="Times New Roman" w:hAnsi="Times New Roman"/>
          <w:sz w:val="24"/>
          <w:szCs w:val="24"/>
        </w:rPr>
        <w:t xml:space="preserve"> and Li (2015) find that firms with a more democratic corporate governance structure </w:t>
      </w:r>
      <w:r w:rsidR="0017140D" w:rsidRPr="009F659E">
        <w:rPr>
          <w:rFonts w:ascii="Times New Roman" w:hAnsi="Times New Roman"/>
          <w:noProof/>
          <w:sz w:val="24"/>
          <w:szCs w:val="24"/>
        </w:rPr>
        <w:t>are associated</w:t>
      </w:r>
      <w:r w:rsidR="0017140D" w:rsidRPr="00A51DD1">
        <w:rPr>
          <w:rFonts w:ascii="Times New Roman" w:hAnsi="Times New Roman"/>
          <w:sz w:val="24"/>
          <w:szCs w:val="24"/>
        </w:rPr>
        <w:t xml:space="preserve"> with more EM. Their results are consistent with the conjecture that better corporate governance exhibits a pressure on the management to meet the </w:t>
      </w:r>
      <w:r w:rsidR="008E25EF" w:rsidRPr="00A51DD1">
        <w:rPr>
          <w:rFonts w:ascii="Times New Roman" w:hAnsi="Times New Roman"/>
          <w:sz w:val="24"/>
          <w:szCs w:val="24"/>
        </w:rPr>
        <w:t xml:space="preserve">earning </w:t>
      </w:r>
      <w:r w:rsidR="0017140D" w:rsidRPr="00A51DD1">
        <w:rPr>
          <w:rFonts w:ascii="Times New Roman" w:hAnsi="Times New Roman"/>
          <w:sz w:val="24"/>
          <w:szCs w:val="24"/>
        </w:rPr>
        <w:t xml:space="preserve">targets, which in turn leads the management to engage in using discretionary accruals in EM.  </w:t>
      </w:r>
    </w:p>
    <w:p w14:paraId="2CE59E69" w14:textId="02C6E666" w:rsidR="0076536C" w:rsidRDefault="0076536C" w:rsidP="00BB1625">
      <w:pPr>
        <w:spacing w:after="0" w:line="480" w:lineRule="auto"/>
        <w:ind w:firstLine="720"/>
        <w:jc w:val="both"/>
        <w:rPr>
          <w:rFonts w:ascii="Times New Roman" w:hAnsi="Times New Roman"/>
          <w:sz w:val="24"/>
          <w:szCs w:val="24"/>
        </w:rPr>
      </w:pPr>
      <w:r w:rsidRPr="00A51DD1">
        <w:rPr>
          <w:rFonts w:ascii="Times New Roman" w:hAnsi="Times New Roman"/>
          <w:sz w:val="24"/>
          <w:szCs w:val="24"/>
        </w:rPr>
        <w:t>Ample</w:t>
      </w:r>
      <w:r w:rsidR="00753E3A" w:rsidRPr="00A51DD1">
        <w:rPr>
          <w:rFonts w:ascii="Times New Roman" w:hAnsi="Times New Roman"/>
          <w:sz w:val="24"/>
          <w:szCs w:val="24"/>
        </w:rPr>
        <w:t xml:space="preserve"> empirical evidence </w:t>
      </w:r>
      <w:r w:rsidR="008E25EF" w:rsidRPr="00A51DD1">
        <w:rPr>
          <w:rFonts w:ascii="Times New Roman" w:hAnsi="Times New Roman"/>
          <w:sz w:val="24"/>
          <w:szCs w:val="24"/>
        </w:rPr>
        <w:t xml:space="preserve">also </w:t>
      </w:r>
      <w:r w:rsidR="00753E3A" w:rsidRPr="00A51DD1">
        <w:rPr>
          <w:rFonts w:ascii="Times New Roman" w:hAnsi="Times New Roman"/>
          <w:sz w:val="24"/>
          <w:szCs w:val="24"/>
        </w:rPr>
        <w:t>suggest</w:t>
      </w:r>
      <w:r w:rsidRPr="00A51DD1">
        <w:rPr>
          <w:rFonts w:ascii="Times New Roman" w:hAnsi="Times New Roman"/>
          <w:sz w:val="24"/>
          <w:szCs w:val="24"/>
        </w:rPr>
        <w:t>s</w:t>
      </w:r>
      <w:r w:rsidR="00753E3A" w:rsidRPr="00A51DD1">
        <w:rPr>
          <w:rFonts w:ascii="Times New Roman" w:hAnsi="Times New Roman"/>
          <w:sz w:val="24"/>
          <w:szCs w:val="24"/>
        </w:rPr>
        <w:t xml:space="preserve"> that stock liquidity affects earnings management. For instance, Li and </w:t>
      </w:r>
      <w:r w:rsidR="00095207" w:rsidRPr="00A51DD1">
        <w:rPr>
          <w:rFonts w:ascii="Times New Roman" w:hAnsi="Times New Roman"/>
          <w:sz w:val="24"/>
          <w:szCs w:val="24"/>
        </w:rPr>
        <w:t>Xia</w:t>
      </w:r>
      <w:r w:rsidR="00B11DBF" w:rsidRPr="00A51DD1">
        <w:rPr>
          <w:rFonts w:ascii="Times New Roman" w:hAnsi="Times New Roman"/>
          <w:sz w:val="24"/>
          <w:szCs w:val="24"/>
        </w:rPr>
        <w:t xml:space="preserve"> </w:t>
      </w:r>
      <w:r w:rsidR="00753E3A" w:rsidRPr="00A51DD1">
        <w:rPr>
          <w:rFonts w:ascii="Times New Roman" w:hAnsi="Times New Roman"/>
          <w:sz w:val="24"/>
          <w:szCs w:val="24"/>
        </w:rPr>
        <w:t xml:space="preserve">(2016) find that firms with less liquid stocks exhibit higher levels of real earnings management. The authors </w:t>
      </w:r>
      <w:r w:rsidRPr="00A51DD1">
        <w:rPr>
          <w:rFonts w:ascii="Times New Roman" w:hAnsi="Times New Roman"/>
          <w:sz w:val="24"/>
          <w:szCs w:val="24"/>
        </w:rPr>
        <w:t xml:space="preserve">suggest </w:t>
      </w:r>
      <w:r w:rsidR="00753E3A" w:rsidRPr="00A51DD1">
        <w:rPr>
          <w:rFonts w:ascii="Times New Roman" w:hAnsi="Times New Roman"/>
          <w:sz w:val="24"/>
          <w:szCs w:val="24"/>
        </w:rPr>
        <w:t xml:space="preserve">that liquidity curbs earnings management by mitigating the information asymmetry between agents and their </w:t>
      </w:r>
      <w:r w:rsidR="00753E3A" w:rsidRPr="009F659E">
        <w:rPr>
          <w:rFonts w:ascii="Times New Roman" w:hAnsi="Times New Roman"/>
          <w:noProof/>
          <w:sz w:val="24"/>
          <w:szCs w:val="24"/>
        </w:rPr>
        <w:t>principals</w:t>
      </w:r>
      <w:r w:rsidR="00753E3A" w:rsidRPr="00A51DD1">
        <w:rPr>
          <w:rFonts w:ascii="Times New Roman" w:hAnsi="Times New Roman"/>
          <w:sz w:val="24"/>
          <w:szCs w:val="24"/>
        </w:rPr>
        <w:t xml:space="preserve"> and facilitates governance by large institutional investors.</w:t>
      </w:r>
      <w:r w:rsidR="00753E3A" w:rsidRPr="00A51DD1">
        <w:rPr>
          <w:sz w:val="24"/>
          <w:szCs w:val="24"/>
        </w:rPr>
        <w:t xml:space="preserve"> </w:t>
      </w:r>
      <w:r w:rsidR="00753E3A" w:rsidRPr="00A51DD1">
        <w:rPr>
          <w:rFonts w:ascii="Times New Roman" w:hAnsi="Times New Roman"/>
          <w:sz w:val="24"/>
          <w:szCs w:val="24"/>
        </w:rPr>
        <w:t>Both Teoh, Welch</w:t>
      </w:r>
      <w:r w:rsidR="009F659E">
        <w:rPr>
          <w:rFonts w:ascii="Times New Roman" w:hAnsi="Times New Roman"/>
          <w:sz w:val="24"/>
          <w:szCs w:val="24"/>
        </w:rPr>
        <w:t>,</w:t>
      </w:r>
      <w:r w:rsidR="00753E3A" w:rsidRPr="00A51DD1">
        <w:rPr>
          <w:rFonts w:ascii="Times New Roman" w:hAnsi="Times New Roman"/>
          <w:sz w:val="24"/>
          <w:szCs w:val="24"/>
        </w:rPr>
        <w:t xml:space="preserve"> </w:t>
      </w:r>
      <w:r w:rsidR="00753E3A" w:rsidRPr="009F659E">
        <w:rPr>
          <w:rFonts w:ascii="Times New Roman" w:hAnsi="Times New Roman"/>
          <w:noProof/>
          <w:sz w:val="24"/>
          <w:szCs w:val="24"/>
        </w:rPr>
        <w:t>and</w:t>
      </w:r>
      <w:r w:rsidR="00753E3A" w:rsidRPr="00A51DD1">
        <w:rPr>
          <w:rFonts w:ascii="Times New Roman" w:hAnsi="Times New Roman"/>
          <w:sz w:val="24"/>
          <w:szCs w:val="24"/>
        </w:rPr>
        <w:t xml:space="preserve"> Wong (1998) and DuCharme, Malatesta and Sefcik (2001) </w:t>
      </w:r>
      <w:r w:rsidRPr="00A51DD1">
        <w:rPr>
          <w:rFonts w:ascii="Times New Roman" w:hAnsi="Times New Roman"/>
          <w:sz w:val="24"/>
          <w:szCs w:val="24"/>
        </w:rPr>
        <w:t>show</w:t>
      </w:r>
      <w:r w:rsidR="00753E3A" w:rsidRPr="00A51DD1">
        <w:rPr>
          <w:rFonts w:ascii="Times New Roman" w:hAnsi="Times New Roman"/>
          <w:sz w:val="24"/>
          <w:szCs w:val="24"/>
        </w:rPr>
        <w:t xml:space="preserve"> that valuations of new equity issues are positively correlated to pre-issue earnings management, suggest</w:t>
      </w:r>
      <w:r w:rsidRPr="00A51DD1">
        <w:rPr>
          <w:rFonts w:ascii="Times New Roman" w:hAnsi="Times New Roman"/>
          <w:sz w:val="24"/>
          <w:szCs w:val="24"/>
        </w:rPr>
        <w:t>ing</w:t>
      </w:r>
      <w:r w:rsidR="00753E3A" w:rsidRPr="00A51DD1">
        <w:rPr>
          <w:rFonts w:ascii="Times New Roman" w:hAnsi="Times New Roman"/>
          <w:sz w:val="24"/>
          <w:szCs w:val="24"/>
        </w:rPr>
        <w:t xml:space="preserve"> that executives attempt to opportunistically manipulate earnings before approaching new investors in an attempt to raise more cash.</w:t>
      </w:r>
      <w:r w:rsidR="00173BFF" w:rsidRPr="00A51DD1">
        <w:rPr>
          <w:sz w:val="24"/>
          <w:szCs w:val="24"/>
        </w:rPr>
        <w:t xml:space="preserve"> </w:t>
      </w:r>
      <w:r w:rsidR="00173BFF" w:rsidRPr="00A51DD1">
        <w:rPr>
          <w:rFonts w:ascii="Times New Roman" w:hAnsi="Times New Roman"/>
          <w:sz w:val="24"/>
          <w:szCs w:val="24"/>
        </w:rPr>
        <w:t xml:space="preserve">Guthrie and Sokolowsky (2010) find that total accruals increase by 2% for those firms with large outside </w:t>
      </w:r>
      <w:r w:rsidR="00173BFF" w:rsidRPr="009F659E">
        <w:rPr>
          <w:rFonts w:ascii="Times New Roman" w:hAnsi="Times New Roman"/>
          <w:noProof/>
          <w:sz w:val="24"/>
          <w:szCs w:val="24"/>
        </w:rPr>
        <w:t>blockholders</w:t>
      </w:r>
      <w:r w:rsidR="00173BFF" w:rsidRPr="00A51DD1">
        <w:rPr>
          <w:rFonts w:ascii="Times New Roman" w:hAnsi="Times New Roman"/>
          <w:sz w:val="24"/>
          <w:szCs w:val="24"/>
        </w:rPr>
        <w:t xml:space="preserve"> (holding at least 5% of all outstanding shares) </w:t>
      </w:r>
      <w:r w:rsidR="00BB1625" w:rsidRPr="00A51DD1">
        <w:rPr>
          <w:rFonts w:ascii="Times New Roman" w:hAnsi="Times New Roman"/>
          <w:sz w:val="24"/>
          <w:szCs w:val="24"/>
        </w:rPr>
        <w:t xml:space="preserve">around </w:t>
      </w:r>
      <w:r w:rsidR="00173BFF" w:rsidRPr="00A51DD1">
        <w:rPr>
          <w:rFonts w:ascii="Times New Roman" w:hAnsi="Times New Roman"/>
          <w:sz w:val="24"/>
          <w:szCs w:val="24"/>
        </w:rPr>
        <w:t xml:space="preserve">seasoned equity offerings. </w:t>
      </w:r>
      <w:r w:rsidR="00BB1625" w:rsidRPr="00A51DD1">
        <w:rPr>
          <w:rFonts w:ascii="Times New Roman" w:hAnsi="Times New Roman"/>
          <w:sz w:val="24"/>
          <w:szCs w:val="24"/>
        </w:rPr>
        <w:t xml:space="preserve">In contrast, those firms without large outside </w:t>
      </w:r>
      <w:r w:rsidR="00BB1625" w:rsidRPr="009F659E">
        <w:rPr>
          <w:rFonts w:ascii="Times New Roman" w:hAnsi="Times New Roman"/>
          <w:noProof/>
          <w:sz w:val="24"/>
          <w:szCs w:val="24"/>
        </w:rPr>
        <w:t>blockholders</w:t>
      </w:r>
      <w:r w:rsidR="00BB1625" w:rsidRPr="00A51DD1">
        <w:rPr>
          <w:rFonts w:ascii="Times New Roman" w:hAnsi="Times New Roman"/>
          <w:sz w:val="24"/>
          <w:szCs w:val="24"/>
        </w:rPr>
        <w:t xml:space="preserve"> do not have </w:t>
      </w:r>
      <w:r w:rsidR="009F659E">
        <w:rPr>
          <w:rFonts w:ascii="Times New Roman" w:hAnsi="Times New Roman"/>
          <w:sz w:val="24"/>
          <w:szCs w:val="24"/>
        </w:rPr>
        <w:t xml:space="preserve">a </w:t>
      </w:r>
      <w:r w:rsidR="00BB1625" w:rsidRPr="009F659E">
        <w:rPr>
          <w:rFonts w:ascii="Times New Roman" w:hAnsi="Times New Roman"/>
          <w:noProof/>
          <w:sz w:val="24"/>
          <w:szCs w:val="24"/>
        </w:rPr>
        <w:t>significant</w:t>
      </w:r>
      <w:r w:rsidR="00BB1625" w:rsidRPr="00A51DD1">
        <w:rPr>
          <w:rFonts w:ascii="Times New Roman" w:hAnsi="Times New Roman"/>
          <w:sz w:val="24"/>
          <w:szCs w:val="24"/>
        </w:rPr>
        <w:t xml:space="preserve"> increase in total accruals.</w:t>
      </w:r>
    </w:p>
    <w:p w14:paraId="0F1B42BC" w14:textId="027BEC86" w:rsidR="00C339C4" w:rsidRPr="002F79D0" w:rsidRDefault="00370A4E" w:rsidP="004253F6">
      <w:pPr>
        <w:spacing w:before="120" w:after="0" w:line="480" w:lineRule="auto"/>
        <w:rPr>
          <w:rFonts w:ascii="Times New Roman" w:hAnsi="Times New Roman"/>
          <w:b/>
          <w:sz w:val="24"/>
          <w:szCs w:val="24"/>
        </w:rPr>
      </w:pPr>
      <w:r w:rsidRPr="002F79D0">
        <w:rPr>
          <w:rFonts w:ascii="Times New Roman" w:hAnsi="Times New Roman"/>
          <w:b/>
          <w:i/>
          <w:sz w:val="24"/>
          <w:szCs w:val="24"/>
        </w:rPr>
        <w:t>2.3. Testable hypotheses</w:t>
      </w:r>
      <w:r w:rsidRPr="002F79D0" w:rsidDel="0021406F">
        <w:rPr>
          <w:rFonts w:ascii="Times New Roman" w:hAnsi="Times New Roman"/>
          <w:b/>
          <w:i/>
          <w:sz w:val="24"/>
          <w:szCs w:val="24"/>
        </w:rPr>
        <w:t xml:space="preserve"> </w:t>
      </w:r>
    </w:p>
    <w:p w14:paraId="48B6166E" w14:textId="59B942BE" w:rsidR="000003BC" w:rsidRPr="00A51DD1" w:rsidRDefault="008F584D" w:rsidP="001B55B5">
      <w:pPr>
        <w:spacing w:after="0" w:line="480" w:lineRule="auto"/>
        <w:ind w:firstLine="720"/>
        <w:jc w:val="both"/>
        <w:rPr>
          <w:rFonts w:ascii="Times New Roman" w:hAnsi="Times New Roman"/>
          <w:sz w:val="24"/>
          <w:szCs w:val="24"/>
        </w:rPr>
      </w:pPr>
      <w:r w:rsidRPr="00A51DD1">
        <w:rPr>
          <w:rFonts w:ascii="Times New Roman" w:hAnsi="Times New Roman"/>
          <w:sz w:val="24"/>
          <w:szCs w:val="24"/>
        </w:rPr>
        <w:t xml:space="preserve">On the one hand, </w:t>
      </w:r>
      <w:r w:rsidR="00DD4C86" w:rsidRPr="00A51DD1">
        <w:rPr>
          <w:rFonts w:ascii="Times New Roman" w:hAnsi="Times New Roman"/>
          <w:sz w:val="24"/>
          <w:szCs w:val="24"/>
        </w:rPr>
        <w:t xml:space="preserve">the agency problems </w:t>
      </w:r>
      <w:r w:rsidR="008D1EB1" w:rsidRPr="00A51DD1">
        <w:rPr>
          <w:rFonts w:ascii="Times New Roman" w:hAnsi="Times New Roman"/>
          <w:sz w:val="24"/>
          <w:szCs w:val="24"/>
        </w:rPr>
        <w:t xml:space="preserve">as </w:t>
      </w:r>
      <w:r w:rsidR="00DD4C86" w:rsidRPr="00A51DD1">
        <w:rPr>
          <w:rFonts w:ascii="Times New Roman" w:hAnsi="Times New Roman"/>
          <w:sz w:val="24"/>
          <w:szCs w:val="24"/>
        </w:rPr>
        <w:t>discussed in Jensen and Meckling (1976) may be more prevalent in MLPs than in traditional corporations. O</w:t>
      </w:r>
      <w:r w:rsidRPr="00A51DD1">
        <w:rPr>
          <w:rFonts w:ascii="Times New Roman" w:hAnsi="Times New Roman"/>
          <w:sz w:val="24"/>
          <w:szCs w:val="24"/>
        </w:rPr>
        <w:t xml:space="preserve">ne can argue that GPs of </w:t>
      </w:r>
      <w:r w:rsidR="00797356" w:rsidRPr="00A51DD1">
        <w:rPr>
          <w:rFonts w:ascii="Times New Roman" w:hAnsi="Times New Roman"/>
          <w:sz w:val="24"/>
          <w:szCs w:val="24"/>
        </w:rPr>
        <w:t xml:space="preserve">MLPs are not subject to the traditional </w:t>
      </w:r>
      <w:r w:rsidR="00DD4C86" w:rsidRPr="00A51DD1">
        <w:rPr>
          <w:rFonts w:ascii="Times New Roman" w:hAnsi="Times New Roman"/>
          <w:sz w:val="24"/>
          <w:szCs w:val="24"/>
        </w:rPr>
        <w:t xml:space="preserve">corporate governance structure. </w:t>
      </w:r>
      <w:r w:rsidR="00F61D5E" w:rsidRPr="00A51DD1">
        <w:rPr>
          <w:rFonts w:ascii="Times New Roman" w:hAnsi="Times New Roman"/>
          <w:sz w:val="24"/>
          <w:szCs w:val="24"/>
        </w:rPr>
        <w:t xml:space="preserve">Another governance issue is that while the LP units </w:t>
      </w:r>
      <w:r w:rsidR="00F61D5E" w:rsidRPr="009F659E">
        <w:rPr>
          <w:rFonts w:ascii="Times New Roman" w:hAnsi="Times New Roman"/>
          <w:noProof/>
          <w:sz w:val="24"/>
          <w:szCs w:val="24"/>
        </w:rPr>
        <w:t>are publicly traded</w:t>
      </w:r>
      <w:r w:rsidR="00F61D5E" w:rsidRPr="00A51DD1">
        <w:rPr>
          <w:rFonts w:ascii="Times New Roman" w:hAnsi="Times New Roman"/>
          <w:sz w:val="24"/>
          <w:szCs w:val="24"/>
        </w:rPr>
        <w:t xml:space="preserve"> on a stock exchange, the GP units are not. The inability to trade the GP units makes it very difficult to displace GPs when agency conflicts arise. </w:t>
      </w:r>
      <w:r w:rsidR="00DD4C86" w:rsidRPr="00A51DD1">
        <w:rPr>
          <w:rFonts w:ascii="Times New Roman" w:hAnsi="Times New Roman"/>
          <w:sz w:val="24"/>
          <w:szCs w:val="24"/>
        </w:rPr>
        <w:t>To make matters worse, most partnership agreements that govern MLPs stipulate that any party accumulating 20% or more ownership of an MLP’s outstanding common units lose its voting rights. A</w:t>
      </w:r>
      <w:r w:rsidR="00F61D5E" w:rsidRPr="00A51DD1">
        <w:rPr>
          <w:rFonts w:ascii="Times New Roman" w:hAnsi="Times New Roman"/>
          <w:sz w:val="24"/>
          <w:szCs w:val="24"/>
        </w:rPr>
        <w:t xml:space="preserve">s stated earlier, most GPs </w:t>
      </w:r>
      <w:r w:rsidR="000F6C3C" w:rsidRPr="00A51DD1">
        <w:rPr>
          <w:rFonts w:ascii="Times New Roman" w:hAnsi="Times New Roman"/>
          <w:sz w:val="24"/>
          <w:szCs w:val="24"/>
        </w:rPr>
        <w:t xml:space="preserve">have direct ties to </w:t>
      </w:r>
      <w:r w:rsidR="00F61D5E" w:rsidRPr="00A51DD1">
        <w:rPr>
          <w:rFonts w:ascii="Times New Roman" w:hAnsi="Times New Roman"/>
          <w:sz w:val="24"/>
          <w:szCs w:val="24"/>
        </w:rPr>
        <w:t>a sponsoring company</w:t>
      </w:r>
      <w:r w:rsidR="00DD4C86" w:rsidRPr="00A51DD1">
        <w:rPr>
          <w:rFonts w:ascii="Times New Roman" w:hAnsi="Times New Roman"/>
          <w:sz w:val="24"/>
          <w:szCs w:val="24"/>
        </w:rPr>
        <w:t xml:space="preserve"> or e</w:t>
      </w:r>
      <w:r w:rsidR="00F61D5E" w:rsidRPr="00A51DD1">
        <w:rPr>
          <w:rFonts w:ascii="Times New Roman" w:hAnsi="Times New Roman"/>
          <w:sz w:val="24"/>
          <w:szCs w:val="24"/>
        </w:rPr>
        <w:t xml:space="preserve">ntity. As such, the sponsor may use the MLP </w:t>
      </w:r>
      <w:r w:rsidR="00DD4C86" w:rsidRPr="00A51DD1">
        <w:rPr>
          <w:rFonts w:ascii="Times New Roman" w:hAnsi="Times New Roman"/>
          <w:sz w:val="24"/>
          <w:szCs w:val="24"/>
        </w:rPr>
        <w:t xml:space="preserve">to </w:t>
      </w:r>
      <w:r w:rsidR="00F61D5E" w:rsidRPr="00A51DD1">
        <w:rPr>
          <w:rFonts w:ascii="Times New Roman" w:hAnsi="Times New Roman"/>
          <w:sz w:val="24"/>
          <w:szCs w:val="24"/>
        </w:rPr>
        <w:t>maximize its interests ahead of those of the LPs</w:t>
      </w:r>
      <w:r w:rsidR="00DD4C86" w:rsidRPr="00A51DD1">
        <w:rPr>
          <w:rFonts w:ascii="Times New Roman" w:hAnsi="Times New Roman"/>
          <w:sz w:val="24"/>
          <w:szCs w:val="24"/>
        </w:rPr>
        <w:t>,</w:t>
      </w:r>
      <w:r w:rsidR="00F61D5E" w:rsidRPr="00A51DD1">
        <w:rPr>
          <w:rFonts w:ascii="Times New Roman" w:hAnsi="Times New Roman"/>
          <w:sz w:val="24"/>
          <w:szCs w:val="24"/>
        </w:rPr>
        <w:t xml:space="preserve"> </w:t>
      </w:r>
      <w:r w:rsidR="00DD4C86" w:rsidRPr="00A51DD1">
        <w:rPr>
          <w:rFonts w:ascii="Times New Roman" w:hAnsi="Times New Roman"/>
          <w:sz w:val="24"/>
          <w:szCs w:val="24"/>
        </w:rPr>
        <w:t xml:space="preserve">e.g., </w:t>
      </w:r>
      <w:r w:rsidR="00F61D5E" w:rsidRPr="00A51DD1">
        <w:rPr>
          <w:rFonts w:ascii="Times New Roman" w:hAnsi="Times New Roman"/>
          <w:sz w:val="24"/>
          <w:szCs w:val="24"/>
        </w:rPr>
        <w:t>divesting nonperforming assets to the MLP</w:t>
      </w:r>
      <w:r w:rsidR="00DD4C86" w:rsidRPr="00A51DD1">
        <w:rPr>
          <w:rFonts w:ascii="Times New Roman" w:hAnsi="Times New Roman"/>
          <w:sz w:val="24"/>
          <w:szCs w:val="24"/>
        </w:rPr>
        <w:t xml:space="preserve"> </w:t>
      </w:r>
      <w:r w:rsidR="00F61D5E" w:rsidRPr="009F659E">
        <w:rPr>
          <w:rFonts w:ascii="Times New Roman" w:hAnsi="Times New Roman"/>
          <w:noProof/>
          <w:sz w:val="24"/>
          <w:szCs w:val="24"/>
        </w:rPr>
        <w:t>and</w:t>
      </w:r>
      <w:r w:rsidR="00F61D5E" w:rsidRPr="00A51DD1">
        <w:rPr>
          <w:rFonts w:ascii="Times New Roman" w:hAnsi="Times New Roman"/>
          <w:sz w:val="24"/>
          <w:szCs w:val="24"/>
        </w:rPr>
        <w:t xml:space="preserve"> charging favorable rates for the provision of management services</w:t>
      </w:r>
      <w:r w:rsidR="009F659E">
        <w:rPr>
          <w:rFonts w:ascii="Times New Roman" w:hAnsi="Times New Roman"/>
          <w:sz w:val="24"/>
          <w:szCs w:val="24"/>
        </w:rPr>
        <w:t>,</w:t>
      </w:r>
      <w:r w:rsidR="00DD4C86" w:rsidRPr="00A51DD1">
        <w:rPr>
          <w:rFonts w:ascii="Times New Roman" w:hAnsi="Times New Roman"/>
          <w:sz w:val="24"/>
          <w:szCs w:val="24"/>
        </w:rPr>
        <w:t xml:space="preserve"> </w:t>
      </w:r>
      <w:r w:rsidR="00DD4C86" w:rsidRPr="00ED2BEE">
        <w:rPr>
          <w:rFonts w:ascii="Times New Roman" w:hAnsi="Times New Roman"/>
          <w:noProof/>
          <w:sz w:val="24"/>
          <w:szCs w:val="24"/>
        </w:rPr>
        <w:t>etc</w:t>
      </w:r>
      <w:r w:rsidR="00DD4C86" w:rsidRPr="00A51DD1">
        <w:rPr>
          <w:rFonts w:ascii="Times New Roman" w:hAnsi="Times New Roman"/>
          <w:sz w:val="24"/>
          <w:szCs w:val="24"/>
        </w:rPr>
        <w:t xml:space="preserve">. </w:t>
      </w:r>
      <w:r w:rsidR="00F61D5E" w:rsidRPr="00A51DD1">
        <w:rPr>
          <w:rFonts w:ascii="Times New Roman" w:hAnsi="Times New Roman"/>
          <w:sz w:val="24"/>
          <w:szCs w:val="24"/>
        </w:rPr>
        <w:t xml:space="preserve">Thus, the pressure is higher for GPs to act in the best interest of the principals at the expenses of LPs. </w:t>
      </w:r>
      <w:r w:rsidRPr="00A51DD1">
        <w:rPr>
          <w:rFonts w:ascii="Times New Roman" w:hAnsi="Times New Roman"/>
          <w:sz w:val="24"/>
          <w:szCs w:val="24"/>
        </w:rPr>
        <w:t xml:space="preserve">As a result, </w:t>
      </w:r>
      <w:r w:rsidR="00797356" w:rsidRPr="00A51DD1">
        <w:rPr>
          <w:rFonts w:ascii="Times New Roman" w:hAnsi="Times New Roman"/>
          <w:sz w:val="24"/>
          <w:szCs w:val="24"/>
        </w:rPr>
        <w:t xml:space="preserve">GPs have more </w:t>
      </w:r>
      <w:r w:rsidR="00DD4C86" w:rsidRPr="00A51DD1">
        <w:rPr>
          <w:rFonts w:ascii="Times New Roman" w:hAnsi="Times New Roman"/>
          <w:sz w:val="24"/>
          <w:szCs w:val="24"/>
        </w:rPr>
        <w:t>incentive</w:t>
      </w:r>
      <w:r w:rsidR="00727A7C" w:rsidRPr="00A51DD1">
        <w:rPr>
          <w:rFonts w:ascii="Times New Roman" w:hAnsi="Times New Roman"/>
          <w:sz w:val="24"/>
          <w:szCs w:val="24"/>
        </w:rPr>
        <w:t>s</w:t>
      </w:r>
      <w:r w:rsidR="00DD4C86" w:rsidRPr="00A51DD1">
        <w:rPr>
          <w:rFonts w:ascii="Times New Roman" w:hAnsi="Times New Roman"/>
          <w:sz w:val="24"/>
          <w:szCs w:val="24"/>
        </w:rPr>
        <w:t xml:space="preserve"> to conduct EM</w:t>
      </w:r>
      <w:r w:rsidR="00797356" w:rsidRPr="00A51DD1">
        <w:rPr>
          <w:rFonts w:ascii="Times New Roman" w:hAnsi="Times New Roman"/>
          <w:sz w:val="24"/>
          <w:szCs w:val="24"/>
        </w:rPr>
        <w:t xml:space="preserve">. </w:t>
      </w:r>
      <w:r w:rsidR="000003BC" w:rsidRPr="00A51DD1">
        <w:rPr>
          <w:rFonts w:ascii="Times New Roman" w:hAnsi="Times New Roman"/>
          <w:sz w:val="24"/>
          <w:szCs w:val="24"/>
        </w:rPr>
        <w:t>Indeed, a report by Moody’s Investors Service (2007) states that the nature of the separation of ownership and control inherent to the MLPs’ corporate governance structure leads the rating agency to suppress MLPs’ ratings relative to public corporations with comparable financial metrics. Note that such governance risks are distinct from and in addition to the credit and liquidity risks associated with the MLP business model. The main governance risk as per the report is that GPs use their control to extract value from the MLP to the detriment of their common unitholders.</w:t>
      </w:r>
    </w:p>
    <w:p w14:paraId="5F64DFF9" w14:textId="1132B69D" w:rsidR="00A10E33" w:rsidRPr="00A51DD1" w:rsidRDefault="004D37E3" w:rsidP="00A10E33">
      <w:pPr>
        <w:spacing w:after="0" w:line="480" w:lineRule="auto"/>
        <w:ind w:firstLine="720"/>
        <w:jc w:val="both"/>
        <w:rPr>
          <w:rFonts w:ascii="Times New Roman" w:hAnsi="Times New Roman"/>
          <w:b/>
          <w:i/>
          <w:sz w:val="24"/>
          <w:szCs w:val="24"/>
        </w:rPr>
      </w:pPr>
      <w:r w:rsidRPr="00A51DD1">
        <w:rPr>
          <w:rFonts w:ascii="Times New Roman" w:hAnsi="Times New Roman"/>
          <w:sz w:val="24"/>
          <w:szCs w:val="24"/>
        </w:rPr>
        <w:t xml:space="preserve">On the other hand, there are </w:t>
      </w:r>
      <w:r w:rsidRPr="009F659E">
        <w:rPr>
          <w:rFonts w:ascii="Times New Roman" w:hAnsi="Times New Roman"/>
          <w:noProof/>
          <w:sz w:val="24"/>
          <w:szCs w:val="24"/>
        </w:rPr>
        <w:t>counter</w:t>
      </w:r>
      <w:r w:rsidR="009F659E">
        <w:rPr>
          <w:rFonts w:ascii="Times New Roman" w:hAnsi="Times New Roman"/>
          <w:noProof/>
          <w:sz w:val="24"/>
          <w:szCs w:val="24"/>
        </w:rPr>
        <w:t>-</w:t>
      </w:r>
      <w:r w:rsidRPr="009F659E">
        <w:rPr>
          <w:rFonts w:ascii="Times New Roman" w:hAnsi="Times New Roman"/>
          <w:noProof/>
          <w:sz w:val="24"/>
          <w:szCs w:val="24"/>
        </w:rPr>
        <w:t>arguments</w:t>
      </w:r>
      <w:r w:rsidRPr="00A51DD1">
        <w:rPr>
          <w:rFonts w:ascii="Times New Roman" w:hAnsi="Times New Roman"/>
          <w:sz w:val="24"/>
          <w:szCs w:val="24"/>
        </w:rPr>
        <w:t xml:space="preserve">. First, the sponsoring companies have strong incentives to protect their reputation by closely monitoring GP's behavior. Due to proximity, such </w:t>
      </w:r>
      <w:r w:rsidRPr="009F659E">
        <w:rPr>
          <w:rFonts w:ascii="Times New Roman" w:hAnsi="Times New Roman"/>
          <w:noProof/>
          <w:sz w:val="24"/>
          <w:szCs w:val="24"/>
        </w:rPr>
        <w:t>monitoring</w:t>
      </w:r>
      <w:r w:rsidRPr="00A51DD1">
        <w:rPr>
          <w:rFonts w:ascii="Times New Roman" w:hAnsi="Times New Roman"/>
          <w:sz w:val="24"/>
          <w:szCs w:val="24"/>
        </w:rPr>
        <w:t xml:space="preserve"> can be more effective than a corporate board whose members are not as knowledgeable or has the prior working relationship with GPs. The link that ties sponsoring companies and GPs to their MLPs is a resemblance to family-run firms. Anderson and Reeb (2003) show that founding family ties help reduce agency costs. </w:t>
      </w:r>
      <w:r w:rsidR="004A291F" w:rsidRPr="00A51DD1">
        <w:rPr>
          <w:rFonts w:ascii="Times New Roman" w:hAnsi="Times New Roman"/>
          <w:sz w:val="24"/>
          <w:szCs w:val="24"/>
        </w:rPr>
        <w:t xml:space="preserve">Prencipe and Bar-Yosef (2011) find that the earnings management behavior in family-controlled businesses is affected less by the number of independent board member but more by CEO’s tie to the family. </w:t>
      </w:r>
      <w:r w:rsidRPr="00A51DD1">
        <w:rPr>
          <w:rFonts w:ascii="Times New Roman" w:hAnsi="Times New Roman"/>
          <w:sz w:val="24"/>
          <w:szCs w:val="24"/>
        </w:rPr>
        <w:t>To the extent that the sponsoring company would maximize the MLP’s wealth, the incentives to obtain private benefits at the expense of LPs would be fewer. Thus, the long-term ties between sponsoring firms and GPs should reduce opportunistic behavior by GPs. Secondly, as discussed in Chen and Ngo (2018), GPs are compensated by distributed cash flow. Manipulating cash flow may be more difficult than managing earnings.</w:t>
      </w:r>
      <w:r w:rsidR="00A10E33" w:rsidRPr="00A10E33">
        <w:rPr>
          <w:rFonts w:ascii="Times New Roman" w:hAnsi="Times New Roman"/>
          <w:sz w:val="24"/>
          <w:szCs w:val="24"/>
        </w:rPr>
        <w:t xml:space="preserve"> </w:t>
      </w:r>
    </w:p>
    <w:p w14:paraId="741DF7DF" w14:textId="39852D53" w:rsidR="00727A7C" w:rsidRPr="00A51DD1" w:rsidRDefault="004D37E3" w:rsidP="00F95AF0">
      <w:pPr>
        <w:spacing w:after="0" w:line="480" w:lineRule="auto"/>
        <w:ind w:firstLine="720"/>
        <w:jc w:val="both"/>
        <w:rPr>
          <w:rFonts w:ascii="Times New Roman" w:hAnsi="Times New Roman"/>
          <w:i/>
          <w:sz w:val="24"/>
          <w:szCs w:val="24"/>
        </w:rPr>
      </w:pPr>
      <w:r w:rsidRPr="00A51DD1">
        <w:rPr>
          <w:rFonts w:ascii="Times New Roman" w:hAnsi="Times New Roman"/>
          <w:sz w:val="24"/>
          <w:szCs w:val="24"/>
        </w:rPr>
        <w:t xml:space="preserve"> </w:t>
      </w:r>
      <w:r w:rsidR="00DD4C86" w:rsidRPr="00A51DD1">
        <w:rPr>
          <w:rFonts w:ascii="Times New Roman" w:hAnsi="Times New Roman"/>
          <w:sz w:val="24"/>
          <w:szCs w:val="24"/>
        </w:rPr>
        <w:t xml:space="preserve">Shrieves and Gao (2002) and Bergstresser and Philipon (2006) evince that earnings manipulation is more pronounced where executive compensation </w:t>
      </w:r>
      <w:r w:rsidR="00DD4C86" w:rsidRPr="0087564A">
        <w:rPr>
          <w:rFonts w:ascii="Times New Roman" w:hAnsi="Times New Roman"/>
          <w:noProof/>
          <w:sz w:val="24"/>
          <w:szCs w:val="24"/>
        </w:rPr>
        <w:t>is more closely tied</w:t>
      </w:r>
      <w:r w:rsidR="00DD4C86" w:rsidRPr="00A51DD1">
        <w:rPr>
          <w:rFonts w:ascii="Times New Roman" w:hAnsi="Times New Roman"/>
          <w:sz w:val="24"/>
          <w:szCs w:val="24"/>
        </w:rPr>
        <w:t xml:space="preserve"> to the value of shares. However, since GPs </w:t>
      </w:r>
      <w:r w:rsidR="000F6C3C" w:rsidRPr="00A51DD1">
        <w:rPr>
          <w:rFonts w:ascii="Times New Roman" w:hAnsi="Times New Roman"/>
          <w:sz w:val="24"/>
          <w:szCs w:val="24"/>
        </w:rPr>
        <w:t xml:space="preserve">receive bonuses from the </w:t>
      </w:r>
      <w:r w:rsidR="00DD4C86" w:rsidRPr="00A51DD1">
        <w:rPr>
          <w:rFonts w:ascii="Times New Roman" w:hAnsi="Times New Roman"/>
          <w:sz w:val="24"/>
          <w:szCs w:val="24"/>
        </w:rPr>
        <w:t xml:space="preserve">cash flow distribution, </w:t>
      </w:r>
      <w:r w:rsidRPr="00A51DD1">
        <w:rPr>
          <w:rFonts w:ascii="Times New Roman" w:hAnsi="Times New Roman"/>
          <w:sz w:val="24"/>
          <w:szCs w:val="24"/>
        </w:rPr>
        <w:t xml:space="preserve">why would a GP even try to manage earnings in the first place? Thirdly, because MLPs have to tap the capital market more frequently than </w:t>
      </w:r>
      <w:r w:rsidR="008E1806" w:rsidRPr="00A51DD1">
        <w:rPr>
          <w:rFonts w:ascii="Times New Roman" w:hAnsi="Times New Roman"/>
          <w:sz w:val="24"/>
          <w:szCs w:val="24"/>
        </w:rPr>
        <w:t>corporations do</w:t>
      </w:r>
      <w:r w:rsidRPr="00A51DD1">
        <w:rPr>
          <w:rFonts w:ascii="Times New Roman" w:hAnsi="Times New Roman"/>
          <w:sz w:val="24"/>
          <w:szCs w:val="24"/>
        </w:rPr>
        <w:t>, the odds of being caught in managing earnings are much higher, which also acts as a deterrent against active earnings management argument.</w:t>
      </w:r>
      <w:r w:rsidR="003D5803" w:rsidRPr="00A51DD1">
        <w:rPr>
          <w:rFonts w:ascii="Times New Roman" w:hAnsi="Times New Roman"/>
          <w:sz w:val="24"/>
          <w:szCs w:val="24"/>
        </w:rPr>
        <w:t xml:space="preserve"> I</w:t>
      </w:r>
      <w:r w:rsidR="00A507A1" w:rsidRPr="00A51DD1">
        <w:rPr>
          <w:rFonts w:ascii="Times New Roman" w:hAnsi="Times New Roman"/>
          <w:sz w:val="24"/>
          <w:szCs w:val="24"/>
        </w:rPr>
        <w:t xml:space="preserve">t needs empirical evidence to shed light on whether there is a difference in management behavior under the two organization formats. </w:t>
      </w:r>
      <w:r w:rsidR="003D5803" w:rsidRPr="00A51DD1">
        <w:rPr>
          <w:rFonts w:ascii="Times New Roman" w:hAnsi="Times New Roman"/>
          <w:sz w:val="24"/>
          <w:szCs w:val="24"/>
        </w:rPr>
        <w:t>Therefore, we specify the following two hypothesizes.</w:t>
      </w:r>
    </w:p>
    <w:p w14:paraId="2C3C7CA5" w14:textId="759D2DC3" w:rsidR="00E37992" w:rsidRPr="00282D07" w:rsidRDefault="006F394E" w:rsidP="008A58CA">
      <w:pPr>
        <w:spacing w:before="120" w:after="0" w:line="480" w:lineRule="auto"/>
        <w:jc w:val="both"/>
        <w:rPr>
          <w:rFonts w:ascii="Times New Roman" w:hAnsi="Times New Roman"/>
          <w:b/>
          <w:i/>
          <w:sz w:val="24"/>
          <w:szCs w:val="24"/>
        </w:rPr>
      </w:pPr>
      <w:r w:rsidRPr="00282D07">
        <w:rPr>
          <w:rFonts w:ascii="Times New Roman" w:hAnsi="Times New Roman"/>
          <w:b/>
          <w:i/>
          <w:sz w:val="24"/>
          <w:szCs w:val="24"/>
        </w:rPr>
        <w:t>Discretional accruals management hypothesis: there is no difference between MLPs and corporations in managing discretional accruals.</w:t>
      </w:r>
    </w:p>
    <w:p w14:paraId="4028D36C" w14:textId="5CAD12A9" w:rsidR="006F394E" w:rsidRDefault="006F394E" w:rsidP="008A58CA">
      <w:pPr>
        <w:spacing w:before="120" w:after="0" w:line="480" w:lineRule="auto"/>
        <w:jc w:val="both"/>
        <w:rPr>
          <w:rFonts w:ascii="Times New Roman" w:hAnsi="Times New Roman"/>
          <w:b/>
          <w:i/>
          <w:sz w:val="24"/>
          <w:szCs w:val="24"/>
        </w:rPr>
      </w:pPr>
      <w:r w:rsidRPr="00282D07">
        <w:rPr>
          <w:rFonts w:ascii="Times New Roman" w:hAnsi="Times New Roman"/>
          <w:b/>
          <w:i/>
          <w:sz w:val="24"/>
          <w:szCs w:val="24"/>
        </w:rPr>
        <w:t>Real activity management hypothesis: there is no difference between MLPs and corporations in managing real activit</w:t>
      </w:r>
      <w:r w:rsidR="008D1EB1" w:rsidRPr="00282D07">
        <w:rPr>
          <w:rFonts w:ascii="Times New Roman" w:hAnsi="Times New Roman"/>
          <w:b/>
          <w:i/>
          <w:sz w:val="24"/>
          <w:szCs w:val="24"/>
        </w:rPr>
        <w:t>ies</w:t>
      </w:r>
      <w:r w:rsidRPr="00282D07">
        <w:rPr>
          <w:rFonts w:ascii="Times New Roman" w:hAnsi="Times New Roman"/>
          <w:b/>
          <w:i/>
          <w:sz w:val="24"/>
          <w:szCs w:val="24"/>
        </w:rPr>
        <w:t>.</w:t>
      </w:r>
    </w:p>
    <w:p w14:paraId="7E3A1F59" w14:textId="4A8CA428" w:rsidR="001614CE" w:rsidRPr="00A51DD1" w:rsidRDefault="004166AB" w:rsidP="004253F6">
      <w:pPr>
        <w:spacing w:before="120" w:after="0" w:line="480" w:lineRule="auto"/>
        <w:rPr>
          <w:rFonts w:ascii="Times New Roman" w:hAnsi="Times New Roman"/>
          <w:b/>
          <w:sz w:val="24"/>
          <w:szCs w:val="24"/>
        </w:rPr>
      </w:pPr>
      <w:r w:rsidRPr="00A51DD1">
        <w:rPr>
          <w:rFonts w:ascii="Times New Roman" w:hAnsi="Times New Roman"/>
          <w:b/>
          <w:sz w:val="24"/>
          <w:szCs w:val="24"/>
        </w:rPr>
        <w:t>3</w:t>
      </w:r>
      <w:r w:rsidR="00BF4A1D" w:rsidRPr="00A51DD1">
        <w:rPr>
          <w:rFonts w:ascii="Times New Roman" w:hAnsi="Times New Roman"/>
          <w:b/>
          <w:sz w:val="24"/>
          <w:szCs w:val="24"/>
        </w:rPr>
        <w:t xml:space="preserve">. </w:t>
      </w:r>
      <w:r w:rsidR="00821250" w:rsidRPr="00A51DD1">
        <w:rPr>
          <w:rFonts w:ascii="Times New Roman" w:hAnsi="Times New Roman"/>
          <w:b/>
          <w:sz w:val="24"/>
          <w:szCs w:val="24"/>
        </w:rPr>
        <w:t>Sample</w:t>
      </w:r>
      <w:r w:rsidR="005F3E30" w:rsidRPr="00A51DD1">
        <w:rPr>
          <w:rFonts w:ascii="Times New Roman" w:hAnsi="Times New Roman"/>
          <w:b/>
          <w:sz w:val="24"/>
          <w:szCs w:val="24"/>
        </w:rPr>
        <w:t xml:space="preserve"> Selection</w:t>
      </w:r>
      <w:r w:rsidR="0094621B" w:rsidRPr="00A51DD1">
        <w:rPr>
          <w:rFonts w:ascii="Times New Roman" w:hAnsi="Times New Roman"/>
          <w:b/>
          <w:sz w:val="24"/>
          <w:szCs w:val="24"/>
        </w:rPr>
        <w:t xml:space="preserve"> and Methodology</w:t>
      </w:r>
    </w:p>
    <w:p w14:paraId="10826987" w14:textId="672D723F" w:rsidR="0094621B" w:rsidRPr="002F79D0" w:rsidRDefault="00370A4E" w:rsidP="004253F6">
      <w:pPr>
        <w:spacing w:before="120" w:after="0" w:line="480" w:lineRule="auto"/>
        <w:rPr>
          <w:rFonts w:ascii="Times New Roman" w:hAnsi="Times New Roman"/>
          <w:b/>
          <w:i/>
          <w:sz w:val="24"/>
          <w:szCs w:val="24"/>
        </w:rPr>
      </w:pPr>
      <w:r w:rsidRPr="002F79D0">
        <w:rPr>
          <w:rFonts w:ascii="Times New Roman" w:hAnsi="Times New Roman"/>
          <w:b/>
          <w:i/>
          <w:sz w:val="24"/>
          <w:szCs w:val="24"/>
        </w:rPr>
        <w:t>3.1. Sample selection</w:t>
      </w:r>
    </w:p>
    <w:p w14:paraId="48CEEF60" w14:textId="0C5741A8" w:rsidR="007701E7" w:rsidRPr="00A51DD1" w:rsidRDefault="001C637D" w:rsidP="008A58CA">
      <w:pPr>
        <w:spacing w:after="0" w:line="480" w:lineRule="auto"/>
        <w:ind w:firstLine="720"/>
        <w:jc w:val="both"/>
        <w:rPr>
          <w:rFonts w:ascii="Times New Roman" w:hAnsi="Times New Roman"/>
          <w:sz w:val="24"/>
          <w:szCs w:val="24"/>
        </w:rPr>
      </w:pPr>
      <w:r w:rsidRPr="00A51DD1">
        <w:rPr>
          <w:rFonts w:ascii="Times New Roman" w:hAnsi="Times New Roman"/>
          <w:sz w:val="24"/>
          <w:szCs w:val="24"/>
        </w:rPr>
        <w:t xml:space="preserve">Following Chen and Ngo (2018), we obtain the list of master-limited partnership firms from the Master Limited Partnership Association and </w:t>
      </w:r>
      <w:r w:rsidR="001F0B4A" w:rsidRPr="00A51DD1">
        <w:rPr>
          <w:rFonts w:ascii="Times New Roman" w:hAnsi="Times New Roman"/>
          <w:sz w:val="24"/>
          <w:szCs w:val="24"/>
        </w:rPr>
        <w:t>crosscheck</w:t>
      </w:r>
      <w:r w:rsidRPr="00A51DD1">
        <w:rPr>
          <w:rFonts w:ascii="Times New Roman" w:hAnsi="Times New Roman"/>
          <w:sz w:val="24"/>
          <w:szCs w:val="24"/>
        </w:rPr>
        <w:t xml:space="preserve"> the list with the Center for Research in Security Prices (CRSP) and Compustat databases. After merging </w:t>
      </w:r>
      <w:r w:rsidR="00990C23" w:rsidRPr="00A51DD1">
        <w:rPr>
          <w:rFonts w:ascii="Times New Roman" w:hAnsi="Times New Roman"/>
          <w:sz w:val="24"/>
          <w:szCs w:val="24"/>
        </w:rPr>
        <w:t xml:space="preserve">these </w:t>
      </w:r>
      <w:r w:rsidRPr="00A51DD1">
        <w:rPr>
          <w:rFonts w:ascii="Times New Roman" w:hAnsi="Times New Roman"/>
          <w:sz w:val="24"/>
          <w:szCs w:val="24"/>
        </w:rPr>
        <w:t xml:space="preserve">into CRSP and Compustat and removing firms in </w:t>
      </w:r>
      <w:r w:rsidR="0094719D" w:rsidRPr="00A51DD1">
        <w:rPr>
          <w:rFonts w:ascii="Times New Roman" w:hAnsi="Times New Roman"/>
          <w:sz w:val="24"/>
          <w:szCs w:val="24"/>
        </w:rPr>
        <w:t xml:space="preserve">the </w:t>
      </w:r>
      <w:r w:rsidRPr="00A51DD1">
        <w:rPr>
          <w:rFonts w:ascii="Times New Roman" w:hAnsi="Times New Roman"/>
          <w:sz w:val="24"/>
          <w:szCs w:val="24"/>
        </w:rPr>
        <w:t>financial industry (SIC code</w:t>
      </w:r>
      <w:r w:rsidR="001614CE" w:rsidRPr="00A51DD1">
        <w:rPr>
          <w:rFonts w:ascii="Times New Roman" w:hAnsi="Times New Roman"/>
          <w:sz w:val="24"/>
          <w:szCs w:val="24"/>
        </w:rPr>
        <w:t>s</w:t>
      </w:r>
      <w:r w:rsidRPr="00A51DD1">
        <w:rPr>
          <w:rFonts w:ascii="Times New Roman" w:hAnsi="Times New Roman"/>
          <w:sz w:val="24"/>
          <w:szCs w:val="24"/>
        </w:rPr>
        <w:t xml:space="preserve"> = 6000-6999), we </w:t>
      </w:r>
      <w:r w:rsidRPr="0087564A">
        <w:rPr>
          <w:rFonts w:ascii="Times New Roman" w:hAnsi="Times New Roman"/>
          <w:noProof/>
          <w:sz w:val="24"/>
          <w:szCs w:val="24"/>
        </w:rPr>
        <w:t>are left</w:t>
      </w:r>
      <w:r w:rsidRPr="00A51DD1">
        <w:rPr>
          <w:rFonts w:ascii="Times New Roman" w:hAnsi="Times New Roman"/>
          <w:sz w:val="24"/>
          <w:szCs w:val="24"/>
        </w:rPr>
        <w:t xml:space="preserve"> with </w:t>
      </w:r>
      <w:r w:rsidR="00816E59" w:rsidRPr="00A51DD1">
        <w:rPr>
          <w:rFonts w:ascii="Times New Roman" w:hAnsi="Times New Roman"/>
          <w:sz w:val="24"/>
          <w:szCs w:val="24"/>
        </w:rPr>
        <w:t xml:space="preserve">99 </w:t>
      </w:r>
      <w:r w:rsidRPr="00A51DD1">
        <w:rPr>
          <w:rFonts w:ascii="Times New Roman" w:hAnsi="Times New Roman"/>
          <w:sz w:val="24"/>
          <w:szCs w:val="24"/>
        </w:rPr>
        <w:t xml:space="preserve">MLP firms. </w:t>
      </w:r>
      <w:r w:rsidR="00116DBB" w:rsidRPr="00A51DD1">
        <w:rPr>
          <w:rFonts w:ascii="Times New Roman" w:hAnsi="Times New Roman"/>
          <w:sz w:val="24"/>
          <w:szCs w:val="24"/>
        </w:rPr>
        <w:t xml:space="preserve">We </w:t>
      </w:r>
      <w:r w:rsidR="0094719D" w:rsidRPr="00A51DD1">
        <w:rPr>
          <w:rFonts w:ascii="Times New Roman" w:hAnsi="Times New Roman"/>
          <w:sz w:val="24"/>
          <w:szCs w:val="24"/>
        </w:rPr>
        <w:t xml:space="preserve">provide </w:t>
      </w:r>
      <w:r w:rsidR="00116DBB" w:rsidRPr="00A51DD1">
        <w:rPr>
          <w:rFonts w:ascii="Times New Roman" w:hAnsi="Times New Roman"/>
          <w:sz w:val="24"/>
          <w:szCs w:val="24"/>
        </w:rPr>
        <w:t xml:space="preserve">the names of </w:t>
      </w:r>
      <w:r w:rsidR="0094719D" w:rsidRPr="00A51DD1">
        <w:rPr>
          <w:rFonts w:ascii="Times New Roman" w:hAnsi="Times New Roman"/>
          <w:sz w:val="24"/>
          <w:szCs w:val="24"/>
        </w:rPr>
        <w:t xml:space="preserve">the </w:t>
      </w:r>
      <w:r w:rsidR="00816E59" w:rsidRPr="00A51DD1">
        <w:rPr>
          <w:rFonts w:ascii="Times New Roman" w:hAnsi="Times New Roman"/>
          <w:sz w:val="24"/>
          <w:szCs w:val="24"/>
        </w:rPr>
        <w:t xml:space="preserve">99 </w:t>
      </w:r>
      <w:r w:rsidR="00116DBB" w:rsidRPr="00A51DD1">
        <w:rPr>
          <w:rFonts w:ascii="Times New Roman" w:hAnsi="Times New Roman"/>
          <w:sz w:val="24"/>
          <w:szCs w:val="24"/>
        </w:rPr>
        <w:t>MLP firms in Appendix</w:t>
      </w:r>
      <w:r w:rsidR="0094719D" w:rsidRPr="00A51DD1">
        <w:rPr>
          <w:rFonts w:ascii="Times New Roman" w:hAnsi="Times New Roman"/>
          <w:sz w:val="24"/>
          <w:szCs w:val="24"/>
        </w:rPr>
        <w:t xml:space="preserve"> </w:t>
      </w:r>
      <w:r w:rsidR="00BD4C92" w:rsidRPr="00A51DD1">
        <w:rPr>
          <w:rFonts w:ascii="Times New Roman" w:hAnsi="Times New Roman"/>
          <w:sz w:val="24"/>
          <w:szCs w:val="24"/>
        </w:rPr>
        <w:t>1</w:t>
      </w:r>
      <w:r w:rsidR="00116DBB" w:rsidRPr="00A51DD1">
        <w:rPr>
          <w:rFonts w:ascii="Times New Roman" w:hAnsi="Times New Roman"/>
          <w:sz w:val="24"/>
          <w:szCs w:val="24"/>
        </w:rPr>
        <w:t xml:space="preserve">. </w:t>
      </w:r>
      <w:r w:rsidR="008A58CA" w:rsidRPr="00A51DD1">
        <w:rPr>
          <w:rFonts w:ascii="Times New Roman" w:hAnsi="Times New Roman"/>
          <w:sz w:val="24"/>
          <w:szCs w:val="24"/>
        </w:rPr>
        <w:t xml:space="preserve">Our final sample extends from 1995-2015. </w:t>
      </w:r>
      <w:r w:rsidR="007701E7" w:rsidRPr="00A51DD1">
        <w:rPr>
          <w:rFonts w:ascii="Times New Roman" w:hAnsi="Times New Roman"/>
          <w:sz w:val="24"/>
          <w:szCs w:val="24"/>
        </w:rPr>
        <w:t xml:space="preserve">Although Apache Petroleum Company became the first MLP listed on the NYSE in 1981, the number of listed MLPs in the energy sector was fewer than three in the early 1990s. As such, we start the sample from 1995 in which we have three MLPs. For matching </w:t>
      </w:r>
      <w:r w:rsidR="007701E7" w:rsidRPr="0087564A">
        <w:rPr>
          <w:rFonts w:ascii="Times New Roman" w:hAnsi="Times New Roman"/>
          <w:noProof/>
          <w:sz w:val="24"/>
          <w:szCs w:val="24"/>
        </w:rPr>
        <w:t>non</w:t>
      </w:r>
      <w:r w:rsidR="007701E7" w:rsidRPr="00A51DD1">
        <w:rPr>
          <w:rFonts w:ascii="Times New Roman" w:hAnsi="Times New Roman"/>
          <w:sz w:val="24"/>
          <w:szCs w:val="24"/>
        </w:rPr>
        <w:t>-</w:t>
      </w:r>
      <w:r w:rsidR="008A58CA" w:rsidRPr="00A51DD1">
        <w:rPr>
          <w:rFonts w:ascii="Times New Roman" w:hAnsi="Times New Roman"/>
          <w:sz w:val="24"/>
          <w:szCs w:val="24"/>
        </w:rPr>
        <w:t>MLP firms</w:t>
      </w:r>
      <w:r w:rsidR="007701E7" w:rsidRPr="00A51DD1">
        <w:rPr>
          <w:rFonts w:ascii="Times New Roman" w:hAnsi="Times New Roman"/>
          <w:sz w:val="24"/>
          <w:szCs w:val="24"/>
        </w:rPr>
        <w:t>, we include all corporations</w:t>
      </w:r>
      <w:r w:rsidR="008A58CA" w:rsidRPr="00A51DD1">
        <w:rPr>
          <w:rFonts w:ascii="Times New Roman" w:hAnsi="Times New Roman"/>
          <w:sz w:val="24"/>
          <w:szCs w:val="24"/>
        </w:rPr>
        <w:t xml:space="preserve"> that share the same SIC code in the same year as their MLP counterparts – excluding share codes of 70 and 71. </w:t>
      </w:r>
    </w:p>
    <w:p w14:paraId="4A8AD104" w14:textId="1142C037" w:rsidR="008A58CA" w:rsidRPr="00A51DD1" w:rsidRDefault="007701E7" w:rsidP="008A58CA">
      <w:pPr>
        <w:spacing w:after="0" w:line="480" w:lineRule="auto"/>
        <w:ind w:firstLine="720"/>
        <w:jc w:val="both"/>
        <w:rPr>
          <w:rFonts w:ascii="Times New Roman" w:hAnsi="Times New Roman"/>
          <w:sz w:val="24"/>
          <w:szCs w:val="24"/>
        </w:rPr>
      </w:pPr>
      <w:r w:rsidRPr="00A51DD1">
        <w:rPr>
          <w:rFonts w:ascii="Times New Roman" w:hAnsi="Times New Roman"/>
          <w:sz w:val="24"/>
          <w:szCs w:val="24"/>
        </w:rPr>
        <w:t xml:space="preserve">Table 1 </w:t>
      </w:r>
      <w:r w:rsidR="008A58CA" w:rsidRPr="00A51DD1">
        <w:rPr>
          <w:rFonts w:ascii="Times New Roman" w:hAnsi="Times New Roman"/>
          <w:sz w:val="24"/>
          <w:szCs w:val="24"/>
        </w:rPr>
        <w:t>report</w:t>
      </w:r>
      <w:r w:rsidRPr="00A51DD1">
        <w:rPr>
          <w:rFonts w:ascii="Times New Roman" w:hAnsi="Times New Roman"/>
          <w:sz w:val="24"/>
          <w:szCs w:val="24"/>
        </w:rPr>
        <w:t>s</w:t>
      </w:r>
      <w:r w:rsidR="008A58CA" w:rsidRPr="00A51DD1">
        <w:rPr>
          <w:rFonts w:ascii="Times New Roman" w:hAnsi="Times New Roman"/>
          <w:sz w:val="24"/>
          <w:szCs w:val="24"/>
        </w:rPr>
        <w:t xml:space="preserve"> the sample distribution by year in Panel A and by industry (as classified by the 4-digit SIC code) in Panel B. There is a gradual increase in the number of MLPs o</w:t>
      </w:r>
      <w:r w:rsidRPr="00A51DD1">
        <w:rPr>
          <w:rFonts w:ascii="Times New Roman" w:hAnsi="Times New Roman"/>
          <w:sz w:val="24"/>
          <w:szCs w:val="24"/>
        </w:rPr>
        <w:t>ver the years</w:t>
      </w:r>
      <w:r w:rsidR="009E48F4" w:rsidRPr="00A51DD1">
        <w:rPr>
          <w:rFonts w:ascii="Times New Roman" w:hAnsi="Times New Roman"/>
          <w:sz w:val="24"/>
          <w:szCs w:val="24"/>
        </w:rPr>
        <w:t>.</w:t>
      </w:r>
      <w:r w:rsidRPr="00A51DD1">
        <w:rPr>
          <w:rFonts w:ascii="Times New Roman" w:hAnsi="Times New Roman"/>
          <w:sz w:val="24"/>
          <w:szCs w:val="24"/>
        </w:rPr>
        <w:t xml:space="preserve"> Specifically, t</w:t>
      </w:r>
      <w:r w:rsidR="009E48F4" w:rsidRPr="00A51DD1">
        <w:rPr>
          <w:rFonts w:ascii="Times New Roman" w:hAnsi="Times New Roman"/>
          <w:sz w:val="24"/>
          <w:szCs w:val="24"/>
        </w:rPr>
        <w:t>he number of MLPs doubles in 2006. A</w:t>
      </w:r>
      <w:r w:rsidR="008A58CA" w:rsidRPr="00A51DD1">
        <w:rPr>
          <w:rFonts w:ascii="Times New Roman" w:hAnsi="Times New Roman"/>
          <w:sz w:val="24"/>
          <w:szCs w:val="24"/>
        </w:rPr>
        <w:t>s expected, the highest frequency of MLPs occurs in the oil, gas and petroleum industries</w:t>
      </w:r>
      <w:r w:rsidR="009E48F4" w:rsidRPr="00A51DD1">
        <w:rPr>
          <w:rFonts w:ascii="Times New Roman" w:hAnsi="Times New Roman"/>
          <w:sz w:val="24"/>
          <w:szCs w:val="24"/>
        </w:rPr>
        <w:t xml:space="preserve"> (19% of the sample)</w:t>
      </w:r>
      <w:r w:rsidR="00CF22E7" w:rsidRPr="00A51DD1">
        <w:rPr>
          <w:rFonts w:ascii="Times New Roman" w:hAnsi="Times New Roman"/>
          <w:sz w:val="24"/>
          <w:szCs w:val="24"/>
        </w:rPr>
        <w:t xml:space="preserve">. Midstream MLPs such as those engaging in the </w:t>
      </w:r>
      <w:r w:rsidR="009E48F4" w:rsidRPr="00A51DD1">
        <w:rPr>
          <w:rFonts w:ascii="Times New Roman" w:hAnsi="Times New Roman"/>
          <w:sz w:val="24"/>
          <w:szCs w:val="24"/>
        </w:rPr>
        <w:t xml:space="preserve">transmission of gas </w:t>
      </w:r>
      <w:r w:rsidR="00CF22E7" w:rsidRPr="00A51DD1">
        <w:rPr>
          <w:rFonts w:ascii="Times New Roman" w:hAnsi="Times New Roman"/>
          <w:sz w:val="24"/>
          <w:szCs w:val="24"/>
        </w:rPr>
        <w:t xml:space="preserve">accounts for </w:t>
      </w:r>
      <w:r w:rsidR="009E48F4" w:rsidRPr="00A51DD1">
        <w:rPr>
          <w:rFonts w:ascii="Times New Roman" w:hAnsi="Times New Roman"/>
          <w:sz w:val="24"/>
          <w:szCs w:val="24"/>
        </w:rPr>
        <w:t>15%</w:t>
      </w:r>
      <w:r w:rsidR="00CF22E7" w:rsidRPr="00A51DD1">
        <w:rPr>
          <w:rFonts w:ascii="Times New Roman" w:hAnsi="Times New Roman"/>
          <w:sz w:val="24"/>
          <w:szCs w:val="24"/>
        </w:rPr>
        <w:t xml:space="preserve"> of the sample</w:t>
      </w:r>
      <w:r w:rsidR="009E48F4" w:rsidRPr="00A51DD1">
        <w:rPr>
          <w:rFonts w:ascii="Times New Roman" w:hAnsi="Times New Roman"/>
          <w:sz w:val="24"/>
          <w:szCs w:val="24"/>
        </w:rPr>
        <w:t xml:space="preserve">, and retailing </w:t>
      </w:r>
      <w:r w:rsidR="00CF22E7" w:rsidRPr="00A51DD1">
        <w:rPr>
          <w:rFonts w:ascii="Times New Roman" w:hAnsi="Times New Roman"/>
          <w:sz w:val="24"/>
          <w:szCs w:val="24"/>
        </w:rPr>
        <w:t xml:space="preserve">MLPs accounts for </w:t>
      </w:r>
      <w:r w:rsidR="009E48F4" w:rsidRPr="00A51DD1">
        <w:rPr>
          <w:rFonts w:ascii="Times New Roman" w:hAnsi="Times New Roman"/>
          <w:sz w:val="24"/>
          <w:szCs w:val="24"/>
        </w:rPr>
        <w:t>14%</w:t>
      </w:r>
      <w:r w:rsidR="00CF22E7" w:rsidRPr="00A51DD1">
        <w:rPr>
          <w:rFonts w:ascii="Times New Roman" w:hAnsi="Times New Roman"/>
          <w:sz w:val="24"/>
          <w:szCs w:val="24"/>
        </w:rPr>
        <w:t>, respectively</w:t>
      </w:r>
      <w:r w:rsidR="008A58CA" w:rsidRPr="00A51DD1">
        <w:rPr>
          <w:rFonts w:ascii="Times New Roman" w:hAnsi="Times New Roman"/>
          <w:sz w:val="24"/>
          <w:szCs w:val="24"/>
        </w:rPr>
        <w:t xml:space="preserve">. There are 645 MLP-year observations and 7,534 </w:t>
      </w:r>
      <w:r w:rsidR="008A58CA" w:rsidRPr="0087564A">
        <w:rPr>
          <w:rFonts w:ascii="Times New Roman" w:hAnsi="Times New Roman"/>
          <w:noProof/>
          <w:sz w:val="24"/>
          <w:szCs w:val="24"/>
        </w:rPr>
        <w:t>non</w:t>
      </w:r>
      <w:r w:rsidR="008A58CA" w:rsidRPr="00A51DD1">
        <w:rPr>
          <w:rFonts w:ascii="Times New Roman" w:hAnsi="Times New Roman"/>
          <w:sz w:val="24"/>
          <w:szCs w:val="24"/>
        </w:rPr>
        <w:t xml:space="preserve">-MLP matching firm-year observations with 930 unique </w:t>
      </w:r>
      <w:r w:rsidR="008A58CA" w:rsidRPr="0087564A">
        <w:rPr>
          <w:rFonts w:ascii="Times New Roman" w:hAnsi="Times New Roman"/>
          <w:noProof/>
          <w:sz w:val="24"/>
          <w:szCs w:val="24"/>
        </w:rPr>
        <w:t>non</w:t>
      </w:r>
      <w:r w:rsidR="008A58CA" w:rsidRPr="00A51DD1">
        <w:rPr>
          <w:rFonts w:ascii="Times New Roman" w:hAnsi="Times New Roman"/>
          <w:sz w:val="24"/>
          <w:szCs w:val="24"/>
        </w:rPr>
        <w:t>-MLP matching firms.</w:t>
      </w:r>
      <w:r w:rsidR="005D7170" w:rsidRPr="00A51DD1">
        <w:rPr>
          <w:rFonts w:ascii="Times New Roman" w:hAnsi="Times New Roman"/>
          <w:sz w:val="24"/>
          <w:szCs w:val="24"/>
        </w:rPr>
        <w:t xml:space="preserve"> </w:t>
      </w:r>
      <w:r w:rsidR="0087564A">
        <w:rPr>
          <w:rFonts w:ascii="Times New Roman" w:hAnsi="Times New Roman"/>
          <w:noProof/>
          <w:sz w:val="24"/>
          <w:szCs w:val="24"/>
        </w:rPr>
        <w:t>T</w:t>
      </w:r>
      <w:r w:rsidR="005D7170" w:rsidRPr="00A51DD1">
        <w:rPr>
          <w:rFonts w:ascii="Times New Roman" w:hAnsi="Times New Roman"/>
          <w:sz w:val="24"/>
          <w:szCs w:val="24"/>
        </w:rPr>
        <w:t xml:space="preserve">here is too much representation of crude petroleum and natural gas firms in the matching sample, e.g., 40% vs. 19% for the MLP sample. Later, we perform analyses in which we match each MLP firm with the top 5 and top 10 </w:t>
      </w:r>
      <w:r w:rsidR="005D7170" w:rsidRPr="0087564A">
        <w:rPr>
          <w:rFonts w:ascii="Times New Roman" w:hAnsi="Times New Roman"/>
          <w:noProof/>
          <w:sz w:val="24"/>
          <w:szCs w:val="24"/>
        </w:rPr>
        <w:t>non</w:t>
      </w:r>
      <w:r w:rsidR="005D7170" w:rsidRPr="00A51DD1">
        <w:rPr>
          <w:rFonts w:ascii="Times New Roman" w:hAnsi="Times New Roman"/>
          <w:sz w:val="24"/>
          <w:szCs w:val="24"/>
        </w:rPr>
        <w:t>-MLP firms closest in size.</w:t>
      </w:r>
    </w:p>
    <w:p w14:paraId="6D99945A" w14:textId="2CBD22AB" w:rsidR="00C80BFA" w:rsidRDefault="008A58CA" w:rsidP="008A58CA">
      <w:pPr>
        <w:spacing w:before="120" w:after="120" w:line="480" w:lineRule="auto"/>
        <w:jc w:val="center"/>
        <w:rPr>
          <w:rFonts w:ascii="Times New Roman" w:hAnsi="Times New Roman"/>
          <w:sz w:val="24"/>
          <w:szCs w:val="24"/>
        </w:rPr>
      </w:pPr>
      <w:r w:rsidRPr="00A51DD1">
        <w:rPr>
          <w:rFonts w:ascii="Times New Roman" w:hAnsi="Times New Roman"/>
          <w:sz w:val="24"/>
          <w:szCs w:val="24"/>
        </w:rPr>
        <w:t>[INSERT TABLE 1 ABOUT HERE]</w:t>
      </w:r>
    </w:p>
    <w:p w14:paraId="0C2A991B" w14:textId="13F1369A" w:rsidR="00C80BFA" w:rsidRPr="002F79D0" w:rsidRDefault="00370A4E" w:rsidP="004253F6">
      <w:pPr>
        <w:spacing w:before="120" w:after="0" w:line="480" w:lineRule="auto"/>
        <w:rPr>
          <w:rFonts w:ascii="Times New Roman" w:hAnsi="Times New Roman"/>
          <w:b/>
          <w:i/>
          <w:sz w:val="24"/>
          <w:szCs w:val="24"/>
        </w:rPr>
      </w:pPr>
      <w:r w:rsidRPr="002F79D0">
        <w:rPr>
          <w:rFonts w:ascii="Times New Roman" w:hAnsi="Times New Roman"/>
          <w:b/>
          <w:i/>
          <w:sz w:val="24"/>
          <w:szCs w:val="24"/>
        </w:rPr>
        <w:t xml:space="preserve">3.2. </w:t>
      </w:r>
      <w:r w:rsidR="00523296" w:rsidRPr="002F79D0">
        <w:rPr>
          <w:rFonts w:ascii="Times New Roman" w:hAnsi="Times New Roman"/>
          <w:b/>
          <w:i/>
          <w:sz w:val="24"/>
          <w:szCs w:val="24"/>
        </w:rPr>
        <w:t>E</w:t>
      </w:r>
      <w:r w:rsidRPr="002F79D0">
        <w:rPr>
          <w:rFonts w:ascii="Times New Roman" w:hAnsi="Times New Roman"/>
          <w:b/>
          <w:i/>
          <w:sz w:val="24"/>
          <w:szCs w:val="24"/>
        </w:rPr>
        <w:t>arnings management measure</w:t>
      </w:r>
      <w:r w:rsidR="00523296" w:rsidRPr="002F79D0">
        <w:rPr>
          <w:rFonts w:ascii="Times New Roman" w:hAnsi="Times New Roman"/>
          <w:b/>
          <w:i/>
          <w:sz w:val="24"/>
          <w:szCs w:val="24"/>
        </w:rPr>
        <w:t>ment</w:t>
      </w:r>
      <w:r w:rsidRPr="002F79D0">
        <w:rPr>
          <w:rFonts w:ascii="Times New Roman" w:hAnsi="Times New Roman"/>
          <w:b/>
          <w:i/>
          <w:sz w:val="24"/>
          <w:szCs w:val="24"/>
        </w:rPr>
        <w:t xml:space="preserve">s </w:t>
      </w:r>
    </w:p>
    <w:p w14:paraId="68A24756" w14:textId="0A7E83A8" w:rsidR="0094621B" w:rsidRPr="00A51DD1" w:rsidRDefault="0094621B" w:rsidP="004C1C04">
      <w:pPr>
        <w:spacing w:after="0" w:line="480" w:lineRule="auto"/>
        <w:ind w:firstLine="720"/>
        <w:jc w:val="both"/>
        <w:rPr>
          <w:rFonts w:ascii="Times New Roman" w:hAnsi="Times New Roman"/>
          <w:sz w:val="24"/>
          <w:szCs w:val="24"/>
        </w:rPr>
      </w:pPr>
      <w:r w:rsidRPr="00A51DD1">
        <w:rPr>
          <w:rFonts w:ascii="Times New Roman" w:hAnsi="Times New Roman"/>
          <w:sz w:val="24"/>
          <w:szCs w:val="24"/>
        </w:rPr>
        <w:t>Discretionary accruals (</w:t>
      </w:r>
      <w:r w:rsidRPr="00A51DD1">
        <w:rPr>
          <w:rFonts w:ascii="Times New Roman" w:hAnsi="Times New Roman"/>
          <w:i/>
          <w:sz w:val="24"/>
          <w:szCs w:val="24"/>
        </w:rPr>
        <w:t>DA</w:t>
      </w:r>
      <w:r w:rsidRPr="00A51DD1">
        <w:rPr>
          <w:rFonts w:ascii="Times New Roman" w:hAnsi="Times New Roman"/>
          <w:sz w:val="24"/>
          <w:szCs w:val="24"/>
        </w:rPr>
        <w:t xml:space="preserve">), a proxy for accruals-based earnings management, is measured </w:t>
      </w:r>
      <w:r w:rsidR="001F0B4A">
        <w:rPr>
          <w:rFonts w:ascii="Times New Roman" w:hAnsi="Times New Roman"/>
          <w:sz w:val="24"/>
          <w:szCs w:val="24"/>
        </w:rPr>
        <w:t>by</w:t>
      </w:r>
      <w:r w:rsidR="001F0B4A" w:rsidRPr="00A51DD1">
        <w:rPr>
          <w:rFonts w:ascii="Times New Roman" w:hAnsi="Times New Roman"/>
          <w:sz w:val="24"/>
          <w:szCs w:val="24"/>
        </w:rPr>
        <w:t xml:space="preserve"> </w:t>
      </w:r>
      <w:r w:rsidRPr="00A51DD1">
        <w:rPr>
          <w:rFonts w:ascii="Times New Roman" w:hAnsi="Times New Roman"/>
          <w:sz w:val="24"/>
          <w:szCs w:val="24"/>
        </w:rPr>
        <w:t xml:space="preserve">the difference between the actual and forecasted levels of accruals. </w:t>
      </w:r>
      <w:r w:rsidR="000F607F" w:rsidRPr="00A51DD1">
        <w:rPr>
          <w:rFonts w:ascii="Times New Roman" w:hAnsi="Times New Roman"/>
          <w:sz w:val="24"/>
          <w:szCs w:val="24"/>
        </w:rPr>
        <w:t>As shown i</w:t>
      </w:r>
      <w:r w:rsidRPr="00A51DD1">
        <w:rPr>
          <w:rFonts w:ascii="Times New Roman" w:hAnsi="Times New Roman"/>
          <w:sz w:val="24"/>
          <w:szCs w:val="24"/>
        </w:rPr>
        <w:t xml:space="preserve">n Equation 1, we first calculate </w:t>
      </w:r>
      <w:r w:rsidR="000F607F" w:rsidRPr="00A51DD1">
        <w:rPr>
          <w:rFonts w:ascii="Times New Roman" w:hAnsi="Times New Roman"/>
          <w:sz w:val="24"/>
          <w:szCs w:val="24"/>
        </w:rPr>
        <w:t xml:space="preserve">actual </w:t>
      </w:r>
      <w:r w:rsidRPr="00A51DD1">
        <w:rPr>
          <w:rFonts w:ascii="Times New Roman" w:hAnsi="Times New Roman"/>
          <w:sz w:val="24"/>
          <w:szCs w:val="24"/>
        </w:rPr>
        <w:t xml:space="preserve">accruals. </w:t>
      </w:r>
    </w:p>
    <w:p w14:paraId="3497A634" w14:textId="3C439AF4" w:rsidR="0094621B" w:rsidRPr="00A51DD1" w:rsidRDefault="0094621B" w:rsidP="001362FB">
      <w:pPr>
        <w:spacing w:before="120" w:after="0" w:line="480" w:lineRule="auto"/>
        <w:jc w:val="right"/>
        <w:rPr>
          <w:rFonts w:ascii="Times New Roman" w:hAnsi="Times New Roman"/>
          <w:sz w:val="24"/>
          <w:szCs w:val="24"/>
        </w:rPr>
      </w:pPr>
      <m:oMath>
        <m:r>
          <w:rPr>
            <w:rFonts w:ascii="Cambria Math" w:hAnsi="Cambria Math"/>
            <w:sz w:val="24"/>
            <w:szCs w:val="24"/>
          </w:rPr>
          <m:t>Accrual</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i,t</m:t>
            </m:r>
          </m:sub>
        </m:sSub>
        <m:r>
          <w:rPr>
            <w:rFonts w:ascii="Cambria Math" w:hAnsi="Cambria Math"/>
            <w:sz w:val="24"/>
            <w:szCs w:val="24"/>
          </w:rPr>
          <m:t>=EBX</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i,t</m:t>
            </m:r>
          </m:sub>
        </m:sSub>
        <m:r>
          <w:rPr>
            <w:rFonts w:ascii="Cambria Math" w:hAnsi="Cambria Math"/>
            <w:sz w:val="24"/>
            <w:szCs w:val="24"/>
          </w:rPr>
          <m:t>-CF</m:t>
        </m:r>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i,t</m:t>
            </m:r>
          </m:sub>
        </m:sSub>
      </m:oMath>
      <w:r w:rsidRPr="00A51DD1">
        <w:rPr>
          <w:rFonts w:ascii="Times New Roman" w:hAnsi="Times New Roman"/>
          <w:sz w:val="24"/>
          <w:szCs w:val="24"/>
        </w:rPr>
        <w:tab/>
      </w:r>
      <w:r w:rsidRPr="00A51DD1">
        <w:rPr>
          <w:rFonts w:ascii="Times New Roman" w:hAnsi="Times New Roman"/>
          <w:sz w:val="24"/>
          <w:szCs w:val="24"/>
        </w:rPr>
        <w:tab/>
      </w:r>
      <w:r w:rsidRPr="00A51DD1">
        <w:rPr>
          <w:rFonts w:ascii="Times New Roman" w:hAnsi="Times New Roman"/>
          <w:sz w:val="24"/>
          <w:szCs w:val="24"/>
        </w:rPr>
        <w:tab/>
      </w:r>
      <w:r w:rsidRPr="00A51DD1">
        <w:rPr>
          <w:rFonts w:ascii="Times New Roman" w:hAnsi="Times New Roman"/>
          <w:sz w:val="24"/>
          <w:szCs w:val="24"/>
        </w:rPr>
        <w:tab/>
        <w:t>(1)</w:t>
      </w:r>
    </w:p>
    <w:p w14:paraId="089C63D4" w14:textId="3CA2F693" w:rsidR="00C80BFA" w:rsidRPr="00A51DD1" w:rsidRDefault="00C80BFA" w:rsidP="006C3FEB">
      <w:pPr>
        <w:spacing w:after="0" w:line="480" w:lineRule="auto"/>
        <w:jc w:val="both"/>
        <w:rPr>
          <w:rFonts w:ascii="Times New Roman" w:hAnsi="Times New Roman"/>
          <w:sz w:val="24"/>
          <w:szCs w:val="24"/>
        </w:rPr>
      </w:pPr>
      <w:r w:rsidRPr="0087564A">
        <w:rPr>
          <w:rFonts w:ascii="Times New Roman" w:hAnsi="Times New Roman"/>
          <w:noProof/>
          <w:sz w:val="24"/>
          <w:szCs w:val="24"/>
        </w:rPr>
        <w:t>where</w:t>
      </w:r>
      <w:r w:rsidRPr="00A51DD1">
        <w:rPr>
          <w:rFonts w:ascii="Times New Roman" w:hAnsi="Times New Roman"/>
          <w:sz w:val="24"/>
          <w:szCs w:val="24"/>
        </w:rPr>
        <w:t xml:space="preserve"> </w:t>
      </w:r>
      <w:r w:rsidRPr="00A51DD1">
        <w:rPr>
          <w:rFonts w:ascii="Times New Roman" w:hAnsi="Times New Roman"/>
          <w:i/>
          <w:sz w:val="24"/>
          <w:szCs w:val="24"/>
        </w:rPr>
        <w:t>EBXI</w:t>
      </w:r>
      <w:r w:rsidRPr="00A51DD1">
        <w:rPr>
          <w:rFonts w:ascii="Times New Roman" w:hAnsi="Times New Roman"/>
          <w:sz w:val="24"/>
          <w:szCs w:val="24"/>
        </w:rPr>
        <w:t xml:space="preserve"> represents the earnings before extraordinary items and discontinued operations, and </w:t>
      </w:r>
      <w:r w:rsidRPr="00A51DD1">
        <w:rPr>
          <w:rFonts w:ascii="Times New Roman" w:hAnsi="Times New Roman"/>
          <w:i/>
          <w:sz w:val="24"/>
          <w:szCs w:val="24"/>
        </w:rPr>
        <w:t>CFO</w:t>
      </w:r>
      <w:r w:rsidRPr="00A51DD1">
        <w:rPr>
          <w:rFonts w:ascii="Times New Roman" w:hAnsi="Times New Roman"/>
          <w:sz w:val="24"/>
          <w:szCs w:val="24"/>
        </w:rPr>
        <w:t xml:space="preserve"> represents the cash flows from operations for year </w:t>
      </w:r>
      <w:r w:rsidRPr="00A51DD1">
        <w:rPr>
          <w:rFonts w:ascii="Times New Roman" w:hAnsi="Times New Roman"/>
          <w:i/>
          <w:sz w:val="24"/>
          <w:szCs w:val="24"/>
        </w:rPr>
        <w:t>t</w:t>
      </w:r>
      <w:r w:rsidRPr="00A51DD1">
        <w:rPr>
          <w:rFonts w:ascii="Times New Roman" w:hAnsi="Times New Roman"/>
          <w:sz w:val="24"/>
          <w:szCs w:val="24"/>
        </w:rPr>
        <w:t xml:space="preserve"> and firm </w:t>
      </w:r>
      <w:r w:rsidRPr="00A51DD1">
        <w:rPr>
          <w:rFonts w:ascii="Times New Roman" w:hAnsi="Times New Roman"/>
          <w:i/>
          <w:sz w:val="24"/>
          <w:szCs w:val="24"/>
        </w:rPr>
        <w:t>i</w:t>
      </w:r>
      <w:r w:rsidRPr="00A51DD1">
        <w:rPr>
          <w:rFonts w:ascii="Times New Roman" w:hAnsi="Times New Roman"/>
          <w:sz w:val="24"/>
          <w:szCs w:val="24"/>
        </w:rPr>
        <w:t xml:space="preserve">. </w:t>
      </w:r>
      <w:r w:rsidR="000F607F" w:rsidRPr="00A51DD1">
        <w:rPr>
          <w:rFonts w:ascii="Times New Roman" w:hAnsi="Times New Roman"/>
          <w:sz w:val="24"/>
          <w:szCs w:val="24"/>
        </w:rPr>
        <w:t xml:space="preserve">Following </w:t>
      </w:r>
      <w:r w:rsidRPr="00A51DD1">
        <w:rPr>
          <w:rFonts w:ascii="Times New Roman" w:hAnsi="Times New Roman"/>
          <w:sz w:val="24"/>
          <w:szCs w:val="24"/>
        </w:rPr>
        <w:t>the methods in Cohen et al. (2008), Cohen and Zarowin (2010)</w:t>
      </w:r>
      <w:r w:rsidR="000F607F" w:rsidRPr="00A51DD1">
        <w:rPr>
          <w:rFonts w:ascii="Times New Roman" w:hAnsi="Times New Roman"/>
          <w:sz w:val="24"/>
          <w:szCs w:val="24"/>
        </w:rPr>
        <w:t>,</w:t>
      </w:r>
      <w:r w:rsidRPr="00A51DD1">
        <w:rPr>
          <w:rFonts w:ascii="Times New Roman" w:hAnsi="Times New Roman"/>
          <w:sz w:val="24"/>
          <w:szCs w:val="24"/>
        </w:rPr>
        <w:t xml:space="preserve"> and Zang (2012)</w:t>
      </w:r>
      <w:r w:rsidR="008D1EB1" w:rsidRPr="00A51DD1">
        <w:rPr>
          <w:rFonts w:ascii="Times New Roman" w:hAnsi="Times New Roman"/>
          <w:sz w:val="24"/>
          <w:szCs w:val="24"/>
        </w:rPr>
        <w:t>,</w:t>
      </w:r>
      <w:r w:rsidR="000F607F" w:rsidRPr="00A51DD1">
        <w:rPr>
          <w:rFonts w:ascii="Times New Roman" w:hAnsi="Times New Roman"/>
          <w:sz w:val="24"/>
          <w:szCs w:val="24"/>
        </w:rPr>
        <w:t xml:space="preserve"> we measure DA by the residual term from the following regression in Equation (2).</w:t>
      </w:r>
    </w:p>
    <w:p w14:paraId="757D0D2D" w14:textId="77777777" w:rsidR="0094621B" w:rsidRPr="00A51DD1" w:rsidRDefault="008912C0" w:rsidP="001362FB">
      <w:pPr>
        <w:spacing w:before="120" w:after="0" w:line="480" w:lineRule="auto"/>
        <w:jc w:val="right"/>
        <w:rPr>
          <w:rFonts w:ascii="Times New Roman" w:hAnsi="Times New Roman"/>
          <w:sz w:val="24"/>
          <w:szCs w:val="24"/>
        </w:rPr>
      </w:pP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Accruals</m:t>
                </m:r>
              </m:e>
              <m:sub>
                <m:r>
                  <w:rPr>
                    <w:rFonts w:ascii="Cambria Math" w:hAnsi="Cambria Math"/>
                    <w:sz w:val="24"/>
                    <w:szCs w:val="24"/>
                  </w:rPr>
                  <m:t>i,t</m:t>
                </m:r>
              </m:sub>
            </m:sSub>
          </m:num>
          <m:den>
            <m:sSub>
              <m:sSubPr>
                <m:ctrlPr>
                  <w:rPr>
                    <w:rFonts w:ascii="Cambria Math" w:hAnsi="Cambria Math"/>
                    <w:i/>
                    <w:sz w:val="24"/>
                    <w:szCs w:val="24"/>
                  </w:rPr>
                </m:ctrlPr>
              </m:sSubPr>
              <m:e>
                <m:r>
                  <w:rPr>
                    <w:rFonts w:ascii="Cambria Math" w:hAnsi="Cambria Math"/>
                    <w:sz w:val="24"/>
                    <w:szCs w:val="24"/>
                  </w:rPr>
                  <m:t>Assets</m:t>
                </m:r>
              </m:e>
              <m:sub>
                <m:r>
                  <w:rPr>
                    <w:rFonts w:ascii="Cambria Math" w:hAnsi="Cambria Math"/>
                    <w:sz w:val="24"/>
                    <w:szCs w:val="24"/>
                  </w:rPr>
                  <m:t>i,t-1</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Assets</m:t>
                </m:r>
              </m:e>
              <m:sub>
                <m:r>
                  <w:rPr>
                    <w:rFonts w:ascii="Cambria Math" w:hAnsi="Cambria Math"/>
                    <w:sz w:val="24"/>
                    <w:szCs w:val="24"/>
                  </w:rPr>
                  <m:t>i,t-1</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2</m:t>
            </m:r>
          </m:sub>
        </m:sSub>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ΔSales</m:t>
                </m:r>
              </m:e>
              <m:sub>
                <m:r>
                  <w:rPr>
                    <w:rFonts w:ascii="Cambria Math" w:hAnsi="Cambria Math"/>
                    <w:sz w:val="24"/>
                    <w:szCs w:val="24"/>
                  </w:rPr>
                  <m:t>i,t</m:t>
                </m:r>
              </m:sub>
            </m:sSub>
          </m:num>
          <m:den>
            <m:sSub>
              <m:sSubPr>
                <m:ctrlPr>
                  <w:rPr>
                    <w:rFonts w:ascii="Cambria Math" w:hAnsi="Cambria Math"/>
                    <w:i/>
                    <w:sz w:val="24"/>
                    <w:szCs w:val="24"/>
                  </w:rPr>
                </m:ctrlPr>
              </m:sSubPr>
              <m:e>
                <m:r>
                  <w:rPr>
                    <w:rFonts w:ascii="Cambria Math" w:hAnsi="Cambria Math"/>
                    <w:sz w:val="24"/>
                    <w:szCs w:val="24"/>
                  </w:rPr>
                  <m:t>Assets</m:t>
                </m:r>
              </m:e>
              <m:sub>
                <m:r>
                  <w:rPr>
                    <w:rFonts w:ascii="Cambria Math" w:hAnsi="Cambria Math"/>
                    <w:sz w:val="24"/>
                    <w:szCs w:val="24"/>
                  </w:rPr>
                  <m:t>i,t-1</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3</m:t>
            </m:r>
          </m:sub>
        </m:sSub>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ΔPPE</m:t>
                </m:r>
              </m:e>
              <m:sub>
                <m:r>
                  <w:rPr>
                    <w:rFonts w:ascii="Cambria Math" w:hAnsi="Cambria Math"/>
                    <w:sz w:val="24"/>
                    <w:szCs w:val="24"/>
                  </w:rPr>
                  <m:t>i,t</m:t>
                </m:r>
              </m:sub>
            </m:sSub>
          </m:num>
          <m:den>
            <m:sSub>
              <m:sSubPr>
                <m:ctrlPr>
                  <w:rPr>
                    <w:rFonts w:ascii="Cambria Math" w:hAnsi="Cambria Math"/>
                    <w:i/>
                    <w:sz w:val="24"/>
                    <w:szCs w:val="24"/>
                  </w:rPr>
                </m:ctrlPr>
              </m:sSubPr>
              <m:e>
                <m:r>
                  <w:rPr>
                    <w:rFonts w:ascii="Cambria Math" w:hAnsi="Cambria Math"/>
                    <w:sz w:val="24"/>
                    <w:szCs w:val="24"/>
                  </w:rPr>
                  <m:t>Assets</m:t>
                </m:r>
              </m:e>
              <m:sub>
                <m:r>
                  <w:rPr>
                    <w:rFonts w:ascii="Cambria Math" w:hAnsi="Cambria Math"/>
                    <w:sz w:val="24"/>
                    <w:szCs w:val="24"/>
                  </w:rPr>
                  <m:t>i,t-1</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i,t</m:t>
            </m:r>
          </m:sub>
        </m:sSub>
      </m:oMath>
      <w:r w:rsidR="0094621B" w:rsidRPr="00A51DD1">
        <w:rPr>
          <w:rFonts w:ascii="Times New Roman" w:hAnsi="Times New Roman"/>
          <w:sz w:val="24"/>
          <w:szCs w:val="24"/>
        </w:rPr>
        <w:t xml:space="preserve"> </w:t>
      </w:r>
      <w:r w:rsidR="0094621B" w:rsidRPr="00A51DD1">
        <w:rPr>
          <w:rFonts w:ascii="Times New Roman" w:hAnsi="Times New Roman"/>
          <w:sz w:val="24"/>
          <w:szCs w:val="24"/>
        </w:rPr>
        <w:tab/>
      </w:r>
      <w:r w:rsidR="0094621B" w:rsidRPr="00A51DD1">
        <w:rPr>
          <w:rFonts w:ascii="Times New Roman" w:hAnsi="Times New Roman"/>
          <w:sz w:val="24"/>
          <w:szCs w:val="24"/>
        </w:rPr>
        <w:tab/>
      </w:r>
      <w:r w:rsidR="0094621B" w:rsidRPr="00A51DD1">
        <w:rPr>
          <w:rFonts w:ascii="Times New Roman" w:hAnsi="Times New Roman"/>
          <w:sz w:val="24"/>
          <w:szCs w:val="24"/>
        </w:rPr>
        <w:tab/>
        <w:t>(2)</w:t>
      </w:r>
    </w:p>
    <w:p w14:paraId="596F6CD6" w14:textId="77777777" w:rsidR="0094621B" w:rsidRPr="00A51DD1" w:rsidRDefault="0094621B" w:rsidP="0094621B">
      <w:pPr>
        <w:spacing w:after="0" w:line="480" w:lineRule="auto"/>
        <w:rPr>
          <w:rFonts w:ascii="Times New Roman" w:hAnsi="Times New Roman"/>
          <w:sz w:val="24"/>
          <w:szCs w:val="24"/>
        </w:rPr>
      </w:pPr>
      <w:r w:rsidRPr="00A51DD1">
        <w:rPr>
          <w:rFonts w:ascii="Times New Roman" w:hAnsi="Times New Roman"/>
          <w:sz w:val="24"/>
          <w:szCs w:val="24"/>
        </w:rPr>
        <w:t xml:space="preserve">where </w:t>
      </w:r>
      <m:oMath>
        <m:r>
          <w:rPr>
            <w:rFonts w:ascii="Cambria Math" w:hAnsi="Cambria Math"/>
            <w:sz w:val="24"/>
            <w:szCs w:val="24"/>
          </w:rPr>
          <m:t>Asset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i,t-1</m:t>
            </m:r>
          </m:sub>
        </m:sSub>
      </m:oMath>
      <w:r w:rsidRPr="00A51DD1">
        <w:rPr>
          <w:rFonts w:ascii="Times New Roman" w:hAnsi="Times New Roman"/>
          <w:sz w:val="24"/>
          <w:szCs w:val="24"/>
        </w:rPr>
        <w:t xml:space="preserve"> represents total assets in year </w:t>
      </w:r>
      <m:oMath>
        <m:r>
          <w:rPr>
            <w:rFonts w:ascii="Cambria Math" w:hAnsi="Cambria Math"/>
            <w:sz w:val="24"/>
            <w:szCs w:val="24"/>
          </w:rPr>
          <m:t>t-1</m:t>
        </m:r>
      </m:oMath>
      <w:r w:rsidRPr="00A51DD1">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ΔSales</m:t>
            </m:r>
          </m:e>
          <m:sub>
            <m:r>
              <w:rPr>
                <w:rFonts w:ascii="Cambria Math" w:hAnsi="Cambria Math"/>
                <w:sz w:val="24"/>
                <w:szCs w:val="24"/>
              </w:rPr>
              <m:t>i,t</m:t>
            </m:r>
          </m:sub>
        </m:sSub>
      </m:oMath>
      <w:r w:rsidRPr="00A51DD1">
        <w:rPr>
          <w:rFonts w:ascii="Times New Roman" w:hAnsi="Times New Roman"/>
          <w:sz w:val="24"/>
          <w:szCs w:val="24"/>
        </w:rPr>
        <w:t xml:space="preserve"> is the change in sales from the preceding year, and </w:t>
      </w:r>
      <m:oMath>
        <m:r>
          <w:rPr>
            <w:rFonts w:ascii="Cambria Math" w:hAnsi="Cambria Math"/>
            <w:sz w:val="24"/>
            <w:szCs w:val="24"/>
          </w:rPr>
          <m:t>PP</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i,t</m:t>
            </m:r>
          </m:sub>
        </m:sSub>
      </m:oMath>
      <w:r w:rsidRPr="00A51DD1">
        <w:rPr>
          <w:rFonts w:ascii="Times New Roman" w:hAnsi="Times New Roman"/>
          <w:sz w:val="24"/>
          <w:szCs w:val="24"/>
        </w:rPr>
        <w:t xml:space="preserve"> is the gross value of property, plant and equipment. We estimate the above regression cross-sectionally for all industry-year observations.</w:t>
      </w:r>
    </w:p>
    <w:p w14:paraId="22AF2064" w14:textId="48D4C071" w:rsidR="0094621B" w:rsidRPr="00A51DD1" w:rsidRDefault="0094621B" w:rsidP="0094621B">
      <w:pPr>
        <w:spacing w:after="0" w:line="480" w:lineRule="auto"/>
        <w:ind w:firstLine="720"/>
        <w:jc w:val="both"/>
        <w:rPr>
          <w:rFonts w:ascii="Times New Roman" w:hAnsi="Times New Roman"/>
          <w:sz w:val="24"/>
          <w:szCs w:val="24"/>
        </w:rPr>
      </w:pPr>
      <w:r w:rsidRPr="00A51DD1">
        <w:rPr>
          <w:rFonts w:ascii="Times New Roman" w:hAnsi="Times New Roman"/>
          <w:sz w:val="24"/>
          <w:szCs w:val="24"/>
        </w:rPr>
        <w:t>We construct the following measures of real activities manipulation: the abnormal level of discretionary expenditure (</w:t>
      </w:r>
      <w:r w:rsidRPr="00A51DD1">
        <w:rPr>
          <w:rFonts w:ascii="Times New Roman" w:hAnsi="Times New Roman"/>
          <w:i/>
          <w:sz w:val="24"/>
          <w:szCs w:val="24"/>
        </w:rPr>
        <w:t>RDISX</w:t>
      </w:r>
      <w:r w:rsidRPr="00A51DD1">
        <w:rPr>
          <w:rFonts w:ascii="Times New Roman" w:hAnsi="Times New Roman"/>
          <w:sz w:val="24"/>
          <w:szCs w:val="24"/>
        </w:rPr>
        <w:t>); the abnormal level of production cost (</w:t>
      </w:r>
      <w:r w:rsidRPr="00A51DD1">
        <w:rPr>
          <w:rFonts w:ascii="Times New Roman" w:hAnsi="Times New Roman"/>
          <w:i/>
          <w:sz w:val="24"/>
          <w:szCs w:val="24"/>
        </w:rPr>
        <w:t>RPROD</w:t>
      </w:r>
      <w:r w:rsidRPr="00A51DD1">
        <w:rPr>
          <w:rFonts w:ascii="Times New Roman" w:hAnsi="Times New Roman"/>
          <w:sz w:val="24"/>
          <w:szCs w:val="24"/>
        </w:rPr>
        <w:t>); and the abnormal level of operating cash flow (</w:t>
      </w:r>
      <w:r w:rsidRPr="0087564A">
        <w:rPr>
          <w:rFonts w:ascii="Times New Roman" w:hAnsi="Times New Roman"/>
          <w:i/>
          <w:noProof/>
          <w:sz w:val="24"/>
          <w:szCs w:val="24"/>
        </w:rPr>
        <w:t>RCFO</w:t>
      </w:r>
      <w:r w:rsidRPr="00A51DD1">
        <w:rPr>
          <w:rFonts w:ascii="Times New Roman" w:hAnsi="Times New Roman"/>
          <w:sz w:val="24"/>
          <w:szCs w:val="24"/>
        </w:rPr>
        <w:t xml:space="preserve">). Cohen </w:t>
      </w:r>
      <w:r w:rsidRPr="00A51DD1">
        <w:rPr>
          <w:rFonts w:ascii="Times New Roman" w:hAnsi="Times New Roman"/>
          <w:i/>
          <w:sz w:val="24"/>
          <w:szCs w:val="24"/>
        </w:rPr>
        <w:t>et al</w:t>
      </w:r>
      <w:r w:rsidRPr="00A51DD1">
        <w:rPr>
          <w:rFonts w:ascii="Times New Roman" w:hAnsi="Times New Roman"/>
          <w:sz w:val="24"/>
          <w:szCs w:val="24"/>
        </w:rPr>
        <w:t xml:space="preserve">. (2010) suggest that firms that manage their earnings upward tend to have unusually low discretionary expenses, </w:t>
      </w:r>
      <w:r w:rsidRPr="0087564A">
        <w:rPr>
          <w:rFonts w:ascii="Times New Roman" w:hAnsi="Times New Roman"/>
          <w:noProof/>
          <w:sz w:val="24"/>
          <w:szCs w:val="24"/>
        </w:rPr>
        <w:t>and</w:t>
      </w:r>
      <w:r w:rsidRPr="00A51DD1">
        <w:rPr>
          <w:rFonts w:ascii="Times New Roman" w:hAnsi="Times New Roman"/>
          <w:sz w:val="24"/>
          <w:szCs w:val="24"/>
        </w:rPr>
        <w:t xml:space="preserve"> unusually high production costs, and/or low cash flow from operations. RDISX represents the residual from the following equation,</w:t>
      </w:r>
    </w:p>
    <w:p w14:paraId="337A5D38" w14:textId="77777777" w:rsidR="0094621B" w:rsidRPr="00A51DD1" w:rsidRDefault="008912C0" w:rsidP="001362FB">
      <w:pPr>
        <w:spacing w:before="120" w:after="0" w:line="480" w:lineRule="auto"/>
        <w:jc w:val="right"/>
        <w:rPr>
          <w:rFonts w:ascii="Times New Roman" w:hAnsi="Times New Roman"/>
          <w:sz w:val="24"/>
          <w:szCs w:val="24"/>
        </w:rPr>
      </w:pP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DISX</m:t>
                </m:r>
              </m:e>
              <m:sub>
                <m:r>
                  <w:rPr>
                    <w:rFonts w:ascii="Cambria Math" w:hAnsi="Cambria Math"/>
                    <w:sz w:val="24"/>
                    <w:szCs w:val="24"/>
                  </w:rPr>
                  <m:t>i,t</m:t>
                </m:r>
              </m:sub>
            </m:sSub>
          </m:num>
          <m:den>
            <m:sSub>
              <m:sSubPr>
                <m:ctrlPr>
                  <w:rPr>
                    <w:rFonts w:ascii="Cambria Math" w:hAnsi="Cambria Math"/>
                    <w:i/>
                    <w:sz w:val="24"/>
                    <w:szCs w:val="24"/>
                  </w:rPr>
                </m:ctrlPr>
              </m:sSubPr>
              <m:e>
                <m:r>
                  <w:rPr>
                    <w:rFonts w:ascii="Cambria Math" w:hAnsi="Cambria Math"/>
                    <w:sz w:val="24"/>
                    <w:szCs w:val="24"/>
                  </w:rPr>
                  <m:t>Assets</m:t>
                </m:r>
              </m:e>
              <m:sub>
                <m:r>
                  <w:rPr>
                    <w:rFonts w:ascii="Cambria Math" w:hAnsi="Cambria Math"/>
                    <w:sz w:val="24"/>
                    <w:szCs w:val="24"/>
                  </w:rPr>
                  <m:t>i,t-1</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Assets</m:t>
                </m:r>
              </m:e>
              <m:sub>
                <m:r>
                  <w:rPr>
                    <w:rFonts w:ascii="Cambria Math" w:hAnsi="Cambria Math"/>
                    <w:sz w:val="24"/>
                    <w:szCs w:val="24"/>
                  </w:rPr>
                  <m:t>i,t-1</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2</m:t>
            </m:r>
          </m:sub>
        </m:sSub>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Sales</m:t>
                </m:r>
              </m:e>
              <m:sub>
                <m:r>
                  <w:rPr>
                    <w:rFonts w:ascii="Cambria Math" w:hAnsi="Cambria Math"/>
                    <w:sz w:val="24"/>
                    <w:szCs w:val="24"/>
                  </w:rPr>
                  <m:t>i,t</m:t>
                </m:r>
              </m:sub>
            </m:sSub>
          </m:num>
          <m:den>
            <m:sSub>
              <m:sSubPr>
                <m:ctrlPr>
                  <w:rPr>
                    <w:rFonts w:ascii="Cambria Math" w:hAnsi="Cambria Math"/>
                    <w:i/>
                    <w:sz w:val="24"/>
                    <w:szCs w:val="24"/>
                  </w:rPr>
                </m:ctrlPr>
              </m:sSubPr>
              <m:e>
                <m:r>
                  <w:rPr>
                    <w:rFonts w:ascii="Cambria Math" w:hAnsi="Cambria Math"/>
                    <w:sz w:val="24"/>
                    <w:szCs w:val="24"/>
                  </w:rPr>
                  <m:t>Assets</m:t>
                </m:r>
              </m:e>
              <m:sub>
                <m:r>
                  <w:rPr>
                    <w:rFonts w:ascii="Cambria Math" w:hAnsi="Cambria Math"/>
                    <w:sz w:val="24"/>
                    <w:szCs w:val="24"/>
                  </w:rPr>
                  <m:t>i,t-1</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i,t</m:t>
            </m:r>
          </m:sub>
        </m:sSub>
      </m:oMath>
      <w:r w:rsidR="0094621B" w:rsidRPr="00A51DD1">
        <w:rPr>
          <w:rFonts w:ascii="Times New Roman" w:hAnsi="Times New Roman"/>
          <w:sz w:val="24"/>
          <w:szCs w:val="24"/>
        </w:rPr>
        <w:t xml:space="preserve"> </w:t>
      </w:r>
      <w:r w:rsidR="0094621B" w:rsidRPr="00A51DD1">
        <w:rPr>
          <w:rFonts w:ascii="Times New Roman" w:hAnsi="Times New Roman"/>
          <w:sz w:val="24"/>
          <w:szCs w:val="24"/>
        </w:rPr>
        <w:tab/>
      </w:r>
      <w:r w:rsidR="0094621B" w:rsidRPr="00A51DD1">
        <w:rPr>
          <w:rFonts w:ascii="Times New Roman" w:hAnsi="Times New Roman"/>
          <w:sz w:val="24"/>
          <w:szCs w:val="24"/>
        </w:rPr>
        <w:tab/>
      </w:r>
      <w:r w:rsidR="0094621B" w:rsidRPr="00A51DD1">
        <w:rPr>
          <w:rFonts w:ascii="Times New Roman" w:hAnsi="Times New Roman"/>
          <w:sz w:val="24"/>
          <w:szCs w:val="24"/>
        </w:rPr>
        <w:tab/>
        <w:t>(3)</w:t>
      </w:r>
    </w:p>
    <w:p w14:paraId="7856EC5B" w14:textId="6097B11C" w:rsidR="0094621B" w:rsidRPr="00A51DD1" w:rsidRDefault="0094621B" w:rsidP="0094621B">
      <w:pPr>
        <w:spacing w:after="0" w:line="480" w:lineRule="auto"/>
        <w:jc w:val="both"/>
        <w:rPr>
          <w:rFonts w:ascii="Times New Roman" w:hAnsi="Times New Roman"/>
          <w:sz w:val="24"/>
          <w:szCs w:val="24"/>
        </w:rPr>
      </w:pPr>
      <w:r w:rsidRPr="00A51DD1">
        <w:rPr>
          <w:rFonts w:ascii="Times New Roman" w:hAnsi="Times New Roman"/>
          <w:sz w:val="24"/>
          <w:szCs w:val="24"/>
        </w:rPr>
        <w:t xml:space="preserve">where </w:t>
      </w:r>
      <m:oMath>
        <m:r>
          <w:rPr>
            <w:rFonts w:ascii="Cambria Math" w:hAnsi="Cambria Math"/>
            <w:sz w:val="24"/>
            <w:szCs w:val="24"/>
          </w:rPr>
          <m:t>DIS</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i,t</m:t>
            </m:r>
          </m:sub>
        </m:sSub>
      </m:oMath>
      <w:r w:rsidRPr="00A51DD1">
        <w:rPr>
          <w:rFonts w:ascii="Times New Roman" w:hAnsi="Times New Roman"/>
          <w:sz w:val="24"/>
          <w:szCs w:val="24"/>
        </w:rPr>
        <w:t xml:space="preserve"> is the discretionary expenditures</w:t>
      </w:r>
      <w:r w:rsidR="000F607F" w:rsidRPr="00A51DD1">
        <w:rPr>
          <w:rFonts w:ascii="Times New Roman" w:hAnsi="Times New Roman"/>
          <w:sz w:val="24"/>
          <w:szCs w:val="24"/>
        </w:rPr>
        <w:t xml:space="preserve"> in year </w:t>
      </w:r>
      <m:oMath>
        <m:r>
          <w:rPr>
            <w:rFonts w:ascii="Cambria Math" w:hAnsi="Cambria Math"/>
            <w:sz w:val="24"/>
            <w:szCs w:val="24"/>
          </w:rPr>
          <m:t>t</m:t>
        </m:r>
      </m:oMath>
      <w:r w:rsidR="000F607F" w:rsidRPr="00A51DD1">
        <w:rPr>
          <w:rFonts w:ascii="Times New Roman" w:hAnsi="Times New Roman"/>
          <w:sz w:val="24"/>
          <w:szCs w:val="24"/>
        </w:rPr>
        <w:t>,</w:t>
      </w:r>
      <w:r w:rsidRPr="00A51DD1">
        <w:rPr>
          <w:rFonts w:ascii="Times New Roman" w:hAnsi="Times New Roman"/>
          <w:sz w:val="24"/>
          <w:szCs w:val="24"/>
        </w:rPr>
        <w:t xml:space="preserve"> i.e.</w:t>
      </w:r>
      <w:r w:rsidR="000F607F" w:rsidRPr="00A51DD1">
        <w:rPr>
          <w:rFonts w:ascii="Times New Roman" w:hAnsi="Times New Roman"/>
          <w:sz w:val="24"/>
          <w:szCs w:val="24"/>
        </w:rPr>
        <w:t>,</w:t>
      </w:r>
      <w:r w:rsidRPr="00A51DD1">
        <w:rPr>
          <w:rFonts w:ascii="Times New Roman" w:hAnsi="Times New Roman"/>
          <w:sz w:val="24"/>
          <w:szCs w:val="24"/>
        </w:rPr>
        <w:t xml:space="preserve"> the sum of research and development (</w:t>
      </w:r>
      <m:oMath>
        <m:r>
          <w:rPr>
            <w:rFonts w:ascii="Cambria Math" w:hAnsi="Cambria Math"/>
            <w:sz w:val="24"/>
            <w:szCs w:val="24"/>
          </w:rPr>
          <m:t>R&amp;D</m:t>
        </m:r>
      </m:oMath>
      <w:r w:rsidRPr="00A51DD1">
        <w:rPr>
          <w:rFonts w:ascii="Times New Roman" w:hAnsi="Times New Roman"/>
          <w:sz w:val="24"/>
          <w:szCs w:val="24"/>
        </w:rPr>
        <w:t>), advertising, and selling, general and administrative (</w:t>
      </w:r>
      <m:oMath>
        <m:r>
          <w:rPr>
            <w:rFonts w:ascii="Cambria Math" w:hAnsi="Cambria Math"/>
            <w:sz w:val="24"/>
            <w:szCs w:val="24"/>
          </w:rPr>
          <m:t>SG&amp;A</m:t>
        </m:r>
      </m:oMath>
      <w:r w:rsidRPr="00A51DD1">
        <w:rPr>
          <w:rFonts w:ascii="Times New Roman" w:hAnsi="Times New Roman"/>
          <w:sz w:val="24"/>
          <w:szCs w:val="24"/>
        </w:rPr>
        <w:t>) expenditures</w:t>
      </w:r>
      <w:r w:rsidR="000F607F" w:rsidRPr="00A51DD1">
        <w:rPr>
          <w:rFonts w:ascii="Times New Roman" w:hAnsi="Times New Roman"/>
          <w:sz w:val="24"/>
          <w:szCs w:val="24"/>
        </w:rPr>
        <w:t>.</w:t>
      </w:r>
      <w:r w:rsidRPr="00A51DD1">
        <w:rPr>
          <w:rFonts w:ascii="Times New Roman" w:hAnsi="Times New Roman"/>
          <w:sz w:val="24"/>
          <w:szCs w:val="24"/>
        </w:rPr>
        <w:t xml:space="preserve"> </w:t>
      </w:r>
      <m:oMath>
        <m:r>
          <w:rPr>
            <w:rFonts w:ascii="Cambria Math" w:hAnsi="Cambria Math"/>
            <w:sz w:val="24"/>
            <w:szCs w:val="24"/>
          </w:rPr>
          <m:t>Asset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i,t-1</m:t>
            </m:r>
          </m:sub>
        </m:sSub>
      </m:oMath>
      <w:r w:rsidRPr="00A51DD1">
        <w:rPr>
          <w:rFonts w:ascii="Times New Roman" w:hAnsi="Times New Roman"/>
          <w:sz w:val="24"/>
          <w:szCs w:val="24"/>
        </w:rPr>
        <w:t xml:space="preserve"> is the total assets in year </w:t>
      </w:r>
      <m:oMath>
        <m:r>
          <w:rPr>
            <w:rFonts w:ascii="Cambria Math" w:hAnsi="Cambria Math"/>
            <w:sz w:val="24"/>
            <w:szCs w:val="24"/>
          </w:rPr>
          <m:t>t-1</m:t>
        </m:r>
      </m:oMath>
      <w:r w:rsidRPr="00A51DD1">
        <w:rPr>
          <w:rFonts w:ascii="Times New Roman" w:hAnsi="Times New Roman"/>
          <w:sz w:val="24"/>
          <w:szCs w:val="24"/>
        </w:rPr>
        <w:t xml:space="preserve"> and </w:t>
      </w:r>
      <m:oMath>
        <m:r>
          <w:rPr>
            <w:rFonts w:ascii="Cambria Math" w:hAnsi="Cambria Math"/>
            <w:sz w:val="24"/>
            <w:szCs w:val="24"/>
          </w:rPr>
          <m:t>SALE</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i,t-1</m:t>
            </m:r>
          </m:sub>
        </m:sSub>
      </m:oMath>
      <w:r w:rsidRPr="00A51DD1">
        <w:rPr>
          <w:rFonts w:ascii="Times New Roman" w:hAnsi="Times New Roman"/>
          <w:sz w:val="24"/>
          <w:szCs w:val="24"/>
        </w:rPr>
        <w:t xml:space="preserve"> is the net sales in year </w:t>
      </w:r>
      <m:oMath>
        <m:r>
          <w:rPr>
            <w:rFonts w:ascii="Cambria Math" w:hAnsi="Cambria Math"/>
            <w:sz w:val="24"/>
            <w:szCs w:val="24"/>
          </w:rPr>
          <m:t>t-1</m:t>
        </m:r>
      </m:oMath>
      <w:r w:rsidRPr="00A51DD1">
        <w:rPr>
          <w:rFonts w:ascii="Times New Roman" w:hAnsi="Times New Roman"/>
          <w:sz w:val="24"/>
          <w:szCs w:val="24"/>
        </w:rPr>
        <w:t xml:space="preserve">. </w:t>
      </w:r>
      <w:r w:rsidR="000F607F" w:rsidRPr="00A51DD1">
        <w:rPr>
          <w:rFonts w:ascii="Times New Roman" w:hAnsi="Times New Roman"/>
          <w:sz w:val="24"/>
          <w:szCs w:val="24"/>
        </w:rPr>
        <w:t>Again, w</w:t>
      </w:r>
      <w:r w:rsidRPr="00A51DD1">
        <w:rPr>
          <w:rFonts w:ascii="Times New Roman" w:hAnsi="Times New Roman"/>
          <w:sz w:val="24"/>
          <w:szCs w:val="24"/>
        </w:rPr>
        <w:t xml:space="preserve">e estimate the above regression cross-sectionally for all industry-year observations. </w:t>
      </w:r>
    </w:p>
    <w:p w14:paraId="39B6560C" w14:textId="77777777" w:rsidR="0094621B" w:rsidRPr="00A51DD1" w:rsidRDefault="0094621B" w:rsidP="0094621B">
      <w:pPr>
        <w:spacing w:after="0" w:line="480" w:lineRule="auto"/>
        <w:ind w:firstLine="720"/>
        <w:rPr>
          <w:rFonts w:ascii="Times New Roman" w:hAnsi="Times New Roman"/>
          <w:sz w:val="24"/>
          <w:szCs w:val="24"/>
        </w:rPr>
      </w:pPr>
      <w:r w:rsidRPr="00A51DD1">
        <w:rPr>
          <w:rFonts w:ascii="Times New Roman" w:hAnsi="Times New Roman"/>
          <w:sz w:val="24"/>
          <w:szCs w:val="24"/>
        </w:rPr>
        <w:t>To obtain abnormal production costs (RPROD), we first estimate the normal level of production costs as follows,</w:t>
      </w:r>
    </w:p>
    <w:p w14:paraId="230FCEEC" w14:textId="77777777" w:rsidR="0094621B" w:rsidRPr="00A51DD1" w:rsidRDefault="008912C0" w:rsidP="001362FB">
      <w:pPr>
        <w:spacing w:before="120" w:after="0" w:line="480" w:lineRule="auto"/>
        <w:jc w:val="right"/>
        <w:rPr>
          <w:rFonts w:ascii="Times New Roman" w:hAnsi="Times New Roman"/>
          <w:sz w:val="24"/>
          <w:szCs w:val="24"/>
        </w:rPr>
      </w:pP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PROD</m:t>
                </m:r>
              </m:e>
              <m:sub>
                <m:r>
                  <w:rPr>
                    <w:rFonts w:ascii="Cambria Math" w:hAnsi="Cambria Math"/>
                    <w:sz w:val="24"/>
                    <w:szCs w:val="24"/>
                  </w:rPr>
                  <m:t>i,t</m:t>
                </m:r>
              </m:sub>
            </m:sSub>
          </m:num>
          <m:den>
            <m:sSub>
              <m:sSubPr>
                <m:ctrlPr>
                  <w:rPr>
                    <w:rFonts w:ascii="Cambria Math" w:hAnsi="Cambria Math"/>
                    <w:i/>
                    <w:sz w:val="24"/>
                    <w:szCs w:val="24"/>
                  </w:rPr>
                </m:ctrlPr>
              </m:sSubPr>
              <m:e>
                <m:r>
                  <w:rPr>
                    <w:rFonts w:ascii="Cambria Math" w:hAnsi="Cambria Math"/>
                    <w:sz w:val="24"/>
                    <w:szCs w:val="24"/>
                  </w:rPr>
                  <m:t>Assets</m:t>
                </m:r>
              </m:e>
              <m:sub>
                <m:r>
                  <w:rPr>
                    <w:rFonts w:ascii="Cambria Math" w:hAnsi="Cambria Math"/>
                    <w:sz w:val="24"/>
                    <w:szCs w:val="24"/>
                  </w:rPr>
                  <m:t>i,t-1</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Assets</m:t>
                </m:r>
              </m:e>
              <m:sub>
                <m:r>
                  <w:rPr>
                    <w:rFonts w:ascii="Cambria Math" w:hAnsi="Cambria Math"/>
                    <w:sz w:val="24"/>
                    <w:szCs w:val="24"/>
                  </w:rPr>
                  <m:t>i,t-1</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2</m:t>
            </m:r>
          </m:sub>
        </m:sSub>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Sales</m:t>
                </m:r>
              </m:e>
              <m:sub>
                <m:r>
                  <w:rPr>
                    <w:rFonts w:ascii="Cambria Math" w:hAnsi="Cambria Math"/>
                    <w:sz w:val="24"/>
                    <w:szCs w:val="24"/>
                  </w:rPr>
                  <m:t>i,t</m:t>
                </m:r>
              </m:sub>
            </m:sSub>
          </m:num>
          <m:den>
            <m:sSub>
              <m:sSubPr>
                <m:ctrlPr>
                  <w:rPr>
                    <w:rFonts w:ascii="Cambria Math" w:hAnsi="Cambria Math"/>
                    <w:i/>
                    <w:sz w:val="24"/>
                    <w:szCs w:val="24"/>
                  </w:rPr>
                </m:ctrlPr>
              </m:sSubPr>
              <m:e>
                <m:r>
                  <w:rPr>
                    <w:rFonts w:ascii="Cambria Math" w:hAnsi="Cambria Math"/>
                    <w:sz w:val="24"/>
                    <w:szCs w:val="24"/>
                  </w:rPr>
                  <m:t>Assets</m:t>
                </m:r>
              </m:e>
              <m:sub>
                <m:r>
                  <w:rPr>
                    <w:rFonts w:ascii="Cambria Math" w:hAnsi="Cambria Math"/>
                    <w:sz w:val="24"/>
                    <w:szCs w:val="24"/>
                  </w:rPr>
                  <m:t>i,t-1</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3</m:t>
            </m:r>
          </m:sub>
        </m:sSub>
        <m:f>
          <m:fPr>
            <m:ctrlPr>
              <w:rPr>
                <w:rFonts w:ascii="Cambria Math" w:hAnsi="Cambria Math"/>
                <w:i/>
                <w:sz w:val="24"/>
                <w:szCs w:val="24"/>
              </w:rPr>
            </m:ctrlPr>
          </m:fPr>
          <m:num>
            <m:r>
              <w:rPr>
                <w:rFonts w:ascii="Cambria Math" w:hAnsi="Cambria Math"/>
                <w:sz w:val="24"/>
                <w:szCs w:val="24"/>
              </w:rPr>
              <m:t>Δ</m:t>
            </m:r>
            <m:sSub>
              <m:sSubPr>
                <m:ctrlPr>
                  <w:rPr>
                    <w:rFonts w:ascii="Cambria Math" w:hAnsi="Cambria Math"/>
                    <w:i/>
                    <w:sz w:val="24"/>
                    <w:szCs w:val="24"/>
                  </w:rPr>
                </m:ctrlPr>
              </m:sSubPr>
              <m:e>
                <m:r>
                  <w:rPr>
                    <w:rFonts w:ascii="Cambria Math" w:hAnsi="Cambria Math"/>
                    <w:sz w:val="24"/>
                    <w:szCs w:val="24"/>
                  </w:rPr>
                  <m:t>Sales</m:t>
                </m:r>
              </m:e>
              <m:sub>
                <m:r>
                  <w:rPr>
                    <w:rFonts w:ascii="Cambria Math" w:hAnsi="Cambria Math"/>
                    <w:sz w:val="24"/>
                    <w:szCs w:val="24"/>
                  </w:rPr>
                  <m:t>i,t</m:t>
                </m:r>
              </m:sub>
            </m:sSub>
          </m:num>
          <m:den>
            <m:sSub>
              <m:sSubPr>
                <m:ctrlPr>
                  <w:rPr>
                    <w:rFonts w:ascii="Cambria Math" w:hAnsi="Cambria Math"/>
                    <w:i/>
                    <w:sz w:val="24"/>
                    <w:szCs w:val="24"/>
                  </w:rPr>
                </m:ctrlPr>
              </m:sSubPr>
              <m:e>
                <m:r>
                  <w:rPr>
                    <w:rFonts w:ascii="Cambria Math" w:hAnsi="Cambria Math"/>
                    <w:sz w:val="24"/>
                    <w:szCs w:val="24"/>
                  </w:rPr>
                  <m:t>Assets</m:t>
                </m:r>
              </m:e>
              <m:sub>
                <m:r>
                  <w:rPr>
                    <w:rFonts w:ascii="Cambria Math" w:hAnsi="Cambria Math"/>
                    <w:sz w:val="24"/>
                    <w:szCs w:val="24"/>
                  </w:rPr>
                  <m:t>i,t-1</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4</m:t>
            </m:r>
          </m:sub>
        </m:sSub>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ΔSALES</m:t>
                </m:r>
              </m:e>
              <m:sub>
                <m:r>
                  <w:rPr>
                    <w:rFonts w:ascii="Cambria Math" w:hAnsi="Cambria Math"/>
                    <w:sz w:val="24"/>
                    <w:szCs w:val="24"/>
                  </w:rPr>
                  <m:t>i,t-1</m:t>
                </m:r>
              </m:sub>
            </m:sSub>
          </m:num>
          <m:den>
            <m:sSub>
              <m:sSubPr>
                <m:ctrlPr>
                  <w:rPr>
                    <w:rFonts w:ascii="Cambria Math" w:hAnsi="Cambria Math"/>
                    <w:i/>
                    <w:sz w:val="24"/>
                    <w:szCs w:val="24"/>
                  </w:rPr>
                </m:ctrlPr>
              </m:sSubPr>
              <m:e>
                <m:r>
                  <w:rPr>
                    <w:rFonts w:ascii="Cambria Math" w:hAnsi="Cambria Math"/>
                    <w:sz w:val="24"/>
                    <w:szCs w:val="24"/>
                  </w:rPr>
                  <m:t>Assets</m:t>
                </m:r>
              </m:e>
              <m:sub>
                <m:r>
                  <w:rPr>
                    <w:rFonts w:ascii="Cambria Math" w:hAnsi="Cambria Math"/>
                    <w:sz w:val="24"/>
                    <w:szCs w:val="24"/>
                  </w:rPr>
                  <m:t>i,t-1</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i,t</m:t>
            </m:r>
          </m:sub>
        </m:sSub>
      </m:oMath>
      <w:r w:rsidR="0094621B" w:rsidRPr="00A51DD1">
        <w:rPr>
          <w:rFonts w:ascii="Times New Roman" w:hAnsi="Times New Roman"/>
          <w:sz w:val="24"/>
          <w:szCs w:val="24"/>
        </w:rPr>
        <w:t xml:space="preserve"> </w:t>
      </w:r>
      <w:r w:rsidR="0094621B" w:rsidRPr="00A51DD1">
        <w:rPr>
          <w:rFonts w:ascii="Times New Roman" w:hAnsi="Times New Roman"/>
          <w:sz w:val="24"/>
          <w:szCs w:val="24"/>
        </w:rPr>
        <w:tab/>
      </w:r>
      <w:r w:rsidR="0094621B" w:rsidRPr="00A51DD1">
        <w:rPr>
          <w:rFonts w:ascii="Times New Roman" w:hAnsi="Times New Roman"/>
          <w:sz w:val="24"/>
          <w:szCs w:val="24"/>
        </w:rPr>
        <w:tab/>
        <w:t>(4)</w:t>
      </w:r>
    </w:p>
    <w:p w14:paraId="3081EEEE" w14:textId="41978C3E" w:rsidR="0094621B" w:rsidRPr="00A51DD1" w:rsidRDefault="0094621B" w:rsidP="0094621B">
      <w:pPr>
        <w:spacing w:after="0" w:line="480" w:lineRule="auto"/>
        <w:jc w:val="both"/>
        <w:rPr>
          <w:rFonts w:ascii="Times New Roman" w:hAnsi="Times New Roman"/>
          <w:sz w:val="24"/>
          <w:szCs w:val="24"/>
        </w:rPr>
      </w:pPr>
      <w:r w:rsidRPr="00A51DD1">
        <w:rPr>
          <w:rFonts w:ascii="Times New Roman" w:hAnsi="Times New Roman"/>
          <w:sz w:val="24"/>
          <w:szCs w:val="24"/>
        </w:rPr>
        <w:t xml:space="preserve">where </w:t>
      </w:r>
      <m:oMath>
        <m:r>
          <w:rPr>
            <w:rFonts w:ascii="Cambria Math" w:hAnsi="Cambria Math"/>
            <w:sz w:val="24"/>
            <w:szCs w:val="24"/>
          </w:rPr>
          <m:t>PRO</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i,t</m:t>
            </m:r>
          </m:sub>
        </m:sSub>
      </m:oMath>
      <w:r w:rsidRPr="00A51DD1">
        <w:rPr>
          <w:rFonts w:ascii="Times New Roman" w:hAnsi="Times New Roman"/>
          <w:sz w:val="24"/>
          <w:szCs w:val="24"/>
        </w:rPr>
        <w:t xml:space="preserve">  is the sum of the cost of goods sold in year </w:t>
      </w:r>
      <m:oMath>
        <m:r>
          <w:rPr>
            <w:rFonts w:ascii="Cambria Math" w:hAnsi="Cambria Math"/>
            <w:sz w:val="24"/>
            <w:szCs w:val="24"/>
          </w:rPr>
          <m:t>t</m:t>
        </m:r>
      </m:oMath>
      <w:r w:rsidRPr="00A51DD1">
        <w:rPr>
          <w:rFonts w:ascii="Times New Roman" w:hAnsi="Times New Roman"/>
          <w:sz w:val="24"/>
          <w:szCs w:val="24"/>
        </w:rPr>
        <w:t xml:space="preserve"> and the change in inventory during the year for firm </w:t>
      </w:r>
      <m:oMath>
        <m:r>
          <w:rPr>
            <w:rFonts w:ascii="Cambria Math" w:hAnsi="Cambria Math"/>
            <w:sz w:val="24"/>
            <w:szCs w:val="24"/>
          </w:rPr>
          <m:t>i</m:t>
        </m:r>
      </m:oMath>
      <w:r w:rsidRPr="00A51DD1">
        <w:rPr>
          <w:rFonts w:ascii="Times New Roman" w:hAnsi="Times New Roman"/>
          <w:sz w:val="24"/>
          <w:szCs w:val="24"/>
        </w:rPr>
        <w:t xml:space="preserve">. We </w:t>
      </w:r>
      <w:r w:rsidR="004C1C04" w:rsidRPr="00A51DD1">
        <w:rPr>
          <w:rFonts w:ascii="Times New Roman" w:hAnsi="Times New Roman"/>
          <w:sz w:val="24"/>
          <w:szCs w:val="24"/>
        </w:rPr>
        <w:t xml:space="preserve">conduct a cross-sectional </w:t>
      </w:r>
      <w:r w:rsidRPr="00A51DD1">
        <w:rPr>
          <w:rFonts w:ascii="Times New Roman" w:hAnsi="Times New Roman"/>
          <w:sz w:val="24"/>
          <w:szCs w:val="24"/>
        </w:rPr>
        <w:t>estimat</w:t>
      </w:r>
      <w:r w:rsidR="004C1C04" w:rsidRPr="00A51DD1">
        <w:rPr>
          <w:rFonts w:ascii="Times New Roman" w:hAnsi="Times New Roman"/>
          <w:sz w:val="24"/>
          <w:szCs w:val="24"/>
        </w:rPr>
        <w:t xml:space="preserve">ion of Equation 4 </w:t>
      </w:r>
      <w:r w:rsidRPr="00A51DD1">
        <w:rPr>
          <w:rFonts w:ascii="Times New Roman" w:hAnsi="Times New Roman"/>
          <w:sz w:val="24"/>
          <w:szCs w:val="24"/>
        </w:rPr>
        <w:t>for all industry-year observations. The abnormal level of production costs (</w:t>
      </w:r>
      <m:oMath>
        <m:r>
          <w:rPr>
            <w:rFonts w:ascii="Cambria Math" w:hAnsi="Cambria Math"/>
            <w:sz w:val="24"/>
            <w:szCs w:val="24"/>
          </w:rPr>
          <m:t>RPROD</m:t>
        </m:r>
      </m:oMath>
      <w:r w:rsidRPr="00A51DD1">
        <w:rPr>
          <w:rFonts w:ascii="Times New Roman" w:hAnsi="Times New Roman"/>
          <w:sz w:val="24"/>
          <w:szCs w:val="24"/>
        </w:rPr>
        <w:t xml:space="preserve">) is measured as the estimated residual of the regression. Higher residuals are synonymous with increased inventory </w:t>
      </w:r>
      <w:r w:rsidR="000F6C3C" w:rsidRPr="00A51DD1">
        <w:rPr>
          <w:rFonts w:ascii="Times New Roman" w:hAnsi="Times New Roman"/>
          <w:sz w:val="24"/>
          <w:szCs w:val="24"/>
        </w:rPr>
        <w:t>levels,</w:t>
      </w:r>
      <w:r w:rsidR="00997997" w:rsidRPr="00A51DD1">
        <w:rPr>
          <w:rFonts w:ascii="Times New Roman" w:hAnsi="Times New Roman"/>
          <w:sz w:val="24"/>
          <w:szCs w:val="24"/>
        </w:rPr>
        <w:t xml:space="preserve"> </w:t>
      </w:r>
      <w:r w:rsidRPr="00A51DD1">
        <w:rPr>
          <w:rFonts w:ascii="Times New Roman" w:hAnsi="Times New Roman"/>
          <w:sz w:val="24"/>
          <w:szCs w:val="24"/>
        </w:rPr>
        <w:t>reduced cost of goods sold</w:t>
      </w:r>
      <w:r w:rsidR="00997997" w:rsidRPr="00A51DD1">
        <w:rPr>
          <w:rFonts w:ascii="Times New Roman" w:hAnsi="Times New Roman"/>
          <w:sz w:val="24"/>
          <w:szCs w:val="24"/>
        </w:rPr>
        <w:t>,</w:t>
      </w:r>
      <w:r w:rsidRPr="00A51DD1">
        <w:rPr>
          <w:rFonts w:ascii="Times New Roman" w:hAnsi="Times New Roman"/>
          <w:sz w:val="24"/>
          <w:szCs w:val="24"/>
        </w:rPr>
        <w:t xml:space="preserve"> and inflated earnings.</w:t>
      </w:r>
    </w:p>
    <w:p w14:paraId="03B7E6F9" w14:textId="6DEBEE14" w:rsidR="0094621B" w:rsidRPr="00A51DD1" w:rsidRDefault="00646805" w:rsidP="001362FB">
      <w:pPr>
        <w:spacing w:after="0" w:line="480" w:lineRule="auto"/>
        <w:ind w:firstLine="720"/>
        <w:jc w:val="both"/>
        <w:rPr>
          <w:rFonts w:ascii="Times New Roman" w:hAnsi="Times New Roman"/>
          <w:sz w:val="24"/>
          <w:szCs w:val="24"/>
        </w:rPr>
      </w:pPr>
      <w:r w:rsidRPr="00A51DD1">
        <w:rPr>
          <w:rFonts w:ascii="Times New Roman" w:hAnsi="Times New Roman"/>
          <w:sz w:val="24"/>
          <w:szCs w:val="24"/>
        </w:rPr>
        <w:t xml:space="preserve">Because the impact of adjusting real activities will </w:t>
      </w:r>
      <w:r w:rsidR="000F6C3C" w:rsidRPr="00A51DD1">
        <w:rPr>
          <w:rFonts w:ascii="Times New Roman" w:hAnsi="Times New Roman"/>
          <w:sz w:val="24"/>
          <w:szCs w:val="24"/>
        </w:rPr>
        <w:t xml:space="preserve">affect </w:t>
      </w:r>
      <w:r w:rsidRPr="00A51DD1">
        <w:rPr>
          <w:rFonts w:ascii="Times New Roman" w:hAnsi="Times New Roman"/>
          <w:sz w:val="24"/>
          <w:szCs w:val="24"/>
        </w:rPr>
        <w:t xml:space="preserve">operating cash flow, </w:t>
      </w:r>
      <w:r w:rsidR="00997997" w:rsidRPr="00A51DD1">
        <w:rPr>
          <w:rFonts w:ascii="Times New Roman" w:hAnsi="Times New Roman"/>
          <w:sz w:val="24"/>
          <w:szCs w:val="24"/>
        </w:rPr>
        <w:t xml:space="preserve">Roychowdhury (2006) uses </w:t>
      </w:r>
      <w:r w:rsidRPr="00A51DD1">
        <w:rPr>
          <w:rFonts w:ascii="Times New Roman" w:hAnsi="Times New Roman"/>
          <w:sz w:val="24"/>
          <w:szCs w:val="24"/>
        </w:rPr>
        <w:t xml:space="preserve">the abnormal level of operating cash flow as the third proxy for real earnings management. </w:t>
      </w:r>
      <w:r w:rsidR="0094621B" w:rsidRPr="00A51DD1">
        <w:rPr>
          <w:rFonts w:ascii="Times New Roman" w:hAnsi="Times New Roman"/>
          <w:sz w:val="24"/>
          <w:szCs w:val="24"/>
        </w:rPr>
        <w:t xml:space="preserve">Following </w:t>
      </w:r>
      <w:r w:rsidR="00997997" w:rsidRPr="00A51DD1">
        <w:rPr>
          <w:rFonts w:ascii="Times New Roman" w:hAnsi="Times New Roman"/>
          <w:sz w:val="24"/>
          <w:szCs w:val="24"/>
        </w:rPr>
        <w:t xml:space="preserve">Roychowdhury (2006), </w:t>
      </w:r>
      <w:r w:rsidR="0094621B" w:rsidRPr="00A51DD1">
        <w:rPr>
          <w:rFonts w:ascii="Times New Roman" w:hAnsi="Times New Roman"/>
          <w:sz w:val="24"/>
          <w:szCs w:val="24"/>
        </w:rPr>
        <w:t xml:space="preserve">we </w:t>
      </w:r>
      <w:r w:rsidRPr="00A51DD1">
        <w:rPr>
          <w:rFonts w:ascii="Times New Roman" w:hAnsi="Times New Roman"/>
          <w:sz w:val="24"/>
          <w:szCs w:val="24"/>
        </w:rPr>
        <w:t xml:space="preserve">estimate </w:t>
      </w:r>
      <w:r w:rsidR="0094621B" w:rsidRPr="00A51DD1">
        <w:rPr>
          <w:rFonts w:ascii="Times New Roman" w:hAnsi="Times New Roman"/>
          <w:sz w:val="24"/>
          <w:szCs w:val="24"/>
        </w:rPr>
        <w:t xml:space="preserve">the </w:t>
      </w:r>
      <w:r w:rsidRPr="00A51DD1">
        <w:rPr>
          <w:rFonts w:ascii="Times New Roman" w:hAnsi="Times New Roman"/>
          <w:sz w:val="24"/>
          <w:szCs w:val="24"/>
        </w:rPr>
        <w:t xml:space="preserve">following regression and use the residual </w:t>
      </w:r>
      <w:r w:rsidR="001362FB" w:rsidRPr="00A51DD1">
        <w:rPr>
          <w:rFonts w:ascii="Times New Roman" w:hAnsi="Times New Roman"/>
          <w:sz w:val="24"/>
          <w:szCs w:val="24"/>
        </w:rPr>
        <w:t>to measure the a</w:t>
      </w:r>
      <w:r w:rsidR="0094621B" w:rsidRPr="00A51DD1">
        <w:rPr>
          <w:rFonts w:ascii="Times New Roman" w:hAnsi="Times New Roman"/>
          <w:sz w:val="24"/>
          <w:szCs w:val="24"/>
        </w:rPr>
        <w:t>bnormal level of operating cash flows</w:t>
      </w:r>
      <w:r w:rsidRPr="00A51DD1">
        <w:rPr>
          <w:rFonts w:ascii="Times New Roman" w:hAnsi="Times New Roman"/>
          <w:sz w:val="24"/>
          <w:szCs w:val="24"/>
        </w:rPr>
        <w:t>,</w:t>
      </w:r>
      <w:r w:rsidR="001362FB" w:rsidRPr="00A51DD1">
        <w:rPr>
          <w:rFonts w:ascii="Times New Roman" w:hAnsi="Times New Roman"/>
          <w:sz w:val="24"/>
          <w:szCs w:val="24"/>
        </w:rPr>
        <w:t xml:space="preserve"> i.e., real earnings management. </w:t>
      </w:r>
      <w:r w:rsidRPr="00A51DD1">
        <w:rPr>
          <w:rFonts w:ascii="Times New Roman" w:hAnsi="Times New Roman"/>
          <w:sz w:val="24"/>
          <w:szCs w:val="24"/>
        </w:rPr>
        <w:t xml:space="preserve"> </w:t>
      </w:r>
    </w:p>
    <w:p w14:paraId="41248F03" w14:textId="77777777" w:rsidR="0094621B" w:rsidRPr="00A51DD1" w:rsidRDefault="008912C0" w:rsidP="001362FB">
      <w:pPr>
        <w:spacing w:before="120" w:after="0" w:line="480" w:lineRule="auto"/>
        <w:jc w:val="right"/>
        <w:rPr>
          <w:rFonts w:ascii="Times New Roman" w:hAnsi="Times New Roman"/>
          <w:sz w:val="24"/>
          <w:szCs w:val="24"/>
        </w:rPr>
      </w:pP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CFO</m:t>
                </m:r>
              </m:e>
              <m:sub>
                <m:r>
                  <w:rPr>
                    <w:rFonts w:ascii="Cambria Math" w:hAnsi="Cambria Math"/>
                    <w:sz w:val="24"/>
                    <w:szCs w:val="24"/>
                  </w:rPr>
                  <m:t>i,t</m:t>
                </m:r>
              </m:sub>
            </m:sSub>
          </m:num>
          <m:den>
            <m:sSub>
              <m:sSubPr>
                <m:ctrlPr>
                  <w:rPr>
                    <w:rFonts w:ascii="Cambria Math" w:hAnsi="Cambria Math"/>
                    <w:i/>
                    <w:sz w:val="24"/>
                    <w:szCs w:val="24"/>
                  </w:rPr>
                </m:ctrlPr>
              </m:sSubPr>
              <m:e>
                <m:r>
                  <w:rPr>
                    <w:rFonts w:ascii="Cambria Math" w:hAnsi="Cambria Math"/>
                    <w:sz w:val="24"/>
                    <w:szCs w:val="24"/>
                  </w:rPr>
                  <m:t>Assets</m:t>
                </m:r>
              </m:e>
              <m:sub>
                <m:r>
                  <w:rPr>
                    <w:rFonts w:ascii="Cambria Math" w:hAnsi="Cambria Math"/>
                    <w:sz w:val="24"/>
                    <w:szCs w:val="24"/>
                  </w:rPr>
                  <m:t>i,t-1</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1</m:t>
            </m:r>
          </m:sub>
        </m:sSub>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Assets</m:t>
                </m:r>
              </m:e>
              <m:sub>
                <m:r>
                  <w:rPr>
                    <w:rFonts w:ascii="Cambria Math" w:hAnsi="Cambria Math"/>
                    <w:sz w:val="24"/>
                    <w:szCs w:val="24"/>
                  </w:rPr>
                  <m:t>i,t-1</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2</m:t>
            </m:r>
          </m:sub>
        </m:sSub>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Sales</m:t>
                </m:r>
              </m:e>
              <m:sub>
                <m:r>
                  <w:rPr>
                    <w:rFonts w:ascii="Cambria Math" w:hAnsi="Cambria Math"/>
                    <w:sz w:val="24"/>
                    <w:szCs w:val="24"/>
                  </w:rPr>
                  <m:t>i,t</m:t>
                </m:r>
              </m:sub>
            </m:sSub>
          </m:num>
          <m:den>
            <m:sSub>
              <m:sSubPr>
                <m:ctrlPr>
                  <w:rPr>
                    <w:rFonts w:ascii="Cambria Math" w:hAnsi="Cambria Math"/>
                    <w:i/>
                    <w:sz w:val="24"/>
                    <w:szCs w:val="24"/>
                  </w:rPr>
                </m:ctrlPr>
              </m:sSubPr>
              <m:e>
                <m:r>
                  <w:rPr>
                    <w:rFonts w:ascii="Cambria Math" w:hAnsi="Cambria Math"/>
                    <w:sz w:val="24"/>
                    <w:szCs w:val="24"/>
                  </w:rPr>
                  <m:t>Assets</m:t>
                </m:r>
              </m:e>
              <m:sub>
                <m:r>
                  <w:rPr>
                    <w:rFonts w:ascii="Cambria Math" w:hAnsi="Cambria Math"/>
                    <w:sz w:val="24"/>
                    <w:szCs w:val="24"/>
                  </w:rPr>
                  <m:t>i,t-1</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3</m:t>
            </m:r>
          </m:sub>
        </m:sSub>
        <m:f>
          <m:fPr>
            <m:ctrlPr>
              <w:rPr>
                <w:rFonts w:ascii="Cambria Math" w:hAnsi="Cambria Math"/>
                <w:i/>
                <w:sz w:val="24"/>
                <w:szCs w:val="24"/>
              </w:rPr>
            </m:ctrlPr>
          </m:fPr>
          <m:num>
            <m:r>
              <w:rPr>
                <w:rFonts w:ascii="Cambria Math" w:hAnsi="Cambria Math"/>
                <w:sz w:val="24"/>
                <w:szCs w:val="24"/>
              </w:rPr>
              <m:t>Δ</m:t>
            </m:r>
            <m:sSub>
              <m:sSubPr>
                <m:ctrlPr>
                  <w:rPr>
                    <w:rFonts w:ascii="Cambria Math" w:hAnsi="Cambria Math"/>
                    <w:i/>
                    <w:sz w:val="24"/>
                    <w:szCs w:val="24"/>
                  </w:rPr>
                </m:ctrlPr>
              </m:sSubPr>
              <m:e>
                <m:r>
                  <w:rPr>
                    <w:rFonts w:ascii="Cambria Math" w:hAnsi="Cambria Math"/>
                    <w:sz w:val="24"/>
                    <w:szCs w:val="24"/>
                  </w:rPr>
                  <m:t>Sales</m:t>
                </m:r>
              </m:e>
              <m:sub>
                <m:r>
                  <w:rPr>
                    <w:rFonts w:ascii="Cambria Math" w:hAnsi="Cambria Math"/>
                    <w:sz w:val="24"/>
                    <w:szCs w:val="24"/>
                  </w:rPr>
                  <m:t>i,t</m:t>
                </m:r>
              </m:sub>
            </m:sSub>
          </m:num>
          <m:den>
            <m:sSub>
              <m:sSubPr>
                <m:ctrlPr>
                  <w:rPr>
                    <w:rFonts w:ascii="Cambria Math" w:hAnsi="Cambria Math"/>
                    <w:i/>
                    <w:sz w:val="24"/>
                    <w:szCs w:val="24"/>
                  </w:rPr>
                </m:ctrlPr>
              </m:sSubPr>
              <m:e>
                <m:r>
                  <w:rPr>
                    <w:rFonts w:ascii="Cambria Math" w:hAnsi="Cambria Math"/>
                    <w:sz w:val="24"/>
                    <w:szCs w:val="24"/>
                  </w:rPr>
                  <m:t>Assets</m:t>
                </m:r>
              </m:e>
              <m:sub>
                <m:r>
                  <w:rPr>
                    <w:rFonts w:ascii="Cambria Math" w:hAnsi="Cambria Math"/>
                    <w:sz w:val="24"/>
                    <w:szCs w:val="24"/>
                  </w:rPr>
                  <m:t>i,t-1</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i,t</m:t>
            </m:r>
          </m:sub>
        </m:sSub>
      </m:oMath>
      <w:r w:rsidR="0094621B" w:rsidRPr="00A51DD1">
        <w:rPr>
          <w:rFonts w:ascii="Times New Roman" w:hAnsi="Times New Roman"/>
          <w:sz w:val="24"/>
          <w:szCs w:val="24"/>
        </w:rPr>
        <w:t xml:space="preserve"> </w:t>
      </w:r>
      <w:r w:rsidR="0094621B" w:rsidRPr="00A51DD1">
        <w:rPr>
          <w:rFonts w:ascii="Times New Roman" w:hAnsi="Times New Roman"/>
          <w:sz w:val="24"/>
          <w:szCs w:val="24"/>
        </w:rPr>
        <w:tab/>
      </w:r>
      <w:r w:rsidR="0094621B" w:rsidRPr="00A51DD1">
        <w:rPr>
          <w:rFonts w:ascii="Times New Roman" w:hAnsi="Times New Roman"/>
          <w:sz w:val="24"/>
          <w:szCs w:val="24"/>
        </w:rPr>
        <w:tab/>
        <w:t>(5)</w:t>
      </w:r>
    </w:p>
    <w:p w14:paraId="328F348A" w14:textId="3CFFB27F" w:rsidR="0094621B" w:rsidRPr="00A51DD1" w:rsidRDefault="0094621B" w:rsidP="001362FB">
      <w:pPr>
        <w:spacing w:after="0" w:line="480" w:lineRule="auto"/>
        <w:jc w:val="both"/>
        <w:rPr>
          <w:rFonts w:ascii="Times New Roman" w:hAnsi="Times New Roman"/>
          <w:sz w:val="24"/>
          <w:szCs w:val="24"/>
        </w:rPr>
      </w:pPr>
      <w:r w:rsidRPr="00A51DD1">
        <w:rPr>
          <w:rFonts w:ascii="Times New Roman" w:hAnsi="Times New Roman"/>
          <w:sz w:val="24"/>
          <w:szCs w:val="24"/>
        </w:rPr>
        <w:t xml:space="preserve">where </w:t>
      </w:r>
      <m:oMath>
        <m:sSub>
          <m:sSubPr>
            <m:ctrlPr>
              <w:rPr>
                <w:rFonts w:ascii="Cambria Math" w:hAnsi="Cambria Math"/>
                <w:i/>
                <w:sz w:val="24"/>
                <w:szCs w:val="24"/>
              </w:rPr>
            </m:ctrlPr>
          </m:sSubPr>
          <m:e>
            <m:r>
              <w:rPr>
                <w:rFonts w:ascii="Cambria Math" w:hAnsi="Cambria Math"/>
                <w:sz w:val="24"/>
                <w:szCs w:val="24"/>
              </w:rPr>
              <m:t>CFO</m:t>
            </m:r>
          </m:e>
          <m:sub>
            <m:r>
              <w:rPr>
                <w:rFonts w:ascii="Cambria Math" w:hAnsi="Cambria Math"/>
                <w:sz w:val="24"/>
                <w:szCs w:val="24"/>
              </w:rPr>
              <m:t>i,t</m:t>
            </m:r>
          </m:sub>
        </m:sSub>
      </m:oMath>
      <w:r w:rsidRPr="00A51DD1">
        <w:rPr>
          <w:rFonts w:ascii="Times New Roman" w:hAnsi="Times New Roman"/>
          <w:sz w:val="24"/>
          <w:szCs w:val="24"/>
        </w:rPr>
        <w:t xml:space="preserve"> is the operating cash flow of firm </w:t>
      </w:r>
      <w:r w:rsidRPr="00A51DD1">
        <w:rPr>
          <w:rFonts w:ascii="Times New Roman" w:hAnsi="Times New Roman"/>
          <w:i/>
          <w:sz w:val="24"/>
          <w:szCs w:val="24"/>
        </w:rPr>
        <w:t>i</w:t>
      </w:r>
      <w:r w:rsidRPr="00A51DD1">
        <w:rPr>
          <w:rFonts w:ascii="Times New Roman" w:hAnsi="Times New Roman"/>
          <w:sz w:val="24"/>
          <w:szCs w:val="24"/>
        </w:rPr>
        <w:t xml:space="preserve"> in year </w:t>
      </w:r>
      <m:oMath>
        <m:r>
          <w:rPr>
            <w:rFonts w:ascii="Cambria Math" w:hAnsi="Cambria Math"/>
            <w:sz w:val="24"/>
            <w:szCs w:val="24"/>
          </w:rPr>
          <m:t>t</m:t>
        </m:r>
      </m:oMath>
      <w:r w:rsidRPr="00A51DD1">
        <w:rPr>
          <w:rFonts w:ascii="Times New Roman" w:hAnsi="Times New Roman"/>
          <w:sz w:val="24"/>
          <w:szCs w:val="24"/>
        </w:rPr>
        <w:t xml:space="preserve">. </w:t>
      </w:r>
      <w:r w:rsidR="001362FB" w:rsidRPr="00A51DD1">
        <w:rPr>
          <w:rFonts w:ascii="Times New Roman" w:hAnsi="Times New Roman"/>
          <w:sz w:val="24"/>
          <w:szCs w:val="24"/>
        </w:rPr>
        <w:t>As in estimating the other measurements, w</w:t>
      </w:r>
      <w:r w:rsidRPr="00A51DD1">
        <w:rPr>
          <w:rFonts w:ascii="Times New Roman" w:hAnsi="Times New Roman"/>
          <w:sz w:val="24"/>
          <w:szCs w:val="24"/>
        </w:rPr>
        <w:t>e estimate the above regression cross-sectionally for all industry-year observations.</w:t>
      </w:r>
      <w:r w:rsidRPr="00A51DD1">
        <w:rPr>
          <w:rFonts w:ascii="Times New Roman" w:hAnsi="Times New Roman"/>
          <w:sz w:val="24"/>
          <w:szCs w:val="24"/>
          <w:vertAlign w:val="superscript"/>
        </w:rPr>
        <w:footnoteReference w:id="1"/>
      </w:r>
      <w:r w:rsidRPr="00A51DD1">
        <w:rPr>
          <w:rFonts w:ascii="Times New Roman" w:hAnsi="Times New Roman"/>
          <w:sz w:val="24"/>
          <w:szCs w:val="24"/>
        </w:rPr>
        <w:t xml:space="preserve"> </w:t>
      </w:r>
    </w:p>
    <w:p w14:paraId="3ADF72CA" w14:textId="5F02AD64" w:rsidR="0094621B" w:rsidRPr="00A51DD1" w:rsidRDefault="001362FB" w:rsidP="0094621B">
      <w:pPr>
        <w:spacing w:after="0" w:line="480" w:lineRule="auto"/>
        <w:ind w:firstLine="720"/>
        <w:jc w:val="both"/>
        <w:rPr>
          <w:rFonts w:ascii="Times New Roman" w:hAnsi="Times New Roman"/>
          <w:sz w:val="24"/>
          <w:szCs w:val="24"/>
        </w:rPr>
      </w:pPr>
      <w:r w:rsidRPr="00A51DD1">
        <w:rPr>
          <w:rFonts w:ascii="Times New Roman" w:hAnsi="Times New Roman"/>
          <w:sz w:val="24"/>
          <w:szCs w:val="24"/>
        </w:rPr>
        <w:t>Finally, w</w:t>
      </w:r>
      <w:r w:rsidR="0094621B" w:rsidRPr="00A51DD1">
        <w:rPr>
          <w:rFonts w:ascii="Times New Roman" w:hAnsi="Times New Roman"/>
          <w:sz w:val="24"/>
          <w:szCs w:val="24"/>
        </w:rPr>
        <w:t xml:space="preserve">e use the following model to test the two </w:t>
      </w:r>
      <w:r w:rsidRPr="00A51DD1">
        <w:rPr>
          <w:rFonts w:ascii="Times New Roman" w:hAnsi="Times New Roman"/>
          <w:sz w:val="24"/>
          <w:szCs w:val="24"/>
        </w:rPr>
        <w:t xml:space="preserve">earnings management </w:t>
      </w:r>
      <w:r w:rsidR="0094621B" w:rsidRPr="00A51DD1">
        <w:rPr>
          <w:rFonts w:ascii="Times New Roman" w:hAnsi="Times New Roman"/>
          <w:sz w:val="24"/>
          <w:szCs w:val="24"/>
        </w:rPr>
        <w:t xml:space="preserve">hypotheses. </w:t>
      </w:r>
      <w:r w:rsidR="0094621B" w:rsidRPr="0087564A">
        <w:rPr>
          <w:rFonts w:ascii="Times New Roman" w:hAnsi="Times New Roman"/>
          <w:noProof/>
          <w:sz w:val="24"/>
          <w:szCs w:val="24"/>
        </w:rPr>
        <w:t>The dependent variable</w:t>
      </w:r>
      <w:r w:rsidR="0094621B" w:rsidRPr="00A51DD1">
        <w:rPr>
          <w:rFonts w:ascii="Times New Roman" w:hAnsi="Times New Roman"/>
          <w:sz w:val="24"/>
          <w:szCs w:val="24"/>
        </w:rPr>
        <w:t xml:space="preserve"> </w:t>
      </w:r>
      <w:r w:rsidR="0087564A">
        <w:rPr>
          <w:rFonts w:ascii="Times New Roman" w:hAnsi="Times New Roman"/>
          <w:sz w:val="24"/>
          <w:szCs w:val="24"/>
        </w:rPr>
        <w:t xml:space="preserve">is </w:t>
      </w:r>
      <w:r w:rsidR="0094621B" w:rsidRPr="00A51DD1">
        <w:rPr>
          <w:rFonts w:ascii="Times New Roman" w:hAnsi="Times New Roman"/>
          <w:sz w:val="24"/>
          <w:szCs w:val="24"/>
        </w:rPr>
        <w:t>a</w:t>
      </w:r>
      <w:r w:rsidRPr="00A51DD1">
        <w:rPr>
          <w:rFonts w:ascii="Times New Roman" w:hAnsi="Times New Roman"/>
          <w:sz w:val="24"/>
          <w:szCs w:val="24"/>
        </w:rPr>
        <w:t>n</w:t>
      </w:r>
      <w:r w:rsidR="0094621B" w:rsidRPr="00A51DD1">
        <w:rPr>
          <w:rFonts w:ascii="Times New Roman" w:hAnsi="Times New Roman"/>
          <w:sz w:val="24"/>
          <w:szCs w:val="24"/>
        </w:rPr>
        <w:t xml:space="preserve"> EM measurement. </w:t>
      </w:r>
      <w:r w:rsidRPr="00A51DD1">
        <w:rPr>
          <w:rFonts w:ascii="Times New Roman" w:hAnsi="Times New Roman" w:hint="eastAsia"/>
          <w:sz w:val="24"/>
          <w:szCs w:val="24"/>
        </w:rPr>
        <w:t xml:space="preserve">The dependent variable </w:t>
      </w:r>
      <m:oMath>
        <m:sSub>
          <m:sSubPr>
            <m:ctrlPr>
              <w:rPr>
                <w:rFonts w:ascii="Cambria Math" w:hAnsi="Cambria Math"/>
                <w:i/>
                <w:sz w:val="24"/>
                <w:szCs w:val="24"/>
              </w:rPr>
            </m:ctrlPr>
          </m:sSubPr>
          <m:e>
            <m:r>
              <w:rPr>
                <w:rFonts w:ascii="Cambria Math" w:hAnsi="Cambria Math"/>
                <w:sz w:val="24"/>
                <w:szCs w:val="24"/>
              </w:rPr>
              <m:t>EM</m:t>
            </m:r>
          </m:e>
          <m:sub>
            <m:r>
              <w:rPr>
                <w:rFonts w:ascii="Cambria Math" w:hAnsi="Cambria Math"/>
                <w:sz w:val="24"/>
                <w:szCs w:val="24"/>
              </w:rPr>
              <m:t>i,t</m:t>
            </m:r>
          </m:sub>
        </m:sSub>
      </m:oMath>
      <w:r w:rsidRPr="00A51DD1">
        <w:rPr>
          <w:rFonts w:ascii="Times New Roman" w:hAnsi="Times New Roman" w:hint="eastAsia"/>
          <w:sz w:val="24"/>
          <w:szCs w:val="24"/>
        </w:rPr>
        <w:t xml:space="preserve"> </w:t>
      </w:r>
      <w:r w:rsidR="00997997" w:rsidRPr="00A51DD1">
        <w:rPr>
          <w:rFonts w:ascii="Times New Roman" w:hAnsi="Times New Roman"/>
          <w:sz w:val="24"/>
          <w:szCs w:val="24"/>
        </w:rPr>
        <w:t xml:space="preserve">is </w:t>
      </w:r>
      <w:r w:rsidRPr="00A51DD1">
        <w:rPr>
          <w:rFonts w:ascii="Times New Roman" w:hAnsi="Times New Roman" w:hint="eastAsia"/>
          <w:sz w:val="24"/>
          <w:szCs w:val="24"/>
        </w:rPr>
        <w:t xml:space="preserve">a measure of earnings management for firm </w:t>
      </w:r>
      <w:r w:rsidRPr="00A51DD1">
        <w:rPr>
          <w:rFonts w:ascii="Times New Roman" w:hAnsi="Times New Roman" w:hint="eastAsia"/>
          <w:i/>
          <w:sz w:val="24"/>
          <w:szCs w:val="24"/>
        </w:rPr>
        <w:t>i</w:t>
      </w:r>
      <w:r w:rsidRPr="00A51DD1">
        <w:rPr>
          <w:rFonts w:ascii="Times New Roman" w:hAnsi="Times New Roman" w:hint="eastAsia"/>
          <w:sz w:val="24"/>
          <w:szCs w:val="24"/>
        </w:rPr>
        <w:t xml:space="preserve"> in year </w:t>
      </w:r>
      <w:r w:rsidRPr="00A51DD1">
        <w:rPr>
          <w:rFonts w:ascii="Times New Roman" w:hAnsi="Times New Roman" w:hint="eastAsia"/>
          <w:i/>
          <w:sz w:val="24"/>
          <w:szCs w:val="24"/>
        </w:rPr>
        <w:t>t</w:t>
      </w:r>
      <w:r w:rsidRPr="00A51DD1">
        <w:rPr>
          <w:rFonts w:ascii="Times New Roman" w:hAnsi="Times New Roman" w:hint="eastAsia"/>
          <w:sz w:val="24"/>
          <w:szCs w:val="24"/>
        </w:rPr>
        <w:t xml:space="preserve">. </w:t>
      </w:r>
      <w:r w:rsidR="00997997" w:rsidRPr="00A51DD1">
        <w:rPr>
          <w:rFonts w:ascii="Times New Roman" w:hAnsi="Times New Roman" w:hint="eastAsia"/>
          <w:sz w:val="24"/>
          <w:szCs w:val="24"/>
        </w:rPr>
        <w:t>I</w:t>
      </w:r>
      <w:r w:rsidR="00997997" w:rsidRPr="00A51DD1">
        <w:rPr>
          <w:rFonts w:ascii="Times New Roman" w:hAnsi="Times New Roman"/>
          <w:sz w:val="24"/>
          <w:szCs w:val="24"/>
        </w:rPr>
        <w:t xml:space="preserve">n addition to the traditional earnings management measures such as </w:t>
      </w:r>
      <w:r w:rsidR="00997997" w:rsidRPr="00A51DD1">
        <w:rPr>
          <w:rFonts w:ascii="Times New Roman" w:hAnsi="Times New Roman" w:hint="eastAsia"/>
          <w:sz w:val="24"/>
          <w:szCs w:val="24"/>
        </w:rPr>
        <w:t xml:space="preserve">RDISX, RPROD, RCFO, and DA, </w:t>
      </w:r>
      <w:r w:rsidR="00997997" w:rsidRPr="00A51DD1">
        <w:rPr>
          <w:rFonts w:ascii="Times New Roman" w:hAnsi="Times New Roman"/>
          <w:sz w:val="24"/>
          <w:szCs w:val="24"/>
        </w:rPr>
        <w:t>we follow Cohen et al. (2010) and Zhang (2012) by creating two c</w:t>
      </w:r>
      <w:r w:rsidRPr="00A51DD1">
        <w:rPr>
          <w:rFonts w:ascii="Times New Roman" w:hAnsi="Times New Roman" w:hint="eastAsia"/>
          <w:sz w:val="24"/>
          <w:szCs w:val="24"/>
        </w:rPr>
        <w:t>o</w:t>
      </w:r>
      <w:r w:rsidRPr="00A51DD1">
        <w:rPr>
          <w:rFonts w:ascii="Times New Roman" w:hAnsi="Times New Roman"/>
          <w:sz w:val="24"/>
          <w:szCs w:val="24"/>
        </w:rPr>
        <w:t>mposite scores, i.e.</w:t>
      </w:r>
      <w:r w:rsidRPr="0087564A">
        <w:rPr>
          <w:rFonts w:ascii="Times New Roman" w:hAnsi="Times New Roman"/>
          <w:noProof/>
          <w:sz w:val="24"/>
          <w:szCs w:val="24"/>
        </w:rPr>
        <w:t xml:space="preserve"> RM1</w:t>
      </w:r>
      <w:r w:rsidR="0087564A">
        <w:rPr>
          <w:rFonts w:ascii="Times New Roman" w:hAnsi="Times New Roman"/>
          <w:noProof/>
          <w:sz w:val="24"/>
          <w:szCs w:val="24"/>
        </w:rPr>
        <w:t>,</w:t>
      </w:r>
      <w:r w:rsidRPr="00A51DD1">
        <w:rPr>
          <w:rFonts w:ascii="Times New Roman" w:hAnsi="Times New Roman"/>
          <w:sz w:val="24"/>
          <w:szCs w:val="24"/>
        </w:rPr>
        <w:t xml:space="preserve"> and RM2</w:t>
      </w:r>
      <w:r w:rsidR="00997997" w:rsidRPr="00A51DD1">
        <w:rPr>
          <w:rFonts w:ascii="Times New Roman" w:hAnsi="Times New Roman"/>
          <w:sz w:val="24"/>
          <w:szCs w:val="24"/>
        </w:rPr>
        <w:t xml:space="preserve">, which </w:t>
      </w:r>
      <w:r w:rsidRPr="00A51DD1">
        <w:rPr>
          <w:rFonts w:ascii="Times New Roman" w:hAnsi="Times New Roman"/>
          <w:sz w:val="24"/>
          <w:szCs w:val="24"/>
        </w:rPr>
        <w:t>are made up of the three real earnings management variables. First, RM1 is the sum of RPROD and RDISX. Second, RM2 is the sum of all three variables, i.e.</w:t>
      </w:r>
      <w:r w:rsidRPr="0087564A">
        <w:rPr>
          <w:rFonts w:ascii="Times New Roman" w:hAnsi="Times New Roman"/>
          <w:noProof/>
          <w:sz w:val="24"/>
          <w:szCs w:val="24"/>
        </w:rPr>
        <w:t xml:space="preserve"> RPR</w:t>
      </w:r>
      <w:r w:rsidR="0087564A">
        <w:rPr>
          <w:rFonts w:ascii="Times New Roman" w:hAnsi="Times New Roman"/>
          <w:noProof/>
          <w:sz w:val="24"/>
          <w:szCs w:val="24"/>
        </w:rPr>
        <w:t>,</w:t>
      </w:r>
      <w:r w:rsidRPr="00A51DD1">
        <w:rPr>
          <w:rFonts w:ascii="Times New Roman" w:hAnsi="Times New Roman"/>
          <w:sz w:val="24"/>
          <w:szCs w:val="24"/>
        </w:rPr>
        <w:t>OD, RDISX and</w:t>
      </w:r>
      <w:r w:rsidR="0087564A">
        <w:rPr>
          <w:rFonts w:ascii="Times New Roman" w:hAnsi="Times New Roman"/>
          <w:sz w:val="24"/>
          <w:szCs w:val="24"/>
        </w:rPr>
        <w:t>,</w:t>
      </w:r>
      <w:r w:rsidRPr="00A51DD1">
        <w:rPr>
          <w:rFonts w:ascii="Times New Roman" w:hAnsi="Times New Roman"/>
          <w:sz w:val="24"/>
          <w:szCs w:val="24"/>
        </w:rPr>
        <w:t xml:space="preserve"> </w:t>
      </w:r>
      <w:r w:rsidRPr="0087564A">
        <w:rPr>
          <w:rFonts w:ascii="Times New Roman" w:hAnsi="Times New Roman"/>
          <w:noProof/>
          <w:sz w:val="24"/>
          <w:szCs w:val="24"/>
        </w:rPr>
        <w:t>RCF</w:t>
      </w:r>
      <w:r w:rsidRPr="00A51DD1">
        <w:rPr>
          <w:rFonts w:ascii="Times New Roman" w:hAnsi="Times New Roman"/>
          <w:sz w:val="24"/>
          <w:szCs w:val="24"/>
        </w:rPr>
        <w:t>O. In each case, the higher the values of RM1 and RM2, the higher is the likelihood that the firm is engaged in real activities manipulations.</w:t>
      </w:r>
      <w:r w:rsidR="0094621B" w:rsidRPr="00A51DD1">
        <w:rPr>
          <w:rFonts w:ascii="Times New Roman" w:hAnsi="Times New Roman"/>
          <w:sz w:val="24"/>
          <w:szCs w:val="24"/>
        </w:rPr>
        <w:t xml:space="preserve"> </w:t>
      </w:r>
    </w:p>
    <w:p w14:paraId="2943955D" w14:textId="77777777" w:rsidR="0094621B" w:rsidRPr="00A51DD1" w:rsidRDefault="0094621B" w:rsidP="001362FB">
      <w:pPr>
        <w:spacing w:before="120" w:after="0" w:line="480" w:lineRule="auto"/>
        <w:ind w:firstLine="720"/>
        <w:jc w:val="right"/>
        <w:rPr>
          <w:rFonts w:ascii="Times New Roman" w:hAnsi="Times New Roman"/>
          <w:sz w:val="24"/>
          <w:szCs w:val="24"/>
        </w:rPr>
      </w:pPr>
      <w:r w:rsidRPr="00A51DD1">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EM</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MLP</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Size</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sSub>
          <m:sSubPr>
            <m:ctrlPr>
              <w:rPr>
                <w:rFonts w:ascii="Cambria Math" w:hAnsi="Cambria Math"/>
                <w:i/>
                <w:sz w:val="24"/>
                <w:szCs w:val="24"/>
              </w:rPr>
            </m:ctrlPr>
          </m:sSubPr>
          <m:e>
            <m:r>
              <w:rPr>
                <w:rFonts w:ascii="Cambria Math" w:hAnsi="Cambria Math"/>
                <w:sz w:val="24"/>
                <w:szCs w:val="24"/>
              </w:rPr>
              <m:t>MKTSHARE</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4</m:t>
            </m:r>
          </m:sub>
        </m:sSub>
        <m:sSub>
          <m:sSubPr>
            <m:ctrlPr>
              <w:rPr>
                <w:rFonts w:ascii="Cambria Math" w:hAnsi="Cambria Math"/>
                <w:i/>
                <w:sz w:val="24"/>
                <w:szCs w:val="24"/>
              </w:rPr>
            </m:ctrlPr>
          </m:sSubPr>
          <m:e>
            <m:r>
              <w:rPr>
                <w:rFonts w:ascii="Cambria Math" w:hAnsi="Cambria Math"/>
                <w:sz w:val="24"/>
                <w:szCs w:val="24"/>
              </w:rPr>
              <m:t>Debt</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5</m:t>
            </m:r>
          </m:sub>
        </m:sSub>
        <m:sSub>
          <m:sSubPr>
            <m:ctrlPr>
              <w:rPr>
                <w:rFonts w:ascii="Cambria Math" w:hAnsi="Cambria Math"/>
                <w:i/>
                <w:sz w:val="24"/>
                <w:szCs w:val="24"/>
              </w:rPr>
            </m:ctrlPr>
          </m:sSubPr>
          <m:e>
            <m:r>
              <w:rPr>
                <w:rFonts w:ascii="Cambria Math" w:hAnsi="Cambria Math"/>
                <w:sz w:val="24"/>
                <w:szCs w:val="24"/>
              </w:rPr>
              <m:t>NOA</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6</m:t>
            </m:r>
          </m:sub>
        </m:sSub>
        <m:sSub>
          <m:sSubPr>
            <m:ctrlPr>
              <w:rPr>
                <w:rFonts w:ascii="Cambria Math" w:hAnsi="Cambria Math"/>
                <w:i/>
                <w:sz w:val="24"/>
                <w:szCs w:val="24"/>
              </w:rPr>
            </m:ctrlPr>
          </m:sSubPr>
          <m:e>
            <m:r>
              <w:rPr>
                <w:rFonts w:ascii="Cambria Math" w:hAnsi="Cambria Math"/>
                <w:sz w:val="24"/>
                <w:szCs w:val="24"/>
              </w:rPr>
              <m:t>OPERCYCLE</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7</m:t>
            </m:r>
          </m:sub>
        </m:sSub>
        <m:sSub>
          <m:sSubPr>
            <m:ctrlPr>
              <w:rPr>
                <w:rFonts w:ascii="Cambria Math" w:hAnsi="Cambria Math"/>
                <w:i/>
                <w:sz w:val="24"/>
                <w:szCs w:val="24"/>
              </w:rPr>
            </m:ctrlPr>
          </m:sSubPr>
          <m:e>
            <m:r>
              <w:rPr>
                <w:rFonts w:ascii="Cambria Math" w:hAnsi="Cambria Math"/>
                <w:sz w:val="24"/>
                <w:szCs w:val="24"/>
              </w:rPr>
              <m:t>ROA</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8</m:t>
            </m:r>
          </m:sub>
        </m:sSub>
        <m:sSub>
          <m:sSubPr>
            <m:ctrlPr>
              <w:rPr>
                <w:rFonts w:ascii="Cambria Math" w:hAnsi="Cambria Math"/>
                <w:i/>
                <w:sz w:val="24"/>
                <w:szCs w:val="24"/>
              </w:rPr>
            </m:ctrlPr>
          </m:sSubPr>
          <m:e>
            <m:r>
              <w:rPr>
                <w:rFonts w:ascii="Cambria Math" w:hAnsi="Cambria Math"/>
                <w:sz w:val="24"/>
                <w:szCs w:val="24"/>
              </w:rPr>
              <m:t>MKTBK</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9</m:t>
            </m:r>
          </m:sub>
        </m:sSub>
        <m:sSub>
          <m:sSubPr>
            <m:ctrlPr>
              <w:rPr>
                <w:rFonts w:ascii="Cambria Math" w:hAnsi="Cambria Math"/>
                <w:i/>
                <w:sz w:val="24"/>
                <w:szCs w:val="24"/>
              </w:rPr>
            </m:ctrlPr>
          </m:sSubPr>
          <m:e>
            <m:r>
              <w:rPr>
                <w:rFonts w:ascii="Cambria Math" w:hAnsi="Cambria Math"/>
                <w:sz w:val="24"/>
                <w:szCs w:val="24"/>
              </w:rPr>
              <m:t>Liquidity</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10</m:t>
            </m:r>
          </m:sub>
        </m:sSub>
        <m:sSub>
          <m:sSubPr>
            <m:ctrlPr>
              <w:rPr>
                <w:rFonts w:ascii="Cambria Math" w:hAnsi="Cambria Math"/>
                <w:i/>
                <w:sz w:val="24"/>
                <w:szCs w:val="24"/>
              </w:rPr>
            </m:ctrlPr>
          </m:sSubPr>
          <m:e>
            <m:r>
              <w:rPr>
                <w:rFonts w:ascii="Cambria Math" w:hAnsi="Cambria Math"/>
                <w:sz w:val="24"/>
                <w:szCs w:val="24"/>
              </w:rPr>
              <m:t>Stockissue</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11</m:t>
            </m:r>
          </m:sub>
        </m:sSub>
        <m:sSub>
          <m:sSubPr>
            <m:ctrlPr>
              <w:rPr>
                <w:rFonts w:ascii="Cambria Math" w:hAnsi="Cambria Math"/>
                <w:i/>
                <w:sz w:val="24"/>
                <w:szCs w:val="24"/>
              </w:rPr>
            </m:ctrlPr>
          </m:sSubPr>
          <m:e>
            <m:r>
              <w:rPr>
                <w:rFonts w:ascii="Cambria Math" w:hAnsi="Cambria Math"/>
                <w:sz w:val="24"/>
                <w:szCs w:val="24"/>
              </w:rPr>
              <m:t>Debtissue</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12</m:t>
            </m:r>
          </m:sub>
        </m:sSub>
        <m:sSub>
          <m:sSubPr>
            <m:ctrlPr>
              <w:rPr>
                <w:rFonts w:ascii="Cambria Math" w:hAnsi="Cambria Math"/>
                <w:i/>
                <w:sz w:val="24"/>
                <w:szCs w:val="24"/>
              </w:rPr>
            </m:ctrlPr>
          </m:sSubPr>
          <m:e>
            <m:r>
              <w:rPr>
                <w:rFonts w:ascii="Cambria Math" w:hAnsi="Cambria Math"/>
                <w:sz w:val="24"/>
                <w:szCs w:val="24"/>
              </w:rPr>
              <m:t>Big8</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13</m:t>
            </m:r>
          </m:sub>
        </m:sSub>
        <m:sSub>
          <m:sSubPr>
            <m:ctrlPr>
              <w:rPr>
                <w:rFonts w:ascii="Cambria Math" w:hAnsi="Cambria Math"/>
                <w:i/>
                <w:sz w:val="24"/>
                <w:szCs w:val="24"/>
              </w:rPr>
            </m:ctrlPr>
          </m:sSubPr>
          <m:e>
            <m:r>
              <w:rPr>
                <w:rFonts w:ascii="Cambria Math" w:hAnsi="Cambria Math"/>
                <w:sz w:val="24"/>
                <w:szCs w:val="24"/>
              </w:rPr>
              <m:t>Tenure</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14</m:t>
            </m:r>
          </m:sub>
        </m:sSub>
        <m:sSub>
          <m:sSubPr>
            <m:ctrlPr>
              <w:rPr>
                <w:rFonts w:ascii="Cambria Math" w:hAnsi="Cambria Math"/>
                <w:i/>
                <w:sz w:val="24"/>
                <w:szCs w:val="24"/>
              </w:rPr>
            </m:ctrlPr>
          </m:sSubPr>
          <m:e>
            <m:r>
              <w:rPr>
                <w:rFonts w:ascii="Cambria Math" w:hAnsi="Cambria Math"/>
                <w:sz w:val="24"/>
                <w:szCs w:val="24"/>
              </w:rPr>
              <m:t>Instown</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15</m:t>
            </m:r>
          </m:sub>
        </m:sSub>
        <m:sSub>
          <m:sSubPr>
            <m:ctrlPr>
              <w:rPr>
                <w:rFonts w:ascii="Cambria Math" w:hAnsi="Cambria Math"/>
                <w:i/>
                <w:sz w:val="24"/>
                <w:szCs w:val="24"/>
              </w:rPr>
            </m:ctrlPr>
          </m:sSubPr>
          <m:e>
            <m:r>
              <w:rPr>
                <w:rFonts w:ascii="Cambria Math" w:hAnsi="Cambria Math"/>
                <w:sz w:val="24"/>
                <w:szCs w:val="24"/>
              </w:rPr>
              <m:t>Numanalyst</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16</m:t>
            </m:r>
          </m:sub>
        </m:sSub>
        <m:sSub>
          <m:sSubPr>
            <m:ctrlPr>
              <w:rPr>
                <w:rFonts w:ascii="Cambria Math" w:hAnsi="Cambria Math"/>
                <w:i/>
                <w:sz w:val="24"/>
                <w:szCs w:val="24"/>
              </w:rPr>
            </m:ctrlPr>
          </m:sSubPr>
          <m:e>
            <m:r>
              <w:rPr>
                <w:rFonts w:ascii="Cambria Math" w:hAnsi="Cambria Math"/>
                <w:sz w:val="24"/>
                <w:szCs w:val="24"/>
              </w:rPr>
              <m:t>SOX</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17</m:t>
            </m:r>
          </m:sub>
        </m:sSub>
        <m:sSub>
          <m:sSubPr>
            <m:ctrlPr>
              <w:rPr>
                <w:rFonts w:ascii="Cambria Math" w:hAnsi="Cambria Math"/>
                <w:i/>
                <w:sz w:val="24"/>
                <w:szCs w:val="24"/>
              </w:rPr>
            </m:ctrlPr>
          </m:sSubPr>
          <m:e>
            <m:r>
              <w:rPr>
                <w:rFonts w:ascii="Cambria Math" w:hAnsi="Cambria Math"/>
                <w:sz w:val="24"/>
                <w:szCs w:val="24"/>
              </w:rPr>
              <m:t>Resid_RM</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i,t</m:t>
            </m:r>
          </m:sub>
        </m:sSub>
      </m:oMath>
      <w:r w:rsidRPr="00A51DD1">
        <w:rPr>
          <w:rFonts w:ascii="Times New Roman" w:hAnsi="Times New Roman"/>
          <w:sz w:val="24"/>
          <w:szCs w:val="24"/>
        </w:rPr>
        <w:t xml:space="preserve"> </w:t>
      </w:r>
      <w:r w:rsidRPr="00A51DD1">
        <w:rPr>
          <w:rFonts w:ascii="Times New Roman" w:hAnsi="Times New Roman"/>
          <w:sz w:val="24"/>
          <w:szCs w:val="24"/>
        </w:rPr>
        <w:tab/>
      </w:r>
      <w:r w:rsidRPr="00A51DD1">
        <w:rPr>
          <w:rFonts w:ascii="Times New Roman" w:hAnsi="Times New Roman"/>
          <w:sz w:val="24"/>
          <w:szCs w:val="24"/>
        </w:rPr>
        <w:tab/>
        <w:t>(6)</w:t>
      </w:r>
    </w:p>
    <w:p w14:paraId="36D69210" w14:textId="0FC80C76" w:rsidR="003A6E8F" w:rsidRPr="00A51DD1" w:rsidRDefault="00997997" w:rsidP="004253F6">
      <w:pPr>
        <w:spacing w:after="0" w:line="480" w:lineRule="auto"/>
        <w:ind w:firstLine="720"/>
        <w:jc w:val="both"/>
        <w:rPr>
          <w:rFonts w:ascii="Times New Roman" w:hAnsi="Times New Roman"/>
          <w:sz w:val="24"/>
          <w:szCs w:val="24"/>
        </w:rPr>
      </w:pPr>
      <w:r w:rsidRPr="00A51DD1">
        <w:rPr>
          <w:rFonts w:ascii="Times New Roman" w:hAnsi="Times New Roman"/>
          <w:sz w:val="24"/>
          <w:szCs w:val="24"/>
        </w:rPr>
        <w:t xml:space="preserve">The dummy variable </w:t>
      </w:r>
      <w:r w:rsidRPr="00A51DD1">
        <w:rPr>
          <w:rFonts w:ascii="Times New Roman" w:hAnsi="Times New Roman"/>
          <w:i/>
          <w:sz w:val="24"/>
          <w:szCs w:val="24"/>
        </w:rPr>
        <w:t>MLP</w:t>
      </w:r>
      <w:r w:rsidRPr="00A51DD1">
        <w:rPr>
          <w:rFonts w:ascii="Times New Roman" w:hAnsi="Times New Roman"/>
          <w:sz w:val="24"/>
          <w:szCs w:val="24"/>
        </w:rPr>
        <w:t xml:space="preserve"> takes a value of one for an MLP and </w:t>
      </w:r>
      <w:r w:rsidRPr="0087564A">
        <w:rPr>
          <w:rFonts w:ascii="Times New Roman" w:hAnsi="Times New Roman"/>
          <w:noProof/>
          <w:sz w:val="24"/>
          <w:szCs w:val="24"/>
        </w:rPr>
        <w:t>zero</w:t>
      </w:r>
      <w:r w:rsidRPr="00A51DD1">
        <w:rPr>
          <w:rFonts w:ascii="Times New Roman" w:hAnsi="Times New Roman"/>
          <w:sz w:val="24"/>
          <w:szCs w:val="24"/>
        </w:rPr>
        <w:t xml:space="preserve"> for corporations, respectively. </w:t>
      </w:r>
      <w:r w:rsidR="002844EF" w:rsidRPr="00A51DD1">
        <w:rPr>
          <w:rFonts w:ascii="Times New Roman" w:hAnsi="Times New Roman"/>
          <w:i/>
          <w:sz w:val="24"/>
          <w:szCs w:val="24"/>
        </w:rPr>
        <w:t>SOX</w:t>
      </w:r>
      <w:r w:rsidR="002844EF" w:rsidRPr="00A51DD1">
        <w:rPr>
          <w:rFonts w:ascii="Times New Roman" w:hAnsi="Times New Roman"/>
          <w:sz w:val="24"/>
          <w:szCs w:val="24"/>
        </w:rPr>
        <w:t xml:space="preserve"> is also a dummy variable to account for any effect from the 2002 Sarbanes-Oxley Act. </w:t>
      </w:r>
      <w:r w:rsidR="003A6E8F" w:rsidRPr="00A51DD1">
        <w:rPr>
          <w:rFonts w:ascii="Times New Roman" w:hAnsi="Times New Roman"/>
          <w:sz w:val="24"/>
          <w:szCs w:val="24"/>
        </w:rPr>
        <w:t xml:space="preserve">Zang (2012) argues that managers use real earnings management during the year. By </w:t>
      </w:r>
      <w:r w:rsidR="003A6E8F" w:rsidRPr="0087564A">
        <w:rPr>
          <w:rFonts w:ascii="Times New Roman" w:hAnsi="Times New Roman"/>
          <w:noProof/>
          <w:sz w:val="24"/>
          <w:szCs w:val="24"/>
        </w:rPr>
        <w:t>year</w:t>
      </w:r>
      <w:r w:rsidR="0087564A">
        <w:rPr>
          <w:rFonts w:ascii="Times New Roman" w:hAnsi="Times New Roman"/>
          <w:noProof/>
          <w:sz w:val="24"/>
          <w:szCs w:val="24"/>
        </w:rPr>
        <w:t>-</w:t>
      </w:r>
      <w:r w:rsidR="003A6E8F" w:rsidRPr="0087564A">
        <w:rPr>
          <w:rFonts w:ascii="Times New Roman" w:hAnsi="Times New Roman"/>
          <w:noProof/>
          <w:sz w:val="24"/>
          <w:szCs w:val="24"/>
        </w:rPr>
        <w:t>end</w:t>
      </w:r>
      <w:r w:rsidR="003A6E8F" w:rsidRPr="00A51DD1">
        <w:rPr>
          <w:rFonts w:ascii="Times New Roman" w:hAnsi="Times New Roman"/>
          <w:sz w:val="24"/>
          <w:szCs w:val="24"/>
        </w:rPr>
        <w:t>, should there be a need to manage earnings further, then managers engage in discretionary accruals management to make up for the shortfall. Consequently, in the regression of accruals-based earnings management</w:t>
      </w:r>
      <w:r w:rsidR="002844EF" w:rsidRPr="00A51DD1">
        <w:rPr>
          <w:rFonts w:ascii="Times New Roman" w:hAnsi="Times New Roman"/>
          <w:sz w:val="24"/>
          <w:szCs w:val="24"/>
        </w:rPr>
        <w:t>, we include a measure of unexpected real activities manipulation (</w:t>
      </w:r>
      <w:r w:rsidR="002844EF" w:rsidRPr="00A51DD1">
        <w:rPr>
          <w:rFonts w:ascii="Times New Roman" w:hAnsi="Times New Roman"/>
          <w:i/>
          <w:sz w:val="24"/>
          <w:szCs w:val="24"/>
        </w:rPr>
        <w:t>RESID_RM</w:t>
      </w:r>
      <w:r w:rsidR="002844EF" w:rsidRPr="00A51DD1">
        <w:rPr>
          <w:rFonts w:ascii="Times New Roman" w:hAnsi="Times New Roman"/>
          <w:sz w:val="24"/>
          <w:szCs w:val="24"/>
        </w:rPr>
        <w:t xml:space="preserve">) to proxy for the extent of real earnings management used throughout the year. </w:t>
      </w:r>
      <w:r w:rsidR="002D17D9" w:rsidRPr="00A51DD1">
        <w:rPr>
          <w:rFonts w:ascii="Times New Roman" w:hAnsi="Times New Roman"/>
          <w:sz w:val="24"/>
          <w:szCs w:val="24"/>
        </w:rPr>
        <w:t>That is, the unexpected real activities manipulation (</w:t>
      </w:r>
      <w:r w:rsidR="002D17D9" w:rsidRPr="00A51DD1">
        <w:rPr>
          <w:rFonts w:ascii="Times New Roman" w:hAnsi="Times New Roman"/>
          <w:i/>
          <w:sz w:val="24"/>
          <w:szCs w:val="24"/>
        </w:rPr>
        <w:t>RESID_RM</w:t>
      </w:r>
      <w:r w:rsidR="002D17D9" w:rsidRPr="00A51DD1">
        <w:rPr>
          <w:rFonts w:ascii="Times New Roman" w:hAnsi="Times New Roman"/>
          <w:sz w:val="24"/>
          <w:szCs w:val="24"/>
        </w:rPr>
        <w:t xml:space="preserve">), i.e., </w:t>
      </w:r>
      <w:r w:rsidR="002D17D9" w:rsidRPr="00A51DD1">
        <w:rPr>
          <w:rFonts w:ascii="Times New Roman" w:hAnsi="Times New Roman"/>
          <w:i/>
          <w:sz w:val="24"/>
          <w:szCs w:val="24"/>
        </w:rPr>
        <w:t>RESID_RM1</w:t>
      </w:r>
      <w:r w:rsidR="002D17D9" w:rsidRPr="00A51DD1">
        <w:rPr>
          <w:rFonts w:ascii="Times New Roman" w:hAnsi="Times New Roman"/>
          <w:sz w:val="24"/>
          <w:szCs w:val="24"/>
        </w:rPr>
        <w:t xml:space="preserve"> and </w:t>
      </w:r>
      <w:r w:rsidR="002D17D9" w:rsidRPr="00A51DD1">
        <w:rPr>
          <w:rFonts w:ascii="Times New Roman" w:hAnsi="Times New Roman"/>
          <w:i/>
          <w:sz w:val="24"/>
          <w:szCs w:val="24"/>
        </w:rPr>
        <w:t>RESID_RM2,</w:t>
      </w:r>
      <w:r w:rsidR="002D17D9" w:rsidRPr="00A51DD1">
        <w:rPr>
          <w:rFonts w:ascii="Times New Roman" w:hAnsi="Times New Roman"/>
          <w:sz w:val="24"/>
          <w:szCs w:val="24"/>
        </w:rPr>
        <w:t xml:space="preserve"> are the estimated residuals from Equation (6) when </w:t>
      </w:r>
      <w:r w:rsidR="002D17D9" w:rsidRPr="00A51DD1">
        <w:rPr>
          <w:rFonts w:ascii="Times New Roman" w:hAnsi="Times New Roman"/>
          <w:i/>
          <w:sz w:val="24"/>
          <w:szCs w:val="24"/>
        </w:rPr>
        <w:t>RM1</w:t>
      </w:r>
      <w:r w:rsidR="002D17D9" w:rsidRPr="00A51DD1">
        <w:rPr>
          <w:rFonts w:ascii="Times New Roman" w:hAnsi="Times New Roman"/>
          <w:sz w:val="24"/>
          <w:szCs w:val="24"/>
        </w:rPr>
        <w:t xml:space="preserve"> and </w:t>
      </w:r>
      <w:r w:rsidR="002D17D9" w:rsidRPr="00A51DD1">
        <w:rPr>
          <w:rFonts w:ascii="Times New Roman" w:hAnsi="Times New Roman"/>
          <w:i/>
          <w:sz w:val="24"/>
          <w:szCs w:val="24"/>
        </w:rPr>
        <w:t>RM2</w:t>
      </w:r>
      <w:r w:rsidR="002D17D9" w:rsidRPr="00A51DD1">
        <w:rPr>
          <w:rFonts w:ascii="Times New Roman" w:hAnsi="Times New Roman"/>
          <w:sz w:val="24"/>
          <w:szCs w:val="24"/>
        </w:rPr>
        <w:t xml:space="preserve"> are the dependent variables, respectively. </w:t>
      </w:r>
    </w:p>
    <w:p w14:paraId="6D50A3F8" w14:textId="2195FB47" w:rsidR="0094621B" w:rsidRPr="00A51DD1" w:rsidRDefault="003F4EDE" w:rsidP="004253F6">
      <w:pPr>
        <w:spacing w:after="0" w:line="480" w:lineRule="auto"/>
        <w:ind w:firstLine="720"/>
        <w:jc w:val="both"/>
        <w:rPr>
          <w:rFonts w:ascii="Times New Roman" w:hAnsi="Times New Roman"/>
          <w:sz w:val="24"/>
          <w:szCs w:val="24"/>
        </w:rPr>
      </w:pPr>
      <w:r w:rsidRPr="00A51DD1">
        <w:rPr>
          <w:rFonts w:ascii="Times New Roman" w:hAnsi="Times New Roman"/>
          <w:sz w:val="24"/>
          <w:szCs w:val="24"/>
        </w:rPr>
        <w:t>We follow Zang (2012) and control for other firm characteristics that affect earnings management in</w:t>
      </w:r>
      <w:r w:rsidR="001362FB" w:rsidRPr="00A51DD1">
        <w:rPr>
          <w:rFonts w:ascii="Times New Roman" w:hAnsi="Times New Roman"/>
          <w:sz w:val="24"/>
          <w:szCs w:val="24"/>
        </w:rPr>
        <w:t xml:space="preserve"> Equation 6. </w:t>
      </w:r>
      <w:r w:rsidR="0094621B" w:rsidRPr="00A51DD1">
        <w:rPr>
          <w:rFonts w:ascii="Times New Roman" w:hAnsi="Times New Roman"/>
          <w:sz w:val="24"/>
          <w:szCs w:val="24"/>
        </w:rPr>
        <w:t xml:space="preserve">The variable </w:t>
      </w:r>
      <w:r w:rsidR="0094621B" w:rsidRPr="00A51DD1">
        <w:rPr>
          <w:rFonts w:ascii="Times New Roman" w:hAnsi="Times New Roman"/>
          <w:i/>
          <w:sz w:val="24"/>
          <w:szCs w:val="24"/>
        </w:rPr>
        <w:t>Size</w:t>
      </w:r>
      <w:r w:rsidR="0094621B" w:rsidRPr="00A51DD1">
        <w:rPr>
          <w:rFonts w:ascii="Times New Roman" w:hAnsi="Times New Roman"/>
          <w:sz w:val="24"/>
          <w:szCs w:val="24"/>
        </w:rPr>
        <w:t xml:space="preserve"> is the </w:t>
      </w:r>
      <w:r w:rsidR="00574988" w:rsidRPr="00A51DD1">
        <w:rPr>
          <w:rFonts w:ascii="Times New Roman" w:hAnsi="Times New Roman"/>
          <w:sz w:val="24"/>
          <w:szCs w:val="24"/>
        </w:rPr>
        <w:t>logarithmic</w:t>
      </w:r>
      <w:r w:rsidR="0094621B" w:rsidRPr="00A51DD1">
        <w:rPr>
          <w:rFonts w:ascii="Times New Roman" w:hAnsi="Times New Roman"/>
          <w:sz w:val="24"/>
          <w:szCs w:val="24"/>
        </w:rPr>
        <w:t xml:space="preserve"> value of total assets. </w:t>
      </w:r>
      <m:oMath>
        <m:r>
          <w:rPr>
            <w:rFonts w:ascii="Cambria Math" w:hAnsi="Cambria Math"/>
            <w:sz w:val="24"/>
            <w:szCs w:val="24"/>
          </w:rPr>
          <m:t>MKTSHARE</m:t>
        </m:r>
      </m:oMath>
      <w:r w:rsidR="0094621B" w:rsidRPr="00A51DD1">
        <w:rPr>
          <w:rFonts w:ascii="Times New Roman" w:hAnsi="Times New Roman"/>
          <w:sz w:val="24"/>
          <w:szCs w:val="24"/>
        </w:rPr>
        <w:t xml:space="preserve"> is the ratio of firm sales to total sales of all firms in the same industry. </w:t>
      </w:r>
      <w:r w:rsidR="0094621B" w:rsidRPr="00A51DD1">
        <w:rPr>
          <w:rFonts w:ascii="Times New Roman" w:hAnsi="Times New Roman"/>
          <w:i/>
          <w:sz w:val="24"/>
          <w:szCs w:val="24"/>
        </w:rPr>
        <w:t>DEBT</w:t>
      </w:r>
      <w:r w:rsidR="0094621B" w:rsidRPr="00A51DD1">
        <w:rPr>
          <w:rFonts w:ascii="Times New Roman" w:hAnsi="Times New Roman"/>
          <w:sz w:val="24"/>
          <w:szCs w:val="24"/>
        </w:rPr>
        <w:t xml:space="preserve"> is the ratio of debt over total </w:t>
      </w:r>
      <w:r w:rsidR="008F6791" w:rsidRPr="00A51DD1">
        <w:rPr>
          <w:rFonts w:ascii="Times New Roman" w:hAnsi="Times New Roman"/>
          <w:sz w:val="24"/>
          <w:szCs w:val="24"/>
        </w:rPr>
        <w:t>assets</w:t>
      </w:r>
      <w:r w:rsidR="0094621B" w:rsidRPr="00A51DD1">
        <w:rPr>
          <w:rFonts w:ascii="Times New Roman" w:hAnsi="Times New Roman"/>
          <w:sz w:val="24"/>
          <w:szCs w:val="24"/>
        </w:rPr>
        <w:t xml:space="preserve">. </w:t>
      </w:r>
      <w:r w:rsidR="0094621B" w:rsidRPr="00A51DD1">
        <w:rPr>
          <w:rFonts w:ascii="Times New Roman" w:hAnsi="Times New Roman"/>
          <w:i/>
          <w:sz w:val="24"/>
          <w:szCs w:val="24"/>
        </w:rPr>
        <w:t>NOA</w:t>
      </w:r>
      <w:r w:rsidR="0094621B" w:rsidRPr="00A51DD1">
        <w:rPr>
          <w:rFonts w:ascii="Times New Roman" w:hAnsi="Times New Roman"/>
          <w:sz w:val="24"/>
          <w:szCs w:val="24"/>
        </w:rPr>
        <w:t xml:space="preserve"> is net operating </w:t>
      </w:r>
      <w:r w:rsidR="008F6791" w:rsidRPr="00A51DD1">
        <w:rPr>
          <w:rFonts w:ascii="Times New Roman" w:hAnsi="Times New Roman"/>
          <w:sz w:val="24"/>
          <w:szCs w:val="24"/>
        </w:rPr>
        <w:t>assets</w:t>
      </w:r>
      <w:r w:rsidR="0094621B" w:rsidRPr="00A51DD1">
        <w:rPr>
          <w:rFonts w:ascii="Times New Roman" w:hAnsi="Times New Roman"/>
          <w:sz w:val="24"/>
          <w:szCs w:val="24"/>
        </w:rPr>
        <w:t xml:space="preserve">, which is calculated as total </w:t>
      </w:r>
      <w:r w:rsidR="008F6791" w:rsidRPr="00A51DD1">
        <w:rPr>
          <w:rFonts w:ascii="Times New Roman" w:hAnsi="Times New Roman"/>
          <w:sz w:val="24"/>
          <w:szCs w:val="24"/>
        </w:rPr>
        <w:t>assets</w:t>
      </w:r>
      <w:r w:rsidR="0094621B" w:rsidRPr="00A51DD1">
        <w:rPr>
          <w:rFonts w:ascii="Times New Roman" w:hAnsi="Times New Roman"/>
          <w:sz w:val="24"/>
          <w:szCs w:val="24"/>
        </w:rPr>
        <w:t xml:space="preserve"> </w:t>
      </w:r>
      <w:r w:rsidR="0094621B" w:rsidRPr="00A51DD1">
        <w:rPr>
          <w:rFonts w:ascii="Times New Roman" w:hAnsi="Times New Roman"/>
          <w:i/>
          <w:sz w:val="24"/>
          <w:szCs w:val="24"/>
        </w:rPr>
        <w:t>minus</w:t>
      </w:r>
      <w:r w:rsidR="0094621B" w:rsidRPr="00A51DD1">
        <w:rPr>
          <w:rFonts w:ascii="Times New Roman" w:hAnsi="Times New Roman"/>
          <w:sz w:val="24"/>
          <w:szCs w:val="24"/>
        </w:rPr>
        <w:t xml:space="preserve"> cash and short-term investment scaled by total </w:t>
      </w:r>
      <w:r w:rsidR="008F6791" w:rsidRPr="00A51DD1">
        <w:rPr>
          <w:rFonts w:ascii="Times New Roman" w:hAnsi="Times New Roman"/>
          <w:sz w:val="24"/>
          <w:szCs w:val="24"/>
        </w:rPr>
        <w:t>assets</w:t>
      </w:r>
      <w:r w:rsidR="0094621B" w:rsidRPr="00A51DD1">
        <w:rPr>
          <w:rFonts w:ascii="Times New Roman" w:hAnsi="Times New Roman"/>
          <w:sz w:val="24"/>
          <w:szCs w:val="24"/>
        </w:rPr>
        <w:t xml:space="preserve">. </w:t>
      </w:r>
      <w:r w:rsidR="0094621B" w:rsidRPr="00A51DD1">
        <w:rPr>
          <w:rFonts w:ascii="Times New Roman" w:hAnsi="Times New Roman"/>
          <w:i/>
          <w:sz w:val="24"/>
          <w:szCs w:val="24"/>
        </w:rPr>
        <w:t>OPERCYCLE</w:t>
      </w:r>
      <w:r w:rsidR="0094621B" w:rsidRPr="00A51DD1">
        <w:rPr>
          <w:rFonts w:ascii="Times New Roman" w:hAnsi="Times New Roman"/>
          <w:sz w:val="24"/>
          <w:szCs w:val="24"/>
        </w:rPr>
        <w:t xml:space="preserve"> is the days</w:t>
      </w:r>
      <w:r w:rsidR="00737977" w:rsidRPr="00A51DD1">
        <w:rPr>
          <w:rFonts w:ascii="Times New Roman" w:hAnsi="Times New Roman"/>
          <w:sz w:val="24"/>
          <w:szCs w:val="24"/>
        </w:rPr>
        <w:t xml:space="preserve"> of </w:t>
      </w:r>
      <w:r w:rsidR="0094621B" w:rsidRPr="00A51DD1">
        <w:rPr>
          <w:rFonts w:ascii="Times New Roman" w:hAnsi="Times New Roman"/>
          <w:sz w:val="24"/>
          <w:szCs w:val="24"/>
        </w:rPr>
        <w:t xml:space="preserve">receivable </w:t>
      </w:r>
      <w:r w:rsidR="0094621B" w:rsidRPr="00A51DD1">
        <w:rPr>
          <w:rFonts w:ascii="Times New Roman" w:hAnsi="Times New Roman"/>
          <w:i/>
          <w:sz w:val="24"/>
          <w:szCs w:val="24"/>
        </w:rPr>
        <w:t>plus</w:t>
      </w:r>
      <w:r w:rsidR="0094621B" w:rsidRPr="00A51DD1">
        <w:rPr>
          <w:rFonts w:ascii="Times New Roman" w:hAnsi="Times New Roman"/>
          <w:sz w:val="24"/>
          <w:szCs w:val="24"/>
        </w:rPr>
        <w:t xml:space="preserve"> the days </w:t>
      </w:r>
      <w:r w:rsidR="00737977" w:rsidRPr="00A51DD1">
        <w:rPr>
          <w:rFonts w:ascii="Times New Roman" w:hAnsi="Times New Roman"/>
          <w:sz w:val="24"/>
          <w:szCs w:val="24"/>
        </w:rPr>
        <w:t xml:space="preserve">of </w:t>
      </w:r>
      <w:r w:rsidR="0094621B" w:rsidRPr="00A51DD1">
        <w:rPr>
          <w:rFonts w:ascii="Times New Roman" w:hAnsi="Times New Roman"/>
          <w:sz w:val="24"/>
          <w:szCs w:val="24"/>
        </w:rPr>
        <w:t xml:space="preserve">inventory </w:t>
      </w:r>
      <w:r w:rsidR="001362FB" w:rsidRPr="00A51DD1">
        <w:rPr>
          <w:rFonts w:ascii="Times New Roman" w:hAnsi="Times New Roman"/>
          <w:i/>
          <w:sz w:val="24"/>
          <w:szCs w:val="24"/>
        </w:rPr>
        <w:t>minus</w:t>
      </w:r>
      <w:r w:rsidR="001362FB" w:rsidRPr="00A51DD1">
        <w:rPr>
          <w:rFonts w:ascii="Times New Roman" w:hAnsi="Times New Roman"/>
          <w:sz w:val="24"/>
          <w:szCs w:val="24"/>
        </w:rPr>
        <w:t xml:space="preserve"> </w:t>
      </w:r>
      <w:r w:rsidR="0094621B" w:rsidRPr="00A51DD1">
        <w:rPr>
          <w:rFonts w:ascii="Times New Roman" w:hAnsi="Times New Roman"/>
          <w:sz w:val="24"/>
          <w:szCs w:val="24"/>
        </w:rPr>
        <w:t xml:space="preserve">the days </w:t>
      </w:r>
      <w:r w:rsidR="001362FB" w:rsidRPr="00A51DD1">
        <w:rPr>
          <w:rFonts w:ascii="Times New Roman" w:hAnsi="Times New Roman"/>
          <w:sz w:val="24"/>
          <w:szCs w:val="24"/>
        </w:rPr>
        <w:t xml:space="preserve">of </w:t>
      </w:r>
      <w:r w:rsidR="0094621B" w:rsidRPr="00A51DD1">
        <w:rPr>
          <w:rFonts w:ascii="Times New Roman" w:hAnsi="Times New Roman"/>
          <w:sz w:val="24"/>
          <w:szCs w:val="24"/>
        </w:rPr>
        <w:t xml:space="preserve">payable at the beginning of the year. </w:t>
      </w:r>
      <w:r w:rsidR="0094621B" w:rsidRPr="00A51DD1">
        <w:rPr>
          <w:rFonts w:ascii="Times New Roman" w:hAnsi="Times New Roman"/>
          <w:i/>
          <w:sz w:val="24"/>
          <w:szCs w:val="24"/>
        </w:rPr>
        <w:t>ROA</w:t>
      </w:r>
      <w:r w:rsidR="0094621B" w:rsidRPr="00A51DD1">
        <w:rPr>
          <w:rFonts w:ascii="Times New Roman" w:hAnsi="Times New Roman"/>
          <w:sz w:val="24"/>
          <w:szCs w:val="24"/>
        </w:rPr>
        <w:t xml:space="preserve"> is net income to total </w:t>
      </w:r>
      <w:r w:rsidR="008F6791" w:rsidRPr="00A51DD1">
        <w:rPr>
          <w:rFonts w:ascii="Times New Roman" w:hAnsi="Times New Roman"/>
          <w:sz w:val="24"/>
          <w:szCs w:val="24"/>
        </w:rPr>
        <w:t>assets</w:t>
      </w:r>
      <w:r w:rsidR="0094621B" w:rsidRPr="00A51DD1">
        <w:rPr>
          <w:rFonts w:ascii="Times New Roman" w:hAnsi="Times New Roman"/>
          <w:sz w:val="24"/>
          <w:szCs w:val="24"/>
        </w:rPr>
        <w:t xml:space="preserve"> ratio. </w:t>
      </w:r>
      <w:r w:rsidR="0094621B" w:rsidRPr="00A51DD1">
        <w:rPr>
          <w:rFonts w:ascii="Times New Roman" w:hAnsi="Times New Roman"/>
          <w:i/>
          <w:sz w:val="24"/>
          <w:szCs w:val="24"/>
        </w:rPr>
        <w:t>MKBK</w:t>
      </w:r>
      <w:r w:rsidR="0094621B" w:rsidRPr="00A51DD1">
        <w:rPr>
          <w:rFonts w:ascii="Times New Roman" w:hAnsi="Times New Roman"/>
          <w:sz w:val="24"/>
          <w:szCs w:val="24"/>
        </w:rPr>
        <w:t xml:space="preserve"> is the market-to-book ratio of equity. </w:t>
      </w:r>
      <w:r w:rsidR="0094621B" w:rsidRPr="00A51DD1">
        <w:rPr>
          <w:rFonts w:ascii="Times New Roman" w:hAnsi="Times New Roman"/>
          <w:i/>
          <w:sz w:val="24"/>
          <w:szCs w:val="24"/>
        </w:rPr>
        <w:t>LIQUIDITY</w:t>
      </w:r>
      <w:r w:rsidR="0094621B" w:rsidRPr="00A51DD1">
        <w:rPr>
          <w:rFonts w:ascii="Times New Roman" w:hAnsi="Times New Roman"/>
          <w:sz w:val="24"/>
          <w:szCs w:val="24"/>
        </w:rPr>
        <w:t xml:space="preserve"> is the average of the ratio of monthly trading volume to shares outstanding in the year. </w:t>
      </w:r>
      <w:r w:rsidR="0094621B" w:rsidRPr="00A51DD1">
        <w:rPr>
          <w:rFonts w:ascii="Times New Roman" w:hAnsi="Times New Roman"/>
          <w:i/>
          <w:sz w:val="24"/>
          <w:szCs w:val="24"/>
        </w:rPr>
        <w:t>STOCKISSUE</w:t>
      </w:r>
      <w:r w:rsidR="0094621B" w:rsidRPr="00A51DD1">
        <w:rPr>
          <w:rFonts w:ascii="Times New Roman" w:hAnsi="Times New Roman"/>
          <w:sz w:val="24"/>
          <w:szCs w:val="24"/>
        </w:rPr>
        <w:t xml:space="preserve"> is the ratio of the amount of sales of common stock and preferred stock in the year to the market capitalization of the firm. </w:t>
      </w:r>
      <w:r w:rsidR="0094621B" w:rsidRPr="00A51DD1">
        <w:rPr>
          <w:rFonts w:ascii="Times New Roman" w:hAnsi="Times New Roman"/>
          <w:i/>
          <w:sz w:val="24"/>
          <w:szCs w:val="24"/>
        </w:rPr>
        <w:t>DEB</w:t>
      </w:r>
      <w:r w:rsidR="00574988" w:rsidRPr="00A51DD1">
        <w:rPr>
          <w:rFonts w:ascii="Times New Roman" w:hAnsi="Times New Roman"/>
          <w:i/>
          <w:sz w:val="24"/>
          <w:szCs w:val="24"/>
        </w:rPr>
        <w:t>T</w:t>
      </w:r>
      <w:r w:rsidR="0094621B" w:rsidRPr="00A51DD1">
        <w:rPr>
          <w:rFonts w:ascii="Times New Roman" w:hAnsi="Times New Roman"/>
          <w:i/>
          <w:sz w:val="24"/>
          <w:szCs w:val="24"/>
        </w:rPr>
        <w:t xml:space="preserve">ISSUE </w:t>
      </w:r>
      <w:r w:rsidR="0094621B" w:rsidRPr="00A51DD1">
        <w:rPr>
          <w:rFonts w:ascii="Times New Roman" w:hAnsi="Times New Roman"/>
          <w:sz w:val="24"/>
          <w:szCs w:val="24"/>
        </w:rPr>
        <w:t xml:space="preserve">is the ratio of the amount of long-term debt issuance to the firm’s </w:t>
      </w:r>
      <w:r w:rsidR="008F6791" w:rsidRPr="00A51DD1">
        <w:rPr>
          <w:rFonts w:ascii="Times New Roman" w:hAnsi="Times New Roman"/>
          <w:sz w:val="24"/>
          <w:szCs w:val="24"/>
        </w:rPr>
        <w:t>assets</w:t>
      </w:r>
      <w:r w:rsidR="0094621B" w:rsidRPr="00A51DD1">
        <w:rPr>
          <w:rFonts w:ascii="Times New Roman" w:hAnsi="Times New Roman"/>
          <w:sz w:val="24"/>
          <w:szCs w:val="24"/>
        </w:rPr>
        <w:t xml:space="preserve">. </w:t>
      </w:r>
      <w:r w:rsidR="00FB13A1" w:rsidRPr="00A51DD1">
        <w:rPr>
          <w:rFonts w:ascii="Times New Roman" w:hAnsi="Times New Roman"/>
          <w:i/>
          <w:sz w:val="24"/>
          <w:szCs w:val="24"/>
        </w:rPr>
        <w:t>BIG8</w:t>
      </w:r>
      <w:r w:rsidR="00FB13A1" w:rsidRPr="00A51DD1">
        <w:rPr>
          <w:rFonts w:ascii="Times New Roman" w:hAnsi="Times New Roman"/>
          <w:sz w:val="24"/>
          <w:szCs w:val="24"/>
        </w:rPr>
        <w:t xml:space="preserve"> is a dummy variable coded as </w:t>
      </w:r>
      <w:r w:rsidR="000F6C3C" w:rsidRPr="00A51DD1">
        <w:rPr>
          <w:rFonts w:ascii="Times New Roman" w:hAnsi="Times New Roman"/>
          <w:sz w:val="24"/>
          <w:szCs w:val="24"/>
        </w:rPr>
        <w:t>one</w:t>
      </w:r>
      <w:r w:rsidR="00FB13A1" w:rsidRPr="00A51DD1">
        <w:rPr>
          <w:rFonts w:ascii="Times New Roman" w:hAnsi="Times New Roman"/>
          <w:sz w:val="24"/>
          <w:szCs w:val="24"/>
        </w:rPr>
        <w:t xml:space="preserve"> for firms with a top-8 auditor and </w:t>
      </w:r>
      <w:r w:rsidR="000F6C3C" w:rsidRPr="00A51DD1">
        <w:rPr>
          <w:rFonts w:ascii="Times New Roman" w:hAnsi="Times New Roman"/>
          <w:sz w:val="24"/>
          <w:szCs w:val="24"/>
        </w:rPr>
        <w:t xml:space="preserve">zero </w:t>
      </w:r>
      <w:r w:rsidR="00FB13A1" w:rsidRPr="00A51DD1">
        <w:rPr>
          <w:rFonts w:ascii="Times New Roman" w:hAnsi="Times New Roman"/>
          <w:sz w:val="24"/>
          <w:szCs w:val="24"/>
        </w:rPr>
        <w:t xml:space="preserve">otherwise. </w:t>
      </w:r>
      <w:r w:rsidR="00FB13A1" w:rsidRPr="00A51DD1">
        <w:rPr>
          <w:rFonts w:ascii="Times New Roman" w:hAnsi="Times New Roman"/>
          <w:i/>
          <w:sz w:val="24"/>
          <w:szCs w:val="24"/>
        </w:rPr>
        <w:t>TENURE</w:t>
      </w:r>
      <w:r w:rsidR="00FB13A1" w:rsidRPr="00A51DD1">
        <w:rPr>
          <w:rFonts w:ascii="Times New Roman" w:hAnsi="Times New Roman"/>
          <w:sz w:val="24"/>
          <w:szCs w:val="24"/>
        </w:rPr>
        <w:t xml:space="preserve"> is the number of years the auditor has audited the client. </w:t>
      </w:r>
      <w:r w:rsidR="00FB13A1" w:rsidRPr="00A51DD1">
        <w:rPr>
          <w:rFonts w:ascii="Times New Roman" w:hAnsi="Times New Roman"/>
          <w:i/>
          <w:sz w:val="24"/>
          <w:szCs w:val="24"/>
        </w:rPr>
        <w:t>INSTOWN</w:t>
      </w:r>
      <w:r w:rsidR="00FB13A1" w:rsidRPr="00A51DD1">
        <w:rPr>
          <w:rFonts w:ascii="Times New Roman" w:hAnsi="Times New Roman"/>
          <w:sz w:val="24"/>
          <w:szCs w:val="24"/>
        </w:rPr>
        <w:t xml:space="preserve"> is the percentage of institutional ownership. </w:t>
      </w:r>
      <w:r w:rsidR="00FB13A1" w:rsidRPr="00A51DD1">
        <w:rPr>
          <w:rFonts w:ascii="Times New Roman" w:hAnsi="Times New Roman"/>
          <w:i/>
          <w:sz w:val="24"/>
          <w:szCs w:val="24"/>
        </w:rPr>
        <w:t>NUMANALYST</w:t>
      </w:r>
      <w:r w:rsidR="00FB13A1" w:rsidRPr="00A51DD1">
        <w:rPr>
          <w:rFonts w:ascii="Times New Roman" w:hAnsi="Times New Roman"/>
          <w:sz w:val="24"/>
          <w:szCs w:val="24"/>
        </w:rPr>
        <w:t xml:space="preserve"> is the number of analysts following the firm as reported by I/B/E/S. </w:t>
      </w:r>
      <w:r w:rsidRPr="00A51DD1">
        <w:rPr>
          <w:rFonts w:ascii="Times New Roman" w:hAnsi="Times New Roman"/>
          <w:sz w:val="24"/>
          <w:szCs w:val="24"/>
        </w:rPr>
        <w:t>All the</w:t>
      </w:r>
      <w:r w:rsidR="002844EF" w:rsidRPr="00A51DD1">
        <w:rPr>
          <w:rFonts w:ascii="Times New Roman" w:hAnsi="Times New Roman"/>
          <w:sz w:val="24"/>
          <w:szCs w:val="24"/>
        </w:rPr>
        <w:t xml:space="preserve">se control </w:t>
      </w:r>
      <w:r w:rsidRPr="00A51DD1">
        <w:rPr>
          <w:rFonts w:ascii="Times New Roman" w:hAnsi="Times New Roman"/>
          <w:sz w:val="24"/>
          <w:szCs w:val="24"/>
        </w:rPr>
        <w:t xml:space="preserve">variables are measured at the end of the preceding year. </w:t>
      </w:r>
      <w:r w:rsidR="002D17D9" w:rsidRPr="00A51DD1">
        <w:rPr>
          <w:rFonts w:ascii="Times New Roman" w:hAnsi="Times New Roman"/>
          <w:sz w:val="24"/>
          <w:szCs w:val="24"/>
        </w:rPr>
        <w:t xml:space="preserve">In the estimation, we also control for year fixed effects and calculate the </w:t>
      </w:r>
      <w:r w:rsidR="002D17D9" w:rsidRPr="00A51DD1">
        <w:rPr>
          <w:rFonts w:ascii="Times New Roman" w:hAnsi="Times New Roman"/>
          <w:i/>
          <w:sz w:val="24"/>
          <w:szCs w:val="24"/>
        </w:rPr>
        <w:t>t</w:t>
      </w:r>
      <w:r w:rsidR="002D17D9" w:rsidRPr="00A51DD1">
        <w:rPr>
          <w:rFonts w:ascii="Times New Roman" w:hAnsi="Times New Roman"/>
          <w:sz w:val="24"/>
          <w:szCs w:val="24"/>
        </w:rPr>
        <w:t>-statistics based upon the standard errors corrected for clustering effects by firms.</w:t>
      </w:r>
    </w:p>
    <w:p w14:paraId="426C2B0C" w14:textId="0BD5D82E" w:rsidR="001C637D" w:rsidRPr="00A51DD1" w:rsidRDefault="005F5F67" w:rsidP="004253F6">
      <w:pPr>
        <w:spacing w:before="120" w:after="0" w:line="480" w:lineRule="auto"/>
        <w:rPr>
          <w:rFonts w:ascii="Times New Roman" w:hAnsi="Times New Roman"/>
          <w:b/>
          <w:sz w:val="24"/>
          <w:szCs w:val="24"/>
        </w:rPr>
      </w:pPr>
      <w:r w:rsidRPr="00A51DD1">
        <w:rPr>
          <w:rFonts w:ascii="Times New Roman" w:hAnsi="Times New Roman"/>
          <w:b/>
          <w:sz w:val="24"/>
          <w:szCs w:val="24"/>
        </w:rPr>
        <w:t>4</w:t>
      </w:r>
      <w:r w:rsidR="00BF4A1D" w:rsidRPr="00A51DD1">
        <w:rPr>
          <w:rFonts w:ascii="Times New Roman" w:hAnsi="Times New Roman"/>
          <w:b/>
          <w:sz w:val="24"/>
          <w:szCs w:val="24"/>
        </w:rPr>
        <w:t xml:space="preserve">. </w:t>
      </w:r>
      <w:r w:rsidR="00A876C7" w:rsidRPr="00A51DD1">
        <w:rPr>
          <w:rFonts w:ascii="Times New Roman" w:hAnsi="Times New Roman"/>
          <w:b/>
          <w:sz w:val="24"/>
          <w:szCs w:val="24"/>
        </w:rPr>
        <w:t>R</w:t>
      </w:r>
      <w:r w:rsidR="001C637D" w:rsidRPr="00A51DD1">
        <w:rPr>
          <w:rFonts w:ascii="Times New Roman" w:hAnsi="Times New Roman"/>
          <w:b/>
          <w:sz w:val="24"/>
          <w:szCs w:val="24"/>
        </w:rPr>
        <w:t>esults</w:t>
      </w:r>
    </w:p>
    <w:p w14:paraId="4ABC3192" w14:textId="27C865A6" w:rsidR="001C637D" w:rsidRPr="002F79D0" w:rsidRDefault="00523296" w:rsidP="004253F6">
      <w:pPr>
        <w:spacing w:before="120" w:after="0" w:line="480" w:lineRule="auto"/>
        <w:rPr>
          <w:rFonts w:ascii="Times New Roman" w:hAnsi="Times New Roman"/>
          <w:b/>
          <w:i/>
          <w:sz w:val="24"/>
          <w:szCs w:val="24"/>
        </w:rPr>
      </w:pPr>
      <w:r w:rsidRPr="002F79D0">
        <w:rPr>
          <w:rFonts w:ascii="Times New Roman" w:hAnsi="Times New Roman"/>
          <w:b/>
          <w:i/>
          <w:sz w:val="24"/>
          <w:szCs w:val="24"/>
        </w:rPr>
        <w:t>4.1. Univariate analyses</w:t>
      </w:r>
    </w:p>
    <w:p w14:paraId="30C68016" w14:textId="22139D5A" w:rsidR="002A0AA6" w:rsidRPr="00A51DD1" w:rsidRDefault="00EE1CBD" w:rsidP="005F5F67">
      <w:pPr>
        <w:spacing w:after="0" w:line="480" w:lineRule="auto"/>
        <w:ind w:firstLine="720"/>
        <w:jc w:val="both"/>
        <w:rPr>
          <w:rFonts w:ascii="Times New Roman" w:hAnsi="Times New Roman"/>
          <w:sz w:val="24"/>
          <w:szCs w:val="24"/>
        </w:rPr>
      </w:pPr>
      <w:r w:rsidRPr="00A51DD1">
        <w:rPr>
          <w:rFonts w:ascii="Times New Roman" w:hAnsi="Times New Roman"/>
          <w:sz w:val="24"/>
          <w:szCs w:val="24"/>
        </w:rPr>
        <w:t xml:space="preserve">Table 2 presents descriptive statistics on the earnings management variables and other variables </w:t>
      </w:r>
      <w:r w:rsidR="00976673" w:rsidRPr="00A51DD1">
        <w:rPr>
          <w:rFonts w:ascii="Times New Roman" w:hAnsi="Times New Roman"/>
          <w:sz w:val="24"/>
          <w:szCs w:val="24"/>
        </w:rPr>
        <w:t>used in</w:t>
      </w:r>
      <w:r w:rsidRPr="00A51DD1">
        <w:rPr>
          <w:rFonts w:ascii="Times New Roman" w:hAnsi="Times New Roman"/>
          <w:sz w:val="24"/>
          <w:szCs w:val="24"/>
        </w:rPr>
        <w:t xml:space="preserve"> this study.</w:t>
      </w:r>
      <w:r w:rsidR="00E47617" w:rsidRPr="00A51DD1">
        <w:rPr>
          <w:rFonts w:ascii="Times New Roman" w:hAnsi="Times New Roman"/>
          <w:sz w:val="24"/>
          <w:szCs w:val="24"/>
        </w:rPr>
        <w:t xml:space="preserve"> </w:t>
      </w:r>
      <w:r w:rsidRPr="00A51DD1">
        <w:rPr>
          <w:rFonts w:ascii="Times New Roman" w:hAnsi="Times New Roman"/>
          <w:sz w:val="24"/>
          <w:szCs w:val="24"/>
        </w:rPr>
        <w:t xml:space="preserve">Panel A presents characteristics of MLPs, while Panel B presents characteristics of </w:t>
      </w:r>
      <w:r w:rsidRPr="0087564A">
        <w:rPr>
          <w:rFonts w:ascii="Times New Roman" w:hAnsi="Times New Roman"/>
          <w:noProof/>
          <w:sz w:val="24"/>
          <w:szCs w:val="24"/>
        </w:rPr>
        <w:t>non</w:t>
      </w:r>
      <w:r w:rsidRPr="00A51DD1">
        <w:rPr>
          <w:rFonts w:ascii="Times New Roman" w:hAnsi="Times New Roman"/>
          <w:sz w:val="24"/>
          <w:szCs w:val="24"/>
        </w:rPr>
        <w:t xml:space="preserve">-MLPs. Note that for each MLP firm, we find a matching sample of </w:t>
      </w:r>
      <w:r w:rsidRPr="0087564A">
        <w:rPr>
          <w:rFonts w:ascii="Times New Roman" w:hAnsi="Times New Roman"/>
          <w:noProof/>
          <w:sz w:val="24"/>
          <w:szCs w:val="24"/>
        </w:rPr>
        <w:t>non</w:t>
      </w:r>
      <w:r w:rsidRPr="00A51DD1">
        <w:rPr>
          <w:rFonts w:ascii="Times New Roman" w:hAnsi="Times New Roman"/>
          <w:sz w:val="24"/>
          <w:szCs w:val="24"/>
        </w:rPr>
        <w:t>-MLP firms that share the same 4-digit SIC code</w:t>
      </w:r>
      <w:r w:rsidR="000C4E43" w:rsidRPr="00A51DD1">
        <w:rPr>
          <w:rFonts w:ascii="Times New Roman" w:hAnsi="Times New Roman"/>
          <w:sz w:val="24"/>
          <w:szCs w:val="24"/>
        </w:rPr>
        <w:t xml:space="preserve"> in the same year</w:t>
      </w:r>
      <w:r w:rsidRPr="00A51DD1">
        <w:rPr>
          <w:rFonts w:ascii="Times New Roman" w:hAnsi="Times New Roman"/>
          <w:sz w:val="24"/>
          <w:szCs w:val="24"/>
        </w:rPr>
        <w:t>.</w:t>
      </w:r>
      <w:r w:rsidR="0008604F" w:rsidRPr="00A51DD1">
        <w:rPr>
          <w:rFonts w:ascii="Times New Roman" w:hAnsi="Times New Roman"/>
          <w:sz w:val="24"/>
          <w:szCs w:val="24"/>
        </w:rPr>
        <w:t xml:space="preserve"> Panel C presents tests of differences between the MLP and </w:t>
      </w:r>
      <w:r w:rsidR="0008604F" w:rsidRPr="0087564A">
        <w:rPr>
          <w:rFonts w:ascii="Times New Roman" w:hAnsi="Times New Roman"/>
          <w:noProof/>
          <w:sz w:val="24"/>
          <w:szCs w:val="24"/>
        </w:rPr>
        <w:t>non</w:t>
      </w:r>
      <w:r w:rsidR="0008604F" w:rsidRPr="00A51DD1">
        <w:rPr>
          <w:rFonts w:ascii="Times New Roman" w:hAnsi="Times New Roman"/>
          <w:sz w:val="24"/>
          <w:szCs w:val="24"/>
        </w:rPr>
        <w:t>-MLP firms.</w:t>
      </w:r>
      <w:r w:rsidR="002A0AA6" w:rsidRPr="00A51DD1">
        <w:rPr>
          <w:rFonts w:ascii="Times New Roman" w:hAnsi="Times New Roman"/>
          <w:sz w:val="24"/>
          <w:szCs w:val="24"/>
        </w:rPr>
        <w:t xml:space="preserve"> While the average </w:t>
      </w:r>
      <w:r w:rsidR="008F6791" w:rsidRPr="00A51DD1">
        <w:rPr>
          <w:rFonts w:ascii="Times New Roman" w:hAnsi="Times New Roman"/>
          <w:sz w:val="24"/>
          <w:szCs w:val="24"/>
        </w:rPr>
        <w:t>assets</w:t>
      </w:r>
      <w:r w:rsidR="002A0AA6" w:rsidRPr="00A51DD1">
        <w:rPr>
          <w:rFonts w:ascii="Times New Roman" w:hAnsi="Times New Roman"/>
          <w:sz w:val="24"/>
          <w:szCs w:val="24"/>
        </w:rPr>
        <w:t xml:space="preserve"> and market capitalization</w:t>
      </w:r>
      <w:r w:rsidR="001A53BC" w:rsidRPr="00A51DD1">
        <w:rPr>
          <w:rFonts w:ascii="Times New Roman" w:hAnsi="Times New Roman"/>
          <w:sz w:val="24"/>
          <w:szCs w:val="24"/>
        </w:rPr>
        <w:t>s</w:t>
      </w:r>
      <w:r w:rsidR="002A0AA6" w:rsidRPr="00A51DD1">
        <w:rPr>
          <w:rFonts w:ascii="Times New Roman" w:hAnsi="Times New Roman"/>
          <w:sz w:val="24"/>
          <w:szCs w:val="24"/>
        </w:rPr>
        <w:t xml:space="preserve"> are significantly lower among MLPs as compared to </w:t>
      </w:r>
      <w:r w:rsidR="002A0AA6" w:rsidRPr="0087564A">
        <w:rPr>
          <w:rFonts w:ascii="Times New Roman" w:hAnsi="Times New Roman"/>
          <w:noProof/>
          <w:sz w:val="24"/>
          <w:szCs w:val="24"/>
        </w:rPr>
        <w:t>non</w:t>
      </w:r>
      <w:r w:rsidR="002A0AA6" w:rsidRPr="00A51DD1">
        <w:rPr>
          <w:rFonts w:ascii="Times New Roman" w:hAnsi="Times New Roman"/>
          <w:sz w:val="24"/>
          <w:szCs w:val="24"/>
        </w:rPr>
        <w:t>-MLPs, their median values are significantly higher, which suggest</w:t>
      </w:r>
      <w:r w:rsidR="00DB4639" w:rsidRPr="00A51DD1">
        <w:rPr>
          <w:rFonts w:ascii="Times New Roman" w:hAnsi="Times New Roman"/>
          <w:sz w:val="24"/>
          <w:szCs w:val="24"/>
        </w:rPr>
        <w:t>s</w:t>
      </w:r>
      <w:r w:rsidR="002A0AA6" w:rsidRPr="00A51DD1">
        <w:rPr>
          <w:rFonts w:ascii="Times New Roman" w:hAnsi="Times New Roman"/>
          <w:sz w:val="24"/>
          <w:szCs w:val="24"/>
        </w:rPr>
        <w:t xml:space="preserve"> a wide variation in size among the MLPs.</w:t>
      </w:r>
    </w:p>
    <w:p w14:paraId="4A2CA1DC" w14:textId="77777777" w:rsidR="008E7843" w:rsidRPr="00A51DD1" w:rsidRDefault="008E7843" w:rsidP="00A23801">
      <w:pPr>
        <w:spacing w:before="120" w:after="120" w:line="480" w:lineRule="auto"/>
        <w:jc w:val="center"/>
        <w:rPr>
          <w:rFonts w:ascii="Times New Roman" w:hAnsi="Times New Roman"/>
          <w:sz w:val="24"/>
          <w:szCs w:val="24"/>
        </w:rPr>
      </w:pPr>
      <w:r w:rsidRPr="00A51DD1">
        <w:rPr>
          <w:rFonts w:ascii="Times New Roman" w:hAnsi="Times New Roman"/>
          <w:sz w:val="24"/>
          <w:szCs w:val="24"/>
        </w:rPr>
        <w:t>[INSERT TABLE 2 ABOUT HERE]</w:t>
      </w:r>
    </w:p>
    <w:p w14:paraId="2D4A54E8" w14:textId="7EEDDB09" w:rsidR="00950017" w:rsidRPr="00A51DD1" w:rsidRDefault="002A0AA6" w:rsidP="005F5F67">
      <w:pPr>
        <w:spacing w:after="0" w:line="480" w:lineRule="auto"/>
        <w:ind w:firstLine="720"/>
        <w:jc w:val="both"/>
        <w:rPr>
          <w:rFonts w:ascii="Times New Roman" w:hAnsi="Times New Roman"/>
          <w:sz w:val="24"/>
          <w:szCs w:val="24"/>
        </w:rPr>
      </w:pPr>
      <w:r w:rsidRPr="00A51DD1">
        <w:rPr>
          <w:rFonts w:ascii="Times New Roman" w:hAnsi="Times New Roman"/>
          <w:sz w:val="24"/>
          <w:szCs w:val="24"/>
        </w:rPr>
        <w:t>Importantly, though, and directly linked to testing our hypothesis,</w:t>
      </w:r>
      <w:r w:rsidR="00976673" w:rsidRPr="00A51DD1">
        <w:rPr>
          <w:rFonts w:ascii="Times New Roman" w:hAnsi="Times New Roman"/>
          <w:sz w:val="24"/>
          <w:szCs w:val="24"/>
        </w:rPr>
        <w:t xml:space="preserve"> </w:t>
      </w:r>
      <w:r w:rsidRPr="00A51DD1">
        <w:rPr>
          <w:rFonts w:ascii="Times New Roman" w:hAnsi="Times New Roman"/>
          <w:sz w:val="24"/>
          <w:szCs w:val="24"/>
        </w:rPr>
        <w:t>the</w:t>
      </w:r>
      <w:r w:rsidR="00976673" w:rsidRPr="00A51DD1">
        <w:rPr>
          <w:rFonts w:ascii="Times New Roman" w:hAnsi="Times New Roman"/>
          <w:sz w:val="24"/>
          <w:szCs w:val="24"/>
        </w:rPr>
        <w:t xml:space="preserve"> findings in Panel C suggest that M</w:t>
      </w:r>
      <w:r w:rsidR="00224E8E" w:rsidRPr="00A51DD1">
        <w:rPr>
          <w:rFonts w:ascii="Times New Roman" w:hAnsi="Times New Roman"/>
          <w:sz w:val="24"/>
          <w:szCs w:val="24"/>
        </w:rPr>
        <w:t>LPs have significantly higher discretionary accruals (</w:t>
      </w:r>
      <w:r w:rsidR="00B82914" w:rsidRPr="00A51DD1">
        <w:rPr>
          <w:rFonts w:ascii="Times New Roman" w:hAnsi="Times New Roman"/>
          <w:i/>
          <w:sz w:val="24"/>
          <w:szCs w:val="24"/>
        </w:rPr>
        <w:t>DA</w:t>
      </w:r>
      <w:r w:rsidR="00224E8E" w:rsidRPr="00A51DD1">
        <w:rPr>
          <w:rFonts w:ascii="Times New Roman" w:hAnsi="Times New Roman"/>
          <w:sz w:val="24"/>
          <w:szCs w:val="24"/>
        </w:rPr>
        <w:t>), abnormal discretionary expenditures (</w:t>
      </w:r>
      <w:r w:rsidR="00224E8E" w:rsidRPr="00A51DD1">
        <w:rPr>
          <w:rFonts w:ascii="Times New Roman" w:hAnsi="Times New Roman"/>
          <w:i/>
          <w:sz w:val="24"/>
          <w:szCs w:val="24"/>
        </w:rPr>
        <w:t>RDISX</w:t>
      </w:r>
      <w:r w:rsidR="00224E8E" w:rsidRPr="00A51DD1">
        <w:rPr>
          <w:rFonts w:ascii="Times New Roman" w:hAnsi="Times New Roman"/>
          <w:sz w:val="24"/>
          <w:szCs w:val="24"/>
        </w:rPr>
        <w:t>), abnormal production costs (</w:t>
      </w:r>
      <w:r w:rsidR="00224E8E" w:rsidRPr="00A51DD1">
        <w:rPr>
          <w:rFonts w:ascii="Times New Roman" w:hAnsi="Times New Roman"/>
          <w:i/>
          <w:sz w:val="24"/>
          <w:szCs w:val="24"/>
        </w:rPr>
        <w:t>RPROD</w:t>
      </w:r>
      <w:r w:rsidR="00224E8E" w:rsidRPr="00A51DD1">
        <w:rPr>
          <w:rFonts w:ascii="Times New Roman" w:hAnsi="Times New Roman"/>
          <w:sz w:val="24"/>
          <w:szCs w:val="24"/>
        </w:rPr>
        <w:t>) and aggregate real activities manipulation (</w:t>
      </w:r>
      <w:r w:rsidR="00224E8E" w:rsidRPr="00A51DD1">
        <w:rPr>
          <w:rFonts w:ascii="Times New Roman" w:hAnsi="Times New Roman"/>
          <w:i/>
          <w:sz w:val="24"/>
          <w:szCs w:val="24"/>
        </w:rPr>
        <w:t>RM1</w:t>
      </w:r>
      <w:r w:rsidR="00224E8E" w:rsidRPr="00A51DD1">
        <w:rPr>
          <w:rFonts w:ascii="Times New Roman" w:hAnsi="Times New Roman"/>
          <w:sz w:val="24"/>
          <w:szCs w:val="24"/>
        </w:rPr>
        <w:t xml:space="preserve"> and </w:t>
      </w:r>
      <w:r w:rsidR="00224E8E" w:rsidRPr="00A51DD1">
        <w:rPr>
          <w:rFonts w:ascii="Times New Roman" w:hAnsi="Times New Roman"/>
          <w:i/>
          <w:sz w:val="24"/>
          <w:szCs w:val="24"/>
        </w:rPr>
        <w:t>RM2</w:t>
      </w:r>
      <w:r w:rsidR="00224E8E" w:rsidRPr="00A51DD1">
        <w:rPr>
          <w:rFonts w:ascii="Times New Roman" w:hAnsi="Times New Roman"/>
          <w:sz w:val="24"/>
          <w:szCs w:val="24"/>
        </w:rPr>
        <w:t xml:space="preserve">) </w:t>
      </w:r>
      <w:r w:rsidR="00976673" w:rsidRPr="00A51DD1">
        <w:rPr>
          <w:rFonts w:ascii="Times New Roman" w:hAnsi="Times New Roman"/>
          <w:sz w:val="24"/>
          <w:szCs w:val="24"/>
        </w:rPr>
        <w:t xml:space="preserve">than their matched sample of </w:t>
      </w:r>
      <w:r w:rsidR="00976673" w:rsidRPr="0087564A">
        <w:rPr>
          <w:rFonts w:ascii="Times New Roman" w:hAnsi="Times New Roman"/>
          <w:noProof/>
          <w:sz w:val="24"/>
          <w:szCs w:val="24"/>
        </w:rPr>
        <w:t>non</w:t>
      </w:r>
      <w:r w:rsidR="00976673" w:rsidRPr="00A51DD1">
        <w:rPr>
          <w:rFonts w:ascii="Times New Roman" w:hAnsi="Times New Roman"/>
          <w:sz w:val="24"/>
          <w:szCs w:val="24"/>
        </w:rPr>
        <w:t>-MLP firms</w:t>
      </w:r>
      <w:r w:rsidR="00DB4639" w:rsidRPr="00A51DD1">
        <w:rPr>
          <w:rFonts w:ascii="Times New Roman" w:hAnsi="Times New Roman"/>
          <w:sz w:val="24"/>
          <w:szCs w:val="24"/>
        </w:rPr>
        <w:t xml:space="preserve"> have</w:t>
      </w:r>
      <w:r w:rsidR="00224E8E" w:rsidRPr="00A51DD1">
        <w:rPr>
          <w:rFonts w:ascii="Times New Roman" w:hAnsi="Times New Roman"/>
          <w:sz w:val="24"/>
          <w:szCs w:val="24"/>
        </w:rPr>
        <w:t xml:space="preserve">. </w:t>
      </w:r>
      <w:r w:rsidRPr="00A51DD1">
        <w:rPr>
          <w:rFonts w:ascii="Times New Roman" w:hAnsi="Times New Roman"/>
          <w:sz w:val="24"/>
          <w:szCs w:val="24"/>
        </w:rPr>
        <w:t xml:space="preserve">These univariate findings support the hypothesis that MLPs engage in more earnings management than </w:t>
      </w:r>
      <w:r w:rsidRPr="0087564A">
        <w:rPr>
          <w:rFonts w:ascii="Times New Roman" w:hAnsi="Times New Roman"/>
          <w:noProof/>
          <w:sz w:val="24"/>
          <w:szCs w:val="24"/>
        </w:rPr>
        <w:t>non</w:t>
      </w:r>
      <w:r w:rsidRPr="00A51DD1">
        <w:rPr>
          <w:rFonts w:ascii="Times New Roman" w:hAnsi="Times New Roman"/>
          <w:sz w:val="24"/>
          <w:szCs w:val="24"/>
        </w:rPr>
        <w:t>-MLPs</w:t>
      </w:r>
      <w:r w:rsidR="00DB4639" w:rsidRPr="00A51DD1">
        <w:rPr>
          <w:rFonts w:ascii="Times New Roman" w:hAnsi="Times New Roman"/>
          <w:sz w:val="24"/>
          <w:szCs w:val="24"/>
        </w:rPr>
        <w:t xml:space="preserve"> do</w:t>
      </w:r>
      <w:r w:rsidR="00C37AF5" w:rsidRPr="00A51DD1">
        <w:rPr>
          <w:rFonts w:ascii="Times New Roman" w:hAnsi="Times New Roman"/>
          <w:sz w:val="24"/>
          <w:szCs w:val="24"/>
        </w:rPr>
        <w:t>.</w:t>
      </w:r>
      <w:r w:rsidRPr="00A51DD1">
        <w:rPr>
          <w:rFonts w:ascii="Times New Roman" w:hAnsi="Times New Roman"/>
          <w:sz w:val="24"/>
          <w:szCs w:val="24"/>
        </w:rPr>
        <w:t xml:space="preserve"> </w:t>
      </w:r>
      <w:r w:rsidR="000C4E43" w:rsidRPr="00A51DD1">
        <w:rPr>
          <w:rFonts w:ascii="Times New Roman" w:hAnsi="Times New Roman"/>
          <w:sz w:val="24"/>
          <w:szCs w:val="24"/>
        </w:rPr>
        <w:t xml:space="preserve">MLPs, however, have significantly lower abnormal </w:t>
      </w:r>
      <w:r w:rsidR="00F34314" w:rsidRPr="00A51DD1">
        <w:rPr>
          <w:rFonts w:ascii="Times New Roman" w:hAnsi="Times New Roman"/>
          <w:sz w:val="24"/>
          <w:szCs w:val="24"/>
        </w:rPr>
        <w:t xml:space="preserve">operating </w:t>
      </w:r>
      <w:r w:rsidR="000C4E43" w:rsidRPr="00A51DD1">
        <w:rPr>
          <w:rFonts w:ascii="Times New Roman" w:hAnsi="Times New Roman"/>
          <w:sz w:val="24"/>
          <w:szCs w:val="24"/>
        </w:rPr>
        <w:t>cash flows (</w:t>
      </w:r>
      <w:r w:rsidR="000C4E43" w:rsidRPr="0087564A">
        <w:rPr>
          <w:rFonts w:ascii="Times New Roman" w:hAnsi="Times New Roman"/>
          <w:i/>
          <w:noProof/>
          <w:sz w:val="24"/>
          <w:szCs w:val="24"/>
        </w:rPr>
        <w:t>RCFO</w:t>
      </w:r>
      <w:r w:rsidR="000C4E43" w:rsidRPr="00A51DD1">
        <w:rPr>
          <w:rFonts w:ascii="Times New Roman" w:hAnsi="Times New Roman"/>
          <w:sz w:val="24"/>
          <w:szCs w:val="24"/>
        </w:rPr>
        <w:t>) tha</w:t>
      </w:r>
      <w:r w:rsidR="00DB4639" w:rsidRPr="00A51DD1">
        <w:rPr>
          <w:rFonts w:ascii="Times New Roman" w:hAnsi="Times New Roman"/>
          <w:sz w:val="24"/>
          <w:szCs w:val="24"/>
        </w:rPr>
        <w:t>n</w:t>
      </w:r>
      <w:r w:rsidR="000C4E43" w:rsidRPr="00A51DD1">
        <w:rPr>
          <w:rFonts w:ascii="Times New Roman" w:hAnsi="Times New Roman"/>
          <w:sz w:val="24"/>
          <w:szCs w:val="24"/>
        </w:rPr>
        <w:t xml:space="preserve"> matched </w:t>
      </w:r>
      <w:r w:rsidR="000C4E43" w:rsidRPr="0087564A">
        <w:rPr>
          <w:rFonts w:ascii="Times New Roman" w:hAnsi="Times New Roman"/>
          <w:noProof/>
          <w:sz w:val="24"/>
          <w:szCs w:val="24"/>
        </w:rPr>
        <w:t>non</w:t>
      </w:r>
      <w:r w:rsidR="000C4E43" w:rsidRPr="00A51DD1">
        <w:rPr>
          <w:rFonts w:ascii="Times New Roman" w:hAnsi="Times New Roman"/>
          <w:sz w:val="24"/>
          <w:szCs w:val="24"/>
        </w:rPr>
        <w:t>-MLP firms</w:t>
      </w:r>
      <w:r w:rsidR="00DB4639" w:rsidRPr="00A51DD1">
        <w:rPr>
          <w:rFonts w:ascii="Times New Roman" w:hAnsi="Times New Roman"/>
          <w:sz w:val="24"/>
          <w:szCs w:val="24"/>
        </w:rPr>
        <w:t xml:space="preserve"> have</w:t>
      </w:r>
      <w:r w:rsidR="000C4E43" w:rsidRPr="00A51DD1">
        <w:rPr>
          <w:rFonts w:ascii="Times New Roman" w:hAnsi="Times New Roman"/>
          <w:sz w:val="24"/>
          <w:szCs w:val="24"/>
        </w:rPr>
        <w:t xml:space="preserve">. </w:t>
      </w:r>
      <w:r w:rsidR="00B33D63" w:rsidRPr="00A51DD1">
        <w:rPr>
          <w:rFonts w:ascii="Times New Roman" w:hAnsi="Times New Roman"/>
          <w:sz w:val="24"/>
          <w:szCs w:val="24"/>
        </w:rPr>
        <w:t xml:space="preserve">Such a lower RCFO may indicate that GPs are smoothing their cash flow – relative to their corporate counterparts who manage earnings. </w:t>
      </w:r>
      <w:r w:rsidR="000C4E43" w:rsidRPr="00A51DD1">
        <w:rPr>
          <w:rFonts w:ascii="Times New Roman" w:hAnsi="Times New Roman"/>
          <w:sz w:val="24"/>
          <w:szCs w:val="24"/>
        </w:rPr>
        <w:t xml:space="preserve">Note that MLPs </w:t>
      </w:r>
      <w:r w:rsidR="00F44CD7" w:rsidRPr="00A51DD1">
        <w:rPr>
          <w:rFonts w:ascii="Times New Roman" w:hAnsi="Times New Roman"/>
          <w:sz w:val="24"/>
          <w:szCs w:val="24"/>
        </w:rPr>
        <w:t>are required to pay the vast majority of their earnings out to their partners</w:t>
      </w:r>
      <w:r w:rsidR="0087564A">
        <w:rPr>
          <w:rFonts w:ascii="Times New Roman" w:hAnsi="Times New Roman"/>
          <w:sz w:val="24"/>
          <w:szCs w:val="24"/>
        </w:rPr>
        <w:t xml:space="preserve"> and, therefore, </w:t>
      </w:r>
      <w:r w:rsidR="0087564A" w:rsidRPr="0087564A">
        <w:rPr>
          <w:rFonts w:ascii="Times New Roman" w:hAnsi="Times New Roman"/>
          <w:noProof/>
          <w:sz w:val="24"/>
          <w:szCs w:val="24"/>
        </w:rPr>
        <w:t>i</w:t>
      </w:r>
      <w:r w:rsidR="0087564A" w:rsidRPr="00282D07">
        <w:rPr>
          <w:rFonts w:ascii="Times New Roman" w:hAnsi="Times New Roman"/>
          <w:noProof/>
          <w:sz w:val="24"/>
          <w:szCs w:val="24"/>
        </w:rPr>
        <w:t>t</w:t>
      </w:r>
      <w:r w:rsidR="00B33D63" w:rsidRPr="0087564A">
        <w:rPr>
          <w:rFonts w:ascii="Times New Roman" w:hAnsi="Times New Roman"/>
          <w:noProof/>
          <w:sz w:val="24"/>
          <w:szCs w:val="24"/>
        </w:rPr>
        <w:t xml:space="preserve"> makes more sense for GPs to smooth cash flow.</w:t>
      </w:r>
      <w:r w:rsidR="00B33D63" w:rsidRPr="00A51DD1">
        <w:rPr>
          <w:rFonts w:ascii="Times New Roman" w:hAnsi="Times New Roman"/>
          <w:sz w:val="24"/>
          <w:szCs w:val="24"/>
        </w:rPr>
        <w:t xml:space="preserve"> Alternatively, one may argue that the business is more stable for MLPs than for corporations. However, this argument runs against the fact that both MLPs matching corporations are in the same business sector. Furthermore, since the average size of matching corporations is much bigger than that of MLPs, it is not likely that MLPs are more able to steer through business cycles than corporations can. As shown by the variable </w:t>
      </w:r>
      <w:r w:rsidR="00B33D63" w:rsidRPr="00A51DD1">
        <w:rPr>
          <w:rFonts w:ascii="Times New Roman" w:hAnsi="Times New Roman"/>
          <w:i/>
          <w:sz w:val="24"/>
          <w:szCs w:val="24"/>
        </w:rPr>
        <w:t>MKTSHARE</w:t>
      </w:r>
      <w:r w:rsidR="00B33D63" w:rsidRPr="00A51DD1">
        <w:rPr>
          <w:rFonts w:ascii="Times New Roman" w:hAnsi="Times New Roman"/>
          <w:sz w:val="24"/>
          <w:szCs w:val="24"/>
        </w:rPr>
        <w:t>,</w:t>
      </w:r>
      <w:r w:rsidR="00B33D63" w:rsidRPr="00A51DD1">
        <w:rPr>
          <w:rFonts w:ascii="Times New Roman" w:hAnsi="Times New Roman"/>
          <w:i/>
          <w:sz w:val="24"/>
          <w:szCs w:val="24"/>
        </w:rPr>
        <w:t xml:space="preserve"> </w:t>
      </w:r>
      <w:r w:rsidR="003F4EDE" w:rsidRPr="00A51DD1">
        <w:rPr>
          <w:rFonts w:ascii="Times New Roman" w:hAnsi="Times New Roman"/>
          <w:sz w:val="24"/>
          <w:szCs w:val="24"/>
        </w:rPr>
        <w:t xml:space="preserve">which is the ratio of firm sales to total sales of all the firms in the same industry, </w:t>
      </w:r>
      <w:r w:rsidR="00B33D63" w:rsidRPr="00A51DD1">
        <w:rPr>
          <w:rFonts w:ascii="Times New Roman" w:hAnsi="Times New Roman"/>
          <w:sz w:val="24"/>
          <w:szCs w:val="24"/>
        </w:rPr>
        <w:t xml:space="preserve">there is no difference in the measurement of market power between MLPs and matching corporations. Thus, it is </w:t>
      </w:r>
      <w:r w:rsidR="000F6C3C" w:rsidRPr="00A51DD1">
        <w:rPr>
          <w:rFonts w:ascii="Times New Roman" w:hAnsi="Times New Roman"/>
          <w:sz w:val="24"/>
          <w:szCs w:val="24"/>
        </w:rPr>
        <w:t xml:space="preserve">not </w:t>
      </w:r>
      <w:r w:rsidR="00B33D63" w:rsidRPr="00A51DD1">
        <w:rPr>
          <w:rFonts w:ascii="Times New Roman" w:hAnsi="Times New Roman"/>
          <w:sz w:val="24"/>
          <w:szCs w:val="24"/>
        </w:rPr>
        <w:t xml:space="preserve">likely that MLPs use their market power </w:t>
      </w:r>
      <w:r w:rsidR="000F6C3C" w:rsidRPr="00A51DD1">
        <w:rPr>
          <w:rFonts w:ascii="Times New Roman" w:hAnsi="Times New Roman"/>
          <w:sz w:val="24"/>
          <w:szCs w:val="24"/>
        </w:rPr>
        <w:t xml:space="preserve">in weathering business fluctuations </w:t>
      </w:r>
      <w:r w:rsidR="00B33D63" w:rsidRPr="00A51DD1">
        <w:rPr>
          <w:rFonts w:ascii="Times New Roman" w:hAnsi="Times New Roman"/>
          <w:sz w:val="24"/>
          <w:szCs w:val="24"/>
        </w:rPr>
        <w:t>better than the matching corporations</w:t>
      </w:r>
      <w:r w:rsidR="000F6C3C" w:rsidRPr="00A51DD1">
        <w:rPr>
          <w:rFonts w:ascii="Times New Roman" w:hAnsi="Times New Roman"/>
          <w:sz w:val="24"/>
          <w:szCs w:val="24"/>
        </w:rPr>
        <w:t xml:space="preserve"> do</w:t>
      </w:r>
      <w:r w:rsidR="00B33D63" w:rsidRPr="00A51DD1">
        <w:rPr>
          <w:rFonts w:ascii="Times New Roman" w:hAnsi="Times New Roman"/>
          <w:sz w:val="24"/>
          <w:szCs w:val="24"/>
        </w:rPr>
        <w:t xml:space="preserve">. </w:t>
      </w:r>
      <w:r w:rsidR="003F4EDE" w:rsidRPr="0087564A">
        <w:rPr>
          <w:rFonts w:ascii="Times New Roman" w:hAnsi="Times New Roman"/>
          <w:noProof/>
          <w:sz w:val="24"/>
          <w:szCs w:val="24"/>
        </w:rPr>
        <w:t>In addition</w:t>
      </w:r>
      <w:r w:rsidR="003F4EDE" w:rsidRPr="00A51DD1">
        <w:rPr>
          <w:rFonts w:ascii="Times New Roman" w:hAnsi="Times New Roman"/>
          <w:sz w:val="24"/>
          <w:szCs w:val="24"/>
        </w:rPr>
        <w:t>, as indicated by the variable</w:t>
      </w:r>
      <w:r w:rsidR="00B33D63" w:rsidRPr="00A51DD1">
        <w:rPr>
          <w:rFonts w:ascii="Times New Roman" w:hAnsi="Times New Roman"/>
          <w:sz w:val="24"/>
          <w:szCs w:val="24"/>
        </w:rPr>
        <w:t xml:space="preserve"> </w:t>
      </w:r>
      <w:r w:rsidR="003F4EDE" w:rsidRPr="00A51DD1">
        <w:rPr>
          <w:rFonts w:ascii="Times New Roman" w:hAnsi="Times New Roman"/>
          <w:i/>
          <w:sz w:val="24"/>
          <w:szCs w:val="24"/>
        </w:rPr>
        <w:t>OPERCYCLE</w:t>
      </w:r>
      <w:r w:rsidR="003F4EDE" w:rsidRPr="00A51DD1">
        <w:rPr>
          <w:rFonts w:ascii="Times New Roman" w:hAnsi="Times New Roman"/>
          <w:sz w:val="24"/>
          <w:szCs w:val="24"/>
        </w:rPr>
        <w:t xml:space="preserve">, which is the days’ receivable </w:t>
      </w:r>
      <w:r w:rsidR="003F4EDE" w:rsidRPr="00A51DD1">
        <w:rPr>
          <w:rFonts w:ascii="Times New Roman" w:hAnsi="Times New Roman"/>
          <w:i/>
          <w:sz w:val="24"/>
          <w:szCs w:val="24"/>
        </w:rPr>
        <w:t>plus</w:t>
      </w:r>
      <w:r w:rsidR="003F4EDE" w:rsidRPr="00A51DD1">
        <w:rPr>
          <w:rFonts w:ascii="Times New Roman" w:hAnsi="Times New Roman"/>
          <w:sz w:val="24"/>
          <w:szCs w:val="24"/>
        </w:rPr>
        <w:t xml:space="preserve"> the days’ inventory </w:t>
      </w:r>
      <w:r w:rsidR="003F4EDE" w:rsidRPr="00A51DD1">
        <w:rPr>
          <w:rFonts w:ascii="Times New Roman" w:hAnsi="Times New Roman"/>
          <w:i/>
          <w:sz w:val="24"/>
          <w:szCs w:val="24"/>
        </w:rPr>
        <w:t>less</w:t>
      </w:r>
      <w:r w:rsidR="003F4EDE" w:rsidRPr="00A51DD1">
        <w:rPr>
          <w:rFonts w:ascii="Times New Roman" w:hAnsi="Times New Roman"/>
          <w:sz w:val="24"/>
          <w:szCs w:val="24"/>
        </w:rPr>
        <w:t xml:space="preserve"> the days’ payable, there is no significant difference in working capital management efficiency between MLPs and the </w:t>
      </w:r>
      <w:r w:rsidR="003F4EDE" w:rsidRPr="0087564A">
        <w:rPr>
          <w:rFonts w:ascii="Times New Roman" w:hAnsi="Times New Roman"/>
          <w:noProof/>
          <w:sz w:val="24"/>
          <w:szCs w:val="24"/>
        </w:rPr>
        <w:t>non</w:t>
      </w:r>
      <w:r w:rsidR="003F4EDE" w:rsidRPr="00A51DD1">
        <w:rPr>
          <w:rFonts w:ascii="Times New Roman" w:hAnsi="Times New Roman"/>
          <w:sz w:val="24"/>
          <w:szCs w:val="24"/>
        </w:rPr>
        <w:t xml:space="preserve">-MLP matching firms from the same industry. </w:t>
      </w:r>
    </w:p>
    <w:p w14:paraId="06789921" w14:textId="05F8EC5F" w:rsidR="00B00AAB" w:rsidRPr="00A51DD1" w:rsidRDefault="00513D6C" w:rsidP="005F5F67">
      <w:pPr>
        <w:spacing w:after="0" w:line="480" w:lineRule="auto"/>
        <w:ind w:firstLine="720"/>
        <w:jc w:val="both"/>
        <w:rPr>
          <w:rFonts w:ascii="Times New Roman" w:hAnsi="Times New Roman"/>
          <w:sz w:val="24"/>
          <w:szCs w:val="24"/>
        </w:rPr>
      </w:pPr>
      <w:r w:rsidRPr="00A51DD1">
        <w:rPr>
          <w:rFonts w:ascii="Times New Roman" w:hAnsi="Times New Roman"/>
          <w:sz w:val="24"/>
          <w:szCs w:val="24"/>
        </w:rPr>
        <w:t xml:space="preserve">Panel C of Table 2 also shows </w:t>
      </w:r>
      <w:r w:rsidR="00CF3AF5" w:rsidRPr="00A51DD1">
        <w:rPr>
          <w:rFonts w:ascii="Times New Roman" w:hAnsi="Times New Roman"/>
          <w:sz w:val="24"/>
          <w:szCs w:val="24"/>
        </w:rPr>
        <w:t xml:space="preserve">that </w:t>
      </w:r>
      <w:r w:rsidR="001C637D" w:rsidRPr="00A51DD1">
        <w:rPr>
          <w:rFonts w:ascii="Times New Roman" w:hAnsi="Times New Roman"/>
          <w:sz w:val="24"/>
          <w:szCs w:val="24"/>
        </w:rPr>
        <w:t xml:space="preserve">MLPs have </w:t>
      </w:r>
      <w:r w:rsidR="0087564A">
        <w:rPr>
          <w:rFonts w:ascii="Times New Roman" w:hAnsi="Times New Roman"/>
          <w:sz w:val="24"/>
          <w:szCs w:val="24"/>
        </w:rPr>
        <w:t xml:space="preserve">a </w:t>
      </w:r>
      <w:r w:rsidR="001C637D" w:rsidRPr="0087564A">
        <w:rPr>
          <w:rFonts w:ascii="Times New Roman" w:hAnsi="Times New Roman"/>
          <w:noProof/>
          <w:sz w:val="24"/>
          <w:szCs w:val="24"/>
        </w:rPr>
        <w:t>significantly</w:t>
      </w:r>
      <w:r w:rsidR="001C637D" w:rsidRPr="00A51DD1">
        <w:rPr>
          <w:rFonts w:ascii="Times New Roman" w:hAnsi="Times New Roman"/>
          <w:sz w:val="24"/>
          <w:szCs w:val="24"/>
        </w:rPr>
        <w:t xml:space="preserve"> higher debt</w:t>
      </w:r>
      <w:r w:rsidR="000140C9" w:rsidRPr="00A51DD1">
        <w:rPr>
          <w:rFonts w:ascii="Times New Roman" w:hAnsi="Times New Roman"/>
          <w:sz w:val="24"/>
          <w:szCs w:val="24"/>
        </w:rPr>
        <w:t>-to-</w:t>
      </w:r>
      <w:r w:rsidR="008F6791" w:rsidRPr="00A51DD1">
        <w:rPr>
          <w:rFonts w:ascii="Times New Roman" w:hAnsi="Times New Roman"/>
          <w:sz w:val="24"/>
          <w:szCs w:val="24"/>
        </w:rPr>
        <w:t>assets</w:t>
      </w:r>
      <w:r w:rsidR="000140C9" w:rsidRPr="00A51DD1">
        <w:rPr>
          <w:rFonts w:ascii="Times New Roman" w:hAnsi="Times New Roman"/>
          <w:sz w:val="24"/>
          <w:szCs w:val="24"/>
        </w:rPr>
        <w:t xml:space="preserve"> ratio</w:t>
      </w:r>
      <w:r w:rsidR="00B00AAB" w:rsidRPr="00A51DD1">
        <w:rPr>
          <w:rFonts w:ascii="Times New Roman" w:hAnsi="Times New Roman"/>
          <w:sz w:val="24"/>
          <w:szCs w:val="24"/>
        </w:rPr>
        <w:t>. Although they cannot deduct interest expenses for tax purpose</w:t>
      </w:r>
      <w:r w:rsidR="000140C9" w:rsidRPr="00A51DD1">
        <w:rPr>
          <w:rFonts w:ascii="Times New Roman" w:hAnsi="Times New Roman"/>
          <w:sz w:val="24"/>
          <w:szCs w:val="24"/>
        </w:rPr>
        <w:t>,</w:t>
      </w:r>
      <w:r w:rsidR="00B00AAB" w:rsidRPr="00A51DD1">
        <w:rPr>
          <w:rFonts w:ascii="Times New Roman" w:hAnsi="Times New Roman"/>
          <w:sz w:val="24"/>
          <w:szCs w:val="24"/>
        </w:rPr>
        <w:t xml:space="preserve"> MLPs</w:t>
      </w:r>
      <w:r w:rsidR="000140C9" w:rsidRPr="00A51DD1">
        <w:rPr>
          <w:rFonts w:ascii="Times New Roman" w:hAnsi="Times New Roman"/>
          <w:sz w:val="24"/>
          <w:szCs w:val="24"/>
        </w:rPr>
        <w:t xml:space="preserve"> </w:t>
      </w:r>
      <w:r w:rsidR="00B00AAB" w:rsidRPr="00A51DD1">
        <w:rPr>
          <w:rFonts w:ascii="Times New Roman" w:hAnsi="Times New Roman"/>
          <w:sz w:val="24"/>
          <w:szCs w:val="24"/>
        </w:rPr>
        <w:t xml:space="preserve">still use considerably more debt than the matching </w:t>
      </w:r>
      <w:r w:rsidR="00A73182" w:rsidRPr="00A51DD1">
        <w:rPr>
          <w:rFonts w:ascii="Times New Roman" w:hAnsi="Times New Roman"/>
          <w:sz w:val="24"/>
          <w:szCs w:val="24"/>
        </w:rPr>
        <w:t>corporations do</w:t>
      </w:r>
      <w:r w:rsidR="00B00AAB" w:rsidRPr="00A51DD1">
        <w:rPr>
          <w:rFonts w:ascii="Times New Roman" w:hAnsi="Times New Roman"/>
          <w:sz w:val="24"/>
          <w:szCs w:val="24"/>
        </w:rPr>
        <w:t>. We conjecture that this is due to two factors. First, debt is still cheaper than equity even on the before-tax basis. Second, GPs are quite good at managing the financial risk since they with unlimited liability are responsible for any debt</w:t>
      </w:r>
      <w:r w:rsidR="00956274">
        <w:rPr>
          <w:rFonts w:ascii="Times New Roman" w:hAnsi="Times New Roman"/>
          <w:sz w:val="24"/>
          <w:szCs w:val="24"/>
        </w:rPr>
        <w:t xml:space="preserve"> default. MLPs also have </w:t>
      </w:r>
      <w:r w:rsidR="00B00AAB" w:rsidRPr="00A51DD1">
        <w:rPr>
          <w:rFonts w:ascii="Times New Roman" w:hAnsi="Times New Roman"/>
          <w:sz w:val="24"/>
          <w:szCs w:val="24"/>
        </w:rPr>
        <w:t xml:space="preserve">higher </w:t>
      </w:r>
      <w:r w:rsidR="000140C9" w:rsidRPr="00A51DD1">
        <w:rPr>
          <w:rFonts w:ascii="Times New Roman" w:hAnsi="Times New Roman"/>
          <w:sz w:val="24"/>
          <w:szCs w:val="24"/>
        </w:rPr>
        <w:t xml:space="preserve">net operating </w:t>
      </w:r>
      <w:r w:rsidR="008F6791" w:rsidRPr="00A51DD1">
        <w:rPr>
          <w:rFonts w:ascii="Times New Roman" w:hAnsi="Times New Roman"/>
          <w:sz w:val="24"/>
          <w:szCs w:val="24"/>
        </w:rPr>
        <w:t>assets</w:t>
      </w:r>
      <w:r w:rsidR="00B00AAB" w:rsidRPr="00A51DD1">
        <w:rPr>
          <w:rFonts w:ascii="Times New Roman" w:hAnsi="Times New Roman"/>
          <w:sz w:val="24"/>
          <w:szCs w:val="24"/>
        </w:rPr>
        <w:t xml:space="preserve"> than the matching corporations do, indicating that MLPs have to use capital more wisely since they </w:t>
      </w:r>
      <w:r w:rsidR="00B00AAB" w:rsidRPr="0087564A">
        <w:rPr>
          <w:rFonts w:ascii="Times New Roman" w:hAnsi="Times New Roman"/>
          <w:noProof/>
          <w:sz w:val="24"/>
          <w:szCs w:val="24"/>
        </w:rPr>
        <w:t>are constrained</w:t>
      </w:r>
      <w:r w:rsidR="00B00AAB" w:rsidRPr="00A51DD1">
        <w:rPr>
          <w:rFonts w:ascii="Times New Roman" w:hAnsi="Times New Roman"/>
          <w:sz w:val="24"/>
          <w:szCs w:val="24"/>
        </w:rPr>
        <w:t xml:space="preserve"> with limited resources after paying out distributed cash flow. Not surprisingly, </w:t>
      </w:r>
      <w:r w:rsidR="004D1A59" w:rsidRPr="00A51DD1">
        <w:rPr>
          <w:rFonts w:ascii="Times New Roman" w:hAnsi="Times New Roman"/>
          <w:sz w:val="24"/>
          <w:szCs w:val="24"/>
        </w:rPr>
        <w:t xml:space="preserve">both the mean and median values of </w:t>
      </w:r>
      <w:r w:rsidR="004D1A59" w:rsidRPr="0087564A">
        <w:rPr>
          <w:rFonts w:ascii="Times New Roman" w:hAnsi="Times New Roman"/>
          <w:i/>
          <w:noProof/>
          <w:sz w:val="24"/>
          <w:szCs w:val="24"/>
        </w:rPr>
        <w:t>STOCKISSUE</w:t>
      </w:r>
      <w:r w:rsidR="004D1A59" w:rsidRPr="00A51DD1">
        <w:rPr>
          <w:rFonts w:ascii="Times New Roman" w:hAnsi="Times New Roman"/>
          <w:sz w:val="24"/>
          <w:szCs w:val="24"/>
        </w:rPr>
        <w:t xml:space="preserve"> and </w:t>
      </w:r>
      <w:r w:rsidR="004D1A59" w:rsidRPr="0087564A">
        <w:rPr>
          <w:rFonts w:ascii="Times New Roman" w:hAnsi="Times New Roman"/>
          <w:i/>
          <w:noProof/>
          <w:sz w:val="24"/>
          <w:szCs w:val="24"/>
        </w:rPr>
        <w:t>DEBTISSUE</w:t>
      </w:r>
      <w:r w:rsidR="004D1A59" w:rsidRPr="00A51DD1">
        <w:rPr>
          <w:rFonts w:ascii="Times New Roman" w:hAnsi="Times New Roman"/>
          <w:sz w:val="24"/>
          <w:szCs w:val="24"/>
        </w:rPr>
        <w:t xml:space="preserve"> are significantly higher for MLPs than </w:t>
      </w:r>
      <w:r w:rsidR="004D1A59" w:rsidRPr="0087564A">
        <w:rPr>
          <w:rFonts w:ascii="Times New Roman" w:hAnsi="Times New Roman"/>
          <w:noProof/>
          <w:sz w:val="24"/>
          <w:szCs w:val="24"/>
        </w:rPr>
        <w:t>non</w:t>
      </w:r>
      <w:r w:rsidR="004D1A59" w:rsidRPr="00A51DD1">
        <w:rPr>
          <w:rFonts w:ascii="Times New Roman" w:hAnsi="Times New Roman"/>
          <w:sz w:val="24"/>
          <w:szCs w:val="24"/>
        </w:rPr>
        <w:t xml:space="preserve">-MLPs. As discussed earlier, MLPs have a greater need to access the capital markets more frequently than </w:t>
      </w:r>
      <w:r w:rsidR="004D1A59" w:rsidRPr="0087564A">
        <w:rPr>
          <w:rFonts w:ascii="Times New Roman" w:hAnsi="Times New Roman"/>
          <w:noProof/>
          <w:sz w:val="24"/>
          <w:szCs w:val="24"/>
        </w:rPr>
        <w:t>non</w:t>
      </w:r>
      <w:r w:rsidR="004D1A59" w:rsidRPr="00A51DD1">
        <w:rPr>
          <w:rFonts w:ascii="Times New Roman" w:hAnsi="Times New Roman"/>
          <w:sz w:val="24"/>
          <w:szCs w:val="24"/>
        </w:rPr>
        <w:t xml:space="preserve">-MLPs. </w:t>
      </w:r>
      <w:r w:rsidR="00B00AAB" w:rsidRPr="00A51DD1">
        <w:rPr>
          <w:rFonts w:ascii="Times New Roman" w:hAnsi="Times New Roman"/>
          <w:sz w:val="24"/>
          <w:szCs w:val="24"/>
        </w:rPr>
        <w:t xml:space="preserve">MLPs enjoy a higher </w:t>
      </w:r>
      <w:r w:rsidR="000140C9" w:rsidRPr="00A51DD1">
        <w:rPr>
          <w:rFonts w:ascii="Times New Roman" w:hAnsi="Times New Roman"/>
          <w:sz w:val="24"/>
          <w:szCs w:val="24"/>
        </w:rPr>
        <w:t>return</w:t>
      </w:r>
      <w:r w:rsidR="00B00AAB" w:rsidRPr="00A51DD1">
        <w:rPr>
          <w:rFonts w:ascii="Times New Roman" w:hAnsi="Times New Roman"/>
          <w:sz w:val="24"/>
          <w:szCs w:val="24"/>
        </w:rPr>
        <w:t xml:space="preserve"> </w:t>
      </w:r>
      <w:r w:rsidR="000140C9" w:rsidRPr="00A51DD1">
        <w:rPr>
          <w:rFonts w:ascii="Times New Roman" w:hAnsi="Times New Roman"/>
          <w:sz w:val="24"/>
          <w:szCs w:val="24"/>
        </w:rPr>
        <w:t xml:space="preserve">on </w:t>
      </w:r>
      <w:r w:rsidR="008F6791" w:rsidRPr="00A51DD1">
        <w:rPr>
          <w:rFonts w:ascii="Times New Roman" w:hAnsi="Times New Roman"/>
          <w:sz w:val="24"/>
          <w:szCs w:val="24"/>
        </w:rPr>
        <w:t>assets</w:t>
      </w:r>
      <w:r w:rsidR="00B00AAB" w:rsidRPr="00A51DD1">
        <w:rPr>
          <w:rFonts w:ascii="Times New Roman" w:hAnsi="Times New Roman"/>
          <w:sz w:val="24"/>
          <w:szCs w:val="24"/>
        </w:rPr>
        <w:t xml:space="preserve">. </w:t>
      </w:r>
      <w:r w:rsidR="0087564A">
        <w:rPr>
          <w:rFonts w:ascii="Times New Roman" w:hAnsi="Times New Roman"/>
          <w:noProof/>
          <w:sz w:val="24"/>
          <w:szCs w:val="24"/>
        </w:rPr>
        <w:t>Also</w:t>
      </w:r>
      <w:r w:rsidR="00B00AAB" w:rsidRPr="00A51DD1">
        <w:rPr>
          <w:rFonts w:ascii="Times New Roman" w:hAnsi="Times New Roman"/>
          <w:sz w:val="24"/>
          <w:szCs w:val="24"/>
        </w:rPr>
        <w:t xml:space="preserve">, </w:t>
      </w:r>
      <w:r w:rsidR="000F6C3C" w:rsidRPr="00A51DD1">
        <w:rPr>
          <w:rFonts w:ascii="Times New Roman" w:hAnsi="Times New Roman"/>
          <w:sz w:val="24"/>
          <w:szCs w:val="24"/>
        </w:rPr>
        <w:t xml:space="preserve">by affording MLPs a higher market-to-book ratio, </w:t>
      </w:r>
      <w:r w:rsidR="00B00AAB" w:rsidRPr="00A51DD1">
        <w:rPr>
          <w:rFonts w:ascii="Times New Roman" w:hAnsi="Times New Roman"/>
          <w:sz w:val="24"/>
          <w:szCs w:val="24"/>
        </w:rPr>
        <w:t xml:space="preserve">investors like MLPs more. </w:t>
      </w:r>
    </w:p>
    <w:p w14:paraId="2DBCEBF8" w14:textId="3990B4FB" w:rsidR="00881879" w:rsidRPr="00A51DD1" w:rsidRDefault="00B57411">
      <w:pPr>
        <w:spacing w:after="0" w:line="480" w:lineRule="auto"/>
        <w:ind w:firstLine="720"/>
        <w:jc w:val="both"/>
        <w:rPr>
          <w:rFonts w:ascii="Times New Roman" w:hAnsi="Times New Roman"/>
          <w:sz w:val="24"/>
          <w:szCs w:val="24"/>
        </w:rPr>
      </w:pPr>
      <w:r w:rsidRPr="00A51DD1">
        <w:rPr>
          <w:rFonts w:ascii="Times New Roman" w:hAnsi="Times New Roman"/>
          <w:sz w:val="24"/>
          <w:szCs w:val="24"/>
        </w:rPr>
        <w:t xml:space="preserve">On the other hand, MLPs have </w:t>
      </w:r>
      <w:r w:rsidRPr="0087564A">
        <w:rPr>
          <w:rFonts w:ascii="Times New Roman" w:hAnsi="Times New Roman"/>
          <w:noProof/>
          <w:sz w:val="24"/>
          <w:szCs w:val="24"/>
        </w:rPr>
        <w:t>lower</w:t>
      </w:r>
      <w:r w:rsidRPr="00A51DD1">
        <w:rPr>
          <w:rFonts w:ascii="Times New Roman" w:hAnsi="Times New Roman"/>
          <w:sz w:val="24"/>
          <w:szCs w:val="24"/>
        </w:rPr>
        <w:t xml:space="preserve"> liquidity than the matching corporations in the same industry do, as indicated by the variable </w:t>
      </w:r>
      <w:r w:rsidRPr="00A51DD1">
        <w:rPr>
          <w:rFonts w:ascii="Times New Roman" w:hAnsi="Times New Roman"/>
          <w:i/>
          <w:sz w:val="24"/>
          <w:szCs w:val="24"/>
        </w:rPr>
        <w:t>LIQUIDITY</w:t>
      </w:r>
      <w:r w:rsidRPr="00A51DD1">
        <w:rPr>
          <w:rFonts w:ascii="Times New Roman" w:hAnsi="Times New Roman"/>
          <w:sz w:val="24"/>
          <w:szCs w:val="24"/>
        </w:rPr>
        <w:t>. Although</w:t>
      </w:r>
      <w:r w:rsidR="0080790F" w:rsidRPr="00A51DD1">
        <w:rPr>
          <w:rFonts w:ascii="Times New Roman" w:hAnsi="Times New Roman"/>
          <w:sz w:val="24"/>
          <w:szCs w:val="24"/>
        </w:rPr>
        <w:t xml:space="preserve"> the number of </w:t>
      </w:r>
      <w:r w:rsidRPr="00A51DD1">
        <w:rPr>
          <w:rFonts w:ascii="Times New Roman" w:hAnsi="Times New Roman"/>
          <w:sz w:val="24"/>
          <w:szCs w:val="24"/>
        </w:rPr>
        <w:t>the top</w:t>
      </w:r>
      <w:r w:rsidRPr="00A51DD1">
        <w:rPr>
          <w:rStyle w:val="CommentReference"/>
          <w:rFonts w:eastAsia="Calibri"/>
          <w:sz w:val="24"/>
          <w:szCs w:val="24"/>
          <w:lang w:eastAsia="en-US"/>
        </w:rPr>
        <w:t>-</w:t>
      </w:r>
      <w:r w:rsidRPr="00A51DD1">
        <w:rPr>
          <w:rFonts w:ascii="Times New Roman" w:hAnsi="Times New Roman"/>
          <w:sz w:val="24"/>
          <w:szCs w:val="24"/>
        </w:rPr>
        <w:t xml:space="preserve">8 auditors used by </w:t>
      </w:r>
      <w:r w:rsidR="0080790F" w:rsidRPr="00A51DD1">
        <w:rPr>
          <w:rFonts w:ascii="Times New Roman" w:hAnsi="Times New Roman"/>
          <w:sz w:val="24"/>
          <w:szCs w:val="24"/>
        </w:rPr>
        <w:t xml:space="preserve">MLPs </w:t>
      </w:r>
      <w:r w:rsidRPr="00A51DD1">
        <w:rPr>
          <w:rFonts w:ascii="Times New Roman" w:hAnsi="Times New Roman"/>
          <w:sz w:val="24"/>
          <w:szCs w:val="24"/>
        </w:rPr>
        <w:t>is bigger than that used by the</w:t>
      </w:r>
      <w:r w:rsidR="0080790F" w:rsidRPr="00A51DD1">
        <w:rPr>
          <w:rFonts w:ascii="Times New Roman" w:hAnsi="Times New Roman"/>
          <w:sz w:val="24"/>
          <w:szCs w:val="24"/>
        </w:rPr>
        <w:t xml:space="preserve"> </w:t>
      </w:r>
      <w:r w:rsidR="0080790F" w:rsidRPr="0087564A">
        <w:rPr>
          <w:rFonts w:ascii="Times New Roman" w:hAnsi="Times New Roman"/>
          <w:noProof/>
          <w:sz w:val="24"/>
          <w:szCs w:val="24"/>
        </w:rPr>
        <w:t>non</w:t>
      </w:r>
      <w:r w:rsidR="0080790F" w:rsidRPr="00A51DD1">
        <w:rPr>
          <w:rFonts w:ascii="Times New Roman" w:hAnsi="Times New Roman"/>
          <w:sz w:val="24"/>
          <w:szCs w:val="24"/>
        </w:rPr>
        <w:t>-MLP firms</w:t>
      </w:r>
      <w:r w:rsidRPr="00A51DD1">
        <w:rPr>
          <w:rFonts w:ascii="Times New Roman" w:hAnsi="Times New Roman"/>
          <w:sz w:val="24"/>
          <w:szCs w:val="24"/>
        </w:rPr>
        <w:t>,</w:t>
      </w:r>
      <w:r w:rsidR="0080790F" w:rsidRPr="00A51DD1">
        <w:rPr>
          <w:rFonts w:ascii="Times New Roman" w:hAnsi="Times New Roman"/>
          <w:sz w:val="24"/>
          <w:szCs w:val="24"/>
        </w:rPr>
        <w:t xml:space="preserve"> the </w:t>
      </w:r>
      <w:r w:rsidRPr="00A51DD1">
        <w:rPr>
          <w:rFonts w:ascii="Times New Roman" w:hAnsi="Times New Roman"/>
          <w:sz w:val="24"/>
          <w:szCs w:val="24"/>
        </w:rPr>
        <w:t xml:space="preserve">average </w:t>
      </w:r>
      <w:r w:rsidR="0080790F" w:rsidRPr="00A51DD1">
        <w:rPr>
          <w:rFonts w:ascii="Times New Roman" w:hAnsi="Times New Roman"/>
          <w:sz w:val="24"/>
          <w:szCs w:val="24"/>
        </w:rPr>
        <w:t>tenure of the auditor is significantly lower among MLP firms. Similarly</w:t>
      </w:r>
      <w:r w:rsidR="001C637D" w:rsidRPr="00A51DD1">
        <w:rPr>
          <w:rFonts w:ascii="Times New Roman" w:hAnsi="Times New Roman"/>
          <w:sz w:val="24"/>
          <w:szCs w:val="24"/>
        </w:rPr>
        <w:t xml:space="preserve">, the percentage of firm shares held by institutional owners is lower among MLP firms compared to </w:t>
      </w:r>
      <w:r w:rsidR="00C86A68" w:rsidRPr="00A51DD1">
        <w:rPr>
          <w:rFonts w:ascii="Times New Roman" w:hAnsi="Times New Roman"/>
          <w:sz w:val="24"/>
          <w:szCs w:val="24"/>
        </w:rPr>
        <w:t xml:space="preserve">the case with </w:t>
      </w:r>
      <w:r w:rsidR="001C637D" w:rsidRPr="0087564A">
        <w:rPr>
          <w:rFonts w:ascii="Times New Roman" w:hAnsi="Times New Roman"/>
          <w:noProof/>
          <w:sz w:val="24"/>
          <w:szCs w:val="24"/>
        </w:rPr>
        <w:t>non</w:t>
      </w:r>
      <w:r w:rsidR="001C637D" w:rsidRPr="00A51DD1">
        <w:rPr>
          <w:rFonts w:ascii="Times New Roman" w:hAnsi="Times New Roman"/>
          <w:sz w:val="24"/>
          <w:szCs w:val="24"/>
        </w:rPr>
        <w:t xml:space="preserve">-MLP firms </w:t>
      </w:r>
      <w:r w:rsidR="0012070F" w:rsidRPr="00A51DD1">
        <w:rPr>
          <w:rFonts w:ascii="Times New Roman" w:hAnsi="Times New Roman"/>
          <w:sz w:val="24"/>
          <w:szCs w:val="24"/>
        </w:rPr>
        <w:t>(24</w:t>
      </w:r>
      <w:r w:rsidR="008E7843" w:rsidRPr="00A51DD1">
        <w:rPr>
          <w:rFonts w:ascii="Times New Roman" w:hAnsi="Times New Roman"/>
          <w:sz w:val="24"/>
          <w:szCs w:val="24"/>
        </w:rPr>
        <w:t>.1</w:t>
      </w:r>
      <w:r w:rsidR="0012070F" w:rsidRPr="00A51DD1">
        <w:rPr>
          <w:rFonts w:ascii="Times New Roman" w:hAnsi="Times New Roman"/>
          <w:sz w:val="24"/>
          <w:szCs w:val="24"/>
        </w:rPr>
        <w:t xml:space="preserve">% vs. </w:t>
      </w:r>
      <w:r w:rsidR="008E7843" w:rsidRPr="00A51DD1">
        <w:rPr>
          <w:rFonts w:ascii="Times New Roman" w:hAnsi="Times New Roman"/>
          <w:sz w:val="24"/>
          <w:szCs w:val="24"/>
        </w:rPr>
        <w:t>29.9</w:t>
      </w:r>
      <w:r w:rsidR="0080790F" w:rsidRPr="00A51DD1">
        <w:rPr>
          <w:rFonts w:ascii="Times New Roman" w:hAnsi="Times New Roman"/>
          <w:sz w:val="24"/>
          <w:szCs w:val="24"/>
        </w:rPr>
        <w:t>%). The average number of</w:t>
      </w:r>
      <w:r w:rsidR="001C637D" w:rsidRPr="00A51DD1">
        <w:rPr>
          <w:rFonts w:ascii="Times New Roman" w:hAnsi="Times New Roman"/>
          <w:sz w:val="24"/>
          <w:szCs w:val="24"/>
        </w:rPr>
        <w:t xml:space="preserve"> analysts covering each MLP firm </w:t>
      </w:r>
      <w:r w:rsidR="0080790F" w:rsidRPr="00A51DD1">
        <w:rPr>
          <w:rFonts w:ascii="Times New Roman" w:hAnsi="Times New Roman"/>
          <w:sz w:val="24"/>
          <w:szCs w:val="24"/>
        </w:rPr>
        <w:t>is significant</w:t>
      </w:r>
      <w:r w:rsidR="00FD5B68" w:rsidRPr="00A51DD1">
        <w:rPr>
          <w:rFonts w:ascii="Times New Roman" w:hAnsi="Times New Roman"/>
          <w:sz w:val="24"/>
          <w:szCs w:val="24"/>
        </w:rPr>
        <w:t xml:space="preserve">ly lower than that of </w:t>
      </w:r>
      <w:r w:rsidR="00FD5B68" w:rsidRPr="0087564A">
        <w:rPr>
          <w:rFonts w:ascii="Times New Roman" w:hAnsi="Times New Roman"/>
          <w:noProof/>
          <w:sz w:val="24"/>
          <w:szCs w:val="24"/>
        </w:rPr>
        <w:t>non</w:t>
      </w:r>
      <w:r w:rsidR="00FD5B68" w:rsidRPr="00A51DD1">
        <w:rPr>
          <w:rFonts w:ascii="Times New Roman" w:hAnsi="Times New Roman"/>
          <w:sz w:val="24"/>
          <w:szCs w:val="24"/>
        </w:rPr>
        <w:t>-MLP firms (</w:t>
      </w:r>
      <w:r w:rsidR="008E7843" w:rsidRPr="00A51DD1">
        <w:rPr>
          <w:rFonts w:ascii="Times New Roman" w:hAnsi="Times New Roman"/>
          <w:sz w:val="24"/>
          <w:szCs w:val="24"/>
        </w:rPr>
        <w:t>4.42 versus 5</w:t>
      </w:r>
      <w:r w:rsidR="00FD5B68" w:rsidRPr="00A51DD1">
        <w:rPr>
          <w:rFonts w:ascii="Times New Roman" w:hAnsi="Times New Roman"/>
          <w:sz w:val="24"/>
          <w:szCs w:val="24"/>
        </w:rPr>
        <w:t xml:space="preserve">); however, the median number of analysts covering each MLP firm is higher than that of </w:t>
      </w:r>
      <w:r w:rsidR="00FD5B68" w:rsidRPr="0087564A">
        <w:rPr>
          <w:rFonts w:ascii="Times New Roman" w:hAnsi="Times New Roman"/>
          <w:noProof/>
          <w:sz w:val="24"/>
          <w:szCs w:val="24"/>
        </w:rPr>
        <w:t>non</w:t>
      </w:r>
      <w:r w:rsidR="00FD5B68" w:rsidRPr="00A51DD1">
        <w:rPr>
          <w:rFonts w:ascii="Times New Roman" w:hAnsi="Times New Roman"/>
          <w:sz w:val="24"/>
          <w:szCs w:val="24"/>
        </w:rPr>
        <w:t xml:space="preserve">-MLP </w:t>
      </w:r>
      <w:r w:rsidR="0012070F" w:rsidRPr="00A51DD1">
        <w:rPr>
          <w:rFonts w:ascii="Times New Roman" w:hAnsi="Times New Roman"/>
          <w:sz w:val="24"/>
          <w:szCs w:val="24"/>
        </w:rPr>
        <w:t xml:space="preserve">firms (4 </w:t>
      </w:r>
      <w:r w:rsidR="008E7843" w:rsidRPr="00A51DD1">
        <w:rPr>
          <w:rFonts w:ascii="Times New Roman" w:hAnsi="Times New Roman"/>
          <w:sz w:val="24"/>
          <w:szCs w:val="24"/>
        </w:rPr>
        <w:t>versus 1</w:t>
      </w:r>
      <w:r w:rsidR="00FD5B68" w:rsidRPr="00A51DD1">
        <w:rPr>
          <w:rFonts w:ascii="Times New Roman" w:hAnsi="Times New Roman"/>
          <w:sz w:val="24"/>
          <w:szCs w:val="24"/>
        </w:rPr>
        <w:t xml:space="preserve">). The higher standard deviation of the number of analysts among </w:t>
      </w:r>
      <w:r w:rsidR="00FD5B68" w:rsidRPr="0087564A">
        <w:rPr>
          <w:rFonts w:ascii="Times New Roman" w:hAnsi="Times New Roman"/>
          <w:noProof/>
          <w:sz w:val="24"/>
          <w:szCs w:val="24"/>
        </w:rPr>
        <w:t>non</w:t>
      </w:r>
      <w:r w:rsidR="00FD5B68" w:rsidRPr="00A51DD1">
        <w:rPr>
          <w:rFonts w:ascii="Times New Roman" w:hAnsi="Times New Roman"/>
          <w:sz w:val="24"/>
          <w:szCs w:val="24"/>
        </w:rPr>
        <w:t xml:space="preserve">-MLP firms as compared to MLPs suggests a wide dispersion of analyst coverage among </w:t>
      </w:r>
      <w:r w:rsidR="00FD5B68" w:rsidRPr="0087564A">
        <w:rPr>
          <w:rFonts w:ascii="Times New Roman" w:hAnsi="Times New Roman"/>
          <w:noProof/>
          <w:sz w:val="24"/>
          <w:szCs w:val="24"/>
        </w:rPr>
        <w:t>non</w:t>
      </w:r>
      <w:r w:rsidR="00FD5B68" w:rsidRPr="00A51DD1">
        <w:rPr>
          <w:rFonts w:ascii="Times New Roman" w:hAnsi="Times New Roman"/>
          <w:sz w:val="24"/>
          <w:szCs w:val="24"/>
        </w:rPr>
        <w:t xml:space="preserve">-MLP firms. </w:t>
      </w:r>
    </w:p>
    <w:p w14:paraId="194981DD" w14:textId="302B9C05" w:rsidR="001C637D" w:rsidRDefault="00C37AF5" w:rsidP="004253F6">
      <w:pPr>
        <w:spacing w:before="120" w:after="0" w:line="480" w:lineRule="auto"/>
        <w:rPr>
          <w:rFonts w:ascii="Times New Roman" w:hAnsi="Times New Roman"/>
          <w:i/>
          <w:sz w:val="24"/>
          <w:szCs w:val="24"/>
        </w:rPr>
      </w:pPr>
      <w:bookmarkStart w:id="1" w:name="_Hlk500263293"/>
      <w:r w:rsidRPr="00A51DD1">
        <w:rPr>
          <w:rFonts w:ascii="Times New Roman" w:hAnsi="Times New Roman"/>
          <w:i/>
          <w:sz w:val="24"/>
          <w:szCs w:val="24"/>
        </w:rPr>
        <w:t xml:space="preserve">4. </w:t>
      </w:r>
      <w:r w:rsidR="00241996" w:rsidRPr="00A51DD1">
        <w:rPr>
          <w:rFonts w:ascii="Times New Roman" w:hAnsi="Times New Roman"/>
          <w:i/>
          <w:sz w:val="24"/>
          <w:szCs w:val="24"/>
        </w:rPr>
        <w:t xml:space="preserve">2. </w:t>
      </w:r>
      <w:r w:rsidR="00BF4A1D" w:rsidRPr="00A51DD1">
        <w:rPr>
          <w:rFonts w:ascii="Times New Roman" w:hAnsi="Times New Roman"/>
          <w:i/>
          <w:sz w:val="24"/>
          <w:szCs w:val="24"/>
        </w:rPr>
        <w:t xml:space="preserve"> </w:t>
      </w:r>
      <w:r w:rsidR="00523296" w:rsidRPr="00A51DD1">
        <w:rPr>
          <w:rFonts w:ascii="Times New Roman" w:hAnsi="Times New Roman"/>
          <w:i/>
          <w:sz w:val="24"/>
          <w:szCs w:val="24"/>
        </w:rPr>
        <w:t xml:space="preserve">Earnings management between MLPs vs. </w:t>
      </w:r>
      <w:r w:rsidR="00523296" w:rsidRPr="0087564A">
        <w:rPr>
          <w:rFonts w:ascii="Times New Roman" w:hAnsi="Times New Roman"/>
          <w:i/>
          <w:noProof/>
          <w:sz w:val="24"/>
          <w:szCs w:val="24"/>
        </w:rPr>
        <w:t>non</w:t>
      </w:r>
      <w:r w:rsidR="00523296" w:rsidRPr="00A51DD1">
        <w:rPr>
          <w:rFonts w:ascii="Times New Roman" w:hAnsi="Times New Roman"/>
          <w:i/>
          <w:sz w:val="24"/>
          <w:szCs w:val="24"/>
        </w:rPr>
        <w:t>-MLP firms – Whole sample</w:t>
      </w:r>
      <w:bookmarkEnd w:id="1"/>
    </w:p>
    <w:p w14:paraId="140D285D" w14:textId="2D63CC13" w:rsidR="004347F9" w:rsidRPr="0095029D" w:rsidRDefault="004347F9" w:rsidP="0095029D">
      <w:pPr>
        <w:spacing w:before="120" w:after="0" w:line="480" w:lineRule="auto"/>
        <w:jc w:val="both"/>
        <w:rPr>
          <w:rFonts w:ascii="Times New Roman" w:hAnsi="Times New Roman"/>
          <w:sz w:val="24"/>
          <w:szCs w:val="24"/>
        </w:rPr>
      </w:pPr>
      <w:r>
        <w:rPr>
          <w:rFonts w:ascii="Times New Roman" w:hAnsi="Times New Roman"/>
          <w:sz w:val="24"/>
          <w:szCs w:val="24"/>
        </w:rPr>
        <w:tab/>
      </w:r>
      <w:r w:rsidRPr="0095029D">
        <w:rPr>
          <w:rFonts w:ascii="Times New Roman" w:hAnsi="Times New Roman"/>
          <w:sz w:val="24"/>
          <w:szCs w:val="24"/>
        </w:rPr>
        <w:t xml:space="preserve">The preliminary results in Table 2 suggest that MLP firms engage in more real earnings management than </w:t>
      </w:r>
      <w:r w:rsidRPr="0087564A">
        <w:rPr>
          <w:rFonts w:ascii="Times New Roman" w:hAnsi="Times New Roman"/>
          <w:noProof/>
          <w:sz w:val="24"/>
          <w:szCs w:val="24"/>
        </w:rPr>
        <w:t>non</w:t>
      </w:r>
      <w:r w:rsidRPr="0095029D">
        <w:rPr>
          <w:rFonts w:ascii="Times New Roman" w:hAnsi="Times New Roman"/>
          <w:sz w:val="24"/>
          <w:szCs w:val="24"/>
        </w:rPr>
        <w:t xml:space="preserve">-MLP firms in the same industry. </w:t>
      </w:r>
      <w:r w:rsidR="00377FBB" w:rsidRPr="0095029D">
        <w:rPr>
          <w:rFonts w:ascii="Times New Roman" w:hAnsi="Times New Roman"/>
          <w:sz w:val="24"/>
          <w:szCs w:val="24"/>
        </w:rPr>
        <w:t xml:space="preserve">However, given that many of MLP firms’ characteristics are different </w:t>
      </w:r>
      <w:r w:rsidR="001F0B4A" w:rsidRPr="0095029D">
        <w:rPr>
          <w:rFonts w:ascii="Times New Roman" w:hAnsi="Times New Roman"/>
          <w:sz w:val="24"/>
          <w:szCs w:val="24"/>
        </w:rPr>
        <w:t>from</w:t>
      </w:r>
      <w:r w:rsidR="00377FBB" w:rsidRPr="0095029D">
        <w:rPr>
          <w:rFonts w:ascii="Times New Roman" w:hAnsi="Times New Roman"/>
          <w:sz w:val="24"/>
          <w:szCs w:val="24"/>
        </w:rPr>
        <w:t xml:space="preserve"> those of </w:t>
      </w:r>
      <w:r w:rsidR="00377FBB" w:rsidRPr="0087564A">
        <w:rPr>
          <w:rFonts w:ascii="Times New Roman" w:hAnsi="Times New Roman"/>
          <w:noProof/>
          <w:sz w:val="24"/>
          <w:szCs w:val="24"/>
        </w:rPr>
        <w:t>non</w:t>
      </w:r>
      <w:r w:rsidR="00377FBB" w:rsidRPr="0095029D">
        <w:rPr>
          <w:rFonts w:ascii="Times New Roman" w:hAnsi="Times New Roman"/>
          <w:sz w:val="24"/>
          <w:szCs w:val="24"/>
        </w:rPr>
        <w:t xml:space="preserve">-MLP matching firms, the differences in the real earnings management might be attributable to other firm characteristics. In Table </w:t>
      </w:r>
      <w:r w:rsidR="007C007B" w:rsidRPr="0095029D">
        <w:rPr>
          <w:rFonts w:ascii="Times New Roman" w:hAnsi="Times New Roman"/>
          <w:sz w:val="24"/>
          <w:szCs w:val="24"/>
        </w:rPr>
        <w:t>3</w:t>
      </w:r>
      <w:r w:rsidR="00377FBB" w:rsidRPr="0095029D">
        <w:rPr>
          <w:rFonts w:ascii="Times New Roman" w:hAnsi="Times New Roman"/>
          <w:sz w:val="24"/>
          <w:szCs w:val="24"/>
        </w:rPr>
        <w:t xml:space="preserve">, we perform the univariate comparison of earnings management measures between MLP firms and </w:t>
      </w:r>
      <w:r w:rsidR="00377FBB" w:rsidRPr="0087564A">
        <w:rPr>
          <w:rFonts w:ascii="Times New Roman" w:hAnsi="Times New Roman"/>
          <w:noProof/>
          <w:sz w:val="24"/>
          <w:szCs w:val="24"/>
        </w:rPr>
        <w:t>non</w:t>
      </w:r>
      <w:r w:rsidR="00377FBB" w:rsidRPr="0095029D">
        <w:rPr>
          <w:rFonts w:ascii="Times New Roman" w:hAnsi="Times New Roman"/>
          <w:sz w:val="24"/>
          <w:szCs w:val="24"/>
        </w:rPr>
        <w:t>-MLP firms matched on al</w:t>
      </w:r>
      <w:r w:rsidR="00183499" w:rsidRPr="0095029D">
        <w:rPr>
          <w:rFonts w:ascii="Times New Roman" w:hAnsi="Times New Roman"/>
          <w:sz w:val="24"/>
          <w:szCs w:val="24"/>
        </w:rPr>
        <w:t xml:space="preserve">ternative firm characteristics. We match each MLP firm with a </w:t>
      </w:r>
      <w:r w:rsidR="00183499" w:rsidRPr="0087564A">
        <w:rPr>
          <w:rFonts w:ascii="Times New Roman" w:hAnsi="Times New Roman"/>
          <w:noProof/>
          <w:sz w:val="24"/>
          <w:szCs w:val="24"/>
        </w:rPr>
        <w:t>non</w:t>
      </w:r>
      <w:r w:rsidR="00183499" w:rsidRPr="0095029D">
        <w:rPr>
          <w:rFonts w:ascii="Times New Roman" w:hAnsi="Times New Roman"/>
          <w:sz w:val="24"/>
          <w:szCs w:val="24"/>
        </w:rPr>
        <w:t xml:space="preserve">-MLP firm in the same industry </w:t>
      </w:r>
      <w:r w:rsidR="00C14DAC" w:rsidRPr="0095029D">
        <w:rPr>
          <w:rFonts w:ascii="Times New Roman" w:hAnsi="Times New Roman"/>
          <w:sz w:val="24"/>
          <w:szCs w:val="24"/>
        </w:rPr>
        <w:t xml:space="preserve">with the closest (1) assets (in Panel A), (2) market capitalization (in Panel B), (3) market-to-book ratio (in Panel C), (4) return on asset (in Panel D), (5) debt ratio (in Panel E) and (6) sales growth (in Panel F). The six firm characteristics </w:t>
      </w:r>
      <w:r w:rsidR="00C14DAC" w:rsidRPr="0087564A">
        <w:rPr>
          <w:rFonts w:ascii="Times New Roman" w:hAnsi="Times New Roman"/>
          <w:noProof/>
          <w:sz w:val="24"/>
          <w:szCs w:val="24"/>
        </w:rPr>
        <w:t>are obtained</w:t>
      </w:r>
      <w:r w:rsidR="00C14DAC" w:rsidRPr="0095029D">
        <w:rPr>
          <w:rFonts w:ascii="Times New Roman" w:hAnsi="Times New Roman"/>
          <w:sz w:val="24"/>
          <w:szCs w:val="24"/>
        </w:rPr>
        <w:t xml:space="preserve"> for the preceding year.</w:t>
      </w:r>
      <w:r w:rsidR="002B4144" w:rsidRPr="0095029D">
        <w:rPr>
          <w:rFonts w:ascii="Times New Roman" w:hAnsi="Times New Roman"/>
          <w:sz w:val="24"/>
          <w:szCs w:val="24"/>
        </w:rPr>
        <w:t xml:space="preserve"> Regardless of the matching criteria, the real earnings management (</w:t>
      </w:r>
      <w:r w:rsidR="002B4144" w:rsidRPr="0095029D">
        <w:rPr>
          <w:rFonts w:ascii="Times New Roman" w:hAnsi="Times New Roman"/>
          <w:i/>
          <w:sz w:val="24"/>
          <w:szCs w:val="24"/>
        </w:rPr>
        <w:t>RM1</w:t>
      </w:r>
      <w:r w:rsidR="002B4144" w:rsidRPr="0095029D">
        <w:rPr>
          <w:rFonts w:ascii="Times New Roman" w:hAnsi="Times New Roman"/>
          <w:sz w:val="24"/>
          <w:szCs w:val="24"/>
        </w:rPr>
        <w:t xml:space="preserve"> and </w:t>
      </w:r>
      <w:r w:rsidR="002B4144" w:rsidRPr="0095029D">
        <w:rPr>
          <w:rFonts w:ascii="Times New Roman" w:hAnsi="Times New Roman"/>
          <w:i/>
          <w:sz w:val="24"/>
          <w:szCs w:val="24"/>
        </w:rPr>
        <w:t>RM2</w:t>
      </w:r>
      <w:r w:rsidR="002B4144" w:rsidRPr="0095029D">
        <w:rPr>
          <w:rFonts w:ascii="Times New Roman" w:hAnsi="Times New Roman"/>
          <w:sz w:val="24"/>
          <w:szCs w:val="24"/>
        </w:rPr>
        <w:t xml:space="preserve">) are consistently </w:t>
      </w:r>
      <w:r w:rsidR="00956274" w:rsidRPr="0095029D">
        <w:rPr>
          <w:rFonts w:ascii="Times New Roman" w:hAnsi="Times New Roman"/>
          <w:sz w:val="24"/>
          <w:szCs w:val="24"/>
        </w:rPr>
        <w:t xml:space="preserve">and statistically higher among MLP firms. </w:t>
      </w:r>
    </w:p>
    <w:p w14:paraId="7A71503E" w14:textId="7F7BCB0F" w:rsidR="0087564A" w:rsidRDefault="00D00DF2" w:rsidP="0095029D">
      <w:pPr>
        <w:spacing w:after="0" w:line="480" w:lineRule="auto"/>
        <w:ind w:firstLine="720"/>
        <w:jc w:val="both"/>
        <w:rPr>
          <w:rFonts w:ascii="Times New Roman" w:hAnsi="Times New Roman"/>
          <w:noProof/>
          <w:sz w:val="24"/>
          <w:szCs w:val="24"/>
        </w:rPr>
      </w:pPr>
      <w:r w:rsidRPr="0095029D">
        <w:rPr>
          <w:rFonts w:ascii="Times New Roman" w:hAnsi="Times New Roman"/>
          <w:sz w:val="24"/>
          <w:szCs w:val="24"/>
        </w:rPr>
        <w:t>In Table 4</w:t>
      </w:r>
      <w:r w:rsidR="00956274" w:rsidRPr="0095029D">
        <w:rPr>
          <w:rFonts w:ascii="Times New Roman" w:hAnsi="Times New Roman"/>
          <w:sz w:val="24"/>
          <w:szCs w:val="24"/>
        </w:rPr>
        <w:t xml:space="preserve">, we report the results from cross-sectional analyses of the earnings management measures. </w:t>
      </w:r>
      <w:r w:rsidR="00777F4F" w:rsidRPr="0095029D">
        <w:rPr>
          <w:rFonts w:ascii="Times New Roman" w:hAnsi="Times New Roman"/>
          <w:sz w:val="24"/>
          <w:szCs w:val="24"/>
        </w:rPr>
        <w:t xml:space="preserve">As shown in Table </w:t>
      </w:r>
      <w:r w:rsidRPr="0095029D">
        <w:rPr>
          <w:rFonts w:ascii="Times New Roman" w:hAnsi="Times New Roman"/>
          <w:sz w:val="24"/>
          <w:szCs w:val="24"/>
        </w:rPr>
        <w:t>4</w:t>
      </w:r>
      <w:r w:rsidR="00777F4F" w:rsidRPr="0095029D">
        <w:rPr>
          <w:rFonts w:ascii="Times New Roman" w:hAnsi="Times New Roman"/>
          <w:sz w:val="24"/>
          <w:szCs w:val="24"/>
        </w:rPr>
        <w:t xml:space="preserve">, </w:t>
      </w:r>
      <w:r w:rsidR="005B7570" w:rsidRPr="000A48C9">
        <w:rPr>
          <w:rFonts w:ascii="Times New Roman" w:hAnsi="Times New Roman"/>
          <w:sz w:val="24"/>
          <w:szCs w:val="24"/>
        </w:rPr>
        <w:t>the coefficients</w:t>
      </w:r>
      <w:r w:rsidR="000D714B" w:rsidRPr="000A48C9">
        <w:rPr>
          <w:rFonts w:ascii="Times New Roman" w:hAnsi="Times New Roman"/>
          <w:sz w:val="24"/>
          <w:szCs w:val="24"/>
        </w:rPr>
        <w:t xml:space="preserve"> </w:t>
      </w:r>
      <w:r w:rsidR="00C87486" w:rsidRPr="000A48C9">
        <w:rPr>
          <w:rFonts w:ascii="Times New Roman" w:hAnsi="Times New Roman"/>
          <w:sz w:val="24"/>
          <w:szCs w:val="24"/>
        </w:rPr>
        <w:t xml:space="preserve">for </w:t>
      </w:r>
      <w:r w:rsidR="000D714B" w:rsidRPr="000A48C9">
        <w:rPr>
          <w:rFonts w:ascii="Times New Roman" w:hAnsi="Times New Roman"/>
          <w:sz w:val="24"/>
          <w:szCs w:val="24"/>
        </w:rPr>
        <w:t xml:space="preserve">the MLP variable </w:t>
      </w:r>
      <w:r w:rsidR="00D464D4" w:rsidRPr="000A48C9">
        <w:rPr>
          <w:rFonts w:ascii="Times New Roman" w:hAnsi="Times New Roman"/>
          <w:sz w:val="24"/>
          <w:szCs w:val="24"/>
        </w:rPr>
        <w:t>is</w:t>
      </w:r>
      <w:r w:rsidR="000D714B" w:rsidRPr="000A48C9">
        <w:rPr>
          <w:rFonts w:ascii="Times New Roman" w:hAnsi="Times New Roman"/>
          <w:sz w:val="24"/>
          <w:szCs w:val="24"/>
        </w:rPr>
        <w:t xml:space="preserve"> significant</w:t>
      </w:r>
      <w:r w:rsidR="00320FB2" w:rsidRPr="000A48C9">
        <w:rPr>
          <w:rFonts w:ascii="Times New Roman" w:hAnsi="Times New Roman"/>
          <w:sz w:val="24"/>
          <w:szCs w:val="24"/>
        </w:rPr>
        <w:t>ly</w:t>
      </w:r>
      <w:r w:rsidR="000D714B" w:rsidRPr="000A48C9">
        <w:rPr>
          <w:rFonts w:ascii="Times New Roman" w:hAnsi="Times New Roman"/>
          <w:sz w:val="24"/>
          <w:szCs w:val="24"/>
        </w:rPr>
        <w:t xml:space="preserve"> </w:t>
      </w:r>
      <w:r w:rsidR="00320FB2" w:rsidRPr="000A48C9">
        <w:rPr>
          <w:rFonts w:ascii="Times New Roman" w:hAnsi="Times New Roman"/>
          <w:sz w:val="24"/>
          <w:szCs w:val="24"/>
        </w:rPr>
        <w:t xml:space="preserve">positive </w:t>
      </w:r>
      <w:r w:rsidR="001555A2" w:rsidRPr="000A48C9">
        <w:rPr>
          <w:rFonts w:ascii="Times New Roman" w:hAnsi="Times New Roman"/>
          <w:sz w:val="24"/>
          <w:szCs w:val="24"/>
        </w:rPr>
        <w:t>in Models 1</w:t>
      </w:r>
      <w:r w:rsidR="005B7570" w:rsidRPr="000A48C9">
        <w:rPr>
          <w:rFonts w:ascii="Times New Roman" w:hAnsi="Times New Roman"/>
          <w:sz w:val="24"/>
          <w:szCs w:val="24"/>
        </w:rPr>
        <w:t xml:space="preserve"> and </w:t>
      </w:r>
      <w:r w:rsidR="008E7843" w:rsidRPr="000A48C9">
        <w:rPr>
          <w:rFonts w:ascii="Times New Roman" w:hAnsi="Times New Roman"/>
          <w:sz w:val="24"/>
          <w:szCs w:val="24"/>
        </w:rPr>
        <w:t>2</w:t>
      </w:r>
      <w:r w:rsidR="005B7570" w:rsidRPr="000A48C9">
        <w:rPr>
          <w:rFonts w:ascii="Times New Roman" w:hAnsi="Times New Roman"/>
          <w:sz w:val="24"/>
          <w:szCs w:val="24"/>
        </w:rPr>
        <w:t>. Therefore, ML</w:t>
      </w:r>
      <w:r w:rsidR="000D714B" w:rsidRPr="000A48C9">
        <w:rPr>
          <w:rFonts w:ascii="Times New Roman" w:hAnsi="Times New Roman"/>
          <w:sz w:val="24"/>
          <w:szCs w:val="24"/>
        </w:rPr>
        <w:t>P</w:t>
      </w:r>
      <w:r w:rsidR="00C87486" w:rsidRPr="000A48C9">
        <w:rPr>
          <w:rFonts w:ascii="Times New Roman" w:hAnsi="Times New Roman"/>
          <w:sz w:val="24"/>
          <w:szCs w:val="24"/>
        </w:rPr>
        <w:t>s</w:t>
      </w:r>
      <w:r w:rsidR="000D714B" w:rsidRPr="000A48C9">
        <w:rPr>
          <w:rFonts w:ascii="Times New Roman" w:hAnsi="Times New Roman"/>
          <w:sz w:val="24"/>
          <w:szCs w:val="24"/>
        </w:rPr>
        <w:t xml:space="preserve"> engage in significantly more real activities </w:t>
      </w:r>
      <w:r w:rsidR="005B7570" w:rsidRPr="000A48C9">
        <w:rPr>
          <w:rFonts w:ascii="Times New Roman" w:hAnsi="Times New Roman"/>
          <w:sz w:val="24"/>
          <w:szCs w:val="24"/>
        </w:rPr>
        <w:t>adjustments in discretionary expenses and production costs</w:t>
      </w:r>
      <w:r w:rsidR="000D714B" w:rsidRPr="000A48C9">
        <w:rPr>
          <w:rFonts w:ascii="Times New Roman" w:hAnsi="Times New Roman"/>
          <w:sz w:val="24"/>
          <w:szCs w:val="24"/>
        </w:rPr>
        <w:t xml:space="preserve"> than </w:t>
      </w:r>
      <w:r w:rsidR="000D714B" w:rsidRPr="0087564A">
        <w:rPr>
          <w:rFonts w:ascii="Times New Roman" w:hAnsi="Times New Roman"/>
          <w:noProof/>
          <w:sz w:val="24"/>
          <w:szCs w:val="24"/>
        </w:rPr>
        <w:t>non</w:t>
      </w:r>
      <w:r w:rsidR="000D714B" w:rsidRPr="000A48C9">
        <w:rPr>
          <w:rFonts w:ascii="Times New Roman" w:hAnsi="Times New Roman"/>
          <w:sz w:val="24"/>
          <w:szCs w:val="24"/>
        </w:rPr>
        <w:t>-MLP matching firms</w:t>
      </w:r>
      <w:r w:rsidR="003A24B7" w:rsidRPr="000A48C9">
        <w:rPr>
          <w:rFonts w:ascii="Times New Roman" w:hAnsi="Times New Roman"/>
          <w:sz w:val="24"/>
          <w:szCs w:val="24"/>
        </w:rPr>
        <w:t xml:space="preserve"> do</w:t>
      </w:r>
      <w:r w:rsidR="000D714B" w:rsidRPr="000A48C9">
        <w:rPr>
          <w:rFonts w:ascii="Times New Roman" w:hAnsi="Times New Roman"/>
          <w:sz w:val="24"/>
          <w:szCs w:val="24"/>
        </w:rPr>
        <w:t xml:space="preserve">. </w:t>
      </w:r>
      <w:r w:rsidR="005B7570" w:rsidRPr="000A48C9">
        <w:rPr>
          <w:rFonts w:ascii="Times New Roman" w:hAnsi="Times New Roman"/>
          <w:sz w:val="24"/>
          <w:szCs w:val="24"/>
        </w:rPr>
        <w:t>However, the coefficient for the MLP dummy variable in Model 3 is insignificant. This result is different from the univariate result in Table 2</w:t>
      </w:r>
      <w:r w:rsidR="00956274" w:rsidRPr="000A48C9">
        <w:rPr>
          <w:rFonts w:ascii="Times New Roman" w:hAnsi="Times New Roman"/>
          <w:sz w:val="24"/>
          <w:szCs w:val="24"/>
        </w:rPr>
        <w:t xml:space="preserve"> </w:t>
      </w:r>
      <w:r w:rsidR="00956274" w:rsidRPr="0095029D">
        <w:rPr>
          <w:rFonts w:ascii="Times New Roman" w:hAnsi="Times New Roman"/>
          <w:sz w:val="24"/>
          <w:szCs w:val="24"/>
        </w:rPr>
        <w:t>but is consistent with the result in Table 3</w:t>
      </w:r>
      <w:r w:rsidR="005B7570" w:rsidRPr="0095029D">
        <w:rPr>
          <w:rFonts w:ascii="Times New Roman" w:hAnsi="Times New Roman"/>
          <w:sz w:val="24"/>
          <w:szCs w:val="24"/>
        </w:rPr>
        <w:t>.</w:t>
      </w:r>
      <w:r w:rsidR="005B7570" w:rsidRPr="000A48C9">
        <w:rPr>
          <w:rFonts w:ascii="Times New Roman" w:hAnsi="Times New Roman"/>
          <w:sz w:val="24"/>
          <w:szCs w:val="24"/>
        </w:rPr>
        <w:t xml:space="preserve"> Therefore, after controlling for contributing factors such as operating efficiency, institutional ownership, and financial leverage, MLPs are no different from the matching corporations </w:t>
      </w:r>
      <w:r w:rsidR="0087564A">
        <w:rPr>
          <w:rFonts w:ascii="Times New Roman" w:hAnsi="Times New Roman"/>
          <w:noProof/>
          <w:sz w:val="24"/>
          <w:szCs w:val="24"/>
        </w:rPr>
        <w:t>regarding</w:t>
      </w:r>
      <w:r w:rsidR="005B7570" w:rsidRPr="000A48C9">
        <w:rPr>
          <w:rFonts w:ascii="Times New Roman" w:hAnsi="Times New Roman"/>
          <w:sz w:val="24"/>
          <w:szCs w:val="24"/>
        </w:rPr>
        <w:t xml:space="preserve"> smoothing operating cash flow</w:t>
      </w:r>
      <w:r w:rsidR="005B7570" w:rsidRPr="0087564A">
        <w:rPr>
          <w:rFonts w:ascii="Times New Roman" w:hAnsi="Times New Roman"/>
          <w:noProof/>
          <w:sz w:val="24"/>
          <w:szCs w:val="24"/>
        </w:rPr>
        <w:t>.</w:t>
      </w:r>
    </w:p>
    <w:p w14:paraId="3FE08905" w14:textId="4B2A0266" w:rsidR="00B97882" w:rsidRPr="000A48C9" w:rsidRDefault="005B7570" w:rsidP="0095029D">
      <w:pPr>
        <w:spacing w:after="0" w:line="480" w:lineRule="auto"/>
        <w:ind w:firstLine="720"/>
        <w:jc w:val="both"/>
        <w:rPr>
          <w:rFonts w:ascii="Times New Roman" w:hAnsi="Times New Roman"/>
          <w:sz w:val="24"/>
          <w:szCs w:val="24"/>
        </w:rPr>
      </w:pPr>
      <w:r w:rsidRPr="0087564A">
        <w:rPr>
          <w:rFonts w:ascii="Times New Roman" w:hAnsi="Times New Roman"/>
          <w:noProof/>
          <w:sz w:val="24"/>
          <w:szCs w:val="24"/>
        </w:rPr>
        <w:t>Nevertheless</w:t>
      </w:r>
      <w:r w:rsidRPr="000A48C9">
        <w:rPr>
          <w:rFonts w:ascii="Times New Roman" w:hAnsi="Times New Roman"/>
          <w:sz w:val="24"/>
          <w:szCs w:val="24"/>
        </w:rPr>
        <w:t xml:space="preserve">, results from Models 4 and 5 indicate that MLPs do make more adjustment in response to unexpected shocks in demand and supply as the coefficients for the MLP dummy variable are highly significant in both models. </w:t>
      </w:r>
      <w:r w:rsidR="00AF5F5B" w:rsidRPr="000A48C9">
        <w:rPr>
          <w:rFonts w:ascii="Times New Roman" w:hAnsi="Times New Roman"/>
          <w:sz w:val="24"/>
          <w:szCs w:val="24"/>
        </w:rPr>
        <w:t xml:space="preserve">Results from </w:t>
      </w:r>
      <w:r w:rsidR="003A24B7" w:rsidRPr="000A48C9">
        <w:rPr>
          <w:rFonts w:ascii="Times New Roman" w:hAnsi="Times New Roman"/>
          <w:sz w:val="24"/>
          <w:szCs w:val="24"/>
        </w:rPr>
        <w:t>M</w:t>
      </w:r>
      <w:r w:rsidR="000D714B" w:rsidRPr="000A48C9">
        <w:rPr>
          <w:rFonts w:ascii="Times New Roman" w:hAnsi="Times New Roman"/>
          <w:sz w:val="24"/>
          <w:szCs w:val="24"/>
        </w:rPr>
        <w:t>odels 6</w:t>
      </w:r>
      <w:r w:rsidR="00686AC6" w:rsidRPr="000A48C9">
        <w:rPr>
          <w:rFonts w:ascii="Times New Roman" w:hAnsi="Times New Roman"/>
          <w:sz w:val="24"/>
          <w:szCs w:val="24"/>
        </w:rPr>
        <w:t>, 7</w:t>
      </w:r>
      <w:r w:rsidR="000D714B" w:rsidRPr="000A48C9">
        <w:rPr>
          <w:rFonts w:ascii="Times New Roman" w:hAnsi="Times New Roman"/>
          <w:sz w:val="24"/>
          <w:szCs w:val="24"/>
        </w:rPr>
        <w:t xml:space="preserve"> and 8</w:t>
      </w:r>
      <w:r w:rsidR="00AF5F5B" w:rsidRPr="000A48C9">
        <w:rPr>
          <w:rFonts w:ascii="Times New Roman" w:hAnsi="Times New Roman"/>
          <w:sz w:val="24"/>
          <w:szCs w:val="24"/>
        </w:rPr>
        <w:t xml:space="preserve"> show that </w:t>
      </w:r>
      <w:r w:rsidR="000D714B" w:rsidRPr="000A48C9">
        <w:rPr>
          <w:rFonts w:ascii="Times New Roman" w:hAnsi="Times New Roman"/>
          <w:sz w:val="24"/>
          <w:szCs w:val="24"/>
        </w:rPr>
        <w:t>the coefficients on the MLP variable are statistically</w:t>
      </w:r>
      <w:r w:rsidR="003D6880" w:rsidRPr="000A48C9">
        <w:rPr>
          <w:rFonts w:ascii="Times New Roman" w:hAnsi="Times New Roman"/>
          <w:sz w:val="24"/>
          <w:szCs w:val="24"/>
        </w:rPr>
        <w:t xml:space="preserve"> insignificant, suggesting that MLP firms do not engage in more accruals-based earnings management than </w:t>
      </w:r>
      <w:r w:rsidR="00C87486" w:rsidRPr="000A48C9">
        <w:rPr>
          <w:rFonts w:ascii="Times New Roman" w:hAnsi="Times New Roman"/>
          <w:sz w:val="24"/>
          <w:szCs w:val="24"/>
        </w:rPr>
        <w:t xml:space="preserve">the </w:t>
      </w:r>
      <w:r w:rsidR="003D6880" w:rsidRPr="0087564A">
        <w:rPr>
          <w:rFonts w:ascii="Times New Roman" w:hAnsi="Times New Roman"/>
          <w:noProof/>
          <w:sz w:val="24"/>
          <w:szCs w:val="24"/>
        </w:rPr>
        <w:t>non</w:t>
      </w:r>
      <w:r w:rsidR="003D6880" w:rsidRPr="000A48C9">
        <w:rPr>
          <w:rFonts w:ascii="Times New Roman" w:hAnsi="Times New Roman"/>
          <w:sz w:val="24"/>
          <w:szCs w:val="24"/>
        </w:rPr>
        <w:t>-MLP firms</w:t>
      </w:r>
      <w:r w:rsidR="00C87486" w:rsidRPr="000A48C9">
        <w:rPr>
          <w:rFonts w:ascii="Times New Roman" w:hAnsi="Times New Roman"/>
          <w:sz w:val="24"/>
          <w:szCs w:val="24"/>
        </w:rPr>
        <w:t xml:space="preserve"> do</w:t>
      </w:r>
      <w:r w:rsidR="003D6880" w:rsidRPr="000A48C9">
        <w:rPr>
          <w:rFonts w:ascii="Times New Roman" w:hAnsi="Times New Roman"/>
          <w:sz w:val="24"/>
          <w:szCs w:val="24"/>
        </w:rPr>
        <w:t>.</w:t>
      </w:r>
      <w:r w:rsidR="00216010" w:rsidRPr="000A48C9">
        <w:rPr>
          <w:rFonts w:ascii="Times New Roman" w:hAnsi="Times New Roman"/>
          <w:sz w:val="24"/>
          <w:szCs w:val="24"/>
        </w:rPr>
        <w:t xml:space="preserve"> </w:t>
      </w:r>
      <w:r w:rsidR="00CE3B93" w:rsidRPr="000A48C9">
        <w:rPr>
          <w:rFonts w:ascii="Times New Roman" w:hAnsi="Times New Roman"/>
          <w:sz w:val="24"/>
          <w:szCs w:val="24"/>
        </w:rPr>
        <w:t xml:space="preserve">In Models 7 and 8, </w:t>
      </w:r>
      <w:r w:rsidR="00100288" w:rsidRPr="000A48C9">
        <w:rPr>
          <w:rFonts w:ascii="Times New Roman" w:hAnsi="Times New Roman"/>
          <w:sz w:val="24"/>
          <w:szCs w:val="24"/>
        </w:rPr>
        <w:t>the coefficients for both measurements of the likelihood of engaging in real activities management are significantly positive, indicating coordinated earnings management, i.e., those engaging in real activities management also conduct discretional accruals-based earnings management.</w:t>
      </w:r>
      <w:r w:rsidR="00844891" w:rsidRPr="000A48C9">
        <w:rPr>
          <w:rFonts w:ascii="Times New Roman" w:hAnsi="Times New Roman"/>
          <w:sz w:val="24"/>
          <w:szCs w:val="24"/>
          <w:vertAlign w:val="superscript"/>
        </w:rPr>
        <w:footnoteReference w:id="2"/>
      </w:r>
      <w:r w:rsidR="00D464D4" w:rsidRPr="000A48C9">
        <w:rPr>
          <w:rFonts w:ascii="Times New Roman" w:hAnsi="Times New Roman"/>
          <w:sz w:val="24"/>
          <w:szCs w:val="24"/>
        </w:rPr>
        <w:tab/>
      </w:r>
    </w:p>
    <w:p w14:paraId="23F561A8" w14:textId="1A7395B2" w:rsidR="00B97882" w:rsidRPr="000A48C9" w:rsidRDefault="00B97882" w:rsidP="00A23801">
      <w:pPr>
        <w:spacing w:before="120" w:after="120" w:line="480" w:lineRule="auto"/>
        <w:jc w:val="center"/>
        <w:rPr>
          <w:rFonts w:ascii="Times New Roman" w:hAnsi="Times New Roman"/>
          <w:sz w:val="24"/>
          <w:szCs w:val="24"/>
        </w:rPr>
      </w:pPr>
      <w:r w:rsidRPr="000A48C9">
        <w:rPr>
          <w:rFonts w:ascii="Times New Roman" w:hAnsi="Times New Roman"/>
          <w:sz w:val="24"/>
          <w:szCs w:val="24"/>
        </w:rPr>
        <w:t xml:space="preserve">[INSERT </w:t>
      </w:r>
      <w:r w:rsidRPr="0095029D">
        <w:rPr>
          <w:rFonts w:ascii="Times New Roman" w:hAnsi="Times New Roman"/>
          <w:sz w:val="24"/>
          <w:szCs w:val="24"/>
        </w:rPr>
        <w:t xml:space="preserve">TABLE </w:t>
      </w:r>
      <w:r w:rsidR="00D00DF2" w:rsidRPr="0095029D">
        <w:rPr>
          <w:rFonts w:ascii="Times New Roman" w:hAnsi="Times New Roman"/>
          <w:sz w:val="24"/>
          <w:szCs w:val="24"/>
        </w:rPr>
        <w:t>4</w:t>
      </w:r>
      <w:r w:rsidRPr="0095029D">
        <w:rPr>
          <w:rFonts w:ascii="Times New Roman" w:hAnsi="Times New Roman"/>
          <w:sz w:val="24"/>
          <w:szCs w:val="24"/>
        </w:rPr>
        <w:t xml:space="preserve"> ABOUT</w:t>
      </w:r>
      <w:r w:rsidRPr="000A48C9">
        <w:rPr>
          <w:rFonts w:ascii="Times New Roman" w:hAnsi="Times New Roman"/>
          <w:sz w:val="24"/>
          <w:szCs w:val="24"/>
        </w:rPr>
        <w:t xml:space="preserve"> HERE]</w:t>
      </w:r>
    </w:p>
    <w:p w14:paraId="0E74B62E" w14:textId="0A1D6CB6" w:rsidR="00DA7BCD" w:rsidRPr="000A48C9" w:rsidRDefault="00DA7BCD" w:rsidP="00DA7BCD">
      <w:pPr>
        <w:spacing w:after="0" w:line="480" w:lineRule="auto"/>
        <w:ind w:firstLine="720"/>
        <w:jc w:val="both"/>
        <w:rPr>
          <w:rFonts w:ascii="Times New Roman" w:hAnsi="Times New Roman"/>
          <w:sz w:val="24"/>
          <w:szCs w:val="24"/>
        </w:rPr>
      </w:pPr>
      <w:r w:rsidRPr="000A48C9">
        <w:rPr>
          <w:rFonts w:ascii="Times New Roman" w:hAnsi="Times New Roman"/>
          <w:sz w:val="24"/>
          <w:szCs w:val="24"/>
        </w:rPr>
        <w:t>In the real activities management regressions in Models 1-5, the coeffici</w:t>
      </w:r>
      <w:r w:rsidR="00D00DF2" w:rsidRPr="000A48C9">
        <w:rPr>
          <w:rFonts w:ascii="Times New Roman" w:hAnsi="Times New Roman"/>
          <w:sz w:val="24"/>
          <w:szCs w:val="24"/>
        </w:rPr>
        <w:t>ent on firm size variable is insignificant</w:t>
      </w:r>
      <w:r w:rsidR="0087564A">
        <w:rPr>
          <w:rFonts w:ascii="Times New Roman" w:hAnsi="Times New Roman"/>
          <w:sz w:val="24"/>
          <w:szCs w:val="24"/>
        </w:rPr>
        <w:t>,</w:t>
      </w:r>
      <w:r w:rsidRPr="000A48C9">
        <w:rPr>
          <w:rFonts w:ascii="Times New Roman" w:hAnsi="Times New Roman"/>
          <w:sz w:val="24"/>
          <w:szCs w:val="24"/>
        </w:rPr>
        <w:t xml:space="preserve"> </w:t>
      </w:r>
      <w:r w:rsidRPr="0087564A">
        <w:rPr>
          <w:rFonts w:ascii="Times New Roman" w:hAnsi="Times New Roman"/>
          <w:noProof/>
          <w:sz w:val="24"/>
          <w:szCs w:val="24"/>
        </w:rPr>
        <w:t>and</w:t>
      </w:r>
      <w:r w:rsidRPr="000A48C9">
        <w:rPr>
          <w:rFonts w:ascii="Times New Roman" w:hAnsi="Times New Roman"/>
          <w:sz w:val="24"/>
          <w:szCs w:val="24"/>
        </w:rPr>
        <w:t xml:space="preserve"> neither is that for the variable of market-to-book ratio. As shown in Roychowdhury (2006), size is negatively related to the abnormal CFO but positively related to both abnormal discretionary expenses and abnormal production costs. However, the variable MKTSHARE has a significantly positive coefficient in Models 2-5, indicating a more quickly response from those firms with a larger market share. The other control variables with a significant coefficient are financial leverage, </w:t>
      </w:r>
      <w:r w:rsidRPr="000A48C9">
        <w:rPr>
          <w:rFonts w:ascii="Times New Roman" w:hAnsi="Times New Roman"/>
          <w:i/>
          <w:sz w:val="24"/>
          <w:szCs w:val="24"/>
        </w:rPr>
        <w:t>OPERCYCLE</w:t>
      </w:r>
      <w:r w:rsidRPr="000A48C9">
        <w:rPr>
          <w:rFonts w:ascii="Times New Roman" w:hAnsi="Times New Roman"/>
          <w:sz w:val="24"/>
          <w:szCs w:val="24"/>
        </w:rPr>
        <w:t xml:space="preserve">, </w:t>
      </w:r>
      <w:r w:rsidRPr="000A48C9">
        <w:rPr>
          <w:rFonts w:ascii="Times New Roman" w:hAnsi="Times New Roman"/>
          <w:i/>
          <w:sz w:val="24"/>
          <w:szCs w:val="24"/>
        </w:rPr>
        <w:t>ROA</w:t>
      </w:r>
      <w:r w:rsidRPr="000A48C9">
        <w:rPr>
          <w:rFonts w:ascii="Times New Roman" w:hAnsi="Times New Roman"/>
          <w:sz w:val="24"/>
          <w:szCs w:val="24"/>
        </w:rPr>
        <w:t xml:space="preserve">, number of analysts covering a firm, and the dummy variable </w:t>
      </w:r>
      <w:r w:rsidRPr="000A48C9">
        <w:rPr>
          <w:rFonts w:ascii="Times New Roman" w:hAnsi="Times New Roman"/>
          <w:i/>
          <w:sz w:val="24"/>
          <w:szCs w:val="24"/>
        </w:rPr>
        <w:t>SOX</w:t>
      </w:r>
      <w:r w:rsidRPr="000A48C9">
        <w:rPr>
          <w:rFonts w:ascii="Times New Roman" w:hAnsi="Times New Roman"/>
          <w:sz w:val="24"/>
          <w:szCs w:val="24"/>
        </w:rPr>
        <w:t xml:space="preserve">. </w:t>
      </w:r>
    </w:p>
    <w:p w14:paraId="2DE5D7CB" w14:textId="2B40E197" w:rsidR="009B4D6C" w:rsidRPr="000A48C9" w:rsidRDefault="00AE683E" w:rsidP="009B4D6C">
      <w:pPr>
        <w:spacing w:after="0" w:line="480" w:lineRule="auto"/>
        <w:ind w:firstLine="720"/>
        <w:jc w:val="both"/>
        <w:rPr>
          <w:rFonts w:ascii="Times New Roman" w:hAnsi="Times New Roman"/>
          <w:sz w:val="24"/>
          <w:szCs w:val="24"/>
        </w:rPr>
      </w:pPr>
      <w:r w:rsidRPr="000A48C9">
        <w:rPr>
          <w:rFonts w:ascii="Times New Roman" w:hAnsi="Times New Roman"/>
          <w:sz w:val="24"/>
          <w:szCs w:val="24"/>
        </w:rPr>
        <w:t xml:space="preserve">In the discretionary accruals regressions in Models 6, 7 and 8, the coefficients for </w:t>
      </w:r>
      <w:r w:rsidR="004165E0" w:rsidRPr="000A48C9">
        <w:rPr>
          <w:rFonts w:ascii="Times New Roman" w:hAnsi="Times New Roman"/>
          <w:sz w:val="24"/>
          <w:szCs w:val="24"/>
        </w:rPr>
        <w:t xml:space="preserve">several </w:t>
      </w:r>
      <w:r w:rsidRPr="000A48C9">
        <w:rPr>
          <w:rFonts w:ascii="Times New Roman" w:hAnsi="Times New Roman"/>
          <w:sz w:val="24"/>
          <w:szCs w:val="24"/>
        </w:rPr>
        <w:t>control variables have the expected signs</w:t>
      </w:r>
      <w:r w:rsidR="00927918" w:rsidRPr="000A48C9">
        <w:rPr>
          <w:rFonts w:ascii="Times New Roman" w:hAnsi="Times New Roman"/>
          <w:sz w:val="24"/>
          <w:szCs w:val="24"/>
        </w:rPr>
        <w:t xml:space="preserve">. </w:t>
      </w:r>
      <w:r w:rsidRPr="000A48C9">
        <w:rPr>
          <w:rFonts w:ascii="Times New Roman" w:hAnsi="Times New Roman"/>
          <w:sz w:val="24"/>
          <w:szCs w:val="24"/>
        </w:rPr>
        <w:t>For example, firm size ha</w:t>
      </w:r>
      <w:r w:rsidR="004165E0" w:rsidRPr="000A48C9">
        <w:rPr>
          <w:rFonts w:ascii="Times New Roman" w:hAnsi="Times New Roman"/>
          <w:sz w:val="24"/>
          <w:szCs w:val="24"/>
        </w:rPr>
        <w:t xml:space="preserve">d </w:t>
      </w:r>
      <w:r w:rsidRPr="000A48C9">
        <w:rPr>
          <w:rFonts w:ascii="Times New Roman" w:hAnsi="Times New Roman"/>
          <w:sz w:val="24"/>
          <w:szCs w:val="24"/>
        </w:rPr>
        <w:t xml:space="preserve">a significantly positive coefficient, </w:t>
      </w:r>
      <w:r w:rsidR="004165E0" w:rsidRPr="000A48C9">
        <w:rPr>
          <w:rFonts w:ascii="Times New Roman" w:hAnsi="Times New Roman"/>
          <w:sz w:val="24"/>
          <w:szCs w:val="24"/>
        </w:rPr>
        <w:t xml:space="preserve">which is </w:t>
      </w:r>
      <w:r w:rsidRPr="000A48C9">
        <w:rPr>
          <w:rFonts w:ascii="Times New Roman" w:hAnsi="Times New Roman"/>
          <w:sz w:val="24"/>
          <w:szCs w:val="24"/>
        </w:rPr>
        <w:t>consistent with th</w:t>
      </w:r>
      <w:r w:rsidR="004165E0" w:rsidRPr="000A48C9">
        <w:rPr>
          <w:rFonts w:ascii="Times New Roman" w:hAnsi="Times New Roman"/>
          <w:sz w:val="24"/>
          <w:szCs w:val="24"/>
        </w:rPr>
        <w:t xml:space="preserve">at </w:t>
      </w:r>
      <w:r w:rsidRPr="000A48C9">
        <w:rPr>
          <w:rFonts w:ascii="Times New Roman" w:hAnsi="Times New Roman"/>
          <w:sz w:val="24"/>
          <w:szCs w:val="24"/>
        </w:rPr>
        <w:t xml:space="preserve">in Haw et al. (2004). </w:t>
      </w:r>
      <w:r w:rsidR="004165E0" w:rsidRPr="000A48C9">
        <w:rPr>
          <w:rFonts w:ascii="Times New Roman" w:hAnsi="Times New Roman"/>
          <w:sz w:val="24"/>
          <w:szCs w:val="24"/>
        </w:rPr>
        <w:t xml:space="preserve">Similarly, net operating assets ratio has a significantly negative coefficient, indicating a lower propensity for the managers to engage in earnings management using discretional accruals. </w:t>
      </w:r>
      <w:r w:rsidR="00822291" w:rsidRPr="000A48C9">
        <w:rPr>
          <w:rFonts w:ascii="Times New Roman" w:hAnsi="Times New Roman"/>
          <w:sz w:val="24"/>
          <w:szCs w:val="24"/>
        </w:rPr>
        <w:t xml:space="preserve">However, </w:t>
      </w:r>
      <w:r w:rsidR="004165E0" w:rsidRPr="000A48C9">
        <w:rPr>
          <w:rFonts w:ascii="Times New Roman" w:hAnsi="Times New Roman"/>
          <w:sz w:val="24"/>
          <w:szCs w:val="24"/>
        </w:rPr>
        <w:t xml:space="preserve">several control variables are not significant, e.g., financial leverage, market-to-book ratio, and institutional ownership. </w:t>
      </w:r>
      <w:r w:rsidR="00376768" w:rsidRPr="000A48C9">
        <w:rPr>
          <w:rFonts w:ascii="Times New Roman" w:hAnsi="Times New Roman"/>
          <w:sz w:val="24"/>
          <w:szCs w:val="24"/>
        </w:rPr>
        <w:t xml:space="preserve">Previous studies have produced contrasting results. For example, while Chung, Firth, and Kim (2002) document a significantly negative relation between discretionary accruals management and financial leverage, Haw et al. (2004) find a significantly positive relation. Our result on </w:t>
      </w:r>
      <w:r w:rsidR="004165E0" w:rsidRPr="000A48C9">
        <w:rPr>
          <w:rFonts w:ascii="Times New Roman" w:hAnsi="Times New Roman"/>
          <w:sz w:val="24"/>
          <w:szCs w:val="24"/>
        </w:rPr>
        <w:t>t</w:t>
      </w:r>
      <w:r w:rsidR="00822291" w:rsidRPr="000A48C9">
        <w:rPr>
          <w:rFonts w:ascii="Times New Roman" w:hAnsi="Times New Roman"/>
          <w:sz w:val="24"/>
          <w:szCs w:val="24"/>
        </w:rPr>
        <w:t xml:space="preserve">he </w:t>
      </w:r>
      <w:r w:rsidR="00927918" w:rsidRPr="000A48C9">
        <w:rPr>
          <w:rFonts w:ascii="Times New Roman" w:hAnsi="Times New Roman"/>
          <w:sz w:val="24"/>
          <w:szCs w:val="24"/>
        </w:rPr>
        <w:t xml:space="preserve">profitability </w:t>
      </w:r>
      <w:r w:rsidR="00822291" w:rsidRPr="000A48C9">
        <w:rPr>
          <w:rFonts w:ascii="Times New Roman" w:hAnsi="Times New Roman"/>
          <w:sz w:val="24"/>
          <w:szCs w:val="24"/>
        </w:rPr>
        <w:t>variable (</w:t>
      </w:r>
      <w:r w:rsidR="00822291" w:rsidRPr="000A48C9">
        <w:rPr>
          <w:rFonts w:ascii="Times New Roman" w:hAnsi="Times New Roman"/>
          <w:i/>
          <w:sz w:val="24"/>
          <w:szCs w:val="24"/>
        </w:rPr>
        <w:t>ROA</w:t>
      </w:r>
      <w:r w:rsidR="00822291" w:rsidRPr="000A48C9">
        <w:rPr>
          <w:rFonts w:ascii="Times New Roman" w:hAnsi="Times New Roman"/>
          <w:sz w:val="24"/>
          <w:szCs w:val="24"/>
        </w:rPr>
        <w:t xml:space="preserve">) </w:t>
      </w:r>
      <w:r w:rsidR="00376768" w:rsidRPr="000A48C9">
        <w:rPr>
          <w:rFonts w:ascii="Times New Roman" w:hAnsi="Times New Roman"/>
          <w:sz w:val="24"/>
          <w:szCs w:val="24"/>
        </w:rPr>
        <w:t xml:space="preserve">also contrasts with that in Haw et al. (2004). Specifically, we find a </w:t>
      </w:r>
      <w:r w:rsidR="00822291" w:rsidRPr="000A48C9">
        <w:rPr>
          <w:rFonts w:ascii="Times New Roman" w:hAnsi="Times New Roman"/>
          <w:sz w:val="24"/>
          <w:szCs w:val="24"/>
        </w:rPr>
        <w:t xml:space="preserve">significantly negative coefficient, which contrasts with the positive coefficient as documented in Haw et al. (2004). </w:t>
      </w:r>
    </w:p>
    <w:p w14:paraId="2BE9CE6F" w14:textId="262B5767" w:rsidR="0089443C" w:rsidRPr="000A48C9" w:rsidRDefault="000003BC" w:rsidP="009B4D6C">
      <w:pPr>
        <w:spacing w:after="0" w:line="480" w:lineRule="auto"/>
        <w:ind w:firstLine="720"/>
        <w:jc w:val="both"/>
        <w:rPr>
          <w:rFonts w:ascii="Times New Roman" w:hAnsi="Times New Roman"/>
          <w:sz w:val="24"/>
          <w:szCs w:val="24"/>
        </w:rPr>
      </w:pPr>
      <w:r w:rsidRPr="000A48C9">
        <w:rPr>
          <w:rFonts w:ascii="Times New Roman" w:hAnsi="Times New Roman"/>
          <w:sz w:val="24"/>
          <w:szCs w:val="24"/>
        </w:rPr>
        <w:t xml:space="preserve">The ownership structure of MLPs warrants a careful discussion on the interpretation of the results in Tables 2 and </w:t>
      </w:r>
      <w:r w:rsidR="00D00DF2" w:rsidRPr="000A48C9">
        <w:rPr>
          <w:rFonts w:ascii="Times New Roman" w:hAnsi="Times New Roman"/>
          <w:sz w:val="24"/>
          <w:szCs w:val="24"/>
        </w:rPr>
        <w:t>4</w:t>
      </w:r>
      <w:r w:rsidRPr="000A48C9">
        <w:rPr>
          <w:rFonts w:ascii="Times New Roman" w:hAnsi="Times New Roman"/>
          <w:sz w:val="24"/>
          <w:szCs w:val="24"/>
        </w:rPr>
        <w:t xml:space="preserve">. </w:t>
      </w:r>
      <w:r w:rsidR="00FD68BE" w:rsidRPr="000A48C9">
        <w:rPr>
          <w:rFonts w:ascii="Times New Roman" w:hAnsi="Times New Roman"/>
          <w:sz w:val="24"/>
          <w:szCs w:val="24"/>
        </w:rPr>
        <w:t xml:space="preserve">One may not attribute these results to a lack of internal corporate governance of MLPs. GPs need to manage real activities in response to changes in market conditions more than their corporate counterparts do for the following reasons. First, </w:t>
      </w:r>
      <w:r w:rsidR="0095763B" w:rsidRPr="000A48C9">
        <w:rPr>
          <w:rFonts w:ascii="Times New Roman" w:hAnsi="Times New Roman"/>
          <w:sz w:val="24"/>
          <w:szCs w:val="24"/>
        </w:rPr>
        <w:t xml:space="preserve">MLPs need to approach investors for cash more often than corporations do, and their ability to attract new funds directly </w:t>
      </w:r>
      <w:r w:rsidR="00320FB2" w:rsidRPr="000A48C9">
        <w:rPr>
          <w:rFonts w:ascii="Times New Roman" w:hAnsi="Times New Roman"/>
          <w:sz w:val="24"/>
          <w:szCs w:val="24"/>
        </w:rPr>
        <w:t xml:space="preserve">depends on </w:t>
      </w:r>
      <w:r w:rsidR="0095763B" w:rsidRPr="000A48C9">
        <w:rPr>
          <w:rFonts w:ascii="Times New Roman" w:hAnsi="Times New Roman"/>
          <w:sz w:val="24"/>
          <w:szCs w:val="24"/>
        </w:rPr>
        <w:t xml:space="preserve">their ability </w:t>
      </w:r>
      <w:r w:rsidR="0087564A">
        <w:rPr>
          <w:rFonts w:ascii="Times New Roman" w:hAnsi="Times New Roman"/>
          <w:noProof/>
          <w:sz w:val="24"/>
          <w:szCs w:val="24"/>
        </w:rPr>
        <w:t>to generate</w:t>
      </w:r>
      <w:r w:rsidR="0095763B" w:rsidRPr="000A48C9">
        <w:rPr>
          <w:rFonts w:ascii="Times New Roman" w:hAnsi="Times New Roman"/>
          <w:sz w:val="24"/>
          <w:szCs w:val="24"/>
        </w:rPr>
        <w:t xml:space="preserve"> cash flow. </w:t>
      </w:r>
      <w:r w:rsidR="002B03B2" w:rsidRPr="000A48C9">
        <w:rPr>
          <w:rFonts w:ascii="Times New Roman" w:hAnsi="Times New Roman"/>
          <w:sz w:val="24"/>
          <w:szCs w:val="24"/>
        </w:rPr>
        <w:t xml:space="preserve">Secondly, the MLP business model is structured around generating and distributing cash consistently (on a quarterly basis), and its primary objective is to maintain or increase cash distributions to its common unitholders. MLPs’ cash distributions to their investors tend to stay relatively stable over time causing them to trade somewhat like bonds. </w:t>
      </w:r>
      <w:r w:rsidR="002B03B2" w:rsidRPr="0087564A">
        <w:rPr>
          <w:rFonts w:ascii="Times New Roman" w:hAnsi="Times New Roman"/>
          <w:noProof/>
          <w:sz w:val="24"/>
          <w:szCs w:val="24"/>
        </w:rPr>
        <w:t>This</w:t>
      </w:r>
      <w:r w:rsidR="002B03B2" w:rsidRPr="000A48C9">
        <w:rPr>
          <w:rFonts w:ascii="Times New Roman" w:hAnsi="Times New Roman"/>
          <w:sz w:val="24"/>
          <w:szCs w:val="24"/>
        </w:rPr>
        <w:t xml:space="preserve"> also makes MLPs highly vulnerable to changes in interest rates. Lately, while interest rates have been stable, it has not always been the case. Indeed, the interest rates that corporations (including MLPs) pay are higher and more volatile </w:t>
      </w:r>
      <w:r w:rsidR="002B03B2" w:rsidRPr="0087564A">
        <w:rPr>
          <w:rFonts w:ascii="Times New Roman" w:hAnsi="Times New Roman"/>
          <w:noProof/>
          <w:sz w:val="24"/>
          <w:szCs w:val="24"/>
        </w:rPr>
        <w:t>tha</w:t>
      </w:r>
      <w:r w:rsidR="0087564A">
        <w:rPr>
          <w:rFonts w:ascii="Times New Roman" w:hAnsi="Times New Roman"/>
          <w:noProof/>
          <w:sz w:val="24"/>
          <w:szCs w:val="24"/>
        </w:rPr>
        <w:t>n</w:t>
      </w:r>
      <w:r w:rsidR="002B03B2" w:rsidRPr="000A48C9">
        <w:rPr>
          <w:rFonts w:ascii="Times New Roman" w:hAnsi="Times New Roman"/>
          <w:sz w:val="24"/>
          <w:szCs w:val="24"/>
        </w:rPr>
        <w:t xml:space="preserve"> the rates on Treasury securities. Increases in interest rates adversely affect MLPs as investors move funds to the bond market. Many MLPs operate in slow-growing industries, such as pipelines, which offer dim prospects for unit price appreciation. Thus, savings through restructuring activities would serve to mitigate adverse interest rate movements. Thirdly, the bulk of MLPs reside in the energy sector, volatility in energy prices (for instance, oil prices) would hinder MLPs’ ability to pay a </w:t>
      </w:r>
      <w:r w:rsidR="002B03B2" w:rsidRPr="0087564A">
        <w:rPr>
          <w:rFonts w:ascii="Times New Roman" w:hAnsi="Times New Roman"/>
          <w:noProof/>
          <w:sz w:val="24"/>
          <w:szCs w:val="24"/>
        </w:rPr>
        <w:t>stable</w:t>
      </w:r>
      <w:r w:rsidR="0087564A">
        <w:rPr>
          <w:rFonts w:ascii="Times New Roman" w:hAnsi="Times New Roman"/>
          <w:noProof/>
          <w:sz w:val="24"/>
          <w:szCs w:val="24"/>
        </w:rPr>
        <w:t>,</w:t>
      </w:r>
      <w:r w:rsidR="002B03B2" w:rsidRPr="000A48C9">
        <w:rPr>
          <w:rFonts w:ascii="Times New Roman" w:hAnsi="Times New Roman"/>
          <w:sz w:val="24"/>
          <w:szCs w:val="24"/>
        </w:rPr>
        <w:t xml:space="preserve"> growing dividend consistently over time. Real earnings management would assist in smoothing out the effects of price volatilities on MLPs’ earnings and cash distributions over business cycles. For instance, GPs may elect to decrease discretionary expenses to conserve cash in order to survive a downturn. Similarly, MLPs may also need to convert some of their debt into equity to conserve cash, which requires changes made to the MLP’s operations as well as postponing discretionary expenses.</w:t>
      </w:r>
    </w:p>
    <w:p w14:paraId="7085F021" w14:textId="605E79E8" w:rsidR="004959D3" w:rsidRPr="000A48C9" w:rsidRDefault="002B03B2" w:rsidP="009B4D6C">
      <w:pPr>
        <w:spacing w:after="0" w:line="480" w:lineRule="auto"/>
        <w:ind w:firstLine="720"/>
        <w:jc w:val="both"/>
        <w:rPr>
          <w:rFonts w:ascii="Times New Roman" w:hAnsi="Times New Roman"/>
          <w:sz w:val="24"/>
          <w:szCs w:val="24"/>
        </w:rPr>
      </w:pPr>
      <w:r w:rsidRPr="000A48C9">
        <w:rPr>
          <w:rFonts w:ascii="Times New Roman" w:hAnsi="Times New Roman"/>
          <w:sz w:val="24"/>
          <w:szCs w:val="24"/>
        </w:rPr>
        <w:t>Kasanen, Kinnunen</w:t>
      </w:r>
      <w:r w:rsidR="0087564A">
        <w:rPr>
          <w:rFonts w:ascii="Times New Roman" w:hAnsi="Times New Roman"/>
          <w:sz w:val="24"/>
          <w:szCs w:val="24"/>
        </w:rPr>
        <w:t>,</w:t>
      </w:r>
      <w:r w:rsidRPr="000A48C9">
        <w:rPr>
          <w:rFonts w:ascii="Times New Roman" w:hAnsi="Times New Roman"/>
          <w:sz w:val="24"/>
          <w:szCs w:val="24"/>
        </w:rPr>
        <w:t xml:space="preserve"> </w:t>
      </w:r>
      <w:r w:rsidRPr="0087564A">
        <w:rPr>
          <w:rFonts w:ascii="Times New Roman" w:hAnsi="Times New Roman"/>
          <w:noProof/>
          <w:sz w:val="24"/>
          <w:szCs w:val="24"/>
        </w:rPr>
        <w:t>and</w:t>
      </w:r>
      <w:r w:rsidRPr="000A48C9">
        <w:rPr>
          <w:rFonts w:ascii="Times New Roman" w:hAnsi="Times New Roman"/>
          <w:sz w:val="24"/>
          <w:szCs w:val="24"/>
        </w:rPr>
        <w:t xml:space="preserve"> Niskasen (1996) argue that firms faced with a thin security market and concentrated ownership are incentivized to manage earnings upwards to satisfy their investors’ demands for smooth dividends. </w:t>
      </w:r>
      <w:r w:rsidRPr="0087564A">
        <w:rPr>
          <w:rFonts w:ascii="Times New Roman" w:hAnsi="Times New Roman"/>
          <w:noProof/>
          <w:sz w:val="24"/>
          <w:szCs w:val="24"/>
        </w:rPr>
        <w:t>This</w:t>
      </w:r>
      <w:r w:rsidRPr="000A48C9">
        <w:rPr>
          <w:rFonts w:ascii="Times New Roman" w:hAnsi="Times New Roman"/>
          <w:sz w:val="24"/>
          <w:szCs w:val="24"/>
        </w:rPr>
        <w:t xml:space="preserve"> would be particularly true of MLPs, whose investors treat the MLP units as fixed-income securities. The authors find that dividend-based earnings significantly explain variations in reported earnings. MLPs provide 12-month forecasts of their cash distributions and, similar to the earnings forecasts of public corporations, the MLP forecasts impose pressure on their GPs to find ways to generate income and cash to pay the planned cash distributions. Otherwise, failure to maintain investors’ expectations of the cash distributions would force the trading price of the LP units downward. This pressure to manage earnings and cash creatively </w:t>
      </w:r>
      <w:r w:rsidRPr="0087564A">
        <w:rPr>
          <w:rFonts w:ascii="Times New Roman" w:hAnsi="Times New Roman"/>
          <w:noProof/>
          <w:sz w:val="24"/>
          <w:szCs w:val="24"/>
        </w:rPr>
        <w:t>is further exacerbated</w:t>
      </w:r>
      <w:r w:rsidRPr="000A48C9">
        <w:rPr>
          <w:rFonts w:ascii="Times New Roman" w:hAnsi="Times New Roman"/>
          <w:sz w:val="24"/>
          <w:szCs w:val="24"/>
        </w:rPr>
        <w:t xml:space="preserve"> if we consider that MLPs usually distribute cash within days following the reporting period.</w:t>
      </w:r>
      <w:r w:rsidR="004959D3" w:rsidRPr="000A48C9">
        <w:rPr>
          <w:rFonts w:ascii="Times New Roman" w:hAnsi="Times New Roman"/>
          <w:sz w:val="24"/>
          <w:szCs w:val="24"/>
        </w:rPr>
        <w:t xml:space="preserve"> Finally, MLPs operating in the energy sector tend to be the targets of environmental activists, which results in significant incremental costs – for instance, environmental and legal costs – as well as those related to corporate social responsibility (CSR) activities. To make matters worse and in response to the activists’ demands, governments require significantly more diligence from MLPs before granting them the necessary permits (for instance, in the case of a pipeline project). These costs would weigh heavily on the MLPs’ earnings, forcing them to make cuts elsewhere (</w:t>
      </w:r>
      <w:r w:rsidR="004959D3" w:rsidRPr="0087564A">
        <w:rPr>
          <w:rFonts w:ascii="Times New Roman" w:hAnsi="Times New Roman"/>
          <w:noProof/>
          <w:sz w:val="24"/>
          <w:szCs w:val="24"/>
        </w:rPr>
        <w:t>i.e.</w:t>
      </w:r>
      <w:r w:rsidR="0087564A">
        <w:rPr>
          <w:rFonts w:ascii="Times New Roman" w:hAnsi="Times New Roman"/>
          <w:noProof/>
          <w:sz w:val="24"/>
          <w:szCs w:val="24"/>
        </w:rPr>
        <w:t>,</w:t>
      </w:r>
      <w:r w:rsidR="004959D3" w:rsidRPr="000A48C9">
        <w:rPr>
          <w:rFonts w:ascii="Times New Roman" w:hAnsi="Times New Roman"/>
          <w:sz w:val="24"/>
          <w:szCs w:val="24"/>
        </w:rPr>
        <w:t xml:space="preserve"> by engaging in the restructuring of real transactions).</w:t>
      </w:r>
    </w:p>
    <w:p w14:paraId="2A445F5A" w14:textId="74B0728C" w:rsidR="00881879" w:rsidRPr="000A48C9" w:rsidRDefault="002C7254" w:rsidP="009B06C5">
      <w:pPr>
        <w:spacing w:after="0" w:line="480" w:lineRule="auto"/>
        <w:ind w:firstLine="720"/>
        <w:jc w:val="both"/>
        <w:rPr>
          <w:rFonts w:ascii="Times New Roman" w:hAnsi="Times New Roman"/>
          <w:sz w:val="24"/>
          <w:szCs w:val="24"/>
        </w:rPr>
      </w:pPr>
      <w:r w:rsidRPr="000A48C9">
        <w:rPr>
          <w:rFonts w:ascii="Times New Roman" w:hAnsi="Times New Roman"/>
          <w:sz w:val="24"/>
          <w:szCs w:val="24"/>
        </w:rPr>
        <w:t xml:space="preserve">MLPs are under more monitoring by </w:t>
      </w:r>
      <w:r w:rsidR="00B97882" w:rsidRPr="000A48C9">
        <w:rPr>
          <w:rFonts w:ascii="Times New Roman" w:hAnsi="Times New Roman"/>
          <w:sz w:val="24"/>
          <w:szCs w:val="24"/>
        </w:rPr>
        <w:t>external forces</w:t>
      </w:r>
      <w:r w:rsidRPr="000A48C9">
        <w:rPr>
          <w:rFonts w:ascii="Times New Roman" w:hAnsi="Times New Roman"/>
          <w:sz w:val="24"/>
          <w:szCs w:val="24"/>
        </w:rPr>
        <w:t xml:space="preserve"> such as </w:t>
      </w:r>
      <w:r w:rsidR="00B97882" w:rsidRPr="000A48C9">
        <w:rPr>
          <w:rFonts w:ascii="Times New Roman" w:hAnsi="Times New Roman"/>
          <w:sz w:val="24"/>
          <w:szCs w:val="24"/>
        </w:rPr>
        <w:t>creditors, institutional owners, analysts</w:t>
      </w:r>
      <w:r w:rsidR="0087564A">
        <w:rPr>
          <w:rFonts w:ascii="Times New Roman" w:hAnsi="Times New Roman"/>
          <w:sz w:val="24"/>
          <w:szCs w:val="24"/>
        </w:rPr>
        <w:t>,</w:t>
      </w:r>
      <w:r w:rsidR="00B97882" w:rsidRPr="000A48C9">
        <w:rPr>
          <w:rFonts w:ascii="Times New Roman" w:hAnsi="Times New Roman"/>
          <w:sz w:val="24"/>
          <w:szCs w:val="24"/>
        </w:rPr>
        <w:t xml:space="preserve"> </w:t>
      </w:r>
      <w:r w:rsidR="00B97882" w:rsidRPr="0087564A">
        <w:rPr>
          <w:rFonts w:ascii="Times New Roman" w:hAnsi="Times New Roman"/>
          <w:noProof/>
          <w:sz w:val="24"/>
          <w:szCs w:val="24"/>
        </w:rPr>
        <w:t>and</w:t>
      </w:r>
      <w:r w:rsidR="00B97882" w:rsidRPr="000A48C9">
        <w:rPr>
          <w:rFonts w:ascii="Times New Roman" w:hAnsi="Times New Roman"/>
          <w:sz w:val="24"/>
          <w:szCs w:val="24"/>
        </w:rPr>
        <w:t xml:space="preserve"> auditors. We test whether such external forces moderate the ability of MLPs to engage in earnings management in the following sections.</w:t>
      </w:r>
      <w:r w:rsidR="00777F4F" w:rsidRPr="000A48C9">
        <w:rPr>
          <w:rFonts w:ascii="Times New Roman" w:hAnsi="Times New Roman"/>
          <w:sz w:val="24"/>
          <w:szCs w:val="24"/>
        </w:rPr>
        <w:t xml:space="preserve"> </w:t>
      </w:r>
    </w:p>
    <w:p w14:paraId="5AB67268" w14:textId="4D820040" w:rsidR="00D23685" w:rsidRPr="002F79D0" w:rsidRDefault="00523296" w:rsidP="004253F6">
      <w:pPr>
        <w:spacing w:before="120" w:after="0" w:line="480" w:lineRule="auto"/>
        <w:rPr>
          <w:rFonts w:ascii="Times New Roman" w:hAnsi="Times New Roman"/>
          <w:b/>
          <w:i/>
          <w:sz w:val="24"/>
          <w:szCs w:val="24"/>
        </w:rPr>
      </w:pPr>
      <w:r w:rsidRPr="002F79D0">
        <w:rPr>
          <w:rFonts w:ascii="Times New Roman" w:hAnsi="Times New Roman"/>
          <w:b/>
          <w:i/>
          <w:sz w:val="24"/>
          <w:szCs w:val="24"/>
        </w:rPr>
        <w:t xml:space="preserve">4. 3.  Earnings management between MLPs vs. </w:t>
      </w:r>
      <w:r w:rsidRPr="002F79D0">
        <w:rPr>
          <w:rFonts w:ascii="Times New Roman" w:hAnsi="Times New Roman"/>
          <w:b/>
          <w:i/>
          <w:noProof/>
          <w:sz w:val="24"/>
          <w:szCs w:val="24"/>
        </w:rPr>
        <w:t>non</w:t>
      </w:r>
      <w:r w:rsidRPr="002F79D0">
        <w:rPr>
          <w:rFonts w:ascii="Times New Roman" w:hAnsi="Times New Roman"/>
          <w:b/>
          <w:i/>
          <w:sz w:val="24"/>
          <w:szCs w:val="24"/>
        </w:rPr>
        <w:t>-MLP firms – Financial leverage</w:t>
      </w:r>
    </w:p>
    <w:p w14:paraId="53010D03" w14:textId="715B424C" w:rsidR="001A4D98" w:rsidRPr="000A48C9" w:rsidRDefault="00D23685" w:rsidP="009B06C5">
      <w:pPr>
        <w:spacing w:after="0" w:line="480" w:lineRule="auto"/>
        <w:ind w:firstLine="720"/>
        <w:jc w:val="both"/>
        <w:rPr>
          <w:rFonts w:ascii="Times New Roman" w:hAnsi="Times New Roman"/>
          <w:sz w:val="24"/>
          <w:szCs w:val="24"/>
        </w:rPr>
      </w:pPr>
      <w:r w:rsidRPr="000A48C9">
        <w:rPr>
          <w:rFonts w:ascii="Times New Roman" w:hAnsi="Times New Roman"/>
          <w:sz w:val="24"/>
          <w:szCs w:val="24"/>
        </w:rPr>
        <w:t xml:space="preserve">Since </w:t>
      </w:r>
      <w:r w:rsidR="00B97882" w:rsidRPr="000A48C9">
        <w:rPr>
          <w:rFonts w:ascii="Times New Roman" w:hAnsi="Times New Roman"/>
          <w:sz w:val="24"/>
          <w:szCs w:val="24"/>
        </w:rPr>
        <w:t>MLPs are required to pay the majority of their earnings out to their partners</w:t>
      </w:r>
      <w:r w:rsidR="00A56360" w:rsidRPr="000A48C9">
        <w:rPr>
          <w:rFonts w:ascii="Times New Roman" w:hAnsi="Times New Roman"/>
          <w:sz w:val="24"/>
          <w:szCs w:val="24"/>
        </w:rPr>
        <w:t xml:space="preserve">, </w:t>
      </w:r>
      <w:r w:rsidR="00B97882" w:rsidRPr="000A48C9">
        <w:rPr>
          <w:rFonts w:ascii="Times New Roman" w:hAnsi="Times New Roman"/>
          <w:sz w:val="24"/>
          <w:szCs w:val="24"/>
        </w:rPr>
        <w:t xml:space="preserve">they are in constant need of cash. </w:t>
      </w:r>
      <w:r w:rsidR="00525D91" w:rsidRPr="000A48C9">
        <w:rPr>
          <w:rFonts w:ascii="Times New Roman" w:hAnsi="Times New Roman"/>
          <w:sz w:val="24"/>
          <w:szCs w:val="24"/>
        </w:rPr>
        <w:t>For years, t</w:t>
      </w:r>
      <w:r w:rsidR="007E78A4" w:rsidRPr="000A48C9">
        <w:rPr>
          <w:rFonts w:ascii="Times New Roman" w:hAnsi="Times New Roman"/>
          <w:sz w:val="24"/>
          <w:szCs w:val="24"/>
        </w:rPr>
        <w:t xml:space="preserve">he US has maintained a </w:t>
      </w:r>
      <w:r w:rsidR="007E78A4" w:rsidRPr="0087564A">
        <w:rPr>
          <w:rFonts w:ascii="Times New Roman" w:hAnsi="Times New Roman"/>
          <w:noProof/>
          <w:sz w:val="24"/>
          <w:szCs w:val="24"/>
        </w:rPr>
        <w:t>low</w:t>
      </w:r>
      <w:r w:rsidR="0087564A">
        <w:rPr>
          <w:rFonts w:ascii="Times New Roman" w:hAnsi="Times New Roman"/>
          <w:noProof/>
          <w:sz w:val="24"/>
          <w:szCs w:val="24"/>
        </w:rPr>
        <w:t>-</w:t>
      </w:r>
      <w:r w:rsidR="007E78A4" w:rsidRPr="0087564A">
        <w:rPr>
          <w:rFonts w:ascii="Times New Roman" w:hAnsi="Times New Roman"/>
          <w:noProof/>
          <w:sz w:val="24"/>
          <w:szCs w:val="24"/>
        </w:rPr>
        <w:t>interest</w:t>
      </w:r>
      <w:r w:rsidR="007E78A4" w:rsidRPr="000A48C9">
        <w:rPr>
          <w:rFonts w:ascii="Times New Roman" w:hAnsi="Times New Roman"/>
          <w:sz w:val="24"/>
          <w:szCs w:val="24"/>
        </w:rPr>
        <w:t xml:space="preserve"> rate policy that has allowed MLPs to borrow cheaply while passing the lion’s share of their earnings to their unitholders (Aneiro, 2014). </w:t>
      </w:r>
      <w:r w:rsidR="00AD6AD5" w:rsidRPr="000A48C9">
        <w:rPr>
          <w:rFonts w:ascii="Times New Roman" w:hAnsi="Times New Roman"/>
          <w:sz w:val="24"/>
          <w:szCs w:val="24"/>
        </w:rPr>
        <w:t>The</w:t>
      </w:r>
      <w:r w:rsidR="00F71BDB" w:rsidRPr="000A48C9">
        <w:rPr>
          <w:rFonts w:ascii="Times New Roman" w:hAnsi="Times New Roman"/>
          <w:sz w:val="24"/>
          <w:szCs w:val="24"/>
        </w:rPr>
        <w:t xml:space="preserve">refore, there is </w:t>
      </w:r>
      <w:r w:rsidR="007E78A4" w:rsidRPr="000A48C9">
        <w:rPr>
          <w:rFonts w:ascii="Times New Roman" w:hAnsi="Times New Roman"/>
          <w:sz w:val="24"/>
          <w:szCs w:val="24"/>
        </w:rPr>
        <w:t xml:space="preserve">an important relationship between MLPs and their lenders and creditors. We test whether </w:t>
      </w:r>
      <w:r w:rsidR="00320FB2" w:rsidRPr="000A48C9">
        <w:rPr>
          <w:rFonts w:ascii="Times New Roman" w:hAnsi="Times New Roman"/>
          <w:sz w:val="24"/>
          <w:szCs w:val="24"/>
        </w:rPr>
        <w:t>highly leveraged</w:t>
      </w:r>
      <w:r w:rsidR="00F71BDB" w:rsidRPr="000A48C9">
        <w:rPr>
          <w:rFonts w:ascii="Times New Roman" w:hAnsi="Times New Roman"/>
          <w:sz w:val="24"/>
          <w:szCs w:val="24"/>
        </w:rPr>
        <w:t xml:space="preserve"> MLPs </w:t>
      </w:r>
      <w:r w:rsidR="007E78A4" w:rsidRPr="000A48C9">
        <w:rPr>
          <w:rFonts w:ascii="Times New Roman" w:hAnsi="Times New Roman"/>
          <w:sz w:val="24"/>
          <w:szCs w:val="24"/>
        </w:rPr>
        <w:t xml:space="preserve">manage earnings differently from </w:t>
      </w:r>
      <w:r w:rsidR="00F71BDB" w:rsidRPr="000A48C9">
        <w:rPr>
          <w:rFonts w:ascii="Times New Roman" w:hAnsi="Times New Roman"/>
          <w:sz w:val="24"/>
          <w:szCs w:val="24"/>
        </w:rPr>
        <w:t xml:space="preserve">less </w:t>
      </w:r>
      <w:r w:rsidR="00320FB2" w:rsidRPr="000A48C9">
        <w:rPr>
          <w:rFonts w:ascii="Times New Roman" w:hAnsi="Times New Roman"/>
          <w:sz w:val="24"/>
          <w:szCs w:val="24"/>
        </w:rPr>
        <w:t>financially leveraged</w:t>
      </w:r>
      <w:r w:rsidR="00F71BDB" w:rsidRPr="000A48C9">
        <w:rPr>
          <w:rFonts w:ascii="Times New Roman" w:hAnsi="Times New Roman"/>
          <w:sz w:val="24"/>
          <w:szCs w:val="24"/>
        </w:rPr>
        <w:t xml:space="preserve"> MLPs. We select a subsample of firms with lower than the yearly sample median debt-to-assets ratio as low leveraged firms and a subsample of firms with </w:t>
      </w:r>
      <w:r w:rsidR="0087564A">
        <w:rPr>
          <w:rFonts w:ascii="Times New Roman" w:hAnsi="Times New Roman"/>
          <w:sz w:val="24"/>
          <w:szCs w:val="24"/>
        </w:rPr>
        <w:t xml:space="preserve">a </w:t>
      </w:r>
      <w:r w:rsidR="00F71BDB" w:rsidRPr="0087564A">
        <w:rPr>
          <w:rFonts w:ascii="Times New Roman" w:hAnsi="Times New Roman"/>
          <w:noProof/>
          <w:sz w:val="24"/>
          <w:szCs w:val="24"/>
        </w:rPr>
        <w:t>higher-than-median</w:t>
      </w:r>
      <w:r w:rsidR="00F71BDB" w:rsidRPr="000A48C9">
        <w:rPr>
          <w:rFonts w:ascii="Times New Roman" w:hAnsi="Times New Roman"/>
          <w:sz w:val="24"/>
          <w:szCs w:val="24"/>
        </w:rPr>
        <w:t xml:space="preserve"> debt-to-assets ratio as highly leveraged firms. As shown in </w:t>
      </w:r>
      <w:r w:rsidR="007E78A4" w:rsidRPr="000A48C9">
        <w:rPr>
          <w:rFonts w:ascii="Times New Roman" w:hAnsi="Times New Roman"/>
          <w:sz w:val="24"/>
          <w:szCs w:val="24"/>
        </w:rPr>
        <w:t xml:space="preserve">Table </w:t>
      </w:r>
      <w:r w:rsidR="00D00DF2" w:rsidRPr="000A48C9">
        <w:rPr>
          <w:rFonts w:ascii="Times New Roman" w:hAnsi="Times New Roman"/>
          <w:sz w:val="24"/>
          <w:szCs w:val="24"/>
        </w:rPr>
        <w:t>5</w:t>
      </w:r>
      <w:r w:rsidR="00F71BDB" w:rsidRPr="000A48C9">
        <w:rPr>
          <w:rFonts w:ascii="Times New Roman" w:hAnsi="Times New Roman"/>
          <w:sz w:val="24"/>
          <w:szCs w:val="24"/>
        </w:rPr>
        <w:t xml:space="preserve"> Panel A</w:t>
      </w:r>
      <w:r w:rsidR="006471E6" w:rsidRPr="000A48C9">
        <w:rPr>
          <w:rFonts w:ascii="Times New Roman" w:hAnsi="Times New Roman"/>
          <w:sz w:val="24"/>
          <w:szCs w:val="24"/>
        </w:rPr>
        <w:t xml:space="preserve"> (Models 1 and 2) and Panel B (Models 1 and 2)</w:t>
      </w:r>
      <w:r w:rsidR="00F71BDB" w:rsidRPr="000A48C9">
        <w:rPr>
          <w:rFonts w:ascii="Times New Roman" w:hAnsi="Times New Roman"/>
          <w:sz w:val="24"/>
          <w:szCs w:val="24"/>
        </w:rPr>
        <w:t xml:space="preserve">, </w:t>
      </w:r>
      <w:r w:rsidR="006471E6" w:rsidRPr="000A48C9">
        <w:rPr>
          <w:rFonts w:ascii="Times New Roman" w:hAnsi="Times New Roman"/>
          <w:sz w:val="24"/>
          <w:szCs w:val="24"/>
        </w:rPr>
        <w:t xml:space="preserve">the coefficient for the </w:t>
      </w:r>
      <w:r w:rsidR="00617D6F" w:rsidRPr="000A48C9">
        <w:rPr>
          <w:rFonts w:ascii="Times New Roman" w:hAnsi="Times New Roman"/>
          <w:sz w:val="24"/>
          <w:szCs w:val="24"/>
        </w:rPr>
        <w:t xml:space="preserve">MLP </w:t>
      </w:r>
      <w:r w:rsidR="006471E6" w:rsidRPr="000A48C9">
        <w:rPr>
          <w:rFonts w:ascii="Times New Roman" w:hAnsi="Times New Roman"/>
          <w:sz w:val="24"/>
          <w:szCs w:val="24"/>
        </w:rPr>
        <w:t xml:space="preserve">dummy variable is significantly positive, indicating a consistent propensity for MLPs, with </w:t>
      </w:r>
      <w:r w:rsidR="00905426" w:rsidRPr="000A48C9">
        <w:rPr>
          <w:rFonts w:ascii="Times New Roman" w:hAnsi="Times New Roman"/>
          <w:sz w:val="24"/>
          <w:szCs w:val="24"/>
        </w:rPr>
        <w:t xml:space="preserve">the </w:t>
      </w:r>
      <w:r w:rsidR="006471E6" w:rsidRPr="000A48C9">
        <w:rPr>
          <w:rFonts w:ascii="Times New Roman" w:hAnsi="Times New Roman"/>
          <w:sz w:val="24"/>
          <w:szCs w:val="24"/>
        </w:rPr>
        <w:t>degree of financial leverage</w:t>
      </w:r>
      <w:r w:rsidR="00905426" w:rsidRPr="000A48C9">
        <w:rPr>
          <w:rFonts w:ascii="Times New Roman" w:hAnsi="Times New Roman"/>
          <w:sz w:val="24"/>
          <w:szCs w:val="24"/>
        </w:rPr>
        <w:t xml:space="preserve"> being </w:t>
      </w:r>
      <w:r w:rsidR="0096752F" w:rsidRPr="000A48C9">
        <w:rPr>
          <w:rFonts w:ascii="Times New Roman" w:hAnsi="Times New Roman"/>
          <w:sz w:val="24"/>
          <w:szCs w:val="24"/>
        </w:rPr>
        <w:t>irrelevant</w:t>
      </w:r>
      <w:r w:rsidR="00905426" w:rsidRPr="000A48C9">
        <w:rPr>
          <w:rFonts w:ascii="Times New Roman" w:hAnsi="Times New Roman"/>
          <w:sz w:val="24"/>
          <w:szCs w:val="24"/>
        </w:rPr>
        <w:t>,</w:t>
      </w:r>
      <w:r w:rsidR="006471E6" w:rsidRPr="000A48C9">
        <w:rPr>
          <w:rFonts w:ascii="Times New Roman" w:hAnsi="Times New Roman"/>
          <w:sz w:val="24"/>
          <w:szCs w:val="24"/>
        </w:rPr>
        <w:t xml:space="preserve"> to conduct real activities management. </w:t>
      </w:r>
      <w:r w:rsidR="00905426" w:rsidRPr="000A48C9">
        <w:rPr>
          <w:rFonts w:ascii="Times New Roman" w:hAnsi="Times New Roman"/>
          <w:sz w:val="24"/>
          <w:szCs w:val="24"/>
        </w:rPr>
        <w:t xml:space="preserve">However, results in Models 3 and 4 in Panel A show </w:t>
      </w:r>
      <w:r w:rsidR="00617D6F" w:rsidRPr="000A48C9">
        <w:rPr>
          <w:rFonts w:ascii="Times New Roman" w:hAnsi="Times New Roman"/>
          <w:sz w:val="24"/>
          <w:szCs w:val="24"/>
        </w:rPr>
        <w:t>no association between discretionary accruals and MLPs in the subsample of low-levered firms. Conversely, in the subsample of high-levered firms, the coefficient of MLP is negative</w:t>
      </w:r>
      <w:r w:rsidR="00905426" w:rsidRPr="000A48C9">
        <w:rPr>
          <w:rFonts w:ascii="Times New Roman" w:hAnsi="Times New Roman"/>
          <w:sz w:val="24"/>
          <w:szCs w:val="24"/>
        </w:rPr>
        <w:t xml:space="preserve"> at the 10% significance level,</w:t>
      </w:r>
      <w:r w:rsidR="00617D6F" w:rsidRPr="000A48C9">
        <w:rPr>
          <w:rFonts w:ascii="Times New Roman" w:hAnsi="Times New Roman"/>
          <w:sz w:val="24"/>
          <w:szCs w:val="24"/>
        </w:rPr>
        <w:t xml:space="preserve"> suggesting an inverse association between MLPs and discretionary accruals management</w:t>
      </w:r>
      <w:r w:rsidR="00F2552F" w:rsidRPr="000A48C9">
        <w:rPr>
          <w:rFonts w:ascii="Times New Roman" w:hAnsi="Times New Roman"/>
          <w:sz w:val="24"/>
          <w:szCs w:val="24"/>
        </w:rPr>
        <w:t xml:space="preserve"> (Models 3 and 4 in Panel B)</w:t>
      </w:r>
      <w:r w:rsidR="00617D6F" w:rsidRPr="000A48C9">
        <w:rPr>
          <w:rFonts w:ascii="Times New Roman" w:hAnsi="Times New Roman"/>
          <w:sz w:val="24"/>
          <w:szCs w:val="24"/>
        </w:rPr>
        <w:t>. Th</w:t>
      </w:r>
      <w:r w:rsidR="00905426" w:rsidRPr="000A48C9">
        <w:rPr>
          <w:rFonts w:ascii="Times New Roman" w:hAnsi="Times New Roman"/>
          <w:sz w:val="24"/>
          <w:szCs w:val="24"/>
        </w:rPr>
        <w:t>ese</w:t>
      </w:r>
      <w:r w:rsidR="00617D6F" w:rsidRPr="000A48C9">
        <w:rPr>
          <w:rFonts w:ascii="Times New Roman" w:hAnsi="Times New Roman"/>
          <w:sz w:val="24"/>
          <w:szCs w:val="24"/>
        </w:rPr>
        <w:t xml:space="preserve"> </w:t>
      </w:r>
      <w:r w:rsidR="00905426" w:rsidRPr="000A48C9">
        <w:rPr>
          <w:rFonts w:ascii="Times New Roman" w:hAnsi="Times New Roman"/>
          <w:sz w:val="24"/>
          <w:szCs w:val="24"/>
        </w:rPr>
        <w:t xml:space="preserve">results in Panel B </w:t>
      </w:r>
      <w:r w:rsidR="00905426" w:rsidRPr="0087564A">
        <w:rPr>
          <w:rFonts w:ascii="Times New Roman" w:hAnsi="Times New Roman"/>
          <w:noProof/>
          <w:sz w:val="24"/>
          <w:szCs w:val="24"/>
        </w:rPr>
        <w:t xml:space="preserve">are </w:t>
      </w:r>
      <w:r w:rsidR="00617D6F" w:rsidRPr="0087564A">
        <w:rPr>
          <w:rFonts w:ascii="Times New Roman" w:hAnsi="Times New Roman"/>
          <w:noProof/>
          <w:sz w:val="24"/>
          <w:szCs w:val="24"/>
        </w:rPr>
        <w:t>expected</w:t>
      </w:r>
      <w:r w:rsidR="00617D6F" w:rsidRPr="000A48C9">
        <w:rPr>
          <w:rFonts w:ascii="Times New Roman" w:hAnsi="Times New Roman"/>
          <w:sz w:val="24"/>
          <w:szCs w:val="24"/>
        </w:rPr>
        <w:t xml:space="preserve"> as </w:t>
      </w:r>
      <w:r w:rsidR="00905426" w:rsidRPr="000A48C9">
        <w:rPr>
          <w:rFonts w:ascii="Times New Roman" w:hAnsi="Times New Roman"/>
          <w:sz w:val="24"/>
          <w:szCs w:val="24"/>
        </w:rPr>
        <w:t xml:space="preserve">highly indebted </w:t>
      </w:r>
      <w:r w:rsidR="00617D6F" w:rsidRPr="000A48C9">
        <w:rPr>
          <w:rFonts w:ascii="Times New Roman" w:hAnsi="Times New Roman"/>
          <w:sz w:val="24"/>
          <w:szCs w:val="24"/>
        </w:rPr>
        <w:t>MLPs would</w:t>
      </w:r>
      <w:r w:rsidR="0087564A">
        <w:rPr>
          <w:rFonts w:ascii="Times New Roman" w:hAnsi="Times New Roman"/>
          <w:sz w:val="24"/>
          <w:szCs w:val="24"/>
        </w:rPr>
        <w:t>, therefore,</w:t>
      </w:r>
      <w:r w:rsidR="00617D6F" w:rsidRPr="000A48C9">
        <w:rPr>
          <w:rFonts w:ascii="Times New Roman" w:hAnsi="Times New Roman"/>
          <w:sz w:val="24"/>
          <w:szCs w:val="24"/>
        </w:rPr>
        <w:t xml:space="preserve"> be under greater scrutiny from their lenders and creditors, </w:t>
      </w:r>
      <w:r w:rsidR="00905426" w:rsidRPr="000A48C9">
        <w:rPr>
          <w:rFonts w:ascii="Times New Roman" w:hAnsi="Times New Roman"/>
          <w:sz w:val="24"/>
          <w:szCs w:val="24"/>
        </w:rPr>
        <w:t>which deters ma</w:t>
      </w:r>
      <w:r w:rsidR="00617D6F" w:rsidRPr="000A48C9">
        <w:rPr>
          <w:rFonts w:ascii="Times New Roman" w:hAnsi="Times New Roman"/>
          <w:sz w:val="24"/>
          <w:szCs w:val="24"/>
        </w:rPr>
        <w:t>nipulat</w:t>
      </w:r>
      <w:r w:rsidR="00905426" w:rsidRPr="000A48C9">
        <w:rPr>
          <w:rFonts w:ascii="Times New Roman" w:hAnsi="Times New Roman"/>
          <w:sz w:val="24"/>
          <w:szCs w:val="24"/>
        </w:rPr>
        <w:t>ing</w:t>
      </w:r>
      <w:r w:rsidR="00617D6F" w:rsidRPr="000A48C9">
        <w:rPr>
          <w:rFonts w:ascii="Times New Roman" w:hAnsi="Times New Roman"/>
          <w:sz w:val="24"/>
          <w:szCs w:val="24"/>
        </w:rPr>
        <w:t xml:space="preserve"> earnings by accruing and deferring costs and revenues</w:t>
      </w:r>
      <w:r w:rsidR="00905426" w:rsidRPr="000A48C9">
        <w:rPr>
          <w:rFonts w:ascii="Times New Roman" w:hAnsi="Times New Roman"/>
          <w:sz w:val="24"/>
          <w:szCs w:val="24"/>
        </w:rPr>
        <w:t xml:space="preserve">. Again, the coefficients for the likelihood of real activities management variable are significantly positive in Models 3 and 4 in both panels. Thus, those engaging in real activities management </w:t>
      </w:r>
      <w:r w:rsidR="00905426" w:rsidRPr="0087564A">
        <w:rPr>
          <w:rFonts w:ascii="Times New Roman" w:hAnsi="Times New Roman"/>
          <w:noProof/>
          <w:sz w:val="24"/>
          <w:szCs w:val="24"/>
        </w:rPr>
        <w:t>are associated</w:t>
      </w:r>
      <w:r w:rsidR="00905426" w:rsidRPr="000A48C9">
        <w:rPr>
          <w:rFonts w:ascii="Times New Roman" w:hAnsi="Times New Roman"/>
          <w:sz w:val="24"/>
          <w:szCs w:val="24"/>
        </w:rPr>
        <w:t xml:space="preserve"> with engaging in discretionary accruals-based earnings management</w:t>
      </w:r>
      <w:r w:rsidR="00A73182" w:rsidRPr="000A48C9">
        <w:rPr>
          <w:rFonts w:ascii="Times New Roman" w:hAnsi="Times New Roman"/>
          <w:sz w:val="24"/>
          <w:szCs w:val="24"/>
        </w:rPr>
        <w:t>.</w:t>
      </w:r>
      <w:r w:rsidR="00B301FC" w:rsidRPr="000A48C9">
        <w:rPr>
          <w:rFonts w:ascii="Times New Roman" w:hAnsi="Times New Roman"/>
          <w:sz w:val="24"/>
          <w:szCs w:val="24"/>
        </w:rPr>
        <w:t xml:space="preserve"> </w:t>
      </w:r>
    </w:p>
    <w:p w14:paraId="244FDCFE" w14:textId="550B612F" w:rsidR="00D23685" w:rsidRPr="000A48C9" w:rsidRDefault="00491F6E" w:rsidP="00A056FB">
      <w:pPr>
        <w:spacing w:after="0" w:line="480" w:lineRule="auto"/>
        <w:ind w:firstLine="720"/>
        <w:jc w:val="both"/>
        <w:rPr>
          <w:rFonts w:ascii="Times New Roman" w:hAnsi="Times New Roman"/>
          <w:sz w:val="24"/>
          <w:szCs w:val="24"/>
        </w:rPr>
      </w:pPr>
      <w:r w:rsidRPr="000A48C9">
        <w:rPr>
          <w:rFonts w:ascii="Times New Roman" w:hAnsi="Times New Roman"/>
          <w:sz w:val="24"/>
          <w:szCs w:val="24"/>
        </w:rPr>
        <w:t xml:space="preserve">For the control variables, there is a sharp difference between the two samples. The only variable with a consistent sign in the two samples is </w:t>
      </w:r>
      <w:r w:rsidRPr="000A48C9">
        <w:rPr>
          <w:rFonts w:ascii="Times New Roman" w:hAnsi="Times New Roman"/>
          <w:i/>
          <w:sz w:val="24"/>
          <w:szCs w:val="24"/>
        </w:rPr>
        <w:t>ROA</w:t>
      </w:r>
      <w:r w:rsidRPr="000A48C9">
        <w:rPr>
          <w:rFonts w:ascii="Times New Roman" w:hAnsi="Times New Roman"/>
          <w:sz w:val="24"/>
          <w:szCs w:val="24"/>
        </w:rPr>
        <w:t xml:space="preserve">, which is </w:t>
      </w:r>
      <w:r w:rsidRPr="0087564A">
        <w:rPr>
          <w:rFonts w:ascii="Times New Roman" w:hAnsi="Times New Roman"/>
          <w:noProof/>
          <w:sz w:val="24"/>
          <w:szCs w:val="24"/>
        </w:rPr>
        <w:t>significant</w:t>
      </w:r>
      <w:r w:rsidRPr="000A48C9">
        <w:rPr>
          <w:rFonts w:ascii="Times New Roman" w:hAnsi="Times New Roman"/>
          <w:sz w:val="24"/>
          <w:szCs w:val="24"/>
        </w:rPr>
        <w:t xml:space="preserve"> in all models. In the regressions involving the two composite scores for real activities management, </w:t>
      </w:r>
      <w:r w:rsidR="0087564A">
        <w:rPr>
          <w:rFonts w:ascii="Times New Roman" w:hAnsi="Times New Roman"/>
          <w:sz w:val="24"/>
          <w:szCs w:val="24"/>
        </w:rPr>
        <w:t xml:space="preserve">the </w:t>
      </w:r>
      <w:r w:rsidRPr="0087564A">
        <w:rPr>
          <w:rFonts w:ascii="Times New Roman" w:hAnsi="Times New Roman"/>
          <w:noProof/>
          <w:sz w:val="24"/>
          <w:szCs w:val="24"/>
        </w:rPr>
        <w:t>market-to-book</w:t>
      </w:r>
      <w:r w:rsidRPr="000A48C9">
        <w:rPr>
          <w:rFonts w:ascii="Times New Roman" w:hAnsi="Times New Roman"/>
          <w:sz w:val="24"/>
          <w:szCs w:val="24"/>
        </w:rPr>
        <w:t xml:space="preserve"> ratio is significant only in the regressions in the sample of </w:t>
      </w:r>
      <w:r w:rsidR="0087564A">
        <w:rPr>
          <w:rFonts w:ascii="Times New Roman" w:hAnsi="Times New Roman"/>
          <w:sz w:val="24"/>
          <w:szCs w:val="24"/>
        </w:rPr>
        <w:t xml:space="preserve">the </w:t>
      </w:r>
      <w:r w:rsidRPr="0087564A">
        <w:rPr>
          <w:rFonts w:ascii="Times New Roman" w:hAnsi="Times New Roman"/>
          <w:noProof/>
          <w:sz w:val="24"/>
          <w:szCs w:val="24"/>
        </w:rPr>
        <w:t>low-levered</w:t>
      </w:r>
      <w:r w:rsidRPr="000A48C9">
        <w:rPr>
          <w:rFonts w:ascii="Times New Roman" w:hAnsi="Times New Roman"/>
          <w:sz w:val="24"/>
          <w:szCs w:val="24"/>
        </w:rPr>
        <w:t xml:space="preserve"> firm, whereas the variable </w:t>
      </w:r>
      <w:r w:rsidRPr="000A48C9">
        <w:rPr>
          <w:rFonts w:ascii="Times New Roman" w:hAnsi="Times New Roman"/>
          <w:i/>
          <w:sz w:val="24"/>
          <w:szCs w:val="24"/>
        </w:rPr>
        <w:t>MKTSHARE</w:t>
      </w:r>
      <w:r w:rsidRPr="000A48C9">
        <w:rPr>
          <w:rFonts w:ascii="Times New Roman" w:hAnsi="Times New Roman"/>
          <w:sz w:val="24"/>
          <w:szCs w:val="24"/>
        </w:rPr>
        <w:t xml:space="preserve"> is significant in the sample of high-levered firms. </w:t>
      </w:r>
      <w:r w:rsidR="00B83CFE" w:rsidRPr="000A48C9">
        <w:rPr>
          <w:rFonts w:ascii="Times New Roman" w:hAnsi="Times New Roman"/>
          <w:sz w:val="24"/>
          <w:szCs w:val="24"/>
        </w:rPr>
        <w:t xml:space="preserve">Even though financial leverage is not significant in any of the real activities management regressions, the coefficient for the variable </w:t>
      </w:r>
      <w:r w:rsidR="00B83CFE" w:rsidRPr="000A48C9">
        <w:rPr>
          <w:rFonts w:ascii="Times New Roman" w:hAnsi="Times New Roman"/>
          <w:i/>
          <w:sz w:val="24"/>
          <w:szCs w:val="24"/>
        </w:rPr>
        <w:t>MKBK</w:t>
      </w:r>
      <w:r w:rsidR="00B83CFE" w:rsidRPr="000A48C9">
        <w:rPr>
          <w:rFonts w:ascii="Times New Roman" w:hAnsi="Times New Roman"/>
          <w:sz w:val="24"/>
          <w:szCs w:val="24"/>
        </w:rPr>
        <w:t xml:space="preserve"> is significantly negative. Examining a large sample across 37 countries, Zhe, Li, and Yu (2016) document a significantly positive association between earnings management and a firms’ financial leverage. </w:t>
      </w:r>
      <w:r w:rsidR="00572648" w:rsidRPr="000A48C9">
        <w:rPr>
          <w:rFonts w:ascii="Times New Roman" w:hAnsi="Times New Roman"/>
          <w:sz w:val="24"/>
          <w:szCs w:val="24"/>
        </w:rPr>
        <w:t xml:space="preserve">If </w:t>
      </w:r>
      <w:r w:rsidR="00B83CFE" w:rsidRPr="000A48C9">
        <w:rPr>
          <w:rFonts w:ascii="Times New Roman" w:hAnsi="Times New Roman"/>
          <w:sz w:val="24"/>
          <w:szCs w:val="24"/>
        </w:rPr>
        <w:t xml:space="preserve">the </w:t>
      </w:r>
      <w:r w:rsidR="00572648" w:rsidRPr="000A48C9">
        <w:rPr>
          <w:rFonts w:ascii="Times New Roman" w:hAnsi="Times New Roman"/>
          <w:sz w:val="24"/>
          <w:szCs w:val="24"/>
        </w:rPr>
        <w:t xml:space="preserve">market-to-book ratio is </w:t>
      </w:r>
      <w:r w:rsidR="00B83CFE" w:rsidRPr="000A48C9">
        <w:rPr>
          <w:rFonts w:ascii="Times New Roman" w:hAnsi="Times New Roman"/>
          <w:sz w:val="24"/>
          <w:szCs w:val="24"/>
        </w:rPr>
        <w:t>a</w:t>
      </w:r>
      <w:r w:rsidR="00572648" w:rsidRPr="000A48C9">
        <w:rPr>
          <w:rFonts w:ascii="Times New Roman" w:hAnsi="Times New Roman"/>
          <w:sz w:val="24"/>
          <w:szCs w:val="24"/>
        </w:rPr>
        <w:t xml:space="preserve"> proxy for growth opportunities, a significantly negative coefficient for </w:t>
      </w:r>
      <w:r w:rsidR="00572648" w:rsidRPr="000A48C9">
        <w:rPr>
          <w:rFonts w:ascii="Times New Roman" w:hAnsi="Times New Roman"/>
          <w:i/>
          <w:sz w:val="24"/>
          <w:szCs w:val="24"/>
        </w:rPr>
        <w:t>MKBK</w:t>
      </w:r>
      <w:r w:rsidR="00572648" w:rsidRPr="000A48C9">
        <w:rPr>
          <w:rFonts w:ascii="Times New Roman" w:hAnsi="Times New Roman"/>
          <w:sz w:val="24"/>
          <w:szCs w:val="24"/>
        </w:rPr>
        <w:t xml:space="preserve"> could suggest that those growing firms conduct less real activities management, probably reflecting a less need. </w:t>
      </w:r>
      <w:r w:rsidR="00B83CFE" w:rsidRPr="000A48C9">
        <w:rPr>
          <w:rFonts w:ascii="Times New Roman" w:hAnsi="Times New Roman"/>
          <w:sz w:val="24"/>
          <w:szCs w:val="24"/>
        </w:rPr>
        <w:t xml:space="preserve">Notice that growing firms such as tech firms tend to have low financial leverage. </w:t>
      </w:r>
    </w:p>
    <w:p w14:paraId="26DDD49E" w14:textId="774EA73A" w:rsidR="00B20065" w:rsidRPr="000A48C9" w:rsidRDefault="00B20065" w:rsidP="00A23801">
      <w:pPr>
        <w:spacing w:before="120" w:after="120" w:line="480" w:lineRule="auto"/>
        <w:jc w:val="center"/>
        <w:rPr>
          <w:rFonts w:ascii="Times New Roman" w:hAnsi="Times New Roman"/>
          <w:sz w:val="24"/>
          <w:szCs w:val="24"/>
        </w:rPr>
      </w:pPr>
      <w:r w:rsidRPr="000A48C9">
        <w:rPr>
          <w:rFonts w:ascii="Times New Roman" w:hAnsi="Times New Roman"/>
          <w:sz w:val="24"/>
          <w:szCs w:val="24"/>
        </w:rPr>
        <w:t xml:space="preserve">[INSERT TABLE </w:t>
      </w:r>
      <w:r w:rsidR="00D00DF2" w:rsidRPr="000A48C9">
        <w:rPr>
          <w:rFonts w:ascii="Times New Roman" w:hAnsi="Times New Roman"/>
          <w:sz w:val="24"/>
          <w:szCs w:val="24"/>
        </w:rPr>
        <w:t>5</w:t>
      </w:r>
      <w:r w:rsidRPr="000A48C9">
        <w:rPr>
          <w:rFonts w:ascii="Times New Roman" w:hAnsi="Times New Roman"/>
          <w:sz w:val="24"/>
          <w:szCs w:val="24"/>
        </w:rPr>
        <w:t xml:space="preserve"> ABOUT HERE]</w:t>
      </w:r>
    </w:p>
    <w:p w14:paraId="27326ACC" w14:textId="42E6412D" w:rsidR="00C73D95" w:rsidRPr="002F79D0" w:rsidRDefault="00523296" w:rsidP="004253F6">
      <w:pPr>
        <w:spacing w:before="120" w:after="0" w:line="480" w:lineRule="auto"/>
        <w:rPr>
          <w:rFonts w:ascii="Times New Roman" w:hAnsi="Times New Roman"/>
          <w:b/>
          <w:i/>
          <w:sz w:val="24"/>
          <w:szCs w:val="24"/>
        </w:rPr>
      </w:pPr>
      <w:r w:rsidRPr="002F79D0">
        <w:rPr>
          <w:rFonts w:ascii="Times New Roman" w:hAnsi="Times New Roman"/>
          <w:b/>
          <w:i/>
          <w:sz w:val="24"/>
          <w:szCs w:val="24"/>
        </w:rPr>
        <w:t xml:space="preserve">4. 4. Earnings management between MLPs vs. </w:t>
      </w:r>
      <w:r w:rsidRPr="002F79D0">
        <w:rPr>
          <w:rFonts w:ascii="Times New Roman" w:hAnsi="Times New Roman"/>
          <w:b/>
          <w:i/>
          <w:noProof/>
          <w:sz w:val="24"/>
          <w:szCs w:val="24"/>
        </w:rPr>
        <w:t>non</w:t>
      </w:r>
      <w:r w:rsidRPr="002F79D0">
        <w:rPr>
          <w:rFonts w:ascii="Times New Roman" w:hAnsi="Times New Roman"/>
          <w:b/>
          <w:i/>
          <w:sz w:val="24"/>
          <w:szCs w:val="24"/>
        </w:rPr>
        <w:t>-MLP firms – Institutional ownership</w:t>
      </w:r>
    </w:p>
    <w:p w14:paraId="5437CCD4" w14:textId="0415192A" w:rsidR="00F2552F" w:rsidRPr="000A48C9" w:rsidRDefault="00905426" w:rsidP="009B06C5">
      <w:pPr>
        <w:spacing w:after="0" w:line="480" w:lineRule="auto"/>
        <w:ind w:firstLine="720"/>
        <w:jc w:val="both"/>
        <w:rPr>
          <w:rFonts w:ascii="Times New Roman" w:hAnsi="Times New Roman"/>
          <w:sz w:val="24"/>
          <w:szCs w:val="24"/>
        </w:rPr>
      </w:pPr>
      <w:r w:rsidRPr="000A48C9">
        <w:rPr>
          <w:rFonts w:ascii="Times New Roman" w:hAnsi="Times New Roman"/>
          <w:sz w:val="24"/>
          <w:szCs w:val="24"/>
        </w:rPr>
        <w:t>Chung, Firth</w:t>
      </w:r>
      <w:r w:rsidR="0087564A">
        <w:rPr>
          <w:rFonts w:ascii="Times New Roman" w:hAnsi="Times New Roman"/>
          <w:sz w:val="24"/>
          <w:szCs w:val="24"/>
        </w:rPr>
        <w:t>,</w:t>
      </w:r>
      <w:r w:rsidRPr="000A48C9">
        <w:rPr>
          <w:rFonts w:ascii="Times New Roman" w:hAnsi="Times New Roman"/>
          <w:sz w:val="24"/>
          <w:szCs w:val="24"/>
        </w:rPr>
        <w:t xml:space="preserve"> </w:t>
      </w:r>
      <w:r w:rsidRPr="0087564A">
        <w:rPr>
          <w:rFonts w:ascii="Times New Roman" w:hAnsi="Times New Roman"/>
          <w:noProof/>
          <w:sz w:val="24"/>
          <w:szCs w:val="24"/>
        </w:rPr>
        <w:t>and</w:t>
      </w:r>
      <w:r w:rsidRPr="000A48C9">
        <w:rPr>
          <w:rFonts w:ascii="Times New Roman" w:hAnsi="Times New Roman"/>
          <w:sz w:val="24"/>
          <w:szCs w:val="24"/>
        </w:rPr>
        <w:t xml:space="preserve"> Kim (2002) find that i</w:t>
      </w:r>
      <w:r w:rsidR="000D5929" w:rsidRPr="000A48C9">
        <w:rPr>
          <w:rFonts w:ascii="Times New Roman" w:hAnsi="Times New Roman"/>
          <w:sz w:val="24"/>
          <w:szCs w:val="24"/>
        </w:rPr>
        <w:t xml:space="preserve">nstitutional investors have the resources and expertise to monitor managers’ earnings </w:t>
      </w:r>
      <w:r w:rsidR="0010769D" w:rsidRPr="000A48C9">
        <w:rPr>
          <w:rFonts w:ascii="Times New Roman" w:hAnsi="Times New Roman"/>
          <w:sz w:val="24"/>
          <w:szCs w:val="24"/>
        </w:rPr>
        <w:t xml:space="preserve">manipulation </w:t>
      </w:r>
      <w:r w:rsidR="000D5929" w:rsidRPr="000A48C9">
        <w:rPr>
          <w:rFonts w:ascii="Times New Roman" w:hAnsi="Times New Roman"/>
          <w:sz w:val="24"/>
          <w:szCs w:val="24"/>
        </w:rPr>
        <w:t>practices</w:t>
      </w:r>
      <w:r w:rsidRPr="000A48C9">
        <w:rPr>
          <w:rFonts w:ascii="Times New Roman" w:hAnsi="Times New Roman"/>
          <w:sz w:val="24"/>
          <w:szCs w:val="24"/>
        </w:rPr>
        <w:t>.</w:t>
      </w:r>
      <w:r w:rsidR="000D5929" w:rsidRPr="000A48C9">
        <w:rPr>
          <w:rFonts w:ascii="Times New Roman" w:hAnsi="Times New Roman"/>
          <w:sz w:val="24"/>
          <w:szCs w:val="24"/>
        </w:rPr>
        <w:t xml:space="preserve"> </w:t>
      </w:r>
      <w:r w:rsidR="00EA6EFC" w:rsidRPr="000A48C9">
        <w:rPr>
          <w:rFonts w:ascii="Times New Roman" w:hAnsi="Times New Roman"/>
          <w:sz w:val="24"/>
          <w:szCs w:val="24"/>
        </w:rPr>
        <w:t xml:space="preserve">Guthrie and Sokolowsky (2010) also find large </w:t>
      </w:r>
      <w:r w:rsidR="00173BFF" w:rsidRPr="0087564A">
        <w:rPr>
          <w:rFonts w:ascii="Times New Roman" w:hAnsi="Times New Roman"/>
          <w:noProof/>
          <w:sz w:val="24"/>
          <w:szCs w:val="24"/>
        </w:rPr>
        <w:t>blockholders</w:t>
      </w:r>
      <w:r w:rsidR="00173BFF" w:rsidRPr="000A48C9">
        <w:rPr>
          <w:rFonts w:ascii="Times New Roman" w:hAnsi="Times New Roman"/>
          <w:sz w:val="24"/>
          <w:szCs w:val="24"/>
        </w:rPr>
        <w:t xml:space="preserve"> </w:t>
      </w:r>
      <w:r w:rsidR="00EA6EFC" w:rsidRPr="000A48C9">
        <w:rPr>
          <w:rFonts w:ascii="Times New Roman" w:hAnsi="Times New Roman"/>
          <w:sz w:val="24"/>
          <w:szCs w:val="24"/>
        </w:rPr>
        <w:t xml:space="preserve">exert a pressure on the management and affect its earnings management behavior. </w:t>
      </w:r>
      <w:r w:rsidR="00505A61" w:rsidRPr="000A48C9">
        <w:rPr>
          <w:rFonts w:ascii="Times New Roman" w:hAnsi="Times New Roman"/>
          <w:sz w:val="24"/>
          <w:szCs w:val="24"/>
        </w:rPr>
        <w:t xml:space="preserve">Likewise, Kim et al. (2016) provide evidence of effective monitoring by institutional investors on the behavior of earnings management. </w:t>
      </w:r>
      <w:r w:rsidR="00F2552F" w:rsidRPr="000A48C9">
        <w:rPr>
          <w:rFonts w:ascii="Times New Roman" w:hAnsi="Times New Roman"/>
          <w:sz w:val="24"/>
          <w:szCs w:val="24"/>
        </w:rPr>
        <w:t xml:space="preserve">As mentioned earlier, not all institutional investors invest in MLPs. For instance, pension funds are not allowed to hold MLP units without incurring </w:t>
      </w:r>
      <w:r w:rsidR="00F2552F" w:rsidRPr="0087564A">
        <w:rPr>
          <w:rFonts w:ascii="Times New Roman" w:hAnsi="Times New Roman"/>
          <w:noProof/>
          <w:sz w:val="24"/>
          <w:szCs w:val="24"/>
        </w:rPr>
        <w:t>tax</w:t>
      </w:r>
      <w:r w:rsidR="00F2552F" w:rsidRPr="000A48C9">
        <w:rPr>
          <w:rFonts w:ascii="Times New Roman" w:hAnsi="Times New Roman"/>
          <w:sz w:val="24"/>
          <w:szCs w:val="24"/>
        </w:rPr>
        <w:t xml:space="preserve"> liability. It is only recently that </w:t>
      </w:r>
      <w:r w:rsidR="0073243E" w:rsidRPr="000A48C9">
        <w:rPr>
          <w:rFonts w:ascii="Times New Roman" w:hAnsi="Times New Roman"/>
          <w:sz w:val="24"/>
          <w:szCs w:val="24"/>
        </w:rPr>
        <w:t>mutual</w:t>
      </w:r>
      <w:r w:rsidR="00F2552F" w:rsidRPr="000A48C9">
        <w:rPr>
          <w:rFonts w:ascii="Times New Roman" w:hAnsi="Times New Roman"/>
          <w:sz w:val="24"/>
          <w:szCs w:val="24"/>
        </w:rPr>
        <w:t xml:space="preserve"> funds </w:t>
      </w:r>
      <w:r w:rsidR="00320FB2" w:rsidRPr="000A48C9">
        <w:rPr>
          <w:rFonts w:ascii="Times New Roman" w:hAnsi="Times New Roman"/>
          <w:sz w:val="24"/>
          <w:szCs w:val="24"/>
        </w:rPr>
        <w:t xml:space="preserve">are </w:t>
      </w:r>
      <w:r w:rsidR="00F2552F" w:rsidRPr="000A48C9">
        <w:rPr>
          <w:rFonts w:ascii="Times New Roman" w:hAnsi="Times New Roman"/>
          <w:sz w:val="24"/>
          <w:szCs w:val="24"/>
        </w:rPr>
        <w:t xml:space="preserve">allowed to invest in MLPs. As a result, the </w:t>
      </w:r>
      <w:r w:rsidR="0073243E" w:rsidRPr="000A48C9">
        <w:rPr>
          <w:rFonts w:ascii="Times New Roman" w:hAnsi="Times New Roman"/>
          <w:sz w:val="24"/>
          <w:szCs w:val="24"/>
        </w:rPr>
        <w:t xml:space="preserve">distribution of institutional ownership differs between MLPs and </w:t>
      </w:r>
      <w:r w:rsidR="0073243E" w:rsidRPr="0087564A">
        <w:rPr>
          <w:rFonts w:ascii="Times New Roman" w:hAnsi="Times New Roman"/>
          <w:noProof/>
          <w:sz w:val="24"/>
          <w:szCs w:val="24"/>
        </w:rPr>
        <w:t>non</w:t>
      </w:r>
      <w:r w:rsidR="0073243E" w:rsidRPr="000A48C9">
        <w:rPr>
          <w:rFonts w:ascii="Times New Roman" w:hAnsi="Times New Roman"/>
          <w:sz w:val="24"/>
          <w:szCs w:val="24"/>
        </w:rPr>
        <w:t>-MLPs</w:t>
      </w:r>
      <w:r w:rsidR="008D1EB1" w:rsidRPr="000A48C9">
        <w:rPr>
          <w:rFonts w:ascii="Times New Roman" w:hAnsi="Times New Roman"/>
          <w:sz w:val="24"/>
          <w:szCs w:val="24"/>
        </w:rPr>
        <w:t xml:space="preserve"> firms</w:t>
      </w:r>
      <w:r w:rsidR="0073243E" w:rsidRPr="000A48C9">
        <w:rPr>
          <w:rFonts w:ascii="Times New Roman" w:hAnsi="Times New Roman"/>
          <w:sz w:val="24"/>
          <w:szCs w:val="24"/>
        </w:rPr>
        <w:t>, which may affect the relationship between their ownership and MLP earnings management practices.</w:t>
      </w:r>
      <w:r w:rsidR="00277EE5" w:rsidRPr="000A48C9">
        <w:rPr>
          <w:rFonts w:ascii="Times New Roman" w:hAnsi="Times New Roman"/>
          <w:sz w:val="24"/>
          <w:szCs w:val="24"/>
        </w:rPr>
        <w:t xml:space="preserve"> Whether or not institutional investors monitor MLPs is an empirical question that we seek to answer in this section.</w:t>
      </w:r>
    </w:p>
    <w:p w14:paraId="2224F3FF" w14:textId="1F72463F" w:rsidR="00B20065" w:rsidRPr="000A48C9" w:rsidRDefault="00927918" w:rsidP="00A23801">
      <w:pPr>
        <w:spacing w:before="120" w:after="120" w:line="480" w:lineRule="auto"/>
        <w:jc w:val="center"/>
        <w:rPr>
          <w:rFonts w:ascii="Times New Roman" w:hAnsi="Times New Roman"/>
          <w:sz w:val="24"/>
          <w:szCs w:val="24"/>
        </w:rPr>
      </w:pPr>
      <w:r w:rsidRPr="000A48C9" w:rsidDel="00927918">
        <w:rPr>
          <w:rFonts w:ascii="Times New Roman" w:hAnsi="Times New Roman"/>
          <w:sz w:val="24"/>
          <w:szCs w:val="24"/>
        </w:rPr>
        <w:t xml:space="preserve"> </w:t>
      </w:r>
      <w:r w:rsidR="00B20065" w:rsidRPr="000A48C9">
        <w:rPr>
          <w:rFonts w:ascii="Times New Roman" w:hAnsi="Times New Roman"/>
          <w:sz w:val="24"/>
          <w:szCs w:val="24"/>
        </w:rPr>
        <w:t xml:space="preserve">[INSERT TABLE </w:t>
      </w:r>
      <w:r w:rsidR="00D00DF2" w:rsidRPr="000A48C9">
        <w:rPr>
          <w:rFonts w:ascii="Times New Roman" w:hAnsi="Times New Roman"/>
          <w:sz w:val="24"/>
          <w:szCs w:val="24"/>
        </w:rPr>
        <w:t>6</w:t>
      </w:r>
      <w:r w:rsidR="00B20065" w:rsidRPr="000A48C9">
        <w:rPr>
          <w:rFonts w:ascii="Times New Roman" w:hAnsi="Times New Roman"/>
          <w:sz w:val="24"/>
          <w:szCs w:val="24"/>
        </w:rPr>
        <w:t xml:space="preserve"> ABOUT HERE]</w:t>
      </w:r>
    </w:p>
    <w:p w14:paraId="4C6529EC" w14:textId="34AC57CE" w:rsidR="00927918" w:rsidRPr="000A48C9" w:rsidRDefault="00927918" w:rsidP="00A056FB">
      <w:pPr>
        <w:spacing w:after="0" w:line="480" w:lineRule="auto"/>
        <w:ind w:firstLine="720"/>
        <w:jc w:val="both"/>
        <w:rPr>
          <w:rFonts w:ascii="Times New Roman" w:hAnsi="Times New Roman"/>
          <w:sz w:val="24"/>
          <w:szCs w:val="24"/>
        </w:rPr>
      </w:pPr>
      <w:r w:rsidRPr="0087564A">
        <w:rPr>
          <w:rFonts w:ascii="Times New Roman" w:hAnsi="Times New Roman"/>
          <w:noProof/>
          <w:sz w:val="24"/>
          <w:szCs w:val="24"/>
        </w:rPr>
        <w:t xml:space="preserve">In Table </w:t>
      </w:r>
      <w:r w:rsidR="00D00DF2" w:rsidRPr="006E160D">
        <w:rPr>
          <w:rFonts w:ascii="Times New Roman" w:hAnsi="Times New Roman"/>
          <w:noProof/>
          <w:sz w:val="24"/>
          <w:szCs w:val="24"/>
        </w:rPr>
        <w:t>6</w:t>
      </w:r>
      <w:r w:rsidRPr="006E160D">
        <w:rPr>
          <w:rFonts w:ascii="Times New Roman" w:hAnsi="Times New Roman"/>
          <w:noProof/>
          <w:sz w:val="24"/>
          <w:szCs w:val="24"/>
        </w:rPr>
        <w:t>, we report the cross-sectional analyses of earnings management activities for the subsample of firms with lower than the yearly sample median institutional ownership percentage in Panel A and the subsample of firms with higher-than-median institutional ownership percentage in Panel B. Both categories of MLPs are ass</w:t>
      </w:r>
      <w:r w:rsidRPr="0087564A">
        <w:rPr>
          <w:rFonts w:ascii="Times New Roman" w:hAnsi="Times New Roman"/>
          <w:noProof/>
          <w:sz w:val="24"/>
          <w:szCs w:val="24"/>
        </w:rPr>
        <w:t xml:space="preserve">ociated with higher real earnings management compared to non-MLPs </w:t>
      </w:r>
      <w:r w:rsidR="008D1EB1" w:rsidRPr="0087564A">
        <w:rPr>
          <w:rFonts w:ascii="Times New Roman" w:hAnsi="Times New Roman"/>
          <w:noProof/>
          <w:sz w:val="24"/>
          <w:szCs w:val="24"/>
        </w:rPr>
        <w:t xml:space="preserve">peers </w:t>
      </w:r>
      <w:r w:rsidRPr="0087564A">
        <w:rPr>
          <w:rFonts w:ascii="Times New Roman" w:hAnsi="Times New Roman"/>
          <w:noProof/>
          <w:sz w:val="24"/>
          <w:szCs w:val="24"/>
        </w:rPr>
        <w:t>(Models 1 and 2 from both panels).</w:t>
      </w:r>
      <w:r w:rsidRPr="000A48C9">
        <w:rPr>
          <w:rFonts w:ascii="Times New Roman" w:hAnsi="Times New Roman"/>
          <w:sz w:val="24"/>
          <w:szCs w:val="24"/>
        </w:rPr>
        <w:t xml:space="preserve"> There is no association between discretionary accruals and MLPs (Models 3 and </w:t>
      </w:r>
      <w:r w:rsidRPr="0087564A">
        <w:rPr>
          <w:rFonts w:ascii="Times New Roman" w:hAnsi="Times New Roman"/>
          <w:noProof/>
          <w:sz w:val="24"/>
          <w:szCs w:val="24"/>
        </w:rPr>
        <w:t>4</w:t>
      </w:r>
      <w:r w:rsidRPr="000A48C9">
        <w:rPr>
          <w:rFonts w:ascii="Times New Roman" w:hAnsi="Times New Roman"/>
          <w:sz w:val="24"/>
          <w:szCs w:val="24"/>
        </w:rPr>
        <w:t xml:space="preserve"> from both panels). Given that large sections of institutional investors shun the MLP units for tax reasons, we may not find the usual inverse association between institutional ownership and earnings management in MLPs. There is also solid evidence that </w:t>
      </w:r>
      <w:r w:rsidRPr="0087564A">
        <w:rPr>
          <w:rFonts w:ascii="Times New Roman" w:hAnsi="Times New Roman"/>
          <w:noProof/>
          <w:sz w:val="24"/>
          <w:szCs w:val="24"/>
        </w:rPr>
        <w:t>firms</w:t>
      </w:r>
      <w:r w:rsidR="0087564A">
        <w:rPr>
          <w:rFonts w:ascii="Times New Roman" w:hAnsi="Times New Roman"/>
          <w:noProof/>
          <w:sz w:val="24"/>
          <w:szCs w:val="24"/>
        </w:rPr>
        <w:t xml:space="preserve"> are</w:t>
      </w:r>
      <w:r w:rsidRPr="000A48C9">
        <w:rPr>
          <w:rFonts w:ascii="Times New Roman" w:hAnsi="Times New Roman"/>
          <w:sz w:val="24"/>
          <w:szCs w:val="24"/>
        </w:rPr>
        <w:t xml:space="preserve"> engaging in both kinds of earnings management as shown in Models 3 and 4 in both panels.</w:t>
      </w:r>
      <w:r w:rsidR="00297B04" w:rsidRPr="000A48C9" w:rsidDel="00297B04">
        <w:rPr>
          <w:rFonts w:ascii="Times New Roman" w:hAnsi="Times New Roman"/>
          <w:sz w:val="24"/>
          <w:szCs w:val="24"/>
        </w:rPr>
        <w:t xml:space="preserve"> </w:t>
      </w:r>
    </w:p>
    <w:p w14:paraId="7EB13FCB" w14:textId="266276FC" w:rsidR="005306BB" w:rsidRPr="002F79D0" w:rsidRDefault="00523296" w:rsidP="004253F6">
      <w:pPr>
        <w:spacing w:before="120" w:after="0" w:line="480" w:lineRule="auto"/>
        <w:rPr>
          <w:rFonts w:ascii="Times New Roman" w:hAnsi="Times New Roman"/>
          <w:b/>
          <w:i/>
          <w:sz w:val="24"/>
          <w:szCs w:val="24"/>
        </w:rPr>
      </w:pPr>
      <w:r w:rsidRPr="002F79D0">
        <w:rPr>
          <w:rFonts w:ascii="Times New Roman" w:hAnsi="Times New Roman"/>
          <w:b/>
          <w:i/>
          <w:sz w:val="24"/>
          <w:szCs w:val="24"/>
        </w:rPr>
        <w:t xml:space="preserve">4. 5.  Earnings management between MLPs vs. </w:t>
      </w:r>
      <w:r w:rsidRPr="002F79D0">
        <w:rPr>
          <w:rFonts w:ascii="Times New Roman" w:hAnsi="Times New Roman"/>
          <w:b/>
          <w:i/>
          <w:noProof/>
          <w:sz w:val="24"/>
          <w:szCs w:val="24"/>
        </w:rPr>
        <w:t>non</w:t>
      </w:r>
      <w:r w:rsidRPr="002F79D0">
        <w:rPr>
          <w:rFonts w:ascii="Times New Roman" w:hAnsi="Times New Roman"/>
          <w:b/>
          <w:i/>
          <w:sz w:val="24"/>
          <w:szCs w:val="24"/>
        </w:rPr>
        <w:t>-MLP firms – Analyst coverage</w:t>
      </w:r>
    </w:p>
    <w:p w14:paraId="70E95DDB" w14:textId="061DF1DB" w:rsidR="00C3662B" w:rsidRPr="000A48C9" w:rsidRDefault="002B7163" w:rsidP="009B06C5">
      <w:pPr>
        <w:spacing w:after="0" w:line="480" w:lineRule="auto"/>
        <w:ind w:firstLine="720"/>
        <w:jc w:val="both"/>
        <w:rPr>
          <w:rFonts w:ascii="Times New Roman" w:hAnsi="Times New Roman"/>
          <w:sz w:val="24"/>
          <w:szCs w:val="24"/>
        </w:rPr>
      </w:pPr>
      <w:r w:rsidRPr="000A48C9">
        <w:rPr>
          <w:rFonts w:ascii="Times New Roman" w:hAnsi="Times New Roman"/>
          <w:sz w:val="24"/>
          <w:szCs w:val="24"/>
        </w:rPr>
        <w:t>Yu (2008) document</w:t>
      </w:r>
      <w:r w:rsidR="002A66BC" w:rsidRPr="000A48C9">
        <w:rPr>
          <w:rFonts w:ascii="Times New Roman" w:hAnsi="Times New Roman"/>
          <w:sz w:val="24"/>
          <w:szCs w:val="24"/>
        </w:rPr>
        <w:t>s</w:t>
      </w:r>
      <w:r w:rsidRPr="000A48C9">
        <w:rPr>
          <w:rFonts w:ascii="Times New Roman" w:hAnsi="Times New Roman"/>
          <w:sz w:val="24"/>
          <w:szCs w:val="24"/>
        </w:rPr>
        <w:t xml:space="preserve"> that firms followed by more analysts manage their discretionary accruals less. Sun and Liu (2016), on the other hand, find that high analyst coverage leads to more real earnings management. They thus conclude that analyst coverage cannot constrain real activities manipulation</w:t>
      </w:r>
      <w:r w:rsidR="002A66BC" w:rsidRPr="000A48C9">
        <w:rPr>
          <w:rFonts w:ascii="Times New Roman" w:hAnsi="Times New Roman"/>
          <w:sz w:val="24"/>
          <w:szCs w:val="24"/>
        </w:rPr>
        <w:t xml:space="preserve">. To the extent that analysts can serve as external monitors to managers, we expect the positive relationship between MLP status and earnings management to be more prevalent among firms with low analyst coverage. </w:t>
      </w:r>
      <w:r w:rsidR="002A66BC" w:rsidRPr="0087564A">
        <w:rPr>
          <w:rFonts w:ascii="Times New Roman" w:hAnsi="Times New Roman"/>
          <w:noProof/>
          <w:sz w:val="24"/>
          <w:szCs w:val="24"/>
        </w:rPr>
        <w:t xml:space="preserve">In Table </w:t>
      </w:r>
      <w:r w:rsidR="00D00DF2" w:rsidRPr="0087564A">
        <w:rPr>
          <w:rFonts w:ascii="Times New Roman" w:hAnsi="Times New Roman"/>
          <w:noProof/>
          <w:sz w:val="24"/>
          <w:szCs w:val="24"/>
        </w:rPr>
        <w:t>7</w:t>
      </w:r>
      <w:r w:rsidR="002A66BC" w:rsidRPr="0087564A">
        <w:rPr>
          <w:rFonts w:ascii="Times New Roman" w:hAnsi="Times New Roman"/>
          <w:noProof/>
          <w:sz w:val="24"/>
          <w:szCs w:val="24"/>
        </w:rPr>
        <w:t xml:space="preserve">, we report the cross-sectional analyses of earnings management activities for the subsample of firms with </w:t>
      </w:r>
      <w:r w:rsidR="00F03181" w:rsidRPr="0087564A">
        <w:rPr>
          <w:rFonts w:ascii="Times New Roman" w:hAnsi="Times New Roman"/>
          <w:noProof/>
          <w:sz w:val="24"/>
          <w:szCs w:val="24"/>
        </w:rPr>
        <w:t xml:space="preserve">lower </w:t>
      </w:r>
      <w:r w:rsidR="002A66BC" w:rsidRPr="0087564A">
        <w:rPr>
          <w:rFonts w:ascii="Times New Roman" w:hAnsi="Times New Roman"/>
          <w:noProof/>
          <w:sz w:val="24"/>
          <w:szCs w:val="24"/>
        </w:rPr>
        <w:t xml:space="preserve">than the yearly sample median number of covering analysts in Panel </w:t>
      </w:r>
      <w:r w:rsidR="00F03181" w:rsidRPr="0087564A">
        <w:rPr>
          <w:rFonts w:ascii="Times New Roman" w:hAnsi="Times New Roman"/>
          <w:noProof/>
          <w:sz w:val="24"/>
          <w:szCs w:val="24"/>
        </w:rPr>
        <w:t xml:space="preserve">A </w:t>
      </w:r>
      <w:r w:rsidR="002A66BC" w:rsidRPr="0087564A">
        <w:rPr>
          <w:rFonts w:ascii="Times New Roman" w:hAnsi="Times New Roman"/>
          <w:noProof/>
          <w:sz w:val="24"/>
          <w:szCs w:val="24"/>
        </w:rPr>
        <w:t xml:space="preserve">and the subsample of firms with </w:t>
      </w:r>
      <w:r w:rsidR="00F03181" w:rsidRPr="0087564A">
        <w:rPr>
          <w:rFonts w:ascii="Times New Roman" w:hAnsi="Times New Roman"/>
          <w:noProof/>
          <w:sz w:val="24"/>
          <w:szCs w:val="24"/>
        </w:rPr>
        <w:t xml:space="preserve">higher </w:t>
      </w:r>
      <w:r w:rsidR="002A66BC" w:rsidRPr="0087564A">
        <w:rPr>
          <w:rFonts w:ascii="Times New Roman" w:hAnsi="Times New Roman"/>
          <w:noProof/>
          <w:sz w:val="24"/>
          <w:szCs w:val="24"/>
        </w:rPr>
        <w:t xml:space="preserve">than the sample median in Panel </w:t>
      </w:r>
      <w:r w:rsidR="00F03181" w:rsidRPr="0087564A">
        <w:rPr>
          <w:rFonts w:ascii="Times New Roman" w:hAnsi="Times New Roman"/>
          <w:noProof/>
          <w:sz w:val="24"/>
          <w:szCs w:val="24"/>
        </w:rPr>
        <w:t>B</w:t>
      </w:r>
      <w:r w:rsidR="002A66BC" w:rsidRPr="0087564A">
        <w:rPr>
          <w:rFonts w:ascii="Times New Roman" w:hAnsi="Times New Roman"/>
          <w:noProof/>
          <w:sz w:val="24"/>
          <w:szCs w:val="24"/>
        </w:rPr>
        <w:t xml:space="preserve">. </w:t>
      </w:r>
      <w:r w:rsidR="00F03181" w:rsidRPr="0087564A">
        <w:rPr>
          <w:rFonts w:ascii="Times New Roman" w:hAnsi="Times New Roman"/>
          <w:noProof/>
          <w:sz w:val="24"/>
          <w:szCs w:val="24"/>
        </w:rPr>
        <w:t>Both categories of MLP are associated with higher real earnings management compared to non-MLP</w:t>
      </w:r>
      <w:r w:rsidR="008D1EB1" w:rsidRPr="0087564A">
        <w:rPr>
          <w:rFonts w:ascii="Times New Roman" w:hAnsi="Times New Roman"/>
          <w:noProof/>
          <w:sz w:val="24"/>
          <w:szCs w:val="24"/>
        </w:rPr>
        <w:t xml:space="preserve"> firm</w:t>
      </w:r>
      <w:r w:rsidR="00F03181" w:rsidRPr="0087564A">
        <w:rPr>
          <w:rFonts w:ascii="Times New Roman" w:hAnsi="Times New Roman"/>
          <w:noProof/>
          <w:sz w:val="24"/>
          <w:szCs w:val="24"/>
        </w:rPr>
        <w:t>s (Models 1 and 2 from both panels).</w:t>
      </w:r>
      <w:r w:rsidR="006412E2" w:rsidRPr="000A48C9">
        <w:rPr>
          <w:rFonts w:ascii="Times New Roman" w:hAnsi="Times New Roman"/>
          <w:sz w:val="24"/>
          <w:szCs w:val="24"/>
        </w:rPr>
        <w:t xml:space="preserve">  </w:t>
      </w:r>
      <w:r w:rsidR="00F03181" w:rsidRPr="0087564A">
        <w:rPr>
          <w:rFonts w:ascii="Times New Roman" w:hAnsi="Times New Roman"/>
          <w:noProof/>
          <w:sz w:val="24"/>
          <w:szCs w:val="24"/>
        </w:rPr>
        <w:t>This</w:t>
      </w:r>
      <w:r w:rsidR="00F03181" w:rsidRPr="000A48C9">
        <w:rPr>
          <w:rFonts w:ascii="Times New Roman" w:hAnsi="Times New Roman"/>
          <w:sz w:val="24"/>
          <w:szCs w:val="24"/>
        </w:rPr>
        <w:t xml:space="preserve"> could be due to the heterogeneity inherent among MLPs as evidenced in Table 1 where the 99 MLPs </w:t>
      </w:r>
      <w:r w:rsidR="00F03181" w:rsidRPr="0087564A">
        <w:rPr>
          <w:rFonts w:ascii="Times New Roman" w:hAnsi="Times New Roman"/>
          <w:noProof/>
          <w:sz w:val="24"/>
          <w:szCs w:val="24"/>
        </w:rPr>
        <w:t>are distributed</w:t>
      </w:r>
      <w:r w:rsidR="00F03181" w:rsidRPr="000A48C9">
        <w:rPr>
          <w:rFonts w:ascii="Times New Roman" w:hAnsi="Times New Roman"/>
          <w:sz w:val="24"/>
          <w:szCs w:val="24"/>
        </w:rPr>
        <w:t xml:space="preserve"> across 19 industry sectors. </w:t>
      </w:r>
      <w:r w:rsidR="00DD2370" w:rsidRPr="000A48C9">
        <w:rPr>
          <w:rFonts w:ascii="Times New Roman" w:hAnsi="Times New Roman"/>
          <w:sz w:val="24"/>
          <w:szCs w:val="24"/>
        </w:rPr>
        <w:t>MLPs also differ in complexity due to the nature of the assets they operate (for instance, pipeline assets represent only a subset of MLPs), their capital structure, partnership structures and a myriad of other factors making it difficult for analysts to treat MLP</w:t>
      </w:r>
      <w:r w:rsidR="00525D91" w:rsidRPr="000A48C9">
        <w:rPr>
          <w:rFonts w:ascii="Times New Roman" w:hAnsi="Times New Roman"/>
          <w:sz w:val="24"/>
          <w:szCs w:val="24"/>
        </w:rPr>
        <w:t>s</w:t>
      </w:r>
      <w:r w:rsidR="00DD2370" w:rsidRPr="000A48C9">
        <w:rPr>
          <w:rFonts w:ascii="Times New Roman" w:hAnsi="Times New Roman"/>
          <w:sz w:val="24"/>
          <w:szCs w:val="24"/>
        </w:rPr>
        <w:t xml:space="preserve"> as a homogenous class of business entities. </w:t>
      </w:r>
    </w:p>
    <w:p w14:paraId="43C2985D" w14:textId="45D4073F" w:rsidR="00B20065" w:rsidRPr="000A48C9" w:rsidRDefault="00B20065" w:rsidP="00A23801">
      <w:pPr>
        <w:spacing w:before="120" w:after="120" w:line="480" w:lineRule="auto"/>
        <w:jc w:val="center"/>
        <w:rPr>
          <w:rFonts w:ascii="Times New Roman" w:hAnsi="Times New Roman"/>
          <w:sz w:val="24"/>
          <w:szCs w:val="24"/>
        </w:rPr>
      </w:pPr>
      <w:r w:rsidRPr="000A48C9">
        <w:rPr>
          <w:rFonts w:ascii="Times New Roman" w:hAnsi="Times New Roman"/>
          <w:sz w:val="24"/>
          <w:szCs w:val="24"/>
        </w:rPr>
        <w:t xml:space="preserve">[INSERT TABLE </w:t>
      </w:r>
      <w:r w:rsidR="00D00DF2" w:rsidRPr="000A48C9">
        <w:rPr>
          <w:rFonts w:ascii="Times New Roman" w:hAnsi="Times New Roman"/>
          <w:sz w:val="24"/>
          <w:szCs w:val="24"/>
        </w:rPr>
        <w:t>7</w:t>
      </w:r>
      <w:r w:rsidRPr="000A48C9">
        <w:rPr>
          <w:rFonts w:ascii="Times New Roman" w:hAnsi="Times New Roman"/>
          <w:sz w:val="24"/>
          <w:szCs w:val="24"/>
        </w:rPr>
        <w:t xml:space="preserve"> ABOUT HERE]</w:t>
      </w:r>
    </w:p>
    <w:p w14:paraId="1B5C00BA" w14:textId="246ACAD7" w:rsidR="005338F8" w:rsidRPr="002F79D0" w:rsidRDefault="009B06C5" w:rsidP="004253F6">
      <w:pPr>
        <w:spacing w:before="120" w:after="0" w:line="480" w:lineRule="auto"/>
        <w:rPr>
          <w:rFonts w:ascii="Times New Roman" w:hAnsi="Times New Roman"/>
          <w:b/>
          <w:i/>
          <w:sz w:val="24"/>
          <w:szCs w:val="24"/>
        </w:rPr>
      </w:pPr>
      <w:r w:rsidRPr="002F79D0">
        <w:rPr>
          <w:rFonts w:ascii="Times New Roman" w:hAnsi="Times New Roman"/>
          <w:b/>
          <w:i/>
          <w:sz w:val="24"/>
          <w:szCs w:val="24"/>
        </w:rPr>
        <w:t>4.</w:t>
      </w:r>
      <w:r w:rsidR="00BF4A1D" w:rsidRPr="002F79D0">
        <w:rPr>
          <w:rFonts w:ascii="Times New Roman" w:hAnsi="Times New Roman"/>
          <w:b/>
          <w:i/>
          <w:sz w:val="24"/>
          <w:szCs w:val="24"/>
        </w:rPr>
        <w:t xml:space="preserve"> </w:t>
      </w:r>
      <w:r w:rsidR="00061D43" w:rsidRPr="002F79D0">
        <w:rPr>
          <w:rFonts w:ascii="Times New Roman" w:hAnsi="Times New Roman"/>
          <w:b/>
          <w:i/>
          <w:sz w:val="24"/>
          <w:szCs w:val="24"/>
        </w:rPr>
        <w:t xml:space="preserve">6. </w:t>
      </w:r>
      <w:r w:rsidR="00BF4A1D" w:rsidRPr="002F79D0">
        <w:rPr>
          <w:rFonts w:ascii="Times New Roman" w:hAnsi="Times New Roman"/>
          <w:b/>
          <w:i/>
          <w:sz w:val="24"/>
          <w:szCs w:val="24"/>
        </w:rPr>
        <w:t xml:space="preserve"> </w:t>
      </w:r>
      <w:r w:rsidR="00523296" w:rsidRPr="002F79D0">
        <w:rPr>
          <w:rFonts w:ascii="Times New Roman" w:hAnsi="Times New Roman"/>
          <w:b/>
          <w:i/>
          <w:sz w:val="24"/>
          <w:szCs w:val="24"/>
        </w:rPr>
        <w:t xml:space="preserve">Earnings management between MLPs vs. </w:t>
      </w:r>
      <w:r w:rsidR="00523296" w:rsidRPr="002F79D0">
        <w:rPr>
          <w:rFonts w:ascii="Times New Roman" w:hAnsi="Times New Roman"/>
          <w:b/>
          <w:i/>
          <w:noProof/>
          <w:sz w:val="24"/>
          <w:szCs w:val="24"/>
        </w:rPr>
        <w:t>non</w:t>
      </w:r>
      <w:r w:rsidR="00523296" w:rsidRPr="002F79D0">
        <w:rPr>
          <w:rFonts w:ascii="Times New Roman" w:hAnsi="Times New Roman"/>
          <w:b/>
          <w:i/>
          <w:sz w:val="24"/>
          <w:szCs w:val="24"/>
        </w:rPr>
        <w:t>-MLP firms – Auditors’ tenures</w:t>
      </w:r>
    </w:p>
    <w:p w14:paraId="3394AA5A" w14:textId="1DB84DC7" w:rsidR="00B104CB" w:rsidRPr="000A48C9" w:rsidRDefault="003826A5" w:rsidP="009B06C5">
      <w:pPr>
        <w:spacing w:after="0" w:line="480" w:lineRule="auto"/>
        <w:ind w:firstLine="720"/>
        <w:jc w:val="both"/>
        <w:rPr>
          <w:rFonts w:ascii="Times New Roman" w:hAnsi="Times New Roman"/>
          <w:sz w:val="24"/>
          <w:szCs w:val="24"/>
        </w:rPr>
      </w:pPr>
      <w:r w:rsidRPr="000A48C9">
        <w:rPr>
          <w:rFonts w:ascii="Times New Roman" w:hAnsi="Times New Roman"/>
          <w:sz w:val="24"/>
          <w:szCs w:val="24"/>
        </w:rPr>
        <w:t xml:space="preserve">Ghosh and Moon (2005) </w:t>
      </w:r>
      <w:r w:rsidR="00320FB2" w:rsidRPr="000A48C9">
        <w:rPr>
          <w:rFonts w:ascii="Times New Roman" w:hAnsi="Times New Roman"/>
          <w:sz w:val="24"/>
          <w:szCs w:val="24"/>
        </w:rPr>
        <w:t>and Gul, Fung</w:t>
      </w:r>
      <w:r w:rsidR="0087564A">
        <w:rPr>
          <w:rFonts w:ascii="Times New Roman" w:hAnsi="Times New Roman"/>
          <w:sz w:val="24"/>
          <w:szCs w:val="24"/>
        </w:rPr>
        <w:t>,</w:t>
      </w:r>
      <w:r w:rsidR="00320FB2" w:rsidRPr="000A48C9">
        <w:rPr>
          <w:rFonts w:ascii="Times New Roman" w:hAnsi="Times New Roman"/>
          <w:sz w:val="24"/>
          <w:szCs w:val="24"/>
        </w:rPr>
        <w:t xml:space="preserve"> </w:t>
      </w:r>
      <w:r w:rsidR="00320FB2" w:rsidRPr="0087564A">
        <w:rPr>
          <w:rFonts w:ascii="Times New Roman" w:hAnsi="Times New Roman"/>
          <w:noProof/>
          <w:sz w:val="24"/>
          <w:szCs w:val="24"/>
        </w:rPr>
        <w:t>and</w:t>
      </w:r>
      <w:r w:rsidR="00320FB2" w:rsidRPr="000A48C9">
        <w:rPr>
          <w:rFonts w:ascii="Times New Roman" w:hAnsi="Times New Roman"/>
          <w:sz w:val="24"/>
          <w:szCs w:val="24"/>
        </w:rPr>
        <w:t xml:space="preserve"> Jaggi (2009) </w:t>
      </w:r>
      <w:r w:rsidRPr="000A48C9">
        <w:rPr>
          <w:rFonts w:ascii="Times New Roman" w:hAnsi="Times New Roman"/>
          <w:sz w:val="24"/>
          <w:szCs w:val="24"/>
        </w:rPr>
        <w:t>show that t</w:t>
      </w:r>
      <w:r w:rsidR="00CF7DEF" w:rsidRPr="000A48C9">
        <w:rPr>
          <w:rFonts w:ascii="Times New Roman" w:hAnsi="Times New Roman"/>
          <w:sz w:val="24"/>
          <w:szCs w:val="24"/>
        </w:rPr>
        <w:t xml:space="preserve">he length of auditors’ tenure </w:t>
      </w:r>
      <w:r w:rsidR="00CF7DEF" w:rsidRPr="0087564A">
        <w:rPr>
          <w:rFonts w:ascii="Times New Roman" w:hAnsi="Times New Roman"/>
          <w:noProof/>
          <w:sz w:val="24"/>
          <w:szCs w:val="24"/>
        </w:rPr>
        <w:t>is positively associated</w:t>
      </w:r>
      <w:r w:rsidR="00CF7DEF" w:rsidRPr="000A48C9">
        <w:rPr>
          <w:rFonts w:ascii="Times New Roman" w:hAnsi="Times New Roman"/>
          <w:sz w:val="24"/>
          <w:szCs w:val="24"/>
        </w:rPr>
        <w:t xml:space="preserve"> with earnings quality. It takes time for auditors to appreciate the business intricacies of their clients, </w:t>
      </w:r>
      <w:r w:rsidR="00C20D38" w:rsidRPr="000A48C9">
        <w:rPr>
          <w:rFonts w:ascii="Times New Roman" w:hAnsi="Times New Roman"/>
          <w:sz w:val="24"/>
          <w:szCs w:val="24"/>
        </w:rPr>
        <w:t xml:space="preserve">although this </w:t>
      </w:r>
      <w:r w:rsidR="00CF7DEF" w:rsidRPr="000A48C9">
        <w:rPr>
          <w:rFonts w:ascii="Times New Roman" w:hAnsi="Times New Roman"/>
          <w:sz w:val="24"/>
          <w:szCs w:val="24"/>
        </w:rPr>
        <w:t xml:space="preserve">is possible over the long run. In the short run, a newly appointed auditor relies more on the estimates produced by the client. Next, newly appointed auditors are </w:t>
      </w:r>
      <w:r w:rsidR="00CF7DEF" w:rsidRPr="0087564A">
        <w:rPr>
          <w:rFonts w:ascii="Times New Roman" w:hAnsi="Times New Roman"/>
          <w:noProof/>
          <w:sz w:val="24"/>
          <w:szCs w:val="24"/>
        </w:rPr>
        <w:t>more lax</w:t>
      </w:r>
      <w:r w:rsidR="00CF7DEF" w:rsidRPr="000A48C9">
        <w:rPr>
          <w:rFonts w:ascii="Times New Roman" w:hAnsi="Times New Roman"/>
          <w:sz w:val="24"/>
          <w:szCs w:val="24"/>
        </w:rPr>
        <w:t xml:space="preserve"> in the early years in an attempt to retain the client over the long run. </w:t>
      </w:r>
      <w:r w:rsidR="00320FB2" w:rsidRPr="0087564A">
        <w:rPr>
          <w:rFonts w:ascii="Times New Roman" w:hAnsi="Times New Roman"/>
          <w:noProof/>
          <w:sz w:val="24"/>
          <w:szCs w:val="24"/>
        </w:rPr>
        <w:t>Finally</w:t>
      </w:r>
      <w:r w:rsidR="0087564A">
        <w:rPr>
          <w:rFonts w:ascii="Times New Roman" w:hAnsi="Times New Roman"/>
          <w:noProof/>
          <w:sz w:val="24"/>
          <w:szCs w:val="24"/>
        </w:rPr>
        <w:t>,</w:t>
      </w:r>
      <w:r w:rsidR="00320FB2" w:rsidRPr="000A48C9">
        <w:rPr>
          <w:rFonts w:ascii="Times New Roman" w:hAnsi="Times New Roman"/>
          <w:sz w:val="24"/>
          <w:szCs w:val="24"/>
        </w:rPr>
        <w:t xml:space="preserve"> yet importantly</w:t>
      </w:r>
      <w:r w:rsidR="009270C7" w:rsidRPr="000A48C9">
        <w:rPr>
          <w:rFonts w:ascii="Times New Roman" w:hAnsi="Times New Roman"/>
          <w:sz w:val="24"/>
          <w:szCs w:val="24"/>
        </w:rPr>
        <w:t>,</w:t>
      </w:r>
      <w:r w:rsidR="00CF7DEF" w:rsidRPr="000A48C9">
        <w:rPr>
          <w:rFonts w:ascii="Times New Roman" w:hAnsi="Times New Roman"/>
          <w:sz w:val="24"/>
          <w:szCs w:val="24"/>
        </w:rPr>
        <w:t xml:space="preserve"> high-quality auditors are likely to terminate </w:t>
      </w:r>
      <w:r w:rsidR="00320FB2" w:rsidRPr="000A48C9">
        <w:rPr>
          <w:rFonts w:ascii="Times New Roman" w:hAnsi="Times New Roman"/>
          <w:sz w:val="24"/>
          <w:szCs w:val="24"/>
        </w:rPr>
        <w:t>high-risk</w:t>
      </w:r>
      <w:r w:rsidR="00CF7DEF" w:rsidRPr="000A48C9">
        <w:rPr>
          <w:rFonts w:ascii="Times New Roman" w:hAnsi="Times New Roman"/>
          <w:sz w:val="24"/>
          <w:szCs w:val="24"/>
        </w:rPr>
        <w:t xml:space="preserve"> clients. In Table </w:t>
      </w:r>
      <w:r w:rsidR="00D00DF2" w:rsidRPr="000A48C9">
        <w:rPr>
          <w:rFonts w:ascii="Times New Roman" w:hAnsi="Times New Roman"/>
          <w:sz w:val="24"/>
          <w:szCs w:val="24"/>
        </w:rPr>
        <w:t>8</w:t>
      </w:r>
      <w:r w:rsidR="00CF7DEF" w:rsidRPr="000A48C9">
        <w:rPr>
          <w:rFonts w:ascii="Times New Roman" w:hAnsi="Times New Roman"/>
          <w:sz w:val="24"/>
          <w:szCs w:val="24"/>
        </w:rPr>
        <w:t>, we test whether auditors’ tenure affect</w:t>
      </w:r>
      <w:r w:rsidR="009270C7" w:rsidRPr="000A48C9">
        <w:rPr>
          <w:rFonts w:ascii="Times New Roman" w:hAnsi="Times New Roman"/>
          <w:sz w:val="24"/>
          <w:szCs w:val="24"/>
        </w:rPr>
        <w:t>s</w:t>
      </w:r>
      <w:r w:rsidR="00CF7DEF" w:rsidRPr="000A48C9">
        <w:rPr>
          <w:rFonts w:ascii="Times New Roman" w:hAnsi="Times New Roman"/>
          <w:sz w:val="24"/>
          <w:szCs w:val="24"/>
        </w:rPr>
        <w:t xml:space="preserve"> the extent to which MLPs engage in earnings management. We</w:t>
      </w:r>
      <w:r w:rsidR="008F6783" w:rsidRPr="000A48C9">
        <w:rPr>
          <w:rFonts w:ascii="Times New Roman" w:hAnsi="Times New Roman"/>
          <w:sz w:val="24"/>
          <w:szCs w:val="24"/>
        </w:rPr>
        <w:t xml:space="preserve"> report the cross-sectional analyses of earnings management activities for the subsample of firms with </w:t>
      </w:r>
      <w:r w:rsidR="00CF7DEF" w:rsidRPr="000A48C9">
        <w:rPr>
          <w:rFonts w:ascii="Times New Roman" w:hAnsi="Times New Roman"/>
          <w:sz w:val="24"/>
          <w:szCs w:val="24"/>
        </w:rPr>
        <w:t xml:space="preserve">lower </w:t>
      </w:r>
      <w:r w:rsidR="008F6783" w:rsidRPr="000A48C9">
        <w:rPr>
          <w:rFonts w:ascii="Times New Roman" w:hAnsi="Times New Roman"/>
          <w:sz w:val="24"/>
          <w:szCs w:val="24"/>
        </w:rPr>
        <w:t xml:space="preserve">than the yearly sample median auditor tenure in Panel </w:t>
      </w:r>
      <w:r w:rsidR="00CF7DEF" w:rsidRPr="000A48C9">
        <w:rPr>
          <w:rFonts w:ascii="Times New Roman" w:hAnsi="Times New Roman"/>
          <w:sz w:val="24"/>
          <w:szCs w:val="24"/>
        </w:rPr>
        <w:t xml:space="preserve">A </w:t>
      </w:r>
      <w:r w:rsidR="008F6783" w:rsidRPr="000A48C9">
        <w:rPr>
          <w:rFonts w:ascii="Times New Roman" w:hAnsi="Times New Roman"/>
          <w:sz w:val="24"/>
          <w:szCs w:val="24"/>
        </w:rPr>
        <w:t xml:space="preserve">and the subsample of firms with </w:t>
      </w:r>
      <w:r w:rsidR="00CF7DEF" w:rsidRPr="000A48C9">
        <w:rPr>
          <w:rFonts w:ascii="Times New Roman" w:hAnsi="Times New Roman"/>
          <w:sz w:val="24"/>
          <w:szCs w:val="24"/>
        </w:rPr>
        <w:t xml:space="preserve">higher </w:t>
      </w:r>
      <w:r w:rsidR="008F6783" w:rsidRPr="000A48C9">
        <w:rPr>
          <w:rFonts w:ascii="Times New Roman" w:hAnsi="Times New Roman"/>
          <w:sz w:val="24"/>
          <w:szCs w:val="24"/>
        </w:rPr>
        <w:t xml:space="preserve">than the sample median in Panel </w:t>
      </w:r>
      <w:r w:rsidR="00B104CB" w:rsidRPr="000A48C9">
        <w:rPr>
          <w:rFonts w:ascii="Times New Roman" w:hAnsi="Times New Roman"/>
          <w:sz w:val="24"/>
          <w:szCs w:val="24"/>
        </w:rPr>
        <w:t>B</w:t>
      </w:r>
      <w:r w:rsidR="008F6783" w:rsidRPr="000A48C9">
        <w:rPr>
          <w:rFonts w:ascii="Times New Roman" w:hAnsi="Times New Roman"/>
          <w:sz w:val="24"/>
          <w:szCs w:val="24"/>
        </w:rPr>
        <w:t xml:space="preserve">. </w:t>
      </w:r>
      <w:r w:rsidR="00CF7DEF" w:rsidRPr="000A48C9">
        <w:rPr>
          <w:rFonts w:ascii="Times New Roman" w:hAnsi="Times New Roman"/>
          <w:sz w:val="24"/>
          <w:szCs w:val="24"/>
        </w:rPr>
        <w:t xml:space="preserve">Both categories of MLP </w:t>
      </w:r>
      <w:r w:rsidR="00CF7DEF" w:rsidRPr="0087564A">
        <w:rPr>
          <w:rFonts w:ascii="Times New Roman" w:hAnsi="Times New Roman"/>
          <w:noProof/>
          <w:sz w:val="24"/>
          <w:szCs w:val="24"/>
        </w:rPr>
        <w:t>are associated</w:t>
      </w:r>
      <w:r w:rsidR="00CF7DEF" w:rsidRPr="000A48C9">
        <w:rPr>
          <w:rFonts w:ascii="Times New Roman" w:hAnsi="Times New Roman"/>
          <w:sz w:val="24"/>
          <w:szCs w:val="24"/>
        </w:rPr>
        <w:t xml:space="preserve"> with higher real earnings management compared to </w:t>
      </w:r>
      <w:r w:rsidR="00CF7DEF" w:rsidRPr="0087564A">
        <w:rPr>
          <w:rFonts w:ascii="Times New Roman" w:hAnsi="Times New Roman"/>
          <w:noProof/>
          <w:sz w:val="24"/>
          <w:szCs w:val="24"/>
        </w:rPr>
        <w:t>non</w:t>
      </w:r>
      <w:r w:rsidR="00CF7DEF" w:rsidRPr="000A48C9">
        <w:rPr>
          <w:rFonts w:ascii="Times New Roman" w:hAnsi="Times New Roman"/>
          <w:sz w:val="24"/>
          <w:szCs w:val="24"/>
        </w:rPr>
        <w:t>-MLP</w:t>
      </w:r>
      <w:r w:rsidR="00ED38D6" w:rsidRPr="000A48C9">
        <w:rPr>
          <w:rFonts w:ascii="Times New Roman" w:hAnsi="Times New Roman"/>
          <w:sz w:val="24"/>
          <w:szCs w:val="24"/>
        </w:rPr>
        <w:t xml:space="preserve"> firm</w:t>
      </w:r>
      <w:r w:rsidR="00CF7DEF" w:rsidRPr="000A48C9">
        <w:rPr>
          <w:rFonts w:ascii="Times New Roman" w:hAnsi="Times New Roman"/>
          <w:sz w:val="24"/>
          <w:szCs w:val="24"/>
        </w:rPr>
        <w:t>s (Models 1 and 2 from both panels).</w:t>
      </w:r>
      <w:r w:rsidR="008F6783" w:rsidRPr="000A48C9">
        <w:rPr>
          <w:rFonts w:ascii="Times New Roman" w:hAnsi="Times New Roman"/>
          <w:sz w:val="24"/>
          <w:szCs w:val="24"/>
        </w:rPr>
        <w:t xml:space="preserve"> </w:t>
      </w:r>
    </w:p>
    <w:p w14:paraId="6957FCCF" w14:textId="7C6AFB80" w:rsidR="008F6783" w:rsidRPr="000A48C9" w:rsidRDefault="003826A5" w:rsidP="009B06C5">
      <w:pPr>
        <w:spacing w:after="0" w:line="480" w:lineRule="auto"/>
        <w:ind w:firstLine="720"/>
        <w:jc w:val="both"/>
        <w:rPr>
          <w:rFonts w:ascii="Times New Roman" w:hAnsi="Times New Roman"/>
          <w:sz w:val="24"/>
          <w:szCs w:val="24"/>
        </w:rPr>
      </w:pPr>
      <w:r w:rsidRPr="000A48C9">
        <w:rPr>
          <w:rFonts w:ascii="Times New Roman" w:hAnsi="Times New Roman"/>
          <w:sz w:val="24"/>
          <w:szCs w:val="24"/>
        </w:rPr>
        <w:t xml:space="preserve">Due to </w:t>
      </w:r>
      <w:r w:rsidR="00CF7DEF" w:rsidRPr="000A48C9">
        <w:rPr>
          <w:rFonts w:ascii="Times New Roman" w:hAnsi="Times New Roman"/>
          <w:sz w:val="24"/>
          <w:szCs w:val="24"/>
        </w:rPr>
        <w:t>the complexity of MLP operations as explained in the preceding section, auditors are more likely to focus on discretionary accruals management</w:t>
      </w:r>
      <w:r w:rsidRPr="000A48C9">
        <w:rPr>
          <w:rFonts w:ascii="Times New Roman" w:hAnsi="Times New Roman"/>
          <w:sz w:val="24"/>
          <w:szCs w:val="24"/>
        </w:rPr>
        <w:t xml:space="preserve">, </w:t>
      </w:r>
      <w:r w:rsidRPr="0087564A">
        <w:rPr>
          <w:rFonts w:ascii="Times New Roman" w:hAnsi="Times New Roman"/>
          <w:noProof/>
          <w:sz w:val="24"/>
          <w:szCs w:val="24"/>
        </w:rPr>
        <w:t>i</w:t>
      </w:r>
      <w:r w:rsidR="00CF7DEF" w:rsidRPr="0087564A">
        <w:rPr>
          <w:rFonts w:ascii="Times New Roman" w:hAnsi="Times New Roman"/>
          <w:noProof/>
          <w:sz w:val="24"/>
          <w:szCs w:val="24"/>
        </w:rPr>
        <w:t>.e.</w:t>
      </w:r>
      <w:r w:rsidR="0087564A">
        <w:rPr>
          <w:rFonts w:ascii="Times New Roman" w:hAnsi="Times New Roman"/>
          <w:noProof/>
          <w:sz w:val="24"/>
          <w:szCs w:val="24"/>
        </w:rPr>
        <w:t>,</w:t>
      </w:r>
      <w:r w:rsidR="00CF7DEF" w:rsidRPr="000A48C9">
        <w:rPr>
          <w:rFonts w:ascii="Times New Roman" w:hAnsi="Times New Roman"/>
          <w:sz w:val="24"/>
          <w:szCs w:val="24"/>
        </w:rPr>
        <w:t xml:space="preserve"> inappropriate accrual </w:t>
      </w:r>
      <w:r w:rsidR="00C03715" w:rsidRPr="000A48C9">
        <w:rPr>
          <w:rFonts w:ascii="Times New Roman" w:hAnsi="Times New Roman"/>
          <w:sz w:val="24"/>
          <w:szCs w:val="24"/>
        </w:rPr>
        <w:t>and deferral of revenues and expenses</w:t>
      </w:r>
      <w:r w:rsidRPr="000A48C9">
        <w:rPr>
          <w:rFonts w:ascii="Times New Roman" w:hAnsi="Times New Roman"/>
          <w:sz w:val="24"/>
          <w:szCs w:val="24"/>
        </w:rPr>
        <w:t>. A</w:t>
      </w:r>
      <w:r w:rsidR="00CF7DEF" w:rsidRPr="000A48C9">
        <w:rPr>
          <w:rFonts w:ascii="Times New Roman" w:hAnsi="Times New Roman"/>
          <w:sz w:val="24"/>
          <w:szCs w:val="24"/>
        </w:rPr>
        <w:t>n auditor can easily express an opinion on using the accounting principles and guidelines</w:t>
      </w:r>
      <w:r w:rsidR="0087564A">
        <w:rPr>
          <w:rFonts w:ascii="Times New Roman" w:hAnsi="Times New Roman"/>
          <w:sz w:val="24"/>
          <w:szCs w:val="24"/>
        </w:rPr>
        <w:t>,</w:t>
      </w:r>
      <w:r w:rsidRPr="000A48C9">
        <w:rPr>
          <w:rFonts w:ascii="Times New Roman" w:hAnsi="Times New Roman"/>
          <w:sz w:val="24"/>
          <w:szCs w:val="24"/>
        </w:rPr>
        <w:t xml:space="preserve"> </w:t>
      </w:r>
      <w:r w:rsidRPr="0087564A">
        <w:rPr>
          <w:rFonts w:ascii="Times New Roman" w:hAnsi="Times New Roman"/>
          <w:noProof/>
          <w:sz w:val="24"/>
          <w:szCs w:val="24"/>
        </w:rPr>
        <w:t>and</w:t>
      </w:r>
      <w:r w:rsidRPr="000A48C9">
        <w:rPr>
          <w:rFonts w:ascii="Times New Roman" w:hAnsi="Times New Roman"/>
          <w:sz w:val="24"/>
          <w:szCs w:val="24"/>
        </w:rPr>
        <w:t xml:space="preserve"> it is more difficult to detect justifiably </w:t>
      </w:r>
      <w:r w:rsidR="00CF7DEF" w:rsidRPr="000A48C9">
        <w:rPr>
          <w:rFonts w:ascii="Times New Roman" w:hAnsi="Times New Roman"/>
          <w:sz w:val="24"/>
          <w:szCs w:val="24"/>
        </w:rPr>
        <w:t>real earnings management (RM) since RM constitutes changes to real transactions and do</w:t>
      </w:r>
      <w:r w:rsidR="009270C7" w:rsidRPr="000A48C9">
        <w:rPr>
          <w:rFonts w:ascii="Times New Roman" w:hAnsi="Times New Roman"/>
          <w:sz w:val="24"/>
          <w:szCs w:val="24"/>
        </w:rPr>
        <w:t>es</w:t>
      </w:r>
      <w:r w:rsidR="00CF7DEF" w:rsidRPr="000A48C9">
        <w:rPr>
          <w:rFonts w:ascii="Times New Roman" w:hAnsi="Times New Roman"/>
          <w:sz w:val="24"/>
          <w:szCs w:val="24"/>
        </w:rPr>
        <w:t xml:space="preserve"> not violate GAAP.</w:t>
      </w:r>
      <w:r w:rsidR="00B104CB" w:rsidRPr="000A48C9">
        <w:rPr>
          <w:rFonts w:ascii="Times New Roman" w:hAnsi="Times New Roman"/>
          <w:sz w:val="24"/>
          <w:szCs w:val="24"/>
        </w:rPr>
        <w:t xml:space="preserve"> Consistent with this proposition, </w:t>
      </w:r>
      <w:r w:rsidR="00B53743" w:rsidRPr="000A48C9">
        <w:rPr>
          <w:rFonts w:ascii="Times New Roman" w:hAnsi="Times New Roman"/>
          <w:sz w:val="24"/>
          <w:szCs w:val="24"/>
        </w:rPr>
        <w:t xml:space="preserve">the coefficient for </w:t>
      </w:r>
      <w:r w:rsidR="00B104CB" w:rsidRPr="000A48C9">
        <w:rPr>
          <w:rFonts w:ascii="Times New Roman" w:hAnsi="Times New Roman"/>
          <w:sz w:val="24"/>
          <w:szCs w:val="24"/>
        </w:rPr>
        <w:t xml:space="preserve">the dummy variable MLP is insignificant </w:t>
      </w:r>
      <w:r w:rsidR="00B53743" w:rsidRPr="000A48C9">
        <w:rPr>
          <w:rFonts w:ascii="Times New Roman" w:hAnsi="Times New Roman"/>
          <w:sz w:val="24"/>
          <w:szCs w:val="24"/>
        </w:rPr>
        <w:t xml:space="preserve">in </w:t>
      </w:r>
      <w:r w:rsidR="00B104CB" w:rsidRPr="000A48C9">
        <w:rPr>
          <w:rFonts w:ascii="Times New Roman" w:hAnsi="Times New Roman"/>
          <w:sz w:val="24"/>
          <w:szCs w:val="24"/>
        </w:rPr>
        <w:t>Models 3 and 4 in both panels.</w:t>
      </w:r>
    </w:p>
    <w:p w14:paraId="6F8A814A" w14:textId="54C2CAAF" w:rsidR="00B20065" w:rsidRPr="000A48C9" w:rsidRDefault="00B20065" w:rsidP="00A23801">
      <w:pPr>
        <w:spacing w:before="120" w:after="120" w:line="480" w:lineRule="auto"/>
        <w:jc w:val="center"/>
        <w:rPr>
          <w:rFonts w:ascii="Times New Roman" w:hAnsi="Times New Roman"/>
          <w:sz w:val="24"/>
          <w:szCs w:val="24"/>
        </w:rPr>
      </w:pPr>
      <w:r w:rsidRPr="000A48C9">
        <w:rPr>
          <w:rFonts w:ascii="Times New Roman" w:hAnsi="Times New Roman"/>
          <w:sz w:val="24"/>
          <w:szCs w:val="24"/>
        </w:rPr>
        <w:t xml:space="preserve">[INSERT TABLE </w:t>
      </w:r>
      <w:r w:rsidR="00D00DF2" w:rsidRPr="000A48C9">
        <w:rPr>
          <w:rFonts w:ascii="Times New Roman" w:hAnsi="Times New Roman"/>
          <w:sz w:val="24"/>
          <w:szCs w:val="24"/>
        </w:rPr>
        <w:t>8</w:t>
      </w:r>
      <w:r w:rsidRPr="000A48C9">
        <w:rPr>
          <w:rFonts w:ascii="Times New Roman" w:hAnsi="Times New Roman"/>
          <w:sz w:val="24"/>
          <w:szCs w:val="24"/>
        </w:rPr>
        <w:t xml:space="preserve"> ABOUT HERE]</w:t>
      </w:r>
    </w:p>
    <w:p w14:paraId="2F8EE9E5" w14:textId="71BFADCC" w:rsidR="00B104CB" w:rsidRPr="002F79D0" w:rsidRDefault="00523296" w:rsidP="004253F6">
      <w:pPr>
        <w:spacing w:before="120" w:after="0" w:line="480" w:lineRule="auto"/>
        <w:rPr>
          <w:rFonts w:ascii="Times New Roman" w:hAnsi="Times New Roman"/>
          <w:b/>
          <w:sz w:val="24"/>
          <w:szCs w:val="24"/>
        </w:rPr>
      </w:pPr>
      <w:r w:rsidRPr="002F79D0">
        <w:rPr>
          <w:rFonts w:ascii="Times New Roman" w:hAnsi="Times New Roman"/>
          <w:b/>
          <w:i/>
          <w:sz w:val="24"/>
          <w:szCs w:val="24"/>
        </w:rPr>
        <w:t xml:space="preserve">4. 7.  Earnings management between MLPs vs. </w:t>
      </w:r>
      <w:r w:rsidRPr="002F79D0">
        <w:rPr>
          <w:rFonts w:ascii="Times New Roman" w:hAnsi="Times New Roman"/>
          <w:b/>
          <w:i/>
          <w:noProof/>
          <w:sz w:val="24"/>
          <w:szCs w:val="24"/>
        </w:rPr>
        <w:t>non</w:t>
      </w:r>
      <w:r w:rsidRPr="002F79D0">
        <w:rPr>
          <w:rFonts w:ascii="Times New Roman" w:hAnsi="Times New Roman"/>
          <w:b/>
          <w:i/>
          <w:sz w:val="24"/>
          <w:szCs w:val="24"/>
        </w:rPr>
        <w:t xml:space="preserve">-MLP firms – Low-liquidity vs. high-liquidity </w:t>
      </w:r>
    </w:p>
    <w:p w14:paraId="18AFD354" w14:textId="7409BA6E" w:rsidR="00004DB0" w:rsidRPr="000A48C9" w:rsidRDefault="003826A5" w:rsidP="009B06C5">
      <w:pPr>
        <w:spacing w:after="0" w:line="480" w:lineRule="auto"/>
        <w:ind w:firstLine="720"/>
        <w:jc w:val="both"/>
        <w:rPr>
          <w:rFonts w:ascii="Times New Roman" w:hAnsi="Times New Roman"/>
          <w:sz w:val="24"/>
          <w:szCs w:val="24"/>
        </w:rPr>
      </w:pPr>
      <w:r w:rsidRPr="000A48C9">
        <w:rPr>
          <w:rFonts w:ascii="Times New Roman" w:hAnsi="Times New Roman"/>
          <w:sz w:val="24"/>
          <w:szCs w:val="24"/>
        </w:rPr>
        <w:t xml:space="preserve">For corporations, Li and Xia (2016) find that firms with less liquid stocks are more likely to </w:t>
      </w:r>
      <w:r w:rsidRPr="0087564A">
        <w:rPr>
          <w:rFonts w:ascii="Times New Roman" w:hAnsi="Times New Roman"/>
          <w:noProof/>
          <w:sz w:val="24"/>
          <w:szCs w:val="24"/>
        </w:rPr>
        <w:t>engag</w:t>
      </w:r>
      <w:r w:rsidR="0087564A">
        <w:rPr>
          <w:rFonts w:ascii="Times New Roman" w:hAnsi="Times New Roman"/>
          <w:noProof/>
          <w:sz w:val="24"/>
          <w:szCs w:val="24"/>
        </w:rPr>
        <w:t>e</w:t>
      </w:r>
      <w:r w:rsidRPr="000A48C9">
        <w:rPr>
          <w:rFonts w:ascii="Times New Roman" w:hAnsi="Times New Roman"/>
          <w:sz w:val="24"/>
          <w:szCs w:val="24"/>
        </w:rPr>
        <w:t xml:space="preserve"> in real earnings management. Intuitively, a few driven investors can make their displeasure known to other investors if the stock has </w:t>
      </w:r>
      <w:r w:rsidRPr="0087564A">
        <w:rPr>
          <w:rFonts w:ascii="Times New Roman" w:hAnsi="Times New Roman"/>
          <w:noProof/>
          <w:sz w:val="24"/>
          <w:szCs w:val="24"/>
        </w:rPr>
        <w:t>low</w:t>
      </w:r>
      <w:r w:rsidRPr="000A48C9">
        <w:rPr>
          <w:rFonts w:ascii="Times New Roman" w:hAnsi="Times New Roman"/>
          <w:sz w:val="24"/>
          <w:szCs w:val="24"/>
        </w:rPr>
        <w:t xml:space="preserve"> liquidity. </w:t>
      </w:r>
      <w:r w:rsidR="00004DB0" w:rsidRPr="000A48C9">
        <w:rPr>
          <w:rFonts w:ascii="Times New Roman" w:hAnsi="Times New Roman"/>
          <w:sz w:val="24"/>
          <w:szCs w:val="24"/>
        </w:rPr>
        <w:t xml:space="preserve">Earlier, we hypothesized that the pool of </w:t>
      </w:r>
      <w:r w:rsidRPr="000A48C9">
        <w:rPr>
          <w:rFonts w:ascii="Times New Roman" w:hAnsi="Times New Roman"/>
          <w:sz w:val="24"/>
          <w:szCs w:val="24"/>
        </w:rPr>
        <w:t xml:space="preserve">MLP </w:t>
      </w:r>
      <w:r w:rsidR="00004DB0" w:rsidRPr="000A48C9">
        <w:rPr>
          <w:rFonts w:ascii="Times New Roman" w:hAnsi="Times New Roman"/>
          <w:sz w:val="24"/>
          <w:szCs w:val="24"/>
        </w:rPr>
        <w:t xml:space="preserve">investors is relatively smaller </w:t>
      </w:r>
      <w:r w:rsidR="00E63EF4" w:rsidRPr="000A48C9">
        <w:rPr>
          <w:rFonts w:ascii="Times New Roman" w:hAnsi="Times New Roman"/>
          <w:sz w:val="24"/>
          <w:szCs w:val="24"/>
        </w:rPr>
        <w:t xml:space="preserve">than </w:t>
      </w:r>
      <w:r w:rsidR="00004DB0" w:rsidRPr="000A48C9">
        <w:rPr>
          <w:rFonts w:ascii="Times New Roman" w:hAnsi="Times New Roman"/>
          <w:sz w:val="24"/>
          <w:szCs w:val="24"/>
        </w:rPr>
        <w:t xml:space="preserve">the pool of investors </w:t>
      </w:r>
      <w:r w:rsidR="0094192F" w:rsidRPr="000A48C9">
        <w:rPr>
          <w:rFonts w:ascii="Times New Roman" w:hAnsi="Times New Roman"/>
          <w:sz w:val="24"/>
          <w:szCs w:val="24"/>
        </w:rPr>
        <w:t xml:space="preserve">who </w:t>
      </w:r>
      <w:r w:rsidR="00004DB0" w:rsidRPr="000A48C9">
        <w:rPr>
          <w:rFonts w:ascii="Times New Roman" w:hAnsi="Times New Roman"/>
          <w:sz w:val="24"/>
          <w:szCs w:val="24"/>
        </w:rPr>
        <w:t>invest in the stock</w:t>
      </w:r>
      <w:r w:rsidR="00E63EF4" w:rsidRPr="000A48C9">
        <w:rPr>
          <w:rFonts w:ascii="Times New Roman" w:hAnsi="Times New Roman"/>
          <w:sz w:val="24"/>
          <w:szCs w:val="24"/>
        </w:rPr>
        <w:t>s</w:t>
      </w:r>
      <w:r w:rsidR="00004DB0" w:rsidRPr="000A48C9">
        <w:rPr>
          <w:rFonts w:ascii="Times New Roman" w:hAnsi="Times New Roman"/>
          <w:sz w:val="24"/>
          <w:szCs w:val="24"/>
        </w:rPr>
        <w:t xml:space="preserve"> of traditional corporations. This restriction also decreases the liquidity </w:t>
      </w:r>
      <w:r w:rsidR="00746DA6" w:rsidRPr="000A48C9">
        <w:rPr>
          <w:rFonts w:ascii="Times New Roman" w:hAnsi="Times New Roman"/>
          <w:sz w:val="24"/>
          <w:szCs w:val="24"/>
        </w:rPr>
        <w:t xml:space="preserve">of </w:t>
      </w:r>
      <w:r w:rsidR="00004DB0" w:rsidRPr="000A48C9">
        <w:rPr>
          <w:rFonts w:ascii="Times New Roman" w:hAnsi="Times New Roman"/>
          <w:sz w:val="24"/>
          <w:szCs w:val="24"/>
        </w:rPr>
        <w:t xml:space="preserve">MLPs’ common units relative to the liquidity of common stocks. </w:t>
      </w:r>
      <w:r w:rsidR="0094192F" w:rsidRPr="000A48C9">
        <w:rPr>
          <w:rFonts w:ascii="Times New Roman" w:hAnsi="Times New Roman"/>
          <w:sz w:val="24"/>
          <w:szCs w:val="24"/>
        </w:rPr>
        <w:t xml:space="preserve">The higher the liquidity, the higher is the threat of exit by disgruntled shareholders caused by earnings management. </w:t>
      </w:r>
      <w:r w:rsidR="00004DB0" w:rsidRPr="000A48C9">
        <w:rPr>
          <w:rFonts w:ascii="Times New Roman" w:hAnsi="Times New Roman"/>
          <w:sz w:val="24"/>
          <w:szCs w:val="24"/>
        </w:rPr>
        <w:t xml:space="preserve">To test the inverse association between stock liquidity and earnings management, we separate the sample into two, </w:t>
      </w:r>
      <w:r w:rsidR="00004DB0" w:rsidRPr="0087564A">
        <w:rPr>
          <w:rFonts w:ascii="Times New Roman" w:hAnsi="Times New Roman"/>
          <w:noProof/>
          <w:sz w:val="24"/>
          <w:szCs w:val="24"/>
        </w:rPr>
        <w:t>i.e.</w:t>
      </w:r>
      <w:r w:rsidR="0087564A">
        <w:rPr>
          <w:rFonts w:ascii="Times New Roman" w:hAnsi="Times New Roman"/>
          <w:noProof/>
          <w:sz w:val="24"/>
          <w:szCs w:val="24"/>
        </w:rPr>
        <w:t>,</w:t>
      </w:r>
      <w:r w:rsidR="00004DB0" w:rsidRPr="000A48C9">
        <w:rPr>
          <w:rFonts w:ascii="Times New Roman" w:hAnsi="Times New Roman"/>
          <w:sz w:val="24"/>
          <w:szCs w:val="24"/>
        </w:rPr>
        <w:t xml:space="preserve"> the sample of below</w:t>
      </w:r>
      <w:r w:rsidR="009270C7" w:rsidRPr="000A48C9">
        <w:rPr>
          <w:rFonts w:ascii="Times New Roman" w:hAnsi="Times New Roman"/>
          <w:sz w:val="24"/>
          <w:szCs w:val="24"/>
        </w:rPr>
        <w:t>-</w:t>
      </w:r>
      <w:r w:rsidR="00004DB0" w:rsidRPr="000A48C9">
        <w:rPr>
          <w:rFonts w:ascii="Times New Roman" w:hAnsi="Times New Roman"/>
          <w:sz w:val="24"/>
          <w:szCs w:val="24"/>
        </w:rPr>
        <w:t>median liquidity versus the sample of above</w:t>
      </w:r>
      <w:r w:rsidR="009270C7" w:rsidRPr="000A48C9">
        <w:rPr>
          <w:rFonts w:ascii="Times New Roman" w:hAnsi="Times New Roman"/>
          <w:sz w:val="24"/>
          <w:szCs w:val="24"/>
        </w:rPr>
        <w:t>-</w:t>
      </w:r>
      <w:r w:rsidR="00004DB0" w:rsidRPr="000A48C9">
        <w:rPr>
          <w:rFonts w:ascii="Times New Roman" w:hAnsi="Times New Roman"/>
          <w:sz w:val="24"/>
          <w:szCs w:val="24"/>
        </w:rPr>
        <w:t>median liquidity</w:t>
      </w:r>
      <w:r w:rsidR="003E1771" w:rsidRPr="000A48C9">
        <w:rPr>
          <w:rFonts w:ascii="Times New Roman" w:hAnsi="Times New Roman"/>
          <w:sz w:val="24"/>
          <w:szCs w:val="24"/>
        </w:rPr>
        <w:t xml:space="preserve"> in Table </w:t>
      </w:r>
      <w:r w:rsidR="00D00DF2" w:rsidRPr="000A48C9">
        <w:rPr>
          <w:rFonts w:ascii="Times New Roman" w:hAnsi="Times New Roman"/>
          <w:sz w:val="24"/>
          <w:szCs w:val="24"/>
        </w:rPr>
        <w:t>9</w:t>
      </w:r>
      <w:r w:rsidR="00004DB0" w:rsidRPr="000A48C9">
        <w:rPr>
          <w:rFonts w:ascii="Times New Roman" w:hAnsi="Times New Roman"/>
          <w:sz w:val="24"/>
          <w:szCs w:val="24"/>
        </w:rPr>
        <w:t>. Consistent with our prediction, the dummy variable MLP in the regressions of real earnings management (</w:t>
      </w:r>
      <w:r w:rsidR="00004DB0" w:rsidRPr="0087564A">
        <w:rPr>
          <w:rFonts w:ascii="Times New Roman" w:hAnsi="Times New Roman"/>
          <w:noProof/>
          <w:sz w:val="24"/>
          <w:szCs w:val="24"/>
        </w:rPr>
        <w:t>i.e.</w:t>
      </w:r>
      <w:r w:rsidR="0087564A">
        <w:rPr>
          <w:rFonts w:ascii="Times New Roman" w:hAnsi="Times New Roman"/>
          <w:noProof/>
          <w:sz w:val="24"/>
          <w:szCs w:val="24"/>
        </w:rPr>
        <w:t>,</w:t>
      </w:r>
      <w:r w:rsidR="00004DB0" w:rsidRPr="000A48C9">
        <w:rPr>
          <w:rFonts w:ascii="Times New Roman" w:hAnsi="Times New Roman"/>
          <w:sz w:val="24"/>
          <w:szCs w:val="24"/>
        </w:rPr>
        <w:t xml:space="preserve"> Models 1 and 2) is statistically significant in the subsample of low liquidity firms only.</w:t>
      </w:r>
    </w:p>
    <w:p w14:paraId="37C95121" w14:textId="58E261C8" w:rsidR="00294A67" w:rsidRPr="000A48C9" w:rsidRDefault="003E1771" w:rsidP="00A23801">
      <w:pPr>
        <w:spacing w:before="120" w:after="120" w:line="480" w:lineRule="auto"/>
        <w:jc w:val="center"/>
        <w:rPr>
          <w:rFonts w:ascii="Times New Roman" w:hAnsi="Times New Roman"/>
          <w:sz w:val="24"/>
          <w:szCs w:val="24"/>
        </w:rPr>
      </w:pPr>
      <w:r w:rsidRPr="000A48C9">
        <w:rPr>
          <w:rFonts w:ascii="Times New Roman" w:hAnsi="Times New Roman"/>
          <w:sz w:val="24"/>
          <w:szCs w:val="24"/>
        </w:rPr>
        <w:t xml:space="preserve">[INSERT TABLE </w:t>
      </w:r>
      <w:r w:rsidR="00D00DF2" w:rsidRPr="000A48C9">
        <w:rPr>
          <w:rFonts w:ascii="Times New Roman" w:hAnsi="Times New Roman"/>
          <w:sz w:val="24"/>
          <w:szCs w:val="24"/>
        </w:rPr>
        <w:t>9</w:t>
      </w:r>
      <w:r w:rsidRPr="000A48C9">
        <w:rPr>
          <w:rFonts w:ascii="Times New Roman" w:hAnsi="Times New Roman"/>
          <w:sz w:val="24"/>
          <w:szCs w:val="24"/>
        </w:rPr>
        <w:t xml:space="preserve"> ABOUT HERE]</w:t>
      </w:r>
    </w:p>
    <w:p w14:paraId="5686FE58" w14:textId="08A15E82" w:rsidR="0094192F" w:rsidRPr="002F79D0" w:rsidRDefault="00523296" w:rsidP="004253F6">
      <w:pPr>
        <w:spacing w:before="120" w:after="0" w:line="480" w:lineRule="auto"/>
        <w:rPr>
          <w:rFonts w:ascii="Times New Roman" w:hAnsi="Times New Roman"/>
          <w:b/>
          <w:sz w:val="24"/>
          <w:szCs w:val="24"/>
        </w:rPr>
      </w:pPr>
      <w:r w:rsidRPr="002F79D0">
        <w:rPr>
          <w:rFonts w:ascii="Times New Roman" w:hAnsi="Times New Roman"/>
          <w:b/>
          <w:i/>
          <w:sz w:val="24"/>
          <w:szCs w:val="24"/>
        </w:rPr>
        <w:t xml:space="preserve">4. 8.  Earnings management between MLPs vs. </w:t>
      </w:r>
      <w:r w:rsidRPr="002F79D0">
        <w:rPr>
          <w:rFonts w:ascii="Times New Roman" w:hAnsi="Times New Roman"/>
          <w:b/>
          <w:i/>
          <w:noProof/>
          <w:sz w:val="24"/>
          <w:szCs w:val="24"/>
        </w:rPr>
        <w:t>non</w:t>
      </w:r>
      <w:r w:rsidRPr="002F79D0">
        <w:rPr>
          <w:rFonts w:ascii="Times New Roman" w:hAnsi="Times New Roman"/>
          <w:b/>
          <w:i/>
          <w:sz w:val="24"/>
          <w:szCs w:val="24"/>
        </w:rPr>
        <w:t>-MLP firms – Small stock/debt issuers vs. large stock/debt issuers</w:t>
      </w:r>
    </w:p>
    <w:p w14:paraId="13D854AE" w14:textId="3442101D" w:rsidR="00F6625C" w:rsidRPr="000A48C9" w:rsidRDefault="0094192F" w:rsidP="009B06C5">
      <w:pPr>
        <w:spacing w:after="0" w:line="480" w:lineRule="auto"/>
        <w:ind w:firstLine="720"/>
        <w:jc w:val="both"/>
        <w:rPr>
          <w:rFonts w:ascii="Times New Roman" w:hAnsi="Times New Roman"/>
          <w:sz w:val="24"/>
          <w:szCs w:val="24"/>
        </w:rPr>
      </w:pPr>
      <w:r w:rsidRPr="000A48C9">
        <w:rPr>
          <w:rFonts w:ascii="Times New Roman" w:hAnsi="Times New Roman"/>
          <w:sz w:val="24"/>
          <w:szCs w:val="24"/>
        </w:rPr>
        <w:t>We also hypothesized that</w:t>
      </w:r>
      <w:r w:rsidR="009A3A7A" w:rsidRPr="000A48C9">
        <w:rPr>
          <w:rFonts w:ascii="Times New Roman" w:hAnsi="Times New Roman"/>
          <w:sz w:val="24"/>
          <w:szCs w:val="24"/>
        </w:rPr>
        <w:t xml:space="preserve">, unlike traditional corporations, MLPs need to access the capital markets for funding more often since they pay </w:t>
      </w:r>
      <w:r w:rsidR="009A3A7A" w:rsidRPr="0087564A">
        <w:rPr>
          <w:rFonts w:ascii="Times New Roman" w:hAnsi="Times New Roman"/>
          <w:noProof/>
          <w:sz w:val="24"/>
          <w:szCs w:val="24"/>
        </w:rPr>
        <w:t xml:space="preserve">a </w:t>
      </w:r>
      <w:r w:rsidR="0087564A">
        <w:rPr>
          <w:rFonts w:ascii="Times New Roman" w:hAnsi="Times New Roman"/>
          <w:noProof/>
          <w:sz w:val="24"/>
          <w:szCs w:val="24"/>
        </w:rPr>
        <w:t>lot</w:t>
      </w:r>
      <w:r w:rsidR="00C20D38" w:rsidRPr="0087564A">
        <w:rPr>
          <w:rFonts w:ascii="Times New Roman" w:hAnsi="Times New Roman"/>
          <w:noProof/>
          <w:sz w:val="24"/>
          <w:szCs w:val="24"/>
        </w:rPr>
        <w:t xml:space="preserve"> </w:t>
      </w:r>
      <w:r w:rsidR="009A3A7A" w:rsidRPr="0087564A">
        <w:rPr>
          <w:rFonts w:ascii="Times New Roman" w:hAnsi="Times New Roman"/>
          <w:noProof/>
          <w:sz w:val="24"/>
          <w:szCs w:val="24"/>
        </w:rPr>
        <w:t>of</w:t>
      </w:r>
      <w:r w:rsidR="009A3A7A" w:rsidRPr="000A48C9">
        <w:rPr>
          <w:rFonts w:ascii="Times New Roman" w:hAnsi="Times New Roman"/>
          <w:sz w:val="24"/>
          <w:szCs w:val="24"/>
        </w:rPr>
        <w:t xml:space="preserve"> dividends and retain very little earnings. </w:t>
      </w:r>
      <w:r w:rsidR="00C67E79" w:rsidRPr="000A48C9">
        <w:rPr>
          <w:rFonts w:ascii="Times New Roman" w:hAnsi="Times New Roman"/>
          <w:sz w:val="24"/>
          <w:szCs w:val="24"/>
        </w:rPr>
        <w:t>We further posited that MLPs’</w:t>
      </w:r>
      <w:r w:rsidR="003E1771" w:rsidRPr="000A48C9">
        <w:rPr>
          <w:rFonts w:ascii="Times New Roman" w:hAnsi="Times New Roman"/>
          <w:sz w:val="24"/>
          <w:szCs w:val="24"/>
        </w:rPr>
        <w:t xml:space="preserve"> ability to attract new funds would be directly </w:t>
      </w:r>
      <w:r w:rsidR="00B53743" w:rsidRPr="000A48C9">
        <w:rPr>
          <w:rFonts w:ascii="Times New Roman" w:hAnsi="Times New Roman"/>
          <w:sz w:val="24"/>
          <w:szCs w:val="24"/>
        </w:rPr>
        <w:t xml:space="preserve">dependent on </w:t>
      </w:r>
      <w:r w:rsidR="003E1771" w:rsidRPr="000A48C9">
        <w:rPr>
          <w:rFonts w:ascii="Times New Roman" w:hAnsi="Times New Roman"/>
          <w:sz w:val="24"/>
          <w:szCs w:val="24"/>
        </w:rPr>
        <w:t>their earnings capacity, forcing GPs to look for ways to maximize earnings in as much as is possible.</w:t>
      </w:r>
      <w:r w:rsidR="009A3A7A" w:rsidRPr="000A48C9">
        <w:rPr>
          <w:rFonts w:ascii="Times New Roman" w:hAnsi="Times New Roman"/>
          <w:sz w:val="24"/>
          <w:szCs w:val="24"/>
        </w:rPr>
        <w:t xml:space="preserve"> </w:t>
      </w:r>
      <w:r w:rsidR="003E1771" w:rsidRPr="000A48C9">
        <w:rPr>
          <w:rFonts w:ascii="Times New Roman" w:hAnsi="Times New Roman"/>
          <w:sz w:val="24"/>
          <w:szCs w:val="24"/>
        </w:rPr>
        <w:t xml:space="preserve">Table </w:t>
      </w:r>
      <w:r w:rsidR="00D00DF2" w:rsidRPr="000A48C9">
        <w:rPr>
          <w:rFonts w:ascii="Times New Roman" w:hAnsi="Times New Roman"/>
          <w:sz w:val="24"/>
          <w:szCs w:val="24"/>
        </w:rPr>
        <w:t>10</w:t>
      </w:r>
      <w:r w:rsidR="003E1771" w:rsidRPr="000A48C9">
        <w:rPr>
          <w:rFonts w:ascii="Times New Roman" w:hAnsi="Times New Roman"/>
          <w:sz w:val="24"/>
          <w:szCs w:val="24"/>
        </w:rPr>
        <w:t xml:space="preserve"> breaks the sample into two</w:t>
      </w:r>
      <w:r w:rsidR="008E3889" w:rsidRPr="000A48C9">
        <w:rPr>
          <w:rFonts w:ascii="Times New Roman" w:hAnsi="Times New Roman"/>
          <w:sz w:val="24"/>
          <w:szCs w:val="24"/>
        </w:rPr>
        <w:t xml:space="preserve">, </w:t>
      </w:r>
      <w:r w:rsidR="008E3889" w:rsidRPr="0087564A">
        <w:rPr>
          <w:rFonts w:ascii="Times New Roman" w:hAnsi="Times New Roman"/>
          <w:noProof/>
          <w:sz w:val="24"/>
          <w:szCs w:val="24"/>
        </w:rPr>
        <w:t>i.e.</w:t>
      </w:r>
      <w:r w:rsidR="0087564A">
        <w:rPr>
          <w:rFonts w:ascii="Times New Roman" w:hAnsi="Times New Roman"/>
          <w:noProof/>
          <w:sz w:val="24"/>
          <w:szCs w:val="24"/>
        </w:rPr>
        <w:t>,</w:t>
      </w:r>
      <w:r w:rsidR="003E1771" w:rsidRPr="000A48C9">
        <w:rPr>
          <w:rFonts w:ascii="Times New Roman" w:hAnsi="Times New Roman"/>
          <w:sz w:val="24"/>
          <w:szCs w:val="24"/>
        </w:rPr>
        <w:t xml:space="preserve"> small stock issue comprises of firm-year observations </w:t>
      </w:r>
      <w:r w:rsidR="008E3889" w:rsidRPr="000A48C9">
        <w:rPr>
          <w:rFonts w:ascii="Times New Roman" w:hAnsi="Times New Roman"/>
          <w:sz w:val="24"/>
          <w:szCs w:val="24"/>
        </w:rPr>
        <w:t xml:space="preserve">where </w:t>
      </w:r>
      <w:r w:rsidR="003E1771" w:rsidRPr="0087564A">
        <w:rPr>
          <w:rFonts w:ascii="Times New Roman" w:hAnsi="Times New Roman"/>
          <w:noProof/>
          <w:sz w:val="24"/>
          <w:szCs w:val="24"/>
        </w:rPr>
        <w:t>STOCKISSUE</w:t>
      </w:r>
      <w:r w:rsidR="003E1771" w:rsidRPr="000A48C9">
        <w:rPr>
          <w:rFonts w:ascii="Times New Roman" w:hAnsi="Times New Roman"/>
          <w:sz w:val="24"/>
          <w:szCs w:val="24"/>
        </w:rPr>
        <w:t xml:space="preserve"> is below the sample median, and large stock issue comprises of observation</w:t>
      </w:r>
      <w:r w:rsidR="008E3889" w:rsidRPr="000A48C9">
        <w:rPr>
          <w:rFonts w:ascii="Times New Roman" w:hAnsi="Times New Roman"/>
          <w:sz w:val="24"/>
          <w:szCs w:val="24"/>
        </w:rPr>
        <w:t>s</w:t>
      </w:r>
      <w:r w:rsidR="003E1771" w:rsidRPr="000A48C9">
        <w:rPr>
          <w:rFonts w:ascii="Times New Roman" w:hAnsi="Times New Roman"/>
          <w:sz w:val="24"/>
          <w:szCs w:val="24"/>
        </w:rPr>
        <w:t xml:space="preserve"> </w:t>
      </w:r>
      <w:r w:rsidR="008E3889" w:rsidRPr="000A48C9">
        <w:rPr>
          <w:rFonts w:ascii="Times New Roman" w:hAnsi="Times New Roman"/>
          <w:sz w:val="24"/>
          <w:szCs w:val="24"/>
        </w:rPr>
        <w:t xml:space="preserve">where </w:t>
      </w:r>
      <w:r w:rsidR="003E1771" w:rsidRPr="000A48C9">
        <w:rPr>
          <w:rFonts w:ascii="Times New Roman" w:hAnsi="Times New Roman"/>
          <w:sz w:val="24"/>
          <w:szCs w:val="24"/>
        </w:rPr>
        <w:t>the variable is above the median.</w:t>
      </w:r>
      <w:r w:rsidR="008E3889" w:rsidRPr="000A48C9">
        <w:rPr>
          <w:rFonts w:ascii="Times New Roman" w:hAnsi="Times New Roman"/>
          <w:sz w:val="24"/>
          <w:szCs w:val="24"/>
        </w:rPr>
        <w:t xml:space="preserve"> We observe that MLPs </w:t>
      </w:r>
      <w:r w:rsidR="008E3889" w:rsidRPr="0087564A">
        <w:rPr>
          <w:rFonts w:ascii="Times New Roman" w:hAnsi="Times New Roman"/>
          <w:noProof/>
          <w:sz w:val="24"/>
          <w:szCs w:val="24"/>
        </w:rPr>
        <w:t>are associated</w:t>
      </w:r>
      <w:r w:rsidR="008E3889" w:rsidRPr="000A48C9">
        <w:rPr>
          <w:rFonts w:ascii="Times New Roman" w:hAnsi="Times New Roman"/>
          <w:sz w:val="24"/>
          <w:szCs w:val="24"/>
        </w:rPr>
        <w:t xml:space="preserve"> with more real earnings management in both subsamples (</w:t>
      </w:r>
      <w:r w:rsidR="008E3889" w:rsidRPr="0087564A">
        <w:rPr>
          <w:rFonts w:ascii="Times New Roman" w:hAnsi="Times New Roman"/>
          <w:noProof/>
          <w:sz w:val="24"/>
          <w:szCs w:val="24"/>
        </w:rPr>
        <w:t>i.e.</w:t>
      </w:r>
      <w:r w:rsidR="0087564A">
        <w:rPr>
          <w:rFonts w:ascii="Times New Roman" w:hAnsi="Times New Roman"/>
          <w:noProof/>
          <w:sz w:val="24"/>
          <w:szCs w:val="24"/>
        </w:rPr>
        <w:t>,</w:t>
      </w:r>
      <w:r w:rsidR="008E3889" w:rsidRPr="000A48C9">
        <w:rPr>
          <w:rFonts w:ascii="Times New Roman" w:hAnsi="Times New Roman"/>
          <w:sz w:val="24"/>
          <w:szCs w:val="24"/>
        </w:rPr>
        <w:t xml:space="preserve"> Models 1 and 2 of Panels A and B).</w:t>
      </w:r>
      <w:r w:rsidR="001C2D4E" w:rsidRPr="000A48C9">
        <w:rPr>
          <w:rFonts w:ascii="Times New Roman" w:hAnsi="Times New Roman"/>
          <w:sz w:val="24"/>
          <w:szCs w:val="24"/>
        </w:rPr>
        <w:t xml:space="preserve"> </w:t>
      </w:r>
    </w:p>
    <w:p w14:paraId="6D356176" w14:textId="1E7D5516" w:rsidR="00E577C5" w:rsidRPr="000A48C9" w:rsidRDefault="00E577C5" w:rsidP="00A23801">
      <w:pPr>
        <w:spacing w:before="120" w:after="120" w:line="480" w:lineRule="auto"/>
        <w:jc w:val="center"/>
        <w:rPr>
          <w:rFonts w:ascii="Times New Roman" w:hAnsi="Times New Roman"/>
          <w:sz w:val="24"/>
          <w:szCs w:val="24"/>
        </w:rPr>
      </w:pPr>
      <w:r w:rsidRPr="000A48C9">
        <w:rPr>
          <w:rFonts w:ascii="Times New Roman" w:hAnsi="Times New Roman"/>
          <w:sz w:val="24"/>
          <w:szCs w:val="24"/>
        </w:rPr>
        <w:t xml:space="preserve">[INSERT TABLE </w:t>
      </w:r>
      <w:r w:rsidR="00D00DF2" w:rsidRPr="000A48C9">
        <w:rPr>
          <w:rFonts w:ascii="Times New Roman" w:hAnsi="Times New Roman"/>
          <w:sz w:val="24"/>
          <w:szCs w:val="24"/>
        </w:rPr>
        <w:t>10</w:t>
      </w:r>
      <w:r w:rsidRPr="000A48C9">
        <w:rPr>
          <w:rFonts w:ascii="Times New Roman" w:hAnsi="Times New Roman"/>
          <w:sz w:val="24"/>
          <w:szCs w:val="24"/>
        </w:rPr>
        <w:t xml:space="preserve"> ABOUT HERE]</w:t>
      </w:r>
    </w:p>
    <w:p w14:paraId="596B1CB3" w14:textId="57086F8C" w:rsidR="00CF05AF" w:rsidRPr="000A48C9" w:rsidRDefault="001C2D4E" w:rsidP="00A73182">
      <w:pPr>
        <w:spacing w:after="0" w:line="480" w:lineRule="auto"/>
        <w:ind w:firstLine="720"/>
        <w:jc w:val="both"/>
        <w:rPr>
          <w:rFonts w:ascii="Times New Roman" w:hAnsi="Times New Roman"/>
          <w:sz w:val="24"/>
          <w:szCs w:val="24"/>
        </w:rPr>
      </w:pPr>
      <w:r w:rsidRPr="000A48C9">
        <w:rPr>
          <w:rFonts w:ascii="Times New Roman" w:hAnsi="Times New Roman"/>
          <w:sz w:val="24"/>
          <w:szCs w:val="24"/>
        </w:rPr>
        <w:t>In Table 1</w:t>
      </w:r>
      <w:r w:rsidR="00D00DF2" w:rsidRPr="000A48C9">
        <w:rPr>
          <w:rFonts w:ascii="Times New Roman" w:hAnsi="Times New Roman"/>
          <w:sz w:val="24"/>
          <w:szCs w:val="24"/>
        </w:rPr>
        <w:t>1</w:t>
      </w:r>
      <w:r w:rsidRPr="000A48C9">
        <w:rPr>
          <w:rFonts w:ascii="Times New Roman" w:hAnsi="Times New Roman"/>
          <w:sz w:val="24"/>
          <w:szCs w:val="24"/>
        </w:rPr>
        <w:t xml:space="preserve">, we replace the </w:t>
      </w:r>
      <w:r w:rsidRPr="0087564A">
        <w:rPr>
          <w:rFonts w:ascii="Times New Roman" w:hAnsi="Times New Roman"/>
          <w:noProof/>
          <w:sz w:val="24"/>
          <w:szCs w:val="24"/>
        </w:rPr>
        <w:t>STOCKISSUE</w:t>
      </w:r>
      <w:r w:rsidRPr="000A48C9">
        <w:rPr>
          <w:rFonts w:ascii="Times New Roman" w:hAnsi="Times New Roman"/>
          <w:sz w:val="24"/>
          <w:szCs w:val="24"/>
        </w:rPr>
        <w:t xml:space="preserve"> </w:t>
      </w:r>
      <w:r w:rsidR="009270C7" w:rsidRPr="000A48C9">
        <w:rPr>
          <w:rFonts w:ascii="Times New Roman" w:hAnsi="Times New Roman"/>
          <w:sz w:val="24"/>
          <w:szCs w:val="24"/>
        </w:rPr>
        <w:t xml:space="preserve">with </w:t>
      </w:r>
      <w:r w:rsidRPr="0087564A">
        <w:rPr>
          <w:rFonts w:ascii="Times New Roman" w:hAnsi="Times New Roman"/>
          <w:noProof/>
          <w:sz w:val="24"/>
          <w:szCs w:val="24"/>
        </w:rPr>
        <w:t>DEBTISSUE</w:t>
      </w:r>
      <w:r w:rsidR="0087564A" w:rsidRPr="006E160D">
        <w:rPr>
          <w:rFonts w:ascii="Times New Roman" w:hAnsi="Times New Roman"/>
          <w:noProof/>
          <w:sz w:val="24"/>
          <w:szCs w:val="24"/>
        </w:rPr>
        <w:t>,</w:t>
      </w:r>
      <w:r w:rsidRPr="000A48C9">
        <w:rPr>
          <w:rFonts w:ascii="Times New Roman" w:hAnsi="Times New Roman"/>
          <w:sz w:val="24"/>
          <w:szCs w:val="24"/>
        </w:rPr>
        <w:t xml:space="preserve"> </w:t>
      </w:r>
      <w:r w:rsidRPr="0087564A">
        <w:rPr>
          <w:rFonts w:ascii="Times New Roman" w:hAnsi="Times New Roman"/>
          <w:noProof/>
          <w:sz w:val="24"/>
          <w:szCs w:val="24"/>
        </w:rPr>
        <w:t>and</w:t>
      </w:r>
      <w:r w:rsidRPr="000A48C9">
        <w:rPr>
          <w:rFonts w:ascii="Times New Roman" w:hAnsi="Times New Roman"/>
          <w:sz w:val="24"/>
          <w:szCs w:val="24"/>
        </w:rPr>
        <w:t xml:space="preserve"> the findings stay the same, </w:t>
      </w:r>
      <w:r w:rsidRPr="0087564A">
        <w:rPr>
          <w:rFonts w:ascii="Times New Roman" w:hAnsi="Times New Roman"/>
          <w:noProof/>
          <w:sz w:val="24"/>
          <w:szCs w:val="24"/>
        </w:rPr>
        <w:t>i.e.</w:t>
      </w:r>
      <w:r w:rsidR="0087564A">
        <w:rPr>
          <w:rFonts w:ascii="Times New Roman" w:hAnsi="Times New Roman"/>
          <w:noProof/>
          <w:sz w:val="24"/>
          <w:szCs w:val="24"/>
        </w:rPr>
        <w:t>,</w:t>
      </w:r>
      <w:r w:rsidRPr="000A48C9">
        <w:rPr>
          <w:rFonts w:ascii="Times New Roman" w:hAnsi="Times New Roman"/>
          <w:sz w:val="24"/>
          <w:szCs w:val="24"/>
        </w:rPr>
        <w:t xml:space="preserve"> MLPs continue to </w:t>
      </w:r>
      <w:r w:rsidRPr="0087564A">
        <w:rPr>
          <w:rFonts w:ascii="Times New Roman" w:hAnsi="Times New Roman"/>
          <w:noProof/>
          <w:sz w:val="24"/>
          <w:szCs w:val="24"/>
        </w:rPr>
        <w:t>be positively associated</w:t>
      </w:r>
      <w:r w:rsidRPr="000A48C9">
        <w:rPr>
          <w:rFonts w:ascii="Times New Roman" w:hAnsi="Times New Roman"/>
          <w:sz w:val="24"/>
          <w:szCs w:val="24"/>
        </w:rPr>
        <w:t xml:space="preserve"> with real activities manipulations irrespective of the size of </w:t>
      </w:r>
      <w:r w:rsidR="00C67E79" w:rsidRPr="000A48C9">
        <w:rPr>
          <w:rFonts w:ascii="Times New Roman" w:hAnsi="Times New Roman"/>
          <w:sz w:val="24"/>
          <w:szCs w:val="24"/>
        </w:rPr>
        <w:t xml:space="preserve">the </w:t>
      </w:r>
      <w:r w:rsidRPr="000A48C9">
        <w:rPr>
          <w:rFonts w:ascii="Times New Roman" w:hAnsi="Times New Roman"/>
          <w:sz w:val="24"/>
          <w:szCs w:val="24"/>
        </w:rPr>
        <w:t>debts they issued.</w:t>
      </w:r>
      <w:r w:rsidR="00C67E79" w:rsidRPr="000A48C9">
        <w:rPr>
          <w:rFonts w:ascii="Times New Roman" w:hAnsi="Times New Roman"/>
          <w:sz w:val="24"/>
          <w:szCs w:val="24"/>
        </w:rPr>
        <w:t xml:space="preserve"> Nonetheless, the issuance of new securities seems to affect the extent of discretionary accruals. Under both small stock and debt issues, MLPs </w:t>
      </w:r>
      <w:r w:rsidR="00C67E79" w:rsidRPr="0087564A">
        <w:rPr>
          <w:rFonts w:ascii="Times New Roman" w:hAnsi="Times New Roman"/>
          <w:noProof/>
          <w:sz w:val="24"/>
          <w:szCs w:val="24"/>
        </w:rPr>
        <w:t>are associated</w:t>
      </w:r>
      <w:r w:rsidR="00C67E79" w:rsidRPr="000A48C9">
        <w:rPr>
          <w:rFonts w:ascii="Times New Roman" w:hAnsi="Times New Roman"/>
          <w:sz w:val="24"/>
          <w:szCs w:val="24"/>
        </w:rPr>
        <w:t xml:space="preserve"> with lower discretionary accruals (see Models 3 and 4 in Panel A of both Tables </w:t>
      </w:r>
      <w:r w:rsidR="00D00DF2" w:rsidRPr="000A48C9">
        <w:rPr>
          <w:rFonts w:ascii="Times New Roman" w:hAnsi="Times New Roman"/>
          <w:sz w:val="24"/>
          <w:szCs w:val="24"/>
        </w:rPr>
        <w:t>10</w:t>
      </w:r>
      <w:r w:rsidR="003D1BCB" w:rsidRPr="000A48C9">
        <w:rPr>
          <w:rFonts w:ascii="Times New Roman" w:hAnsi="Times New Roman"/>
          <w:sz w:val="24"/>
          <w:szCs w:val="24"/>
        </w:rPr>
        <w:t xml:space="preserve"> </w:t>
      </w:r>
      <w:r w:rsidR="00C67E79" w:rsidRPr="000A48C9">
        <w:rPr>
          <w:rFonts w:ascii="Times New Roman" w:hAnsi="Times New Roman"/>
          <w:sz w:val="24"/>
          <w:szCs w:val="24"/>
        </w:rPr>
        <w:t xml:space="preserve">and </w:t>
      </w:r>
      <w:r w:rsidR="003D1BCB" w:rsidRPr="000A48C9">
        <w:rPr>
          <w:rFonts w:ascii="Times New Roman" w:hAnsi="Times New Roman"/>
          <w:sz w:val="24"/>
          <w:szCs w:val="24"/>
        </w:rPr>
        <w:t>1</w:t>
      </w:r>
      <w:r w:rsidR="00D00DF2" w:rsidRPr="000A48C9">
        <w:rPr>
          <w:rFonts w:ascii="Times New Roman" w:hAnsi="Times New Roman"/>
          <w:sz w:val="24"/>
          <w:szCs w:val="24"/>
        </w:rPr>
        <w:t>1</w:t>
      </w:r>
      <w:r w:rsidR="003D1BCB" w:rsidRPr="000A48C9">
        <w:rPr>
          <w:rFonts w:ascii="Times New Roman" w:hAnsi="Times New Roman"/>
          <w:sz w:val="24"/>
          <w:szCs w:val="24"/>
        </w:rPr>
        <w:t xml:space="preserve"> </w:t>
      </w:r>
      <w:r w:rsidR="00C67E79" w:rsidRPr="000A48C9">
        <w:rPr>
          <w:rFonts w:ascii="Times New Roman" w:hAnsi="Times New Roman"/>
          <w:sz w:val="24"/>
          <w:szCs w:val="24"/>
        </w:rPr>
        <w:t xml:space="preserve">where the coefficient of the </w:t>
      </w:r>
      <w:r w:rsidR="00ED38D6" w:rsidRPr="000A48C9">
        <w:rPr>
          <w:rFonts w:ascii="Times New Roman" w:hAnsi="Times New Roman"/>
          <w:sz w:val="24"/>
          <w:szCs w:val="24"/>
        </w:rPr>
        <w:t xml:space="preserve">variable </w:t>
      </w:r>
      <w:r w:rsidR="00C67E79" w:rsidRPr="000A48C9">
        <w:rPr>
          <w:rFonts w:ascii="Times New Roman" w:hAnsi="Times New Roman"/>
          <w:i/>
          <w:sz w:val="24"/>
          <w:szCs w:val="24"/>
        </w:rPr>
        <w:t>MLP</w:t>
      </w:r>
      <w:r w:rsidR="00C67E79" w:rsidRPr="000A48C9">
        <w:rPr>
          <w:rFonts w:ascii="Times New Roman" w:hAnsi="Times New Roman"/>
          <w:sz w:val="24"/>
          <w:szCs w:val="24"/>
        </w:rPr>
        <w:t xml:space="preserve"> is significantly negative).</w:t>
      </w:r>
      <w:r w:rsidR="00F6625C" w:rsidRPr="000A48C9">
        <w:rPr>
          <w:rFonts w:ascii="Times New Roman" w:hAnsi="Times New Roman"/>
          <w:sz w:val="24"/>
          <w:szCs w:val="24"/>
        </w:rPr>
        <w:t xml:space="preserve"> In summary, while we find that MLPs engage in real earnings management under all kinds of security issue, that relationship is unaffected by issue size, unlike discretionary accruals.</w:t>
      </w:r>
      <w:r w:rsidR="00CF05AF" w:rsidRPr="000A48C9">
        <w:rPr>
          <w:rFonts w:ascii="Times New Roman" w:hAnsi="Times New Roman"/>
          <w:sz w:val="24"/>
          <w:szCs w:val="24"/>
        </w:rPr>
        <w:t xml:space="preserve"> </w:t>
      </w:r>
    </w:p>
    <w:p w14:paraId="33E8EC4C" w14:textId="2BDB6290" w:rsidR="009A3A7A" w:rsidRPr="000A48C9" w:rsidRDefault="00CF05AF" w:rsidP="009B06C5">
      <w:pPr>
        <w:spacing w:after="0" w:line="480" w:lineRule="auto"/>
        <w:ind w:firstLine="720"/>
        <w:jc w:val="both"/>
        <w:rPr>
          <w:rFonts w:ascii="Times New Roman" w:hAnsi="Times New Roman"/>
          <w:sz w:val="24"/>
          <w:szCs w:val="24"/>
        </w:rPr>
      </w:pPr>
      <w:r w:rsidRPr="000A48C9">
        <w:rPr>
          <w:rFonts w:ascii="Times New Roman" w:hAnsi="Times New Roman"/>
          <w:sz w:val="24"/>
          <w:szCs w:val="24"/>
        </w:rPr>
        <w:t xml:space="preserve">MLPs may choose to renegotiate the maturity of their existing debt obligations and, to be able to do so, they may have to adjust discretionary accruals to move certain financial ratios toward the desired level. After this effort, MLPs move to issue either new debt or stocks. Since issuing new debt and stocks are much more serious, MLPs </w:t>
      </w:r>
      <w:r w:rsidR="003737FF" w:rsidRPr="000A48C9">
        <w:rPr>
          <w:rFonts w:ascii="Times New Roman" w:hAnsi="Times New Roman"/>
          <w:sz w:val="24"/>
          <w:szCs w:val="24"/>
        </w:rPr>
        <w:t xml:space="preserve">inevitably </w:t>
      </w:r>
      <w:r w:rsidRPr="000A48C9">
        <w:rPr>
          <w:rFonts w:ascii="Times New Roman" w:hAnsi="Times New Roman"/>
          <w:sz w:val="24"/>
          <w:szCs w:val="24"/>
        </w:rPr>
        <w:t xml:space="preserve">have to reduce discretionary expenditure and find ways to maximize the cash flows from their operations, </w:t>
      </w:r>
      <w:r w:rsidRPr="0087564A">
        <w:rPr>
          <w:rFonts w:ascii="Times New Roman" w:hAnsi="Times New Roman"/>
          <w:noProof/>
          <w:sz w:val="24"/>
          <w:szCs w:val="24"/>
        </w:rPr>
        <w:t>i.e.</w:t>
      </w:r>
      <w:r w:rsidR="0087564A">
        <w:rPr>
          <w:rFonts w:ascii="Times New Roman" w:hAnsi="Times New Roman"/>
          <w:noProof/>
          <w:sz w:val="24"/>
          <w:szCs w:val="24"/>
        </w:rPr>
        <w:t>,</w:t>
      </w:r>
      <w:r w:rsidRPr="000A48C9">
        <w:rPr>
          <w:rFonts w:ascii="Times New Roman" w:hAnsi="Times New Roman"/>
          <w:sz w:val="24"/>
          <w:szCs w:val="24"/>
        </w:rPr>
        <w:t xml:space="preserve"> to engage in </w:t>
      </w:r>
      <w:r w:rsidR="003737FF" w:rsidRPr="000A48C9">
        <w:rPr>
          <w:rFonts w:ascii="Times New Roman" w:hAnsi="Times New Roman"/>
          <w:sz w:val="24"/>
          <w:szCs w:val="24"/>
        </w:rPr>
        <w:t xml:space="preserve">real activities management. </w:t>
      </w:r>
      <w:r w:rsidRPr="000A48C9">
        <w:rPr>
          <w:rFonts w:ascii="Times New Roman" w:hAnsi="Times New Roman"/>
          <w:sz w:val="24"/>
          <w:szCs w:val="24"/>
        </w:rPr>
        <w:t xml:space="preserve">MLPs may also find that they need to convert some of their debt into equity to conserve cash, which requires changes made to the MLP’s operations as well as postponing discretionary expenses. </w:t>
      </w:r>
      <w:r w:rsidR="003737FF" w:rsidRPr="000A48C9">
        <w:rPr>
          <w:rFonts w:ascii="Times New Roman" w:hAnsi="Times New Roman"/>
          <w:sz w:val="24"/>
          <w:szCs w:val="24"/>
        </w:rPr>
        <w:t xml:space="preserve">Therefore, the results in Tables </w:t>
      </w:r>
      <w:r w:rsidR="00D00DF2" w:rsidRPr="000A48C9">
        <w:rPr>
          <w:rFonts w:ascii="Times New Roman" w:hAnsi="Times New Roman"/>
          <w:sz w:val="24"/>
          <w:szCs w:val="24"/>
        </w:rPr>
        <w:t>10</w:t>
      </w:r>
      <w:r w:rsidR="003737FF" w:rsidRPr="000A48C9">
        <w:rPr>
          <w:rFonts w:ascii="Times New Roman" w:hAnsi="Times New Roman"/>
          <w:sz w:val="24"/>
          <w:szCs w:val="24"/>
        </w:rPr>
        <w:t xml:space="preserve"> and 1</w:t>
      </w:r>
      <w:r w:rsidR="00D00DF2" w:rsidRPr="000A48C9">
        <w:rPr>
          <w:rFonts w:ascii="Times New Roman" w:hAnsi="Times New Roman"/>
          <w:sz w:val="24"/>
          <w:szCs w:val="24"/>
        </w:rPr>
        <w:t>1</w:t>
      </w:r>
      <w:r w:rsidR="003737FF" w:rsidRPr="000A48C9">
        <w:rPr>
          <w:rFonts w:ascii="Times New Roman" w:hAnsi="Times New Roman"/>
          <w:sz w:val="24"/>
          <w:szCs w:val="24"/>
        </w:rPr>
        <w:t xml:space="preserve"> are not surprising.</w:t>
      </w:r>
    </w:p>
    <w:p w14:paraId="09BDDFFA" w14:textId="5000EE8F" w:rsidR="003D1BCB" w:rsidRPr="000A48C9" w:rsidRDefault="003D1BCB" w:rsidP="00A23801">
      <w:pPr>
        <w:spacing w:before="120" w:after="120" w:line="480" w:lineRule="auto"/>
        <w:jc w:val="center"/>
        <w:rPr>
          <w:rFonts w:ascii="Times New Roman" w:hAnsi="Times New Roman"/>
          <w:sz w:val="24"/>
          <w:szCs w:val="24"/>
        </w:rPr>
      </w:pPr>
      <w:r w:rsidRPr="000A48C9">
        <w:rPr>
          <w:rFonts w:ascii="Times New Roman" w:hAnsi="Times New Roman"/>
          <w:sz w:val="24"/>
          <w:szCs w:val="24"/>
        </w:rPr>
        <w:t>[INSERT TABLE 1</w:t>
      </w:r>
      <w:r w:rsidR="00D00DF2" w:rsidRPr="000A48C9">
        <w:rPr>
          <w:rFonts w:ascii="Times New Roman" w:hAnsi="Times New Roman"/>
          <w:sz w:val="24"/>
          <w:szCs w:val="24"/>
        </w:rPr>
        <w:t>1</w:t>
      </w:r>
      <w:r w:rsidRPr="000A48C9">
        <w:rPr>
          <w:rFonts w:ascii="Times New Roman" w:hAnsi="Times New Roman"/>
          <w:sz w:val="24"/>
          <w:szCs w:val="24"/>
        </w:rPr>
        <w:t xml:space="preserve"> ABOUT HERE]</w:t>
      </w:r>
    </w:p>
    <w:p w14:paraId="54462E6B" w14:textId="1290B1C9" w:rsidR="00154406" w:rsidRPr="002F79D0" w:rsidRDefault="009B06C5" w:rsidP="004253F6">
      <w:pPr>
        <w:spacing w:before="120" w:after="0" w:line="480" w:lineRule="auto"/>
        <w:rPr>
          <w:rFonts w:ascii="Times New Roman" w:hAnsi="Times New Roman"/>
          <w:b/>
          <w:i/>
          <w:sz w:val="24"/>
          <w:szCs w:val="24"/>
        </w:rPr>
      </w:pPr>
      <w:r w:rsidRPr="002F79D0">
        <w:rPr>
          <w:rFonts w:ascii="Times New Roman" w:hAnsi="Times New Roman"/>
          <w:b/>
          <w:i/>
          <w:sz w:val="24"/>
          <w:szCs w:val="24"/>
        </w:rPr>
        <w:t xml:space="preserve">4. </w:t>
      </w:r>
      <w:r w:rsidR="001C2D4E" w:rsidRPr="002F79D0">
        <w:rPr>
          <w:rFonts w:ascii="Times New Roman" w:hAnsi="Times New Roman"/>
          <w:b/>
          <w:i/>
          <w:sz w:val="24"/>
          <w:szCs w:val="24"/>
        </w:rPr>
        <w:t>9</w:t>
      </w:r>
      <w:r w:rsidR="00061D43" w:rsidRPr="002F79D0">
        <w:rPr>
          <w:rFonts w:ascii="Times New Roman" w:hAnsi="Times New Roman"/>
          <w:b/>
          <w:i/>
          <w:sz w:val="24"/>
          <w:szCs w:val="24"/>
        </w:rPr>
        <w:t>.</w:t>
      </w:r>
      <w:r w:rsidR="00BF4A1D" w:rsidRPr="002F79D0">
        <w:rPr>
          <w:rFonts w:ascii="Times New Roman" w:hAnsi="Times New Roman"/>
          <w:b/>
          <w:i/>
          <w:sz w:val="24"/>
          <w:szCs w:val="24"/>
        </w:rPr>
        <w:t xml:space="preserve"> </w:t>
      </w:r>
      <w:r w:rsidR="00154406" w:rsidRPr="002F79D0">
        <w:rPr>
          <w:rFonts w:ascii="Times New Roman" w:hAnsi="Times New Roman"/>
          <w:b/>
          <w:i/>
          <w:sz w:val="24"/>
          <w:szCs w:val="24"/>
        </w:rPr>
        <w:t xml:space="preserve">Earnings </w:t>
      </w:r>
      <w:r w:rsidR="00523296" w:rsidRPr="002F79D0">
        <w:rPr>
          <w:rFonts w:ascii="Times New Roman" w:hAnsi="Times New Roman"/>
          <w:b/>
          <w:i/>
          <w:sz w:val="24"/>
          <w:szCs w:val="24"/>
        </w:rPr>
        <w:t>m</w:t>
      </w:r>
      <w:r w:rsidR="00154406" w:rsidRPr="002F79D0">
        <w:rPr>
          <w:rFonts w:ascii="Times New Roman" w:hAnsi="Times New Roman"/>
          <w:b/>
          <w:i/>
          <w:sz w:val="24"/>
          <w:szCs w:val="24"/>
        </w:rPr>
        <w:t xml:space="preserve">anagement </w:t>
      </w:r>
      <w:r w:rsidR="00523296" w:rsidRPr="002F79D0">
        <w:rPr>
          <w:rFonts w:ascii="Times New Roman" w:hAnsi="Times New Roman"/>
          <w:b/>
          <w:i/>
          <w:sz w:val="24"/>
          <w:szCs w:val="24"/>
        </w:rPr>
        <w:t xml:space="preserve">between </w:t>
      </w:r>
      <w:r w:rsidR="00154406" w:rsidRPr="002F79D0">
        <w:rPr>
          <w:rFonts w:ascii="Times New Roman" w:hAnsi="Times New Roman"/>
          <w:b/>
          <w:i/>
          <w:sz w:val="24"/>
          <w:szCs w:val="24"/>
        </w:rPr>
        <w:t xml:space="preserve">MLPs vs. Non-MLP </w:t>
      </w:r>
      <w:r w:rsidR="00523296" w:rsidRPr="002F79D0">
        <w:rPr>
          <w:rFonts w:ascii="Times New Roman" w:hAnsi="Times New Roman"/>
          <w:b/>
          <w:i/>
          <w:sz w:val="24"/>
          <w:szCs w:val="24"/>
        </w:rPr>
        <w:t>f</w:t>
      </w:r>
      <w:r w:rsidR="00154406" w:rsidRPr="002F79D0">
        <w:rPr>
          <w:rFonts w:ascii="Times New Roman" w:hAnsi="Times New Roman"/>
          <w:b/>
          <w:i/>
          <w:sz w:val="24"/>
          <w:szCs w:val="24"/>
        </w:rPr>
        <w:t xml:space="preserve">irms – </w:t>
      </w:r>
      <w:r w:rsidR="00116DBB" w:rsidRPr="002F79D0">
        <w:rPr>
          <w:rFonts w:ascii="Times New Roman" w:hAnsi="Times New Roman"/>
          <w:b/>
          <w:i/>
          <w:sz w:val="24"/>
          <w:szCs w:val="24"/>
        </w:rPr>
        <w:t xml:space="preserve">Before SOX vs. </w:t>
      </w:r>
      <w:r w:rsidR="00523296" w:rsidRPr="002F79D0">
        <w:rPr>
          <w:rFonts w:ascii="Times New Roman" w:hAnsi="Times New Roman"/>
          <w:b/>
          <w:i/>
          <w:sz w:val="24"/>
          <w:szCs w:val="24"/>
        </w:rPr>
        <w:t>a</w:t>
      </w:r>
      <w:r w:rsidR="00116DBB" w:rsidRPr="002F79D0">
        <w:rPr>
          <w:rFonts w:ascii="Times New Roman" w:hAnsi="Times New Roman"/>
          <w:b/>
          <w:i/>
          <w:sz w:val="24"/>
          <w:szCs w:val="24"/>
        </w:rPr>
        <w:t>fter SOX</w:t>
      </w:r>
    </w:p>
    <w:p w14:paraId="185222B4" w14:textId="089AD8D2" w:rsidR="004959D3" w:rsidRPr="000A48C9" w:rsidRDefault="00CF05AF" w:rsidP="009B06C5">
      <w:pPr>
        <w:spacing w:after="0" w:line="480" w:lineRule="auto"/>
        <w:ind w:firstLine="720"/>
        <w:jc w:val="both"/>
        <w:rPr>
          <w:rFonts w:ascii="Times New Roman" w:hAnsi="Times New Roman"/>
          <w:sz w:val="24"/>
          <w:szCs w:val="24"/>
        </w:rPr>
      </w:pPr>
      <w:r w:rsidRPr="000A48C9">
        <w:rPr>
          <w:rFonts w:ascii="Times New Roman" w:hAnsi="Times New Roman"/>
          <w:sz w:val="24"/>
          <w:szCs w:val="24"/>
        </w:rPr>
        <w:t xml:space="preserve">Aono and Guan (2008) present </w:t>
      </w:r>
      <w:r w:rsidR="009040F1" w:rsidRPr="000A48C9">
        <w:rPr>
          <w:rFonts w:ascii="Times New Roman" w:hAnsi="Times New Roman"/>
          <w:sz w:val="24"/>
          <w:szCs w:val="24"/>
        </w:rPr>
        <w:t>evidence that the 2002 Sarbanes-Oxley Act (SOX) has a deterring impact on earnings management</w:t>
      </w:r>
      <w:r w:rsidRPr="000A48C9">
        <w:rPr>
          <w:rFonts w:ascii="Times New Roman" w:hAnsi="Times New Roman"/>
          <w:sz w:val="24"/>
          <w:szCs w:val="24"/>
        </w:rPr>
        <w:t xml:space="preserve">. Similarly, </w:t>
      </w:r>
      <w:r w:rsidR="009040F1" w:rsidRPr="000A48C9">
        <w:rPr>
          <w:rFonts w:ascii="Times New Roman" w:hAnsi="Times New Roman"/>
          <w:sz w:val="24"/>
          <w:szCs w:val="24"/>
        </w:rPr>
        <w:t>Cohen, Dey</w:t>
      </w:r>
      <w:r w:rsidR="0087564A">
        <w:rPr>
          <w:rFonts w:ascii="Times New Roman" w:hAnsi="Times New Roman"/>
          <w:sz w:val="24"/>
          <w:szCs w:val="24"/>
        </w:rPr>
        <w:t>,</w:t>
      </w:r>
      <w:r w:rsidR="009040F1" w:rsidRPr="000A48C9">
        <w:rPr>
          <w:rFonts w:ascii="Times New Roman" w:hAnsi="Times New Roman"/>
          <w:sz w:val="24"/>
          <w:szCs w:val="24"/>
        </w:rPr>
        <w:t xml:space="preserve"> </w:t>
      </w:r>
      <w:r w:rsidR="009040F1" w:rsidRPr="0087564A">
        <w:rPr>
          <w:rFonts w:ascii="Times New Roman" w:hAnsi="Times New Roman"/>
          <w:noProof/>
          <w:sz w:val="24"/>
          <w:szCs w:val="24"/>
        </w:rPr>
        <w:t>and</w:t>
      </w:r>
      <w:r w:rsidR="009040F1" w:rsidRPr="000A48C9">
        <w:rPr>
          <w:rFonts w:ascii="Times New Roman" w:hAnsi="Times New Roman"/>
          <w:sz w:val="24"/>
          <w:szCs w:val="24"/>
        </w:rPr>
        <w:t xml:space="preserve"> Lys (2008) find that firms make more use of real earnings management and less use of discretionary accruals management following SOX. Thus, the SOX legislation </w:t>
      </w:r>
      <w:r w:rsidR="004959D3" w:rsidRPr="000A48C9">
        <w:rPr>
          <w:rFonts w:ascii="Times New Roman" w:hAnsi="Times New Roman"/>
          <w:sz w:val="24"/>
          <w:szCs w:val="24"/>
        </w:rPr>
        <w:t xml:space="preserve">could also </w:t>
      </w:r>
      <w:r w:rsidR="00B53743" w:rsidRPr="000A48C9">
        <w:rPr>
          <w:rFonts w:ascii="Times New Roman" w:hAnsi="Times New Roman"/>
          <w:sz w:val="24"/>
          <w:szCs w:val="24"/>
        </w:rPr>
        <w:t>affect</w:t>
      </w:r>
      <w:r w:rsidR="004959D3" w:rsidRPr="000A48C9">
        <w:rPr>
          <w:rFonts w:ascii="Times New Roman" w:hAnsi="Times New Roman"/>
          <w:sz w:val="24"/>
          <w:szCs w:val="24"/>
        </w:rPr>
        <w:t xml:space="preserve"> MLPs significantly in their </w:t>
      </w:r>
      <w:r w:rsidR="009040F1" w:rsidRPr="000A48C9">
        <w:rPr>
          <w:rFonts w:ascii="Times New Roman" w:hAnsi="Times New Roman"/>
          <w:sz w:val="24"/>
          <w:szCs w:val="24"/>
        </w:rPr>
        <w:t>earnings management behavior</w:t>
      </w:r>
      <w:r w:rsidR="004959D3" w:rsidRPr="000A48C9">
        <w:rPr>
          <w:rFonts w:ascii="Times New Roman" w:hAnsi="Times New Roman"/>
          <w:sz w:val="24"/>
          <w:szCs w:val="24"/>
        </w:rPr>
        <w:t xml:space="preserve">. We </w:t>
      </w:r>
      <w:r w:rsidR="009040F1" w:rsidRPr="000A48C9">
        <w:rPr>
          <w:rFonts w:ascii="Times New Roman" w:hAnsi="Times New Roman"/>
          <w:sz w:val="24"/>
          <w:szCs w:val="24"/>
        </w:rPr>
        <w:t xml:space="preserve">test for its effect on MLPs and present </w:t>
      </w:r>
      <w:r w:rsidR="004959D3" w:rsidRPr="000A48C9">
        <w:rPr>
          <w:rFonts w:ascii="Times New Roman" w:hAnsi="Times New Roman"/>
          <w:sz w:val="24"/>
          <w:szCs w:val="24"/>
        </w:rPr>
        <w:t xml:space="preserve">the </w:t>
      </w:r>
      <w:r w:rsidR="009040F1" w:rsidRPr="000A48C9">
        <w:rPr>
          <w:rFonts w:ascii="Times New Roman" w:hAnsi="Times New Roman"/>
          <w:sz w:val="24"/>
          <w:szCs w:val="24"/>
        </w:rPr>
        <w:t xml:space="preserve">findings in Table </w:t>
      </w:r>
      <w:r w:rsidR="00B104CB" w:rsidRPr="000A48C9">
        <w:rPr>
          <w:rFonts w:ascii="Times New Roman" w:hAnsi="Times New Roman"/>
          <w:sz w:val="24"/>
          <w:szCs w:val="24"/>
        </w:rPr>
        <w:t>1</w:t>
      </w:r>
      <w:r w:rsidR="00D00DF2" w:rsidRPr="000A48C9">
        <w:rPr>
          <w:rFonts w:ascii="Times New Roman" w:hAnsi="Times New Roman"/>
          <w:sz w:val="24"/>
          <w:szCs w:val="24"/>
        </w:rPr>
        <w:t>2</w:t>
      </w:r>
      <w:r w:rsidR="009040F1" w:rsidRPr="000A48C9">
        <w:rPr>
          <w:rFonts w:ascii="Times New Roman" w:hAnsi="Times New Roman"/>
          <w:sz w:val="24"/>
          <w:szCs w:val="24"/>
        </w:rPr>
        <w:t xml:space="preserve">. </w:t>
      </w:r>
    </w:p>
    <w:p w14:paraId="236FAC58" w14:textId="1ED0891C" w:rsidR="009040F1" w:rsidRPr="000A48C9" w:rsidRDefault="004959D3" w:rsidP="009B06C5">
      <w:pPr>
        <w:spacing w:after="0" w:line="480" w:lineRule="auto"/>
        <w:ind w:firstLine="720"/>
        <w:jc w:val="both"/>
        <w:rPr>
          <w:rFonts w:ascii="Times New Roman" w:hAnsi="Times New Roman"/>
          <w:sz w:val="24"/>
          <w:szCs w:val="24"/>
        </w:rPr>
      </w:pPr>
      <w:r w:rsidRPr="000A48C9">
        <w:rPr>
          <w:rFonts w:ascii="Times New Roman" w:hAnsi="Times New Roman"/>
          <w:sz w:val="24"/>
          <w:szCs w:val="24"/>
        </w:rPr>
        <w:t>As shown in Table 1</w:t>
      </w:r>
      <w:r w:rsidR="00D00DF2" w:rsidRPr="000A48C9">
        <w:rPr>
          <w:rFonts w:ascii="Times New Roman" w:hAnsi="Times New Roman"/>
          <w:sz w:val="24"/>
          <w:szCs w:val="24"/>
        </w:rPr>
        <w:t>2</w:t>
      </w:r>
      <w:r w:rsidRPr="000A48C9">
        <w:rPr>
          <w:rFonts w:ascii="Times New Roman" w:hAnsi="Times New Roman"/>
          <w:sz w:val="24"/>
          <w:szCs w:val="24"/>
        </w:rPr>
        <w:t xml:space="preserve"> </w:t>
      </w:r>
      <w:r w:rsidR="00116DBB" w:rsidRPr="000A48C9">
        <w:rPr>
          <w:rFonts w:ascii="Times New Roman" w:hAnsi="Times New Roman"/>
          <w:sz w:val="24"/>
          <w:szCs w:val="24"/>
        </w:rPr>
        <w:t xml:space="preserve">Panel A </w:t>
      </w:r>
      <w:r w:rsidRPr="000A48C9">
        <w:rPr>
          <w:rFonts w:ascii="Times New Roman" w:hAnsi="Times New Roman"/>
          <w:sz w:val="24"/>
          <w:szCs w:val="24"/>
        </w:rPr>
        <w:t xml:space="preserve">and </w:t>
      </w:r>
      <w:r w:rsidR="00116DBB" w:rsidRPr="000A48C9">
        <w:rPr>
          <w:rFonts w:ascii="Times New Roman" w:hAnsi="Times New Roman"/>
          <w:sz w:val="24"/>
          <w:szCs w:val="24"/>
        </w:rPr>
        <w:t>Panel B</w:t>
      </w:r>
      <w:r w:rsidRPr="000A48C9">
        <w:rPr>
          <w:rFonts w:ascii="Times New Roman" w:hAnsi="Times New Roman"/>
          <w:sz w:val="24"/>
          <w:szCs w:val="24"/>
        </w:rPr>
        <w:t>, t</w:t>
      </w:r>
      <w:r w:rsidR="00116DBB" w:rsidRPr="000A48C9">
        <w:rPr>
          <w:rFonts w:ascii="Times New Roman" w:hAnsi="Times New Roman"/>
          <w:sz w:val="24"/>
          <w:szCs w:val="24"/>
        </w:rPr>
        <w:t xml:space="preserve">he coefficient </w:t>
      </w:r>
      <w:r w:rsidR="00CF05AF" w:rsidRPr="000A48C9">
        <w:rPr>
          <w:rFonts w:ascii="Times New Roman" w:hAnsi="Times New Roman"/>
          <w:sz w:val="24"/>
          <w:szCs w:val="24"/>
        </w:rPr>
        <w:t xml:space="preserve">for </w:t>
      </w:r>
      <w:r w:rsidR="00116DBB" w:rsidRPr="000A48C9">
        <w:rPr>
          <w:rFonts w:ascii="Times New Roman" w:hAnsi="Times New Roman"/>
          <w:sz w:val="24"/>
          <w:szCs w:val="24"/>
        </w:rPr>
        <w:t xml:space="preserve">the MLP </w:t>
      </w:r>
      <w:r w:rsidR="00CF05AF" w:rsidRPr="000A48C9">
        <w:rPr>
          <w:rFonts w:ascii="Times New Roman" w:hAnsi="Times New Roman"/>
          <w:sz w:val="24"/>
          <w:szCs w:val="24"/>
        </w:rPr>
        <w:t xml:space="preserve">dummy </w:t>
      </w:r>
      <w:r w:rsidR="00116DBB" w:rsidRPr="000A48C9">
        <w:rPr>
          <w:rFonts w:ascii="Times New Roman" w:hAnsi="Times New Roman"/>
          <w:sz w:val="24"/>
          <w:szCs w:val="24"/>
        </w:rPr>
        <w:t xml:space="preserve">variable is </w:t>
      </w:r>
      <w:r w:rsidR="00CF05AF" w:rsidRPr="000A48C9">
        <w:rPr>
          <w:rFonts w:ascii="Times New Roman" w:hAnsi="Times New Roman"/>
          <w:sz w:val="24"/>
          <w:szCs w:val="24"/>
        </w:rPr>
        <w:t xml:space="preserve">significantly </w:t>
      </w:r>
      <w:r w:rsidR="00116DBB" w:rsidRPr="000A48C9">
        <w:rPr>
          <w:rFonts w:ascii="Times New Roman" w:hAnsi="Times New Roman"/>
          <w:sz w:val="24"/>
          <w:szCs w:val="24"/>
        </w:rPr>
        <w:t xml:space="preserve">positive, suggesting higher real activities manipulation among MLPs </w:t>
      </w:r>
      <w:r w:rsidR="009040F1" w:rsidRPr="000A48C9">
        <w:rPr>
          <w:rFonts w:ascii="Times New Roman" w:hAnsi="Times New Roman"/>
          <w:sz w:val="24"/>
          <w:szCs w:val="24"/>
        </w:rPr>
        <w:t>irrespective of the legislation</w:t>
      </w:r>
      <w:r w:rsidR="00CF05AF" w:rsidRPr="000A48C9">
        <w:rPr>
          <w:rFonts w:ascii="Times New Roman" w:hAnsi="Times New Roman"/>
          <w:sz w:val="24"/>
          <w:szCs w:val="24"/>
        </w:rPr>
        <w:t xml:space="preserve">. However, there </w:t>
      </w:r>
      <w:r w:rsidR="009040F1" w:rsidRPr="000A48C9">
        <w:rPr>
          <w:rFonts w:ascii="Times New Roman" w:hAnsi="Times New Roman"/>
          <w:sz w:val="24"/>
          <w:szCs w:val="24"/>
        </w:rPr>
        <w:t xml:space="preserve">is a decline in the magnitude of the coefficient of the dummy variable representing MLPs </w:t>
      </w:r>
      <w:r w:rsidR="00CF05AF" w:rsidRPr="000A48C9">
        <w:rPr>
          <w:rFonts w:ascii="Times New Roman" w:hAnsi="Times New Roman"/>
          <w:sz w:val="24"/>
          <w:szCs w:val="24"/>
        </w:rPr>
        <w:t xml:space="preserve">before and </w:t>
      </w:r>
      <w:r w:rsidR="009040F1" w:rsidRPr="000A48C9">
        <w:rPr>
          <w:rFonts w:ascii="Times New Roman" w:hAnsi="Times New Roman"/>
          <w:sz w:val="24"/>
          <w:szCs w:val="24"/>
        </w:rPr>
        <w:t xml:space="preserve">after SOX (compare Models 1 and </w:t>
      </w:r>
      <w:r w:rsidR="009040F1" w:rsidRPr="0087564A">
        <w:rPr>
          <w:rFonts w:ascii="Times New Roman" w:hAnsi="Times New Roman"/>
          <w:noProof/>
          <w:sz w:val="24"/>
          <w:szCs w:val="24"/>
        </w:rPr>
        <w:t>2</w:t>
      </w:r>
      <w:r w:rsidR="009040F1" w:rsidRPr="000A48C9">
        <w:rPr>
          <w:rFonts w:ascii="Times New Roman" w:hAnsi="Times New Roman"/>
          <w:sz w:val="24"/>
          <w:szCs w:val="24"/>
        </w:rPr>
        <w:t xml:space="preserve"> from Panel A to those from Panel B). Thus, while there are signs that the SOX legislation has adversely affected MLPs’ </w:t>
      </w:r>
      <w:r w:rsidRPr="000A48C9">
        <w:rPr>
          <w:rFonts w:ascii="Times New Roman" w:hAnsi="Times New Roman"/>
          <w:sz w:val="24"/>
          <w:szCs w:val="24"/>
        </w:rPr>
        <w:t xml:space="preserve">real </w:t>
      </w:r>
      <w:r w:rsidR="009040F1" w:rsidRPr="000A48C9">
        <w:rPr>
          <w:rFonts w:ascii="Times New Roman" w:hAnsi="Times New Roman"/>
          <w:sz w:val="24"/>
          <w:szCs w:val="24"/>
        </w:rPr>
        <w:t xml:space="preserve">activities, it has </w:t>
      </w:r>
      <w:r w:rsidR="00FE3678" w:rsidRPr="000A48C9">
        <w:rPr>
          <w:rFonts w:ascii="Times New Roman" w:hAnsi="Times New Roman"/>
          <w:sz w:val="24"/>
          <w:szCs w:val="24"/>
        </w:rPr>
        <w:t xml:space="preserve">however </w:t>
      </w:r>
      <w:r w:rsidR="009040F1" w:rsidRPr="000A48C9">
        <w:rPr>
          <w:rFonts w:ascii="Times New Roman" w:hAnsi="Times New Roman"/>
          <w:sz w:val="24"/>
          <w:szCs w:val="24"/>
        </w:rPr>
        <w:t>not eliminated such earnings management practices.</w:t>
      </w:r>
    </w:p>
    <w:p w14:paraId="0E336DE9" w14:textId="4128BE21" w:rsidR="00B20065" w:rsidRPr="000A48C9" w:rsidRDefault="00B20065" w:rsidP="00A23801">
      <w:pPr>
        <w:spacing w:before="120" w:after="120" w:line="480" w:lineRule="auto"/>
        <w:jc w:val="center"/>
        <w:rPr>
          <w:rFonts w:ascii="Times New Roman" w:hAnsi="Times New Roman"/>
          <w:sz w:val="24"/>
          <w:szCs w:val="24"/>
        </w:rPr>
      </w:pPr>
      <w:r w:rsidRPr="000A48C9">
        <w:rPr>
          <w:rFonts w:ascii="Times New Roman" w:hAnsi="Times New Roman"/>
          <w:sz w:val="24"/>
          <w:szCs w:val="24"/>
        </w:rPr>
        <w:t xml:space="preserve">[INSERT TABLE </w:t>
      </w:r>
      <w:r w:rsidR="00B104CB" w:rsidRPr="000A48C9">
        <w:rPr>
          <w:rFonts w:ascii="Times New Roman" w:hAnsi="Times New Roman"/>
          <w:sz w:val="24"/>
          <w:szCs w:val="24"/>
        </w:rPr>
        <w:t>1</w:t>
      </w:r>
      <w:r w:rsidR="00D00DF2" w:rsidRPr="000A48C9">
        <w:rPr>
          <w:rFonts w:ascii="Times New Roman" w:hAnsi="Times New Roman"/>
          <w:sz w:val="24"/>
          <w:szCs w:val="24"/>
        </w:rPr>
        <w:t>2</w:t>
      </w:r>
      <w:r w:rsidR="00B104CB" w:rsidRPr="000A48C9">
        <w:rPr>
          <w:rFonts w:ascii="Times New Roman" w:hAnsi="Times New Roman"/>
          <w:sz w:val="24"/>
          <w:szCs w:val="24"/>
        </w:rPr>
        <w:t xml:space="preserve"> </w:t>
      </w:r>
      <w:r w:rsidRPr="000A48C9">
        <w:rPr>
          <w:rFonts w:ascii="Times New Roman" w:hAnsi="Times New Roman"/>
          <w:sz w:val="24"/>
          <w:szCs w:val="24"/>
        </w:rPr>
        <w:t>ABOUT HERE]</w:t>
      </w:r>
    </w:p>
    <w:p w14:paraId="660C3120" w14:textId="14B2FDAC" w:rsidR="009040F1" w:rsidRPr="000A48C9" w:rsidRDefault="004959D3" w:rsidP="0002363C">
      <w:pPr>
        <w:spacing w:after="0" w:line="480" w:lineRule="auto"/>
        <w:jc w:val="both"/>
        <w:rPr>
          <w:rFonts w:ascii="Times New Roman" w:hAnsi="Times New Roman"/>
          <w:b/>
          <w:sz w:val="24"/>
          <w:szCs w:val="24"/>
        </w:rPr>
      </w:pPr>
      <w:r w:rsidRPr="000A48C9">
        <w:rPr>
          <w:rFonts w:ascii="Times New Roman" w:hAnsi="Times New Roman"/>
          <w:sz w:val="24"/>
          <w:szCs w:val="24"/>
        </w:rPr>
        <w:t xml:space="preserve"> </w:t>
      </w:r>
      <w:r w:rsidR="004166AB" w:rsidRPr="000A48C9">
        <w:rPr>
          <w:rFonts w:ascii="Times New Roman" w:hAnsi="Times New Roman"/>
          <w:b/>
          <w:sz w:val="24"/>
          <w:szCs w:val="24"/>
        </w:rPr>
        <w:t>6</w:t>
      </w:r>
      <w:r w:rsidR="00BF4A1D" w:rsidRPr="000A48C9">
        <w:rPr>
          <w:rFonts w:ascii="Times New Roman" w:hAnsi="Times New Roman"/>
          <w:b/>
          <w:sz w:val="24"/>
          <w:szCs w:val="24"/>
        </w:rPr>
        <w:t xml:space="preserve">. </w:t>
      </w:r>
      <w:r w:rsidR="009040F1" w:rsidRPr="000A48C9">
        <w:rPr>
          <w:rFonts w:ascii="Times New Roman" w:hAnsi="Times New Roman"/>
          <w:b/>
          <w:sz w:val="24"/>
          <w:szCs w:val="24"/>
        </w:rPr>
        <w:t>Conclusion</w:t>
      </w:r>
    </w:p>
    <w:p w14:paraId="27FB7AE3" w14:textId="0E1C5146" w:rsidR="00F37C36" w:rsidRPr="000A48C9" w:rsidRDefault="00B62832" w:rsidP="00B427BE">
      <w:pPr>
        <w:spacing w:after="0" w:line="480" w:lineRule="auto"/>
        <w:ind w:firstLine="720"/>
        <w:jc w:val="both"/>
        <w:rPr>
          <w:rFonts w:ascii="Times New Roman" w:hAnsi="Times New Roman"/>
          <w:sz w:val="24"/>
          <w:szCs w:val="24"/>
        </w:rPr>
      </w:pPr>
      <w:r w:rsidRPr="000A48C9">
        <w:rPr>
          <w:rFonts w:ascii="Times New Roman" w:hAnsi="Times New Roman"/>
          <w:sz w:val="24"/>
          <w:szCs w:val="24"/>
        </w:rPr>
        <w:t xml:space="preserve">We </w:t>
      </w:r>
      <w:r w:rsidR="00D436D4" w:rsidRPr="000A48C9">
        <w:rPr>
          <w:rFonts w:ascii="Times New Roman" w:hAnsi="Times New Roman"/>
          <w:sz w:val="24"/>
          <w:szCs w:val="24"/>
        </w:rPr>
        <w:t xml:space="preserve">compare </w:t>
      </w:r>
      <w:r w:rsidR="00460807" w:rsidRPr="000A48C9">
        <w:rPr>
          <w:rFonts w:ascii="Times New Roman" w:hAnsi="Times New Roman"/>
          <w:sz w:val="24"/>
          <w:szCs w:val="24"/>
        </w:rPr>
        <w:t xml:space="preserve">earnings management practices </w:t>
      </w:r>
      <w:r w:rsidR="00D436D4" w:rsidRPr="000A48C9">
        <w:rPr>
          <w:rFonts w:ascii="Times New Roman" w:hAnsi="Times New Roman"/>
          <w:sz w:val="24"/>
          <w:szCs w:val="24"/>
        </w:rPr>
        <w:t xml:space="preserve">between MLPs and their matching corporations from the same SIC codes </w:t>
      </w:r>
      <w:r w:rsidR="0087564A">
        <w:rPr>
          <w:rFonts w:ascii="Times New Roman" w:hAnsi="Times New Roman"/>
          <w:noProof/>
          <w:sz w:val="24"/>
          <w:szCs w:val="24"/>
        </w:rPr>
        <w:t>throughout</w:t>
      </w:r>
      <w:r w:rsidR="00D436D4" w:rsidRPr="000A48C9">
        <w:rPr>
          <w:rFonts w:ascii="Times New Roman" w:hAnsi="Times New Roman"/>
          <w:sz w:val="24"/>
          <w:szCs w:val="24"/>
        </w:rPr>
        <w:t xml:space="preserve"> </w:t>
      </w:r>
      <w:r w:rsidR="0077070D" w:rsidRPr="000A48C9">
        <w:rPr>
          <w:rFonts w:ascii="Times New Roman" w:hAnsi="Times New Roman"/>
          <w:sz w:val="24"/>
          <w:szCs w:val="24"/>
        </w:rPr>
        <w:t>1995</w:t>
      </w:r>
      <w:r w:rsidR="00D436D4" w:rsidRPr="000A48C9">
        <w:rPr>
          <w:rFonts w:ascii="Times New Roman" w:hAnsi="Times New Roman"/>
          <w:sz w:val="24"/>
          <w:szCs w:val="24"/>
        </w:rPr>
        <w:t>-</w:t>
      </w:r>
      <w:r w:rsidR="00460807" w:rsidRPr="000A48C9">
        <w:rPr>
          <w:rFonts w:ascii="Times New Roman" w:hAnsi="Times New Roman"/>
          <w:sz w:val="24"/>
          <w:szCs w:val="24"/>
        </w:rPr>
        <w:t xml:space="preserve">2015. </w:t>
      </w:r>
      <w:r w:rsidR="00D436D4" w:rsidRPr="000A48C9">
        <w:rPr>
          <w:rFonts w:ascii="Times New Roman" w:hAnsi="Times New Roman"/>
          <w:sz w:val="24"/>
          <w:szCs w:val="24"/>
        </w:rPr>
        <w:t xml:space="preserve">Although there is no significant difference </w:t>
      </w:r>
      <w:r w:rsidR="0087564A">
        <w:rPr>
          <w:rFonts w:ascii="Times New Roman" w:hAnsi="Times New Roman"/>
          <w:noProof/>
          <w:sz w:val="24"/>
          <w:szCs w:val="24"/>
        </w:rPr>
        <w:t>regarding</w:t>
      </w:r>
      <w:r w:rsidR="00B427BE" w:rsidRPr="000A48C9">
        <w:rPr>
          <w:rFonts w:ascii="Times New Roman" w:hAnsi="Times New Roman"/>
          <w:sz w:val="24"/>
          <w:szCs w:val="24"/>
        </w:rPr>
        <w:t xml:space="preserve"> managing </w:t>
      </w:r>
      <w:r w:rsidR="00D436D4" w:rsidRPr="000A48C9">
        <w:rPr>
          <w:rFonts w:ascii="Times New Roman" w:hAnsi="Times New Roman"/>
          <w:sz w:val="24"/>
          <w:szCs w:val="24"/>
        </w:rPr>
        <w:t xml:space="preserve">discretionary accruals, MLPs manage real activities more than their corporate counterparts do. Specifically, </w:t>
      </w:r>
      <w:r w:rsidR="00460807" w:rsidRPr="000A48C9">
        <w:rPr>
          <w:rFonts w:ascii="Times New Roman" w:hAnsi="Times New Roman"/>
          <w:sz w:val="24"/>
          <w:szCs w:val="24"/>
        </w:rPr>
        <w:t xml:space="preserve">MLPs have significantly lower abnormal cash flows </w:t>
      </w:r>
      <w:r w:rsidR="00D55ACE" w:rsidRPr="000A48C9">
        <w:rPr>
          <w:rFonts w:ascii="Times New Roman" w:hAnsi="Times New Roman"/>
          <w:sz w:val="24"/>
          <w:szCs w:val="24"/>
        </w:rPr>
        <w:t xml:space="preserve">than </w:t>
      </w:r>
      <w:r w:rsidR="00B427BE" w:rsidRPr="000A48C9">
        <w:rPr>
          <w:rFonts w:ascii="Times New Roman" w:hAnsi="Times New Roman"/>
          <w:sz w:val="24"/>
          <w:szCs w:val="24"/>
        </w:rPr>
        <w:t xml:space="preserve">the </w:t>
      </w:r>
      <w:r w:rsidR="00460807" w:rsidRPr="000A48C9">
        <w:rPr>
          <w:rFonts w:ascii="Times New Roman" w:hAnsi="Times New Roman"/>
          <w:sz w:val="24"/>
          <w:szCs w:val="24"/>
        </w:rPr>
        <w:t xml:space="preserve">matched </w:t>
      </w:r>
      <w:r w:rsidR="00B53743" w:rsidRPr="000A48C9">
        <w:rPr>
          <w:rFonts w:ascii="Times New Roman" w:hAnsi="Times New Roman"/>
          <w:sz w:val="24"/>
          <w:szCs w:val="24"/>
        </w:rPr>
        <w:t>corporations do</w:t>
      </w:r>
      <w:r w:rsidR="00460807" w:rsidRPr="000A48C9">
        <w:rPr>
          <w:rFonts w:ascii="Times New Roman" w:hAnsi="Times New Roman"/>
          <w:sz w:val="24"/>
          <w:szCs w:val="24"/>
        </w:rPr>
        <w:t>. Not</w:t>
      </w:r>
      <w:r w:rsidR="00D436D4" w:rsidRPr="000A48C9">
        <w:rPr>
          <w:rFonts w:ascii="Times New Roman" w:hAnsi="Times New Roman"/>
          <w:sz w:val="24"/>
          <w:szCs w:val="24"/>
        </w:rPr>
        <w:t xml:space="preserve">ice </w:t>
      </w:r>
      <w:r w:rsidR="00460807" w:rsidRPr="000A48C9">
        <w:rPr>
          <w:rFonts w:ascii="Times New Roman" w:hAnsi="Times New Roman"/>
          <w:sz w:val="24"/>
          <w:szCs w:val="24"/>
        </w:rPr>
        <w:t xml:space="preserve">that </w:t>
      </w:r>
      <w:r w:rsidR="00D436D4" w:rsidRPr="000A48C9">
        <w:rPr>
          <w:rFonts w:ascii="Times New Roman" w:hAnsi="Times New Roman"/>
          <w:sz w:val="24"/>
          <w:szCs w:val="24"/>
        </w:rPr>
        <w:t xml:space="preserve">MLPs are required to pay the vast majority of their earnings out to their partners and the management of an MLP receives most of its bonus and executive compensation from the distributed cash flow. Therefore, </w:t>
      </w:r>
      <w:r w:rsidR="00D436D4" w:rsidRPr="0087564A">
        <w:rPr>
          <w:rFonts w:ascii="Times New Roman" w:hAnsi="Times New Roman"/>
          <w:noProof/>
          <w:sz w:val="24"/>
          <w:szCs w:val="24"/>
        </w:rPr>
        <w:t>lower</w:t>
      </w:r>
      <w:r w:rsidR="00D436D4" w:rsidRPr="000A48C9">
        <w:rPr>
          <w:rFonts w:ascii="Times New Roman" w:hAnsi="Times New Roman"/>
          <w:sz w:val="24"/>
          <w:szCs w:val="24"/>
        </w:rPr>
        <w:t xml:space="preserve"> abnormal cash flow is desirable to both the management and the shareholders.</w:t>
      </w:r>
      <w:r w:rsidR="00460807" w:rsidRPr="000A48C9">
        <w:rPr>
          <w:rFonts w:ascii="Times New Roman" w:hAnsi="Times New Roman"/>
          <w:sz w:val="24"/>
          <w:szCs w:val="24"/>
        </w:rPr>
        <w:t xml:space="preserve"> The findings are robust to </w:t>
      </w:r>
      <w:r w:rsidR="00162C86" w:rsidRPr="000A48C9">
        <w:rPr>
          <w:rFonts w:ascii="Times New Roman" w:hAnsi="Times New Roman"/>
          <w:sz w:val="24"/>
          <w:szCs w:val="24"/>
        </w:rPr>
        <w:t xml:space="preserve">other factors such as </w:t>
      </w:r>
      <w:r w:rsidR="00460807" w:rsidRPr="000A48C9">
        <w:rPr>
          <w:rFonts w:ascii="Times New Roman" w:hAnsi="Times New Roman"/>
          <w:sz w:val="24"/>
          <w:szCs w:val="24"/>
        </w:rPr>
        <w:t>leverage, institutional ownership, analyst coverage, auditors’ tenure, and the 2002 Sarbanes-Oxley Act.</w:t>
      </w:r>
      <w:r w:rsidR="009F6135" w:rsidRPr="000A48C9">
        <w:rPr>
          <w:rFonts w:ascii="Times New Roman" w:hAnsi="Times New Roman"/>
          <w:sz w:val="24"/>
          <w:szCs w:val="24"/>
        </w:rPr>
        <w:t xml:space="preserve"> </w:t>
      </w:r>
      <w:r w:rsidR="00162C86" w:rsidRPr="000A48C9">
        <w:rPr>
          <w:rFonts w:ascii="Times New Roman" w:hAnsi="Times New Roman"/>
          <w:sz w:val="24"/>
          <w:szCs w:val="24"/>
        </w:rPr>
        <w:t xml:space="preserve">However, we find that MLPs with less stock market liquidity </w:t>
      </w:r>
      <w:r w:rsidR="00162C86" w:rsidRPr="0087564A">
        <w:rPr>
          <w:rFonts w:ascii="Times New Roman" w:hAnsi="Times New Roman"/>
          <w:noProof/>
          <w:sz w:val="24"/>
          <w:szCs w:val="24"/>
        </w:rPr>
        <w:t>are</w:t>
      </w:r>
      <w:r w:rsidR="00162C86" w:rsidRPr="000A48C9">
        <w:rPr>
          <w:rFonts w:ascii="Times New Roman" w:hAnsi="Times New Roman"/>
          <w:sz w:val="24"/>
          <w:szCs w:val="24"/>
        </w:rPr>
        <w:t xml:space="preserve"> associated with more real earnings manipulations than the matching corporations, whereas MLPs with high stock market liquidity do not engage in more real activities management than the matching corporations. </w:t>
      </w:r>
    </w:p>
    <w:p w14:paraId="73894214" w14:textId="0D358E71" w:rsidR="006A417F" w:rsidRPr="00A51DD1" w:rsidRDefault="005D0B01" w:rsidP="00C72E09">
      <w:pPr>
        <w:spacing w:after="0" w:line="480" w:lineRule="auto"/>
        <w:ind w:firstLine="720"/>
        <w:jc w:val="both"/>
        <w:rPr>
          <w:rFonts w:ascii="Times New Roman" w:hAnsi="Times New Roman"/>
          <w:sz w:val="24"/>
          <w:szCs w:val="24"/>
        </w:rPr>
      </w:pPr>
      <w:r w:rsidRPr="000A48C9">
        <w:rPr>
          <w:rFonts w:ascii="Times New Roman" w:hAnsi="Times New Roman"/>
          <w:sz w:val="24"/>
          <w:szCs w:val="24"/>
        </w:rPr>
        <w:t xml:space="preserve">If </w:t>
      </w:r>
      <w:r w:rsidR="00B427BE" w:rsidRPr="000A48C9">
        <w:rPr>
          <w:rFonts w:ascii="Times New Roman" w:hAnsi="Times New Roman"/>
          <w:sz w:val="24"/>
          <w:szCs w:val="24"/>
        </w:rPr>
        <w:t xml:space="preserve">the difference in </w:t>
      </w:r>
      <w:r w:rsidRPr="000A48C9">
        <w:rPr>
          <w:rFonts w:ascii="Times New Roman" w:hAnsi="Times New Roman"/>
          <w:sz w:val="24"/>
          <w:szCs w:val="24"/>
        </w:rPr>
        <w:t xml:space="preserve">corporate governance </w:t>
      </w:r>
      <w:r w:rsidR="00B427BE" w:rsidRPr="000A48C9">
        <w:rPr>
          <w:rFonts w:ascii="Times New Roman" w:hAnsi="Times New Roman"/>
          <w:sz w:val="24"/>
          <w:szCs w:val="24"/>
        </w:rPr>
        <w:t xml:space="preserve">between the two </w:t>
      </w:r>
      <w:r w:rsidRPr="0087564A">
        <w:rPr>
          <w:rFonts w:ascii="Times New Roman" w:hAnsi="Times New Roman"/>
          <w:noProof/>
          <w:sz w:val="24"/>
          <w:szCs w:val="24"/>
        </w:rPr>
        <w:t>w</w:t>
      </w:r>
      <w:r w:rsidR="0087564A">
        <w:rPr>
          <w:rFonts w:ascii="Times New Roman" w:hAnsi="Times New Roman"/>
          <w:noProof/>
          <w:sz w:val="24"/>
          <w:szCs w:val="24"/>
        </w:rPr>
        <w:t>as</w:t>
      </w:r>
      <w:r w:rsidRPr="000A48C9">
        <w:rPr>
          <w:rFonts w:ascii="Times New Roman" w:hAnsi="Times New Roman"/>
          <w:sz w:val="24"/>
          <w:szCs w:val="24"/>
        </w:rPr>
        <w:t xml:space="preserve"> the key driver of the difference in earnings management behavior between MLPs and the matching corporations, we would expect these characteristic variables </w:t>
      </w:r>
      <w:r w:rsidR="00162C86" w:rsidRPr="000A48C9">
        <w:rPr>
          <w:rFonts w:ascii="Times New Roman" w:hAnsi="Times New Roman"/>
          <w:sz w:val="24"/>
          <w:szCs w:val="24"/>
        </w:rPr>
        <w:t xml:space="preserve">such as leverage, institutional ownership, </w:t>
      </w:r>
      <w:r w:rsidR="00A51DD1" w:rsidRPr="000A48C9">
        <w:rPr>
          <w:rFonts w:ascii="Times New Roman" w:hAnsi="Times New Roman"/>
          <w:sz w:val="24"/>
          <w:szCs w:val="24"/>
        </w:rPr>
        <w:t>analysts’</w:t>
      </w:r>
      <w:r w:rsidR="00162C86" w:rsidRPr="000A48C9">
        <w:rPr>
          <w:rFonts w:ascii="Times New Roman" w:hAnsi="Times New Roman"/>
          <w:sz w:val="24"/>
          <w:szCs w:val="24"/>
        </w:rPr>
        <w:t xml:space="preserve"> coverage, to have a </w:t>
      </w:r>
      <w:r w:rsidRPr="000A48C9">
        <w:rPr>
          <w:rFonts w:ascii="Times New Roman" w:hAnsi="Times New Roman"/>
          <w:sz w:val="24"/>
          <w:szCs w:val="24"/>
        </w:rPr>
        <w:t>moderat</w:t>
      </w:r>
      <w:r w:rsidR="00162C86" w:rsidRPr="000A48C9">
        <w:rPr>
          <w:rFonts w:ascii="Times New Roman" w:hAnsi="Times New Roman"/>
          <w:sz w:val="24"/>
          <w:szCs w:val="24"/>
        </w:rPr>
        <w:t>ing</w:t>
      </w:r>
      <w:r w:rsidRPr="000A48C9">
        <w:rPr>
          <w:rFonts w:ascii="Times New Roman" w:hAnsi="Times New Roman"/>
          <w:sz w:val="24"/>
          <w:szCs w:val="24"/>
        </w:rPr>
        <w:t xml:space="preserve"> effect</w:t>
      </w:r>
      <w:r w:rsidR="00162C86" w:rsidRPr="000A48C9">
        <w:rPr>
          <w:rFonts w:ascii="Times New Roman" w:hAnsi="Times New Roman"/>
          <w:sz w:val="24"/>
          <w:szCs w:val="24"/>
        </w:rPr>
        <w:t xml:space="preserve"> on the </w:t>
      </w:r>
      <w:r w:rsidRPr="000A48C9">
        <w:rPr>
          <w:rFonts w:ascii="Times New Roman" w:hAnsi="Times New Roman"/>
          <w:sz w:val="24"/>
          <w:szCs w:val="24"/>
        </w:rPr>
        <w:t xml:space="preserve">lack </w:t>
      </w:r>
      <w:r w:rsidR="00162C86" w:rsidRPr="000A48C9">
        <w:rPr>
          <w:rFonts w:ascii="Times New Roman" w:hAnsi="Times New Roman"/>
          <w:sz w:val="24"/>
          <w:szCs w:val="24"/>
        </w:rPr>
        <w:t xml:space="preserve">of a sound </w:t>
      </w:r>
      <w:r w:rsidRPr="000A48C9">
        <w:rPr>
          <w:rFonts w:ascii="Times New Roman" w:hAnsi="Times New Roman"/>
          <w:sz w:val="24"/>
          <w:szCs w:val="24"/>
        </w:rPr>
        <w:t>governance structure</w:t>
      </w:r>
      <w:r w:rsidR="00162C86" w:rsidRPr="000A48C9">
        <w:rPr>
          <w:rFonts w:ascii="Times New Roman" w:hAnsi="Times New Roman"/>
          <w:sz w:val="24"/>
          <w:szCs w:val="24"/>
        </w:rPr>
        <w:t xml:space="preserve"> by the MLPs</w:t>
      </w:r>
      <w:r w:rsidRPr="000A48C9">
        <w:rPr>
          <w:rFonts w:ascii="Times New Roman" w:hAnsi="Times New Roman"/>
          <w:sz w:val="24"/>
          <w:szCs w:val="24"/>
        </w:rPr>
        <w:t xml:space="preserve">. </w:t>
      </w:r>
      <w:r w:rsidR="0087564A">
        <w:rPr>
          <w:rFonts w:ascii="Times New Roman" w:hAnsi="Times New Roman"/>
          <w:noProof/>
          <w:sz w:val="24"/>
          <w:szCs w:val="24"/>
        </w:rPr>
        <w:t>W</w:t>
      </w:r>
      <w:r w:rsidR="00162C86" w:rsidRPr="000A48C9">
        <w:rPr>
          <w:rFonts w:ascii="Times New Roman" w:hAnsi="Times New Roman"/>
          <w:sz w:val="24"/>
          <w:szCs w:val="24"/>
        </w:rPr>
        <w:t xml:space="preserve">e do not observe any moderating effect. </w:t>
      </w:r>
      <w:r w:rsidRPr="000A48C9">
        <w:rPr>
          <w:rFonts w:ascii="Times New Roman" w:hAnsi="Times New Roman"/>
          <w:sz w:val="24"/>
          <w:szCs w:val="24"/>
        </w:rPr>
        <w:t>Therefore, we attribut</w:t>
      </w:r>
      <w:r w:rsidRPr="00A51DD1">
        <w:rPr>
          <w:rFonts w:ascii="Times New Roman" w:hAnsi="Times New Roman"/>
          <w:sz w:val="24"/>
          <w:szCs w:val="24"/>
        </w:rPr>
        <w:t>e to the fundamental features associated with MLPs, i.e., mandatory distribution of cash flow, as the key driver for the observed behavior difference between MLPs and the</w:t>
      </w:r>
      <w:r w:rsidR="00B427BE" w:rsidRPr="00A51DD1">
        <w:rPr>
          <w:rFonts w:ascii="Times New Roman" w:hAnsi="Times New Roman"/>
          <w:sz w:val="24"/>
          <w:szCs w:val="24"/>
        </w:rPr>
        <w:t>ir</w:t>
      </w:r>
      <w:r w:rsidRPr="00A51DD1">
        <w:rPr>
          <w:rFonts w:ascii="Times New Roman" w:hAnsi="Times New Roman"/>
          <w:sz w:val="24"/>
          <w:szCs w:val="24"/>
        </w:rPr>
        <w:t xml:space="preserve"> matching corporations.</w:t>
      </w:r>
      <w:r w:rsidR="009A7C3C" w:rsidRPr="00A51DD1">
        <w:rPr>
          <w:rFonts w:ascii="Times New Roman" w:hAnsi="Times New Roman"/>
          <w:sz w:val="24"/>
          <w:szCs w:val="24"/>
        </w:rPr>
        <w:t xml:space="preserve"> </w:t>
      </w:r>
      <w:r w:rsidR="00FA67DE" w:rsidRPr="00A51DD1">
        <w:rPr>
          <w:rFonts w:ascii="Times New Roman" w:hAnsi="Times New Roman"/>
          <w:sz w:val="24"/>
          <w:szCs w:val="24"/>
        </w:rPr>
        <w:t xml:space="preserve">As MLPs are highly dependent on the capital market for additional funding and the product market for incomes, the management of MLPs </w:t>
      </w:r>
      <w:r w:rsidR="00FA67DE" w:rsidRPr="0087564A">
        <w:rPr>
          <w:rFonts w:ascii="Times New Roman" w:hAnsi="Times New Roman"/>
          <w:noProof/>
          <w:sz w:val="24"/>
          <w:szCs w:val="24"/>
        </w:rPr>
        <w:t>ha</w:t>
      </w:r>
      <w:r w:rsidR="0087564A">
        <w:rPr>
          <w:rFonts w:ascii="Times New Roman" w:hAnsi="Times New Roman"/>
          <w:noProof/>
          <w:sz w:val="24"/>
          <w:szCs w:val="24"/>
        </w:rPr>
        <w:t>s</w:t>
      </w:r>
      <w:r w:rsidR="00FA67DE" w:rsidRPr="00A51DD1">
        <w:rPr>
          <w:rFonts w:ascii="Times New Roman" w:hAnsi="Times New Roman"/>
          <w:sz w:val="24"/>
          <w:szCs w:val="24"/>
        </w:rPr>
        <w:t xml:space="preserve"> to be more proactive </w:t>
      </w:r>
      <w:r w:rsidR="00B427BE" w:rsidRPr="00A51DD1">
        <w:rPr>
          <w:rFonts w:ascii="Times New Roman" w:hAnsi="Times New Roman"/>
          <w:sz w:val="24"/>
          <w:szCs w:val="24"/>
        </w:rPr>
        <w:t xml:space="preserve">and act quickly in response to changes in the market conditions </w:t>
      </w:r>
      <w:r w:rsidR="00FA67DE" w:rsidRPr="00A51DD1">
        <w:rPr>
          <w:rFonts w:ascii="Times New Roman" w:hAnsi="Times New Roman"/>
          <w:sz w:val="24"/>
          <w:szCs w:val="24"/>
        </w:rPr>
        <w:t xml:space="preserve">than their corporate counterparts do. Our results are thus consistent with the efficient contracting hypothesis of </w:t>
      </w:r>
      <w:r w:rsidR="009A7C3C" w:rsidRPr="00A51DD1">
        <w:rPr>
          <w:rFonts w:ascii="Times New Roman" w:hAnsi="Times New Roman"/>
          <w:sz w:val="24"/>
          <w:szCs w:val="24"/>
        </w:rPr>
        <w:t xml:space="preserve">earnings management </w:t>
      </w:r>
      <w:r w:rsidR="00FA67DE" w:rsidRPr="00A51DD1">
        <w:rPr>
          <w:rFonts w:ascii="Times New Roman" w:hAnsi="Times New Roman"/>
          <w:sz w:val="24"/>
          <w:szCs w:val="24"/>
        </w:rPr>
        <w:t>for the general partners of MLPs</w:t>
      </w:r>
      <w:r w:rsidR="009A7C3C" w:rsidRPr="00A51DD1">
        <w:rPr>
          <w:rFonts w:ascii="Times New Roman" w:hAnsi="Times New Roman"/>
          <w:sz w:val="24"/>
          <w:szCs w:val="24"/>
        </w:rPr>
        <w:t>.</w:t>
      </w:r>
      <w:r w:rsidR="006A417F" w:rsidRPr="00A51DD1">
        <w:rPr>
          <w:rFonts w:ascii="Times New Roman" w:hAnsi="Times New Roman"/>
          <w:sz w:val="24"/>
          <w:szCs w:val="24"/>
        </w:rPr>
        <w:br w:type="page"/>
      </w:r>
    </w:p>
    <w:p w14:paraId="73B8DE1E" w14:textId="77777777" w:rsidR="002F2D6E" w:rsidRPr="00A51DD1" w:rsidRDefault="002F2D6E" w:rsidP="00D2022A">
      <w:pPr>
        <w:jc w:val="center"/>
        <w:rPr>
          <w:rFonts w:ascii="Times New Roman" w:hAnsi="Times New Roman"/>
          <w:b/>
          <w:sz w:val="24"/>
          <w:szCs w:val="24"/>
        </w:rPr>
      </w:pPr>
      <w:r w:rsidRPr="00A51DD1">
        <w:rPr>
          <w:rFonts w:ascii="Times New Roman" w:hAnsi="Times New Roman"/>
          <w:b/>
          <w:sz w:val="24"/>
          <w:szCs w:val="24"/>
        </w:rPr>
        <w:t>References</w:t>
      </w:r>
    </w:p>
    <w:p w14:paraId="162E119F" w14:textId="77777777" w:rsidR="00C339C4" w:rsidRPr="00A51DD1" w:rsidRDefault="00C339C4" w:rsidP="00C339C4">
      <w:pPr>
        <w:rPr>
          <w:rFonts w:ascii="Times New Roman" w:hAnsi="Times New Roman"/>
          <w:sz w:val="24"/>
          <w:szCs w:val="24"/>
        </w:rPr>
      </w:pPr>
      <w:r w:rsidRPr="00A51DD1">
        <w:rPr>
          <w:rFonts w:ascii="Times New Roman" w:hAnsi="Times New Roman"/>
          <w:sz w:val="24"/>
          <w:szCs w:val="24"/>
        </w:rPr>
        <w:t xml:space="preserve">Anderson, R., &amp; Reeb, D. (2003). Founding-family ownership and firm performance: Evidence from the S&amp;P 500. </w:t>
      </w:r>
      <w:r w:rsidRPr="00A51DD1">
        <w:rPr>
          <w:rFonts w:ascii="Times New Roman" w:hAnsi="Times New Roman"/>
          <w:i/>
          <w:sz w:val="24"/>
          <w:szCs w:val="24"/>
        </w:rPr>
        <w:t>Journal of Finance</w:t>
      </w:r>
      <w:r w:rsidRPr="00A51DD1">
        <w:rPr>
          <w:rFonts w:ascii="Times New Roman" w:hAnsi="Times New Roman"/>
          <w:sz w:val="24"/>
          <w:szCs w:val="24"/>
        </w:rPr>
        <w:t>, 58, 1301–1328.</w:t>
      </w:r>
    </w:p>
    <w:p w14:paraId="0066C9D2" w14:textId="190E4463" w:rsidR="00C339C4" w:rsidRPr="00A51DD1" w:rsidRDefault="00C339C4" w:rsidP="00C339C4">
      <w:pPr>
        <w:rPr>
          <w:rFonts w:ascii="Times New Roman" w:hAnsi="Times New Roman"/>
          <w:sz w:val="24"/>
          <w:szCs w:val="24"/>
        </w:rPr>
      </w:pPr>
      <w:r w:rsidRPr="00A51DD1">
        <w:rPr>
          <w:rFonts w:ascii="Times New Roman" w:hAnsi="Times New Roman"/>
          <w:sz w:val="24"/>
          <w:szCs w:val="24"/>
        </w:rPr>
        <w:t xml:space="preserve">Aono, J., &amp; Guan, L. (2008). The impact of Sarbanes-Oxley act on cosmetic earnings management. </w:t>
      </w:r>
      <w:r w:rsidRPr="00A51DD1">
        <w:rPr>
          <w:rFonts w:ascii="Times New Roman" w:hAnsi="Times New Roman"/>
          <w:i/>
          <w:sz w:val="24"/>
          <w:szCs w:val="24"/>
        </w:rPr>
        <w:t>Research in Accounting Regulation</w:t>
      </w:r>
      <w:r w:rsidRPr="00A51DD1">
        <w:rPr>
          <w:rFonts w:ascii="Times New Roman" w:hAnsi="Times New Roman"/>
          <w:sz w:val="24"/>
          <w:szCs w:val="24"/>
        </w:rPr>
        <w:t>, 20, 205-215.</w:t>
      </w:r>
    </w:p>
    <w:p w14:paraId="02593497" w14:textId="77777777" w:rsidR="00C339C4" w:rsidRPr="00A51DD1" w:rsidRDefault="00C339C4" w:rsidP="00C339C4">
      <w:pPr>
        <w:rPr>
          <w:rFonts w:ascii="Times New Roman" w:hAnsi="Times New Roman"/>
          <w:sz w:val="24"/>
          <w:szCs w:val="24"/>
        </w:rPr>
      </w:pPr>
      <w:r w:rsidRPr="00A51DD1">
        <w:rPr>
          <w:rFonts w:ascii="Times New Roman" w:hAnsi="Times New Roman"/>
          <w:sz w:val="24"/>
          <w:szCs w:val="24"/>
        </w:rPr>
        <w:t>Aneiro, M. (2014). The New Frontier for MLPs. [online] Barrons.com. Available at: https://www.barrons.com/articles/the-new-frontier-for-mlps-1407567746 [Accessed 20 Dec. 2017].</w:t>
      </w:r>
    </w:p>
    <w:p w14:paraId="15ECF015" w14:textId="24EF4A30" w:rsidR="00C63B19" w:rsidRDefault="00C63B19" w:rsidP="00C63B19">
      <w:pPr>
        <w:rPr>
          <w:rFonts w:ascii="Times New Roman" w:hAnsi="Times New Roman"/>
          <w:sz w:val="24"/>
          <w:szCs w:val="24"/>
        </w:rPr>
      </w:pPr>
      <w:r w:rsidRPr="00C63B19">
        <w:rPr>
          <w:rFonts w:ascii="Times New Roman" w:hAnsi="Times New Roman"/>
          <w:sz w:val="24"/>
          <w:szCs w:val="24"/>
        </w:rPr>
        <w:t>Atanassov</w:t>
      </w:r>
      <w:r>
        <w:rPr>
          <w:rFonts w:ascii="Times New Roman" w:hAnsi="Times New Roman"/>
          <w:sz w:val="24"/>
          <w:szCs w:val="24"/>
        </w:rPr>
        <w:t xml:space="preserve">, J., &amp; </w:t>
      </w:r>
      <w:r w:rsidRPr="00C63B19">
        <w:rPr>
          <w:rFonts w:ascii="Times New Roman" w:hAnsi="Times New Roman"/>
          <w:sz w:val="24"/>
          <w:szCs w:val="24"/>
        </w:rPr>
        <w:t>Mandell</w:t>
      </w:r>
      <w:r>
        <w:rPr>
          <w:rFonts w:ascii="Times New Roman" w:hAnsi="Times New Roman"/>
          <w:sz w:val="24"/>
          <w:szCs w:val="24"/>
        </w:rPr>
        <w:t xml:space="preserve">, A. (2018). </w:t>
      </w:r>
      <w:r w:rsidRPr="00C63B19">
        <w:rPr>
          <w:rFonts w:ascii="Times New Roman" w:hAnsi="Times New Roman"/>
          <w:sz w:val="24"/>
          <w:szCs w:val="24"/>
        </w:rPr>
        <w:t>Corporate governance and dividend policy: Evidence of tunneling from master limited partnerships</w:t>
      </w:r>
      <w:r>
        <w:rPr>
          <w:rFonts w:ascii="Times New Roman" w:hAnsi="Times New Roman"/>
          <w:sz w:val="24"/>
          <w:szCs w:val="24"/>
        </w:rPr>
        <w:t xml:space="preserve">. </w:t>
      </w:r>
      <w:r w:rsidRPr="00181245">
        <w:rPr>
          <w:rFonts w:ascii="Times New Roman" w:hAnsi="Times New Roman"/>
          <w:i/>
          <w:sz w:val="24"/>
          <w:szCs w:val="24"/>
        </w:rPr>
        <w:t>Journal of Corporate Finance</w:t>
      </w:r>
      <w:r>
        <w:rPr>
          <w:rFonts w:ascii="Times New Roman" w:hAnsi="Times New Roman"/>
          <w:sz w:val="24"/>
          <w:szCs w:val="24"/>
        </w:rPr>
        <w:t xml:space="preserve">, </w:t>
      </w:r>
      <w:r w:rsidRPr="00C63B19">
        <w:rPr>
          <w:rFonts w:ascii="Times New Roman" w:hAnsi="Times New Roman"/>
          <w:sz w:val="24"/>
          <w:szCs w:val="24"/>
        </w:rPr>
        <w:t>53, 106-132</w:t>
      </w:r>
      <w:r>
        <w:rPr>
          <w:rFonts w:ascii="Times New Roman" w:hAnsi="Times New Roman"/>
          <w:sz w:val="24"/>
          <w:szCs w:val="24"/>
        </w:rPr>
        <w:t>.</w:t>
      </w:r>
    </w:p>
    <w:p w14:paraId="33433A48" w14:textId="3DC30C54" w:rsidR="00951CF8" w:rsidRPr="00A51DD1" w:rsidRDefault="00951CF8" w:rsidP="00C63B19">
      <w:pPr>
        <w:rPr>
          <w:rFonts w:ascii="Times New Roman" w:hAnsi="Times New Roman"/>
          <w:sz w:val="24"/>
          <w:szCs w:val="24"/>
        </w:rPr>
      </w:pPr>
      <w:r w:rsidRPr="00A51DD1">
        <w:rPr>
          <w:rFonts w:ascii="Times New Roman" w:hAnsi="Times New Roman"/>
          <w:sz w:val="24"/>
          <w:szCs w:val="24"/>
        </w:rPr>
        <w:t xml:space="preserve">Bergstresser, D., &amp; Philippon, T. (2006). CEO incentives and earnings management. </w:t>
      </w:r>
      <w:r w:rsidRPr="00A51DD1">
        <w:rPr>
          <w:rFonts w:ascii="Times New Roman" w:hAnsi="Times New Roman"/>
          <w:i/>
          <w:sz w:val="24"/>
          <w:szCs w:val="24"/>
        </w:rPr>
        <w:t xml:space="preserve">Journal of </w:t>
      </w:r>
      <w:r w:rsidR="00837C7A" w:rsidRPr="00A51DD1">
        <w:rPr>
          <w:rFonts w:ascii="Times New Roman" w:hAnsi="Times New Roman"/>
          <w:i/>
          <w:sz w:val="24"/>
          <w:szCs w:val="24"/>
        </w:rPr>
        <w:t>F</w:t>
      </w:r>
      <w:r w:rsidRPr="00A51DD1">
        <w:rPr>
          <w:rFonts w:ascii="Times New Roman" w:hAnsi="Times New Roman"/>
          <w:i/>
          <w:sz w:val="24"/>
          <w:szCs w:val="24"/>
        </w:rPr>
        <w:t xml:space="preserve">inancial </w:t>
      </w:r>
      <w:r w:rsidR="00837C7A" w:rsidRPr="00A51DD1">
        <w:rPr>
          <w:rFonts w:ascii="Times New Roman" w:hAnsi="Times New Roman"/>
          <w:i/>
          <w:sz w:val="24"/>
          <w:szCs w:val="24"/>
        </w:rPr>
        <w:t>E</w:t>
      </w:r>
      <w:r w:rsidRPr="00A51DD1">
        <w:rPr>
          <w:rFonts w:ascii="Times New Roman" w:hAnsi="Times New Roman"/>
          <w:i/>
          <w:sz w:val="24"/>
          <w:szCs w:val="24"/>
        </w:rPr>
        <w:t>conomics</w:t>
      </w:r>
      <w:r w:rsidRPr="00A51DD1">
        <w:rPr>
          <w:rFonts w:ascii="Times New Roman" w:hAnsi="Times New Roman"/>
          <w:sz w:val="24"/>
          <w:szCs w:val="24"/>
        </w:rPr>
        <w:t>, 80(3), 511-529.</w:t>
      </w:r>
    </w:p>
    <w:p w14:paraId="4F53946A" w14:textId="2E75EC09" w:rsidR="00726AAD" w:rsidRPr="00A51DD1" w:rsidRDefault="00726AAD" w:rsidP="00726AAD">
      <w:pPr>
        <w:rPr>
          <w:rFonts w:ascii="Times New Roman" w:hAnsi="Times New Roman"/>
          <w:sz w:val="24"/>
          <w:szCs w:val="24"/>
        </w:rPr>
      </w:pPr>
      <w:r w:rsidRPr="00A51DD1">
        <w:rPr>
          <w:rFonts w:ascii="Times New Roman" w:hAnsi="Times New Roman"/>
          <w:sz w:val="24"/>
          <w:szCs w:val="24"/>
        </w:rPr>
        <w:t>Bowen, R</w:t>
      </w:r>
      <w:r w:rsidR="00B04D99" w:rsidRPr="00A51DD1">
        <w:rPr>
          <w:rFonts w:ascii="Times New Roman" w:hAnsi="Times New Roman"/>
          <w:sz w:val="24"/>
          <w:szCs w:val="24"/>
        </w:rPr>
        <w:t>.</w:t>
      </w:r>
      <w:r w:rsidR="00970B59" w:rsidRPr="00A51DD1">
        <w:rPr>
          <w:rFonts w:ascii="Times New Roman" w:hAnsi="Times New Roman"/>
          <w:sz w:val="24"/>
          <w:szCs w:val="24"/>
        </w:rPr>
        <w:t>,</w:t>
      </w:r>
      <w:r w:rsidRPr="00A51DD1">
        <w:rPr>
          <w:rFonts w:ascii="Times New Roman" w:hAnsi="Times New Roman"/>
          <w:sz w:val="24"/>
          <w:szCs w:val="24"/>
        </w:rPr>
        <w:t xml:space="preserve"> Rajgopal, S</w:t>
      </w:r>
      <w:r w:rsidR="00B04D99" w:rsidRPr="00A51DD1">
        <w:rPr>
          <w:rFonts w:ascii="Times New Roman" w:hAnsi="Times New Roman"/>
          <w:sz w:val="24"/>
          <w:szCs w:val="24"/>
        </w:rPr>
        <w:t>.</w:t>
      </w:r>
      <w:r w:rsidRPr="00A51DD1">
        <w:rPr>
          <w:rFonts w:ascii="Times New Roman" w:hAnsi="Times New Roman"/>
          <w:sz w:val="24"/>
          <w:szCs w:val="24"/>
        </w:rPr>
        <w:t xml:space="preserve"> </w:t>
      </w:r>
      <w:r w:rsidR="00B04D99" w:rsidRPr="00A51DD1">
        <w:rPr>
          <w:rFonts w:ascii="Times New Roman" w:hAnsi="Times New Roman"/>
          <w:sz w:val="24"/>
          <w:szCs w:val="24"/>
        </w:rPr>
        <w:t xml:space="preserve">&amp; </w:t>
      </w:r>
      <w:r w:rsidRPr="00A51DD1">
        <w:rPr>
          <w:rFonts w:ascii="Times New Roman" w:hAnsi="Times New Roman"/>
          <w:sz w:val="24"/>
          <w:szCs w:val="24"/>
        </w:rPr>
        <w:t xml:space="preserve">Venkatachalam, M. </w:t>
      </w:r>
      <w:r w:rsidR="003571F0" w:rsidRPr="00A51DD1">
        <w:rPr>
          <w:rFonts w:ascii="Times New Roman" w:hAnsi="Times New Roman"/>
          <w:sz w:val="24"/>
          <w:szCs w:val="24"/>
        </w:rPr>
        <w:t xml:space="preserve">(2008). </w:t>
      </w:r>
      <w:r w:rsidRPr="00A51DD1">
        <w:rPr>
          <w:rFonts w:ascii="Times New Roman" w:hAnsi="Times New Roman"/>
          <w:sz w:val="24"/>
          <w:szCs w:val="24"/>
        </w:rPr>
        <w:t xml:space="preserve">Accounting Discretion, Corporate Governance, and Firm Performance. </w:t>
      </w:r>
      <w:r w:rsidRPr="00A51DD1">
        <w:rPr>
          <w:rFonts w:ascii="Times New Roman" w:hAnsi="Times New Roman"/>
          <w:i/>
          <w:sz w:val="24"/>
          <w:szCs w:val="24"/>
        </w:rPr>
        <w:t>Contemporary Accounting Research</w:t>
      </w:r>
      <w:r w:rsidR="00B53743" w:rsidRPr="00A51DD1">
        <w:rPr>
          <w:rFonts w:ascii="Times New Roman" w:hAnsi="Times New Roman"/>
          <w:sz w:val="24"/>
          <w:szCs w:val="24"/>
        </w:rPr>
        <w:t>,</w:t>
      </w:r>
      <w:r w:rsidRPr="00A51DD1">
        <w:rPr>
          <w:rFonts w:ascii="Times New Roman" w:hAnsi="Times New Roman"/>
          <w:sz w:val="24"/>
          <w:szCs w:val="24"/>
        </w:rPr>
        <w:t xml:space="preserve"> 25, 310-405.</w:t>
      </w:r>
    </w:p>
    <w:p w14:paraId="160DF7AC" w14:textId="53624D53" w:rsidR="00721E21" w:rsidRPr="00A51DD1" w:rsidRDefault="00721E21" w:rsidP="00721E21">
      <w:pPr>
        <w:rPr>
          <w:rFonts w:ascii="Times New Roman" w:hAnsi="Times New Roman"/>
          <w:sz w:val="24"/>
          <w:szCs w:val="24"/>
        </w:rPr>
      </w:pPr>
      <w:r w:rsidRPr="00A51DD1">
        <w:rPr>
          <w:rFonts w:ascii="Times New Roman" w:hAnsi="Times New Roman"/>
          <w:sz w:val="24"/>
          <w:szCs w:val="24"/>
        </w:rPr>
        <w:t>Chandler, A</w:t>
      </w:r>
      <w:r w:rsidR="00970B59" w:rsidRPr="00A51DD1">
        <w:rPr>
          <w:rFonts w:ascii="Times New Roman" w:hAnsi="Times New Roman"/>
          <w:sz w:val="24"/>
          <w:szCs w:val="24"/>
        </w:rPr>
        <w:t>.</w:t>
      </w:r>
      <w:r w:rsidRPr="00A51DD1">
        <w:rPr>
          <w:rFonts w:ascii="Times New Roman" w:hAnsi="Times New Roman"/>
          <w:sz w:val="24"/>
          <w:szCs w:val="24"/>
        </w:rPr>
        <w:t xml:space="preserve"> Jr. (1984):</w:t>
      </w:r>
      <w:r w:rsidRPr="00A51DD1">
        <w:rPr>
          <w:sz w:val="24"/>
          <w:szCs w:val="24"/>
        </w:rPr>
        <w:t xml:space="preserve"> </w:t>
      </w:r>
      <w:r w:rsidRPr="00A51DD1">
        <w:rPr>
          <w:rFonts w:ascii="Times New Roman" w:hAnsi="Times New Roman"/>
          <w:sz w:val="24"/>
          <w:szCs w:val="24"/>
        </w:rPr>
        <w:t xml:space="preserve">The emergence of managerial capitalism. </w:t>
      </w:r>
      <w:r w:rsidRPr="00A51DD1">
        <w:rPr>
          <w:rFonts w:ascii="Times New Roman" w:hAnsi="Times New Roman"/>
          <w:i/>
          <w:sz w:val="24"/>
          <w:szCs w:val="24"/>
        </w:rPr>
        <w:t>Business History Review</w:t>
      </w:r>
      <w:r w:rsidRPr="00A51DD1">
        <w:rPr>
          <w:rFonts w:ascii="Times New Roman" w:hAnsi="Times New Roman"/>
          <w:sz w:val="24"/>
          <w:szCs w:val="24"/>
        </w:rPr>
        <w:t xml:space="preserve">, 58, 473-503. </w:t>
      </w:r>
    </w:p>
    <w:p w14:paraId="3DE363FE" w14:textId="75E0FC4E" w:rsidR="00C339C4" w:rsidRPr="00A51DD1" w:rsidRDefault="00C339C4" w:rsidP="00721E21">
      <w:pPr>
        <w:rPr>
          <w:rFonts w:ascii="Times New Roman" w:hAnsi="Times New Roman"/>
          <w:sz w:val="24"/>
          <w:szCs w:val="24"/>
        </w:rPr>
      </w:pPr>
      <w:r w:rsidRPr="00A51DD1">
        <w:rPr>
          <w:rFonts w:ascii="Times New Roman" w:hAnsi="Times New Roman"/>
          <w:sz w:val="24"/>
          <w:szCs w:val="24"/>
        </w:rPr>
        <w:t>Chen, H.</w:t>
      </w:r>
      <w:r w:rsidR="00FE3678" w:rsidRPr="00A51DD1">
        <w:rPr>
          <w:rFonts w:ascii="Times New Roman" w:hAnsi="Times New Roman"/>
          <w:sz w:val="24"/>
          <w:szCs w:val="24"/>
        </w:rPr>
        <w:t>,</w:t>
      </w:r>
      <w:r w:rsidRPr="00A51DD1">
        <w:rPr>
          <w:rFonts w:ascii="Times New Roman" w:hAnsi="Times New Roman"/>
          <w:sz w:val="24"/>
          <w:szCs w:val="24"/>
        </w:rPr>
        <w:t xml:space="preserve"> </w:t>
      </w:r>
      <w:r w:rsidR="00FE3678" w:rsidRPr="00A51DD1">
        <w:rPr>
          <w:rFonts w:ascii="Times New Roman" w:hAnsi="Times New Roman"/>
          <w:sz w:val="24"/>
          <w:szCs w:val="24"/>
        </w:rPr>
        <w:t xml:space="preserve">&amp; </w:t>
      </w:r>
      <w:r w:rsidRPr="00A51DD1">
        <w:rPr>
          <w:rFonts w:ascii="Times New Roman" w:hAnsi="Times New Roman"/>
          <w:sz w:val="24"/>
          <w:szCs w:val="24"/>
        </w:rPr>
        <w:t>Ngo, T. 2018</w:t>
      </w:r>
      <w:r w:rsidR="005029A5" w:rsidRPr="00A51DD1">
        <w:rPr>
          <w:rFonts w:ascii="Times New Roman" w:hAnsi="Times New Roman"/>
          <w:sz w:val="24"/>
          <w:szCs w:val="24"/>
        </w:rPr>
        <w:t xml:space="preserve"> (forthcoming)</w:t>
      </w:r>
      <w:r w:rsidRPr="00A51DD1">
        <w:rPr>
          <w:rFonts w:ascii="Times New Roman" w:hAnsi="Times New Roman"/>
          <w:sz w:val="24"/>
          <w:szCs w:val="24"/>
        </w:rPr>
        <w:t xml:space="preserve">. </w:t>
      </w:r>
      <w:r w:rsidR="005029A5" w:rsidRPr="00A51DD1">
        <w:rPr>
          <w:rFonts w:ascii="Times New Roman" w:hAnsi="Times New Roman"/>
          <w:sz w:val="24"/>
          <w:szCs w:val="24"/>
        </w:rPr>
        <w:t xml:space="preserve">Master limited partnerships: Is it a smart investment vehicle? </w:t>
      </w:r>
      <w:r w:rsidR="005029A5" w:rsidRPr="00A51DD1">
        <w:rPr>
          <w:rFonts w:ascii="Times New Roman" w:hAnsi="Times New Roman"/>
          <w:i/>
          <w:sz w:val="24"/>
          <w:szCs w:val="24"/>
        </w:rPr>
        <w:t>Journal of Commodity Markets</w:t>
      </w:r>
      <w:r w:rsidR="005029A5" w:rsidRPr="00A51DD1">
        <w:rPr>
          <w:rFonts w:ascii="Times New Roman" w:hAnsi="Times New Roman"/>
          <w:sz w:val="24"/>
          <w:szCs w:val="24"/>
        </w:rPr>
        <w:t>.</w:t>
      </w:r>
      <w:r w:rsidRPr="00A51DD1">
        <w:rPr>
          <w:rFonts w:ascii="Times New Roman" w:hAnsi="Times New Roman"/>
          <w:sz w:val="24"/>
          <w:szCs w:val="24"/>
        </w:rPr>
        <w:t xml:space="preserve"> </w:t>
      </w:r>
    </w:p>
    <w:p w14:paraId="577FCC65" w14:textId="6B2859ED" w:rsidR="00C339C4" w:rsidRPr="00A51DD1" w:rsidRDefault="00C339C4" w:rsidP="00C339C4">
      <w:pPr>
        <w:rPr>
          <w:rFonts w:ascii="Times New Roman" w:hAnsi="Times New Roman"/>
          <w:sz w:val="24"/>
          <w:szCs w:val="24"/>
        </w:rPr>
      </w:pPr>
      <w:r w:rsidRPr="00A51DD1">
        <w:rPr>
          <w:rFonts w:ascii="Times New Roman" w:hAnsi="Times New Roman"/>
          <w:sz w:val="24"/>
          <w:szCs w:val="24"/>
        </w:rPr>
        <w:t xml:space="preserve">Chung, R., Firth, M., &amp; Kim, J. B. (2002). Institutional monitoring and opportunistic earnings management. </w:t>
      </w:r>
      <w:r w:rsidRPr="00A51DD1">
        <w:rPr>
          <w:rFonts w:ascii="Times New Roman" w:hAnsi="Times New Roman"/>
          <w:i/>
          <w:sz w:val="24"/>
          <w:szCs w:val="24"/>
        </w:rPr>
        <w:t xml:space="preserve">Journal of </w:t>
      </w:r>
      <w:r w:rsidR="00837C7A" w:rsidRPr="00A51DD1">
        <w:rPr>
          <w:rFonts w:ascii="Times New Roman" w:hAnsi="Times New Roman"/>
          <w:i/>
          <w:sz w:val="24"/>
          <w:szCs w:val="24"/>
        </w:rPr>
        <w:t>C</w:t>
      </w:r>
      <w:r w:rsidRPr="00A51DD1">
        <w:rPr>
          <w:rFonts w:ascii="Times New Roman" w:hAnsi="Times New Roman"/>
          <w:i/>
          <w:sz w:val="24"/>
          <w:szCs w:val="24"/>
        </w:rPr>
        <w:t xml:space="preserve">orporate </w:t>
      </w:r>
      <w:r w:rsidR="00837C7A" w:rsidRPr="00A51DD1">
        <w:rPr>
          <w:rFonts w:ascii="Times New Roman" w:hAnsi="Times New Roman"/>
          <w:i/>
          <w:sz w:val="24"/>
          <w:szCs w:val="24"/>
        </w:rPr>
        <w:t>F</w:t>
      </w:r>
      <w:r w:rsidRPr="00A51DD1">
        <w:rPr>
          <w:rFonts w:ascii="Times New Roman" w:hAnsi="Times New Roman"/>
          <w:i/>
          <w:sz w:val="24"/>
          <w:szCs w:val="24"/>
        </w:rPr>
        <w:t>inance,</w:t>
      </w:r>
      <w:r w:rsidRPr="00A51DD1">
        <w:rPr>
          <w:rFonts w:ascii="Times New Roman" w:hAnsi="Times New Roman"/>
          <w:sz w:val="24"/>
          <w:szCs w:val="24"/>
        </w:rPr>
        <w:t xml:space="preserve"> 8(1), 29-48.</w:t>
      </w:r>
    </w:p>
    <w:p w14:paraId="5CD11B00" w14:textId="7D3D4E4D" w:rsidR="00FE3678" w:rsidRPr="00A51DD1" w:rsidRDefault="00FE3678" w:rsidP="00C339C4">
      <w:pPr>
        <w:rPr>
          <w:rFonts w:ascii="Times New Roman" w:hAnsi="Times New Roman"/>
          <w:sz w:val="24"/>
          <w:szCs w:val="24"/>
        </w:rPr>
      </w:pPr>
      <w:r w:rsidRPr="00A51DD1">
        <w:rPr>
          <w:rFonts w:ascii="Times New Roman" w:hAnsi="Times New Roman"/>
          <w:sz w:val="24"/>
          <w:szCs w:val="24"/>
        </w:rPr>
        <w:t>Cohen, D., &amp; Zarowin, P.</w:t>
      </w:r>
      <w:r w:rsidR="00283A50" w:rsidRPr="00A51DD1">
        <w:rPr>
          <w:rFonts w:ascii="Times New Roman" w:hAnsi="Times New Roman"/>
          <w:sz w:val="24"/>
          <w:szCs w:val="24"/>
        </w:rPr>
        <w:t xml:space="preserve"> (</w:t>
      </w:r>
      <w:r w:rsidRPr="00A51DD1">
        <w:rPr>
          <w:rFonts w:ascii="Times New Roman" w:hAnsi="Times New Roman"/>
          <w:sz w:val="24"/>
          <w:szCs w:val="24"/>
        </w:rPr>
        <w:t>2010</w:t>
      </w:r>
      <w:r w:rsidR="00283A50" w:rsidRPr="00A51DD1">
        <w:rPr>
          <w:rFonts w:ascii="Times New Roman" w:hAnsi="Times New Roman"/>
          <w:sz w:val="24"/>
          <w:szCs w:val="24"/>
        </w:rPr>
        <w:t>)</w:t>
      </w:r>
      <w:r w:rsidRPr="00A51DD1">
        <w:rPr>
          <w:rFonts w:ascii="Times New Roman" w:hAnsi="Times New Roman"/>
          <w:sz w:val="24"/>
          <w:szCs w:val="24"/>
        </w:rPr>
        <w:t xml:space="preserve">. Accrual-based and real activities manipulation activities around seasoned equity offerings. </w:t>
      </w:r>
      <w:r w:rsidRPr="00A51DD1">
        <w:rPr>
          <w:rFonts w:ascii="Times New Roman" w:hAnsi="Times New Roman"/>
          <w:i/>
          <w:sz w:val="24"/>
          <w:szCs w:val="24"/>
        </w:rPr>
        <w:t>Journal of Accounting and Economics</w:t>
      </w:r>
      <w:r w:rsidR="00837C7A" w:rsidRPr="00A51DD1">
        <w:rPr>
          <w:rFonts w:ascii="Times New Roman" w:hAnsi="Times New Roman"/>
          <w:sz w:val="24"/>
          <w:szCs w:val="24"/>
        </w:rPr>
        <w:t>,</w:t>
      </w:r>
      <w:r w:rsidRPr="00A51DD1">
        <w:rPr>
          <w:rFonts w:ascii="Times New Roman" w:hAnsi="Times New Roman"/>
          <w:sz w:val="24"/>
          <w:szCs w:val="24"/>
        </w:rPr>
        <w:t xml:space="preserve"> 50, 2-19</w:t>
      </w:r>
      <w:r w:rsidR="00837C7A" w:rsidRPr="00A51DD1">
        <w:rPr>
          <w:rFonts w:ascii="Times New Roman" w:hAnsi="Times New Roman"/>
          <w:sz w:val="24"/>
          <w:szCs w:val="24"/>
        </w:rPr>
        <w:t>.</w:t>
      </w:r>
    </w:p>
    <w:p w14:paraId="41A8DE0C" w14:textId="626E21DE" w:rsidR="00C339C4" w:rsidRPr="00A51DD1" w:rsidRDefault="00C339C4" w:rsidP="00C339C4">
      <w:pPr>
        <w:rPr>
          <w:rFonts w:ascii="Times New Roman" w:hAnsi="Times New Roman"/>
          <w:sz w:val="24"/>
          <w:szCs w:val="24"/>
        </w:rPr>
      </w:pPr>
      <w:r w:rsidRPr="00A51DD1">
        <w:rPr>
          <w:rFonts w:ascii="Times New Roman" w:hAnsi="Times New Roman"/>
          <w:sz w:val="24"/>
          <w:szCs w:val="24"/>
        </w:rPr>
        <w:t>Cohen, D.</w:t>
      </w:r>
      <w:r w:rsidR="00970B59" w:rsidRPr="00A51DD1">
        <w:rPr>
          <w:rFonts w:ascii="Times New Roman" w:hAnsi="Times New Roman"/>
          <w:sz w:val="24"/>
          <w:szCs w:val="24"/>
        </w:rPr>
        <w:t xml:space="preserve">, </w:t>
      </w:r>
      <w:r w:rsidRPr="00A51DD1">
        <w:rPr>
          <w:rFonts w:ascii="Times New Roman" w:hAnsi="Times New Roman"/>
          <w:sz w:val="24"/>
          <w:szCs w:val="24"/>
        </w:rPr>
        <w:t xml:space="preserve">Dey, A., &amp; Lys, T. (2008). Real and accrual-based earnings management in the pre-and post-Sarbanes-Oxley periods. </w:t>
      </w:r>
      <w:r w:rsidRPr="00A51DD1">
        <w:rPr>
          <w:rFonts w:ascii="Times New Roman" w:hAnsi="Times New Roman"/>
          <w:i/>
          <w:sz w:val="24"/>
          <w:szCs w:val="24"/>
        </w:rPr>
        <w:t xml:space="preserve">The </w:t>
      </w:r>
      <w:r w:rsidR="00837C7A" w:rsidRPr="00A51DD1">
        <w:rPr>
          <w:rFonts w:ascii="Times New Roman" w:hAnsi="Times New Roman"/>
          <w:i/>
          <w:sz w:val="24"/>
          <w:szCs w:val="24"/>
        </w:rPr>
        <w:t>A</w:t>
      </w:r>
      <w:r w:rsidRPr="00A51DD1">
        <w:rPr>
          <w:rFonts w:ascii="Times New Roman" w:hAnsi="Times New Roman"/>
          <w:i/>
          <w:sz w:val="24"/>
          <w:szCs w:val="24"/>
        </w:rPr>
        <w:t xml:space="preserve">ccounting </w:t>
      </w:r>
      <w:r w:rsidR="00837C7A" w:rsidRPr="00A51DD1">
        <w:rPr>
          <w:rFonts w:ascii="Times New Roman" w:hAnsi="Times New Roman"/>
          <w:i/>
          <w:sz w:val="24"/>
          <w:szCs w:val="24"/>
        </w:rPr>
        <w:t>R</w:t>
      </w:r>
      <w:r w:rsidRPr="00A51DD1">
        <w:rPr>
          <w:rFonts w:ascii="Times New Roman" w:hAnsi="Times New Roman"/>
          <w:i/>
          <w:sz w:val="24"/>
          <w:szCs w:val="24"/>
        </w:rPr>
        <w:t>eview</w:t>
      </w:r>
      <w:r w:rsidR="00D55ACE" w:rsidRPr="00A51DD1">
        <w:rPr>
          <w:rFonts w:ascii="Times New Roman" w:hAnsi="Times New Roman"/>
          <w:sz w:val="24"/>
          <w:szCs w:val="24"/>
        </w:rPr>
        <w:t>, 83</w:t>
      </w:r>
      <w:r w:rsidR="008C4E59" w:rsidRPr="00A51DD1">
        <w:rPr>
          <w:rFonts w:ascii="Times New Roman" w:hAnsi="Times New Roman"/>
          <w:sz w:val="24"/>
          <w:szCs w:val="24"/>
        </w:rPr>
        <w:t xml:space="preserve"> </w:t>
      </w:r>
      <w:r w:rsidR="00D55ACE" w:rsidRPr="00A51DD1">
        <w:rPr>
          <w:rFonts w:ascii="Times New Roman" w:hAnsi="Times New Roman"/>
          <w:sz w:val="24"/>
          <w:szCs w:val="24"/>
        </w:rPr>
        <w:t>(3), 757-787</w:t>
      </w:r>
      <w:r w:rsidRPr="00A51DD1">
        <w:rPr>
          <w:rFonts w:ascii="Times New Roman" w:hAnsi="Times New Roman"/>
          <w:sz w:val="24"/>
          <w:szCs w:val="24"/>
        </w:rPr>
        <w:t>.</w:t>
      </w:r>
    </w:p>
    <w:p w14:paraId="579E6C4A" w14:textId="2DBC5C16" w:rsidR="00D064EC" w:rsidRPr="00A51DD1" w:rsidRDefault="00D064EC" w:rsidP="005A4284">
      <w:pPr>
        <w:jc w:val="both"/>
        <w:rPr>
          <w:rFonts w:ascii="Times New Roman" w:hAnsi="Times New Roman"/>
          <w:sz w:val="24"/>
          <w:szCs w:val="24"/>
        </w:rPr>
      </w:pPr>
      <w:r w:rsidRPr="00A51DD1">
        <w:rPr>
          <w:rFonts w:ascii="Times New Roman" w:hAnsi="Times New Roman"/>
          <w:sz w:val="24"/>
          <w:szCs w:val="24"/>
        </w:rPr>
        <w:t>Cornett, M</w:t>
      </w:r>
      <w:r w:rsidR="005A4284" w:rsidRPr="00A51DD1">
        <w:rPr>
          <w:rFonts w:ascii="Times New Roman" w:hAnsi="Times New Roman"/>
          <w:sz w:val="24"/>
          <w:szCs w:val="24"/>
        </w:rPr>
        <w:t>.</w:t>
      </w:r>
      <w:r w:rsidR="00970B59" w:rsidRPr="00A51DD1">
        <w:rPr>
          <w:rFonts w:ascii="Times New Roman" w:hAnsi="Times New Roman"/>
          <w:sz w:val="24"/>
          <w:szCs w:val="24"/>
        </w:rPr>
        <w:t>,</w:t>
      </w:r>
      <w:r w:rsidR="005A4284" w:rsidRPr="00A51DD1">
        <w:rPr>
          <w:rFonts w:ascii="Times New Roman" w:hAnsi="Times New Roman"/>
          <w:sz w:val="24"/>
          <w:szCs w:val="24"/>
        </w:rPr>
        <w:t xml:space="preserve"> </w:t>
      </w:r>
      <w:r w:rsidRPr="00A51DD1">
        <w:rPr>
          <w:rFonts w:ascii="Times New Roman" w:hAnsi="Times New Roman"/>
          <w:sz w:val="24"/>
          <w:szCs w:val="24"/>
        </w:rPr>
        <w:t>Marcus, A.</w:t>
      </w:r>
      <w:r w:rsidR="00970B59" w:rsidRPr="00A51DD1">
        <w:rPr>
          <w:rFonts w:ascii="Times New Roman" w:hAnsi="Times New Roman"/>
          <w:sz w:val="24"/>
          <w:szCs w:val="24"/>
        </w:rPr>
        <w:t>,</w:t>
      </w:r>
      <w:r w:rsidR="005A4284" w:rsidRPr="00A51DD1">
        <w:rPr>
          <w:rFonts w:ascii="Times New Roman" w:hAnsi="Times New Roman"/>
          <w:sz w:val="24"/>
          <w:szCs w:val="24"/>
        </w:rPr>
        <w:t xml:space="preserve"> &amp; </w:t>
      </w:r>
      <w:r w:rsidRPr="00A51DD1">
        <w:rPr>
          <w:rFonts w:ascii="Times New Roman" w:hAnsi="Times New Roman"/>
          <w:sz w:val="24"/>
          <w:szCs w:val="24"/>
        </w:rPr>
        <w:t>Tehranian, H</w:t>
      </w:r>
      <w:r w:rsidR="005A4284" w:rsidRPr="00A51DD1">
        <w:rPr>
          <w:rFonts w:ascii="Times New Roman" w:hAnsi="Times New Roman"/>
          <w:sz w:val="24"/>
          <w:szCs w:val="24"/>
        </w:rPr>
        <w:t>. (</w:t>
      </w:r>
      <w:r w:rsidR="003571F0" w:rsidRPr="00A51DD1">
        <w:rPr>
          <w:rFonts w:ascii="Times New Roman" w:hAnsi="Times New Roman"/>
          <w:sz w:val="24"/>
          <w:szCs w:val="24"/>
        </w:rPr>
        <w:t>2008)</w:t>
      </w:r>
      <w:r w:rsidR="00283A50" w:rsidRPr="00A51DD1">
        <w:rPr>
          <w:rFonts w:ascii="Times New Roman" w:hAnsi="Times New Roman"/>
          <w:sz w:val="24"/>
          <w:szCs w:val="24"/>
        </w:rPr>
        <w:t>.</w:t>
      </w:r>
      <w:r w:rsidR="005A4284" w:rsidRPr="00A51DD1">
        <w:rPr>
          <w:rFonts w:ascii="Times New Roman" w:hAnsi="Times New Roman"/>
          <w:sz w:val="24"/>
          <w:szCs w:val="24"/>
        </w:rPr>
        <w:t xml:space="preserve"> </w:t>
      </w:r>
      <w:r w:rsidRPr="00A51DD1">
        <w:rPr>
          <w:rFonts w:ascii="Times New Roman" w:hAnsi="Times New Roman"/>
          <w:sz w:val="24"/>
          <w:szCs w:val="24"/>
        </w:rPr>
        <w:t>Corporate governance and pay-for-performance: The impact of earnings</w:t>
      </w:r>
      <w:r w:rsidR="005A4284" w:rsidRPr="00A51DD1">
        <w:rPr>
          <w:rFonts w:ascii="Times New Roman" w:hAnsi="Times New Roman"/>
          <w:sz w:val="24"/>
          <w:szCs w:val="24"/>
        </w:rPr>
        <w:t xml:space="preserve">. </w:t>
      </w:r>
      <w:r w:rsidRPr="00A51DD1">
        <w:rPr>
          <w:rFonts w:ascii="Times New Roman" w:hAnsi="Times New Roman"/>
          <w:i/>
          <w:sz w:val="24"/>
          <w:szCs w:val="24"/>
        </w:rPr>
        <w:t>Journal of Financial Economics</w:t>
      </w:r>
      <w:r w:rsidR="005A4284" w:rsidRPr="00A51DD1">
        <w:rPr>
          <w:rFonts w:ascii="Times New Roman" w:hAnsi="Times New Roman"/>
          <w:sz w:val="24"/>
          <w:szCs w:val="24"/>
        </w:rPr>
        <w:t>,</w:t>
      </w:r>
      <w:r w:rsidRPr="00A51DD1">
        <w:rPr>
          <w:rFonts w:ascii="Times New Roman" w:hAnsi="Times New Roman"/>
          <w:sz w:val="24"/>
          <w:szCs w:val="24"/>
        </w:rPr>
        <w:t xml:space="preserve"> 87, 357-373.</w:t>
      </w:r>
      <w:r w:rsidR="005A4284" w:rsidRPr="00A51DD1">
        <w:rPr>
          <w:sz w:val="24"/>
          <w:szCs w:val="24"/>
        </w:rPr>
        <w:t xml:space="preserve"> </w:t>
      </w:r>
    </w:p>
    <w:p w14:paraId="02039510" w14:textId="2D88DF8F" w:rsidR="00726AAD" w:rsidRPr="00A51DD1" w:rsidRDefault="00726AAD" w:rsidP="00C339C4">
      <w:pPr>
        <w:rPr>
          <w:rFonts w:ascii="Times New Roman" w:hAnsi="Times New Roman"/>
          <w:sz w:val="24"/>
          <w:szCs w:val="24"/>
        </w:rPr>
      </w:pPr>
      <w:r w:rsidRPr="00A51DD1">
        <w:rPr>
          <w:rFonts w:ascii="Times New Roman" w:hAnsi="Times New Roman"/>
          <w:sz w:val="24"/>
          <w:szCs w:val="24"/>
        </w:rPr>
        <w:t>Dechow, P</w:t>
      </w:r>
      <w:r w:rsidR="00B04D99" w:rsidRPr="00A51DD1">
        <w:rPr>
          <w:rFonts w:ascii="Times New Roman" w:hAnsi="Times New Roman"/>
          <w:sz w:val="24"/>
          <w:szCs w:val="24"/>
        </w:rPr>
        <w:t>.</w:t>
      </w:r>
      <w:r w:rsidR="00970B59" w:rsidRPr="00A51DD1">
        <w:rPr>
          <w:rFonts w:ascii="Times New Roman" w:hAnsi="Times New Roman"/>
          <w:sz w:val="24"/>
          <w:szCs w:val="24"/>
        </w:rPr>
        <w:t>,</w:t>
      </w:r>
      <w:r w:rsidR="003571F0" w:rsidRPr="00A51DD1">
        <w:rPr>
          <w:rFonts w:ascii="Times New Roman" w:hAnsi="Times New Roman"/>
          <w:sz w:val="24"/>
          <w:szCs w:val="24"/>
        </w:rPr>
        <w:t xml:space="preserve"> Sloan, R</w:t>
      </w:r>
      <w:r w:rsidR="00B04D99" w:rsidRPr="00A51DD1">
        <w:rPr>
          <w:rFonts w:ascii="Times New Roman" w:hAnsi="Times New Roman"/>
          <w:sz w:val="24"/>
          <w:szCs w:val="24"/>
        </w:rPr>
        <w:t>.</w:t>
      </w:r>
      <w:r w:rsidR="00970B59" w:rsidRPr="00A51DD1">
        <w:rPr>
          <w:rFonts w:ascii="Times New Roman" w:hAnsi="Times New Roman"/>
          <w:sz w:val="24"/>
          <w:szCs w:val="24"/>
        </w:rPr>
        <w:t>,</w:t>
      </w:r>
      <w:r w:rsidR="00B04D99" w:rsidRPr="00A51DD1">
        <w:rPr>
          <w:rFonts w:ascii="Times New Roman" w:hAnsi="Times New Roman"/>
          <w:sz w:val="24"/>
          <w:szCs w:val="24"/>
        </w:rPr>
        <w:t xml:space="preserve"> &amp; </w:t>
      </w:r>
      <w:r w:rsidR="003571F0" w:rsidRPr="00A51DD1">
        <w:rPr>
          <w:rFonts w:ascii="Times New Roman" w:hAnsi="Times New Roman"/>
          <w:sz w:val="24"/>
          <w:szCs w:val="24"/>
        </w:rPr>
        <w:t xml:space="preserve">Sweeney, A. (1996). </w:t>
      </w:r>
      <w:r w:rsidRPr="00A51DD1">
        <w:rPr>
          <w:rFonts w:ascii="Times New Roman" w:hAnsi="Times New Roman"/>
          <w:sz w:val="24"/>
          <w:szCs w:val="24"/>
        </w:rPr>
        <w:t xml:space="preserve">Causes and </w:t>
      </w:r>
      <w:r w:rsidR="00882523" w:rsidRPr="00A51DD1">
        <w:rPr>
          <w:rFonts w:ascii="Times New Roman" w:hAnsi="Times New Roman"/>
          <w:sz w:val="24"/>
          <w:szCs w:val="24"/>
        </w:rPr>
        <w:t>c</w:t>
      </w:r>
      <w:r w:rsidRPr="00A51DD1">
        <w:rPr>
          <w:rFonts w:ascii="Times New Roman" w:hAnsi="Times New Roman"/>
          <w:sz w:val="24"/>
          <w:szCs w:val="24"/>
        </w:rPr>
        <w:t xml:space="preserve">onsequences of </w:t>
      </w:r>
      <w:r w:rsidR="00882523" w:rsidRPr="00A51DD1">
        <w:rPr>
          <w:rFonts w:ascii="Times New Roman" w:hAnsi="Times New Roman"/>
          <w:sz w:val="24"/>
          <w:szCs w:val="24"/>
        </w:rPr>
        <w:t>e</w:t>
      </w:r>
      <w:r w:rsidRPr="00A51DD1">
        <w:rPr>
          <w:rFonts w:ascii="Times New Roman" w:hAnsi="Times New Roman"/>
          <w:sz w:val="24"/>
          <w:szCs w:val="24"/>
        </w:rPr>
        <w:t xml:space="preserve">arnings </w:t>
      </w:r>
      <w:r w:rsidR="00882523" w:rsidRPr="00A51DD1">
        <w:rPr>
          <w:rFonts w:ascii="Times New Roman" w:hAnsi="Times New Roman"/>
          <w:sz w:val="24"/>
          <w:szCs w:val="24"/>
        </w:rPr>
        <w:t>m</w:t>
      </w:r>
      <w:r w:rsidRPr="00A51DD1">
        <w:rPr>
          <w:rFonts w:ascii="Times New Roman" w:hAnsi="Times New Roman"/>
          <w:sz w:val="24"/>
          <w:szCs w:val="24"/>
        </w:rPr>
        <w:t xml:space="preserve">anipulation: An </w:t>
      </w:r>
      <w:r w:rsidR="00882523" w:rsidRPr="00A51DD1">
        <w:rPr>
          <w:rFonts w:ascii="Times New Roman" w:hAnsi="Times New Roman"/>
          <w:sz w:val="24"/>
          <w:szCs w:val="24"/>
        </w:rPr>
        <w:t>a</w:t>
      </w:r>
      <w:r w:rsidRPr="00A51DD1">
        <w:rPr>
          <w:rFonts w:ascii="Times New Roman" w:hAnsi="Times New Roman"/>
          <w:sz w:val="24"/>
          <w:szCs w:val="24"/>
        </w:rPr>
        <w:t xml:space="preserve">nalysis of </w:t>
      </w:r>
      <w:r w:rsidR="00882523" w:rsidRPr="00A51DD1">
        <w:rPr>
          <w:rFonts w:ascii="Times New Roman" w:hAnsi="Times New Roman"/>
          <w:sz w:val="24"/>
          <w:szCs w:val="24"/>
        </w:rPr>
        <w:t>f</w:t>
      </w:r>
      <w:r w:rsidRPr="00A51DD1">
        <w:rPr>
          <w:rFonts w:ascii="Times New Roman" w:hAnsi="Times New Roman"/>
          <w:sz w:val="24"/>
          <w:szCs w:val="24"/>
        </w:rPr>
        <w:t xml:space="preserve">irms </w:t>
      </w:r>
      <w:r w:rsidR="00882523" w:rsidRPr="00A51DD1">
        <w:rPr>
          <w:rFonts w:ascii="Times New Roman" w:hAnsi="Times New Roman"/>
          <w:sz w:val="24"/>
          <w:szCs w:val="24"/>
        </w:rPr>
        <w:t>s</w:t>
      </w:r>
      <w:r w:rsidRPr="00A51DD1">
        <w:rPr>
          <w:rFonts w:ascii="Times New Roman" w:hAnsi="Times New Roman"/>
          <w:sz w:val="24"/>
          <w:szCs w:val="24"/>
        </w:rPr>
        <w:t xml:space="preserve">ubject to </w:t>
      </w:r>
      <w:r w:rsidR="00882523" w:rsidRPr="00A51DD1">
        <w:rPr>
          <w:rFonts w:ascii="Times New Roman" w:hAnsi="Times New Roman"/>
          <w:sz w:val="24"/>
          <w:szCs w:val="24"/>
        </w:rPr>
        <w:t>e</w:t>
      </w:r>
      <w:r w:rsidR="003571F0" w:rsidRPr="00A51DD1">
        <w:rPr>
          <w:rFonts w:ascii="Times New Roman" w:hAnsi="Times New Roman"/>
          <w:sz w:val="24"/>
          <w:szCs w:val="24"/>
        </w:rPr>
        <w:t xml:space="preserve">nforcement </w:t>
      </w:r>
      <w:r w:rsidR="00882523" w:rsidRPr="00A51DD1">
        <w:rPr>
          <w:rFonts w:ascii="Times New Roman" w:hAnsi="Times New Roman"/>
          <w:sz w:val="24"/>
          <w:szCs w:val="24"/>
        </w:rPr>
        <w:t>a</w:t>
      </w:r>
      <w:r w:rsidR="003571F0" w:rsidRPr="00A51DD1">
        <w:rPr>
          <w:rFonts w:ascii="Times New Roman" w:hAnsi="Times New Roman"/>
          <w:sz w:val="24"/>
          <w:szCs w:val="24"/>
        </w:rPr>
        <w:t xml:space="preserve">ctions by the SEC. </w:t>
      </w:r>
      <w:r w:rsidRPr="00A51DD1">
        <w:rPr>
          <w:rFonts w:ascii="Times New Roman" w:hAnsi="Times New Roman"/>
          <w:i/>
          <w:sz w:val="24"/>
          <w:szCs w:val="24"/>
        </w:rPr>
        <w:t>Contemporary Accounting Research</w:t>
      </w:r>
      <w:r w:rsidR="00882523" w:rsidRPr="00A51DD1">
        <w:rPr>
          <w:rFonts w:ascii="Times New Roman" w:hAnsi="Times New Roman"/>
          <w:sz w:val="24"/>
          <w:szCs w:val="24"/>
        </w:rPr>
        <w:t>,</w:t>
      </w:r>
      <w:r w:rsidRPr="00A51DD1">
        <w:rPr>
          <w:rFonts w:ascii="Times New Roman" w:hAnsi="Times New Roman"/>
          <w:sz w:val="24"/>
          <w:szCs w:val="24"/>
        </w:rPr>
        <w:t xml:space="preserve"> 13</w:t>
      </w:r>
      <w:r w:rsidR="003571F0" w:rsidRPr="00A51DD1">
        <w:rPr>
          <w:rFonts w:ascii="Times New Roman" w:hAnsi="Times New Roman"/>
          <w:sz w:val="24"/>
          <w:szCs w:val="24"/>
        </w:rPr>
        <w:t xml:space="preserve">, </w:t>
      </w:r>
      <w:r w:rsidRPr="00A51DD1">
        <w:rPr>
          <w:rFonts w:ascii="Times New Roman" w:hAnsi="Times New Roman"/>
          <w:sz w:val="24"/>
          <w:szCs w:val="24"/>
        </w:rPr>
        <w:t xml:space="preserve">1-36. </w:t>
      </w:r>
    </w:p>
    <w:p w14:paraId="49FC4494" w14:textId="08B51237" w:rsidR="00882523" w:rsidRPr="00A51DD1" w:rsidRDefault="00882523" w:rsidP="00B427BE">
      <w:pPr>
        <w:spacing w:after="0" w:line="240" w:lineRule="auto"/>
        <w:rPr>
          <w:rFonts w:ascii="Times New Roman" w:hAnsi="Times New Roman"/>
          <w:sz w:val="24"/>
          <w:szCs w:val="24"/>
        </w:rPr>
      </w:pPr>
      <w:r w:rsidRPr="00A51DD1">
        <w:rPr>
          <w:rFonts w:ascii="Times New Roman" w:hAnsi="Times New Roman"/>
          <w:sz w:val="24"/>
          <w:szCs w:val="24"/>
        </w:rPr>
        <w:t xml:space="preserve">Dechow, P., and Dichev, I. (2002). “The Quality of Accruals and Earnings: The Role of Accrual Estimation Errors. </w:t>
      </w:r>
      <w:r w:rsidRPr="00A51DD1">
        <w:rPr>
          <w:rFonts w:ascii="Times New Roman" w:hAnsi="Times New Roman"/>
          <w:i/>
          <w:sz w:val="24"/>
          <w:szCs w:val="24"/>
        </w:rPr>
        <w:t>The Accounting Review</w:t>
      </w:r>
      <w:r w:rsidRPr="00A51DD1">
        <w:rPr>
          <w:rFonts w:ascii="Times New Roman" w:hAnsi="Times New Roman"/>
          <w:sz w:val="24"/>
          <w:szCs w:val="24"/>
        </w:rPr>
        <w:t>, 77, Supplement: Quality of Earnings Conference</w:t>
      </w:r>
    </w:p>
    <w:p w14:paraId="6F62B158" w14:textId="2465B9D0" w:rsidR="00882523" w:rsidRPr="00A51DD1" w:rsidRDefault="00882523" w:rsidP="00B427BE">
      <w:pPr>
        <w:spacing w:after="0" w:line="240" w:lineRule="auto"/>
        <w:rPr>
          <w:rFonts w:ascii="Times New Roman" w:hAnsi="Times New Roman"/>
          <w:sz w:val="24"/>
          <w:szCs w:val="24"/>
        </w:rPr>
      </w:pPr>
      <w:r w:rsidRPr="00A51DD1">
        <w:rPr>
          <w:rFonts w:ascii="Times New Roman" w:hAnsi="Times New Roman"/>
          <w:sz w:val="24"/>
          <w:szCs w:val="24"/>
        </w:rPr>
        <w:t xml:space="preserve">(2002), 35-59. </w:t>
      </w:r>
    </w:p>
    <w:p w14:paraId="00D04593" w14:textId="77777777" w:rsidR="00882523" w:rsidRPr="00A51DD1" w:rsidRDefault="00882523" w:rsidP="00B427BE">
      <w:pPr>
        <w:spacing w:after="0" w:line="240" w:lineRule="auto"/>
        <w:rPr>
          <w:rFonts w:ascii="Times New Roman" w:hAnsi="Times New Roman"/>
          <w:sz w:val="24"/>
          <w:szCs w:val="24"/>
        </w:rPr>
      </w:pPr>
    </w:p>
    <w:p w14:paraId="065B4CF4" w14:textId="383A771A" w:rsidR="00E553BB" w:rsidRPr="00A51DD1" w:rsidRDefault="00E553BB" w:rsidP="00882523">
      <w:pPr>
        <w:rPr>
          <w:rFonts w:ascii="Times New Roman" w:hAnsi="Times New Roman"/>
          <w:sz w:val="24"/>
          <w:szCs w:val="24"/>
        </w:rPr>
      </w:pPr>
      <w:r w:rsidRPr="00A51DD1">
        <w:rPr>
          <w:rFonts w:ascii="Times New Roman" w:hAnsi="Times New Roman"/>
          <w:sz w:val="24"/>
          <w:szCs w:val="24"/>
        </w:rPr>
        <w:t xml:space="preserve">DuCharme, L., Malatesta, P., &amp; Sefcik, S. (2001). Earnings management: IPO valuation and subsequent performance. </w:t>
      </w:r>
      <w:r w:rsidRPr="00A51DD1">
        <w:rPr>
          <w:rFonts w:ascii="Times New Roman" w:hAnsi="Times New Roman"/>
          <w:i/>
          <w:sz w:val="24"/>
          <w:szCs w:val="24"/>
        </w:rPr>
        <w:t>Journal of Accounting, Auditing &amp; Finance,</w:t>
      </w:r>
      <w:r w:rsidRPr="00A51DD1">
        <w:rPr>
          <w:rFonts w:ascii="Times New Roman" w:hAnsi="Times New Roman"/>
          <w:sz w:val="24"/>
          <w:szCs w:val="24"/>
        </w:rPr>
        <w:t xml:space="preserve"> 16</w:t>
      </w:r>
      <w:r w:rsidR="001B60A7" w:rsidRPr="00A51DD1">
        <w:rPr>
          <w:rFonts w:ascii="Times New Roman" w:hAnsi="Times New Roman"/>
          <w:sz w:val="24"/>
          <w:szCs w:val="24"/>
        </w:rPr>
        <w:t xml:space="preserve"> </w:t>
      </w:r>
      <w:r w:rsidRPr="00A51DD1">
        <w:rPr>
          <w:rFonts w:ascii="Times New Roman" w:hAnsi="Times New Roman"/>
          <w:sz w:val="24"/>
          <w:szCs w:val="24"/>
        </w:rPr>
        <w:t>(4), 369-396.</w:t>
      </w:r>
    </w:p>
    <w:p w14:paraId="25E28FA4" w14:textId="7CECD2A2" w:rsidR="008B0380" w:rsidRPr="00A51DD1" w:rsidRDefault="008B0380" w:rsidP="00C339C4">
      <w:pPr>
        <w:rPr>
          <w:rFonts w:ascii="Times New Roman" w:hAnsi="Times New Roman"/>
          <w:sz w:val="24"/>
          <w:szCs w:val="24"/>
        </w:rPr>
      </w:pPr>
      <w:r w:rsidRPr="00A51DD1">
        <w:rPr>
          <w:rFonts w:ascii="Times New Roman" w:hAnsi="Times New Roman"/>
          <w:sz w:val="24"/>
          <w:szCs w:val="24"/>
        </w:rPr>
        <w:t>Fields, M.</w:t>
      </w:r>
      <w:r w:rsidR="00970B59" w:rsidRPr="00A51DD1">
        <w:rPr>
          <w:rFonts w:ascii="Times New Roman" w:hAnsi="Times New Roman"/>
          <w:sz w:val="24"/>
          <w:szCs w:val="24"/>
        </w:rPr>
        <w:t xml:space="preserve">, and </w:t>
      </w:r>
      <w:r w:rsidRPr="00A51DD1">
        <w:rPr>
          <w:rFonts w:ascii="Times New Roman" w:hAnsi="Times New Roman"/>
          <w:sz w:val="24"/>
          <w:szCs w:val="24"/>
        </w:rPr>
        <w:t xml:space="preserve">Keys, P. </w:t>
      </w:r>
      <w:r w:rsidR="003571F0" w:rsidRPr="00A51DD1">
        <w:rPr>
          <w:rFonts w:ascii="Times New Roman" w:hAnsi="Times New Roman"/>
          <w:sz w:val="24"/>
          <w:szCs w:val="24"/>
        </w:rPr>
        <w:t>(</w:t>
      </w:r>
      <w:r w:rsidR="00F560FF" w:rsidRPr="00A51DD1">
        <w:rPr>
          <w:rFonts w:ascii="Times New Roman" w:hAnsi="Times New Roman"/>
          <w:sz w:val="24"/>
          <w:szCs w:val="24"/>
        </w:rPr>
        <w:t>2003</w:t>
      </w:r>
      <w:r w:rsidR="003571F0" w:rsidRPr="00A51DD1">
        <w:rPr>
          <w:rFonts w:ascii="Times New Roman" w:hAnsi="Times New Roman"/>
          <w:sz w:val="24"/>
          <w:szCs w:val="24"/>
        </w:rPr>
        <w:t>).</w:t>
      </w:r>
      <w:r w:rsidR="00F560FF" w:rsidRPr="00A51DD1">
        <w:rPr>
          <w:rFonts w:ascii="Times New Roman" w:hAnsi="Times New Roman"/>
          <w:sz w:val="24"/>
          <w:szCs w:val="24"/>
        </w:rPr>
        <w:t xml:space="preserve"> </w:t>
      </w:r>
      <w:r w:rsidRPr="00A51DD1">
        <w:rPr>
          <w:rFonts w:ascii="Times New Roman" w:hAnsi="Times New Roman"/>
          <w:sz w:val="24"/>
          <w:szCs w:val="24"/>
        </w:rPr>
        <w:t xml:space="preserve">The Emergence of Corporate Governance from Wall St. to Main St.: Outside Directors, Board Diversity, Earnings Management, and Managerial Incentives to Bear Risk. </w:t>
      </w:r>
      <w:r w:rsidRPr="00A51DD1">
        <w:rPr>
          <w:rFonts w:ascii="Times New Roman" w:hAnsi="Times New Roman"/>
          <w:i/>
          <w:sz w:val="24"/>
          <w:szCs w:val="24"/>
        </w:rPr>
        <w:t>Financial Review</w:t>
      </w:r>
      <w:r w:rsidR="00B53743" w:rsidRPr="00A51DD1">
        <w:rPr>
          <w:rFonts w:ascii="Times New Roman" w:hAnsi="Times New Roman"/>
          <w:sz w:val="24"/>
          <w:szCs w:val="24"/>
        </w:rPr>
        <w:t>,</w:t>
      </w:r>
      <w:r w:rsidRPr="00A51DD1">
        <w:rPr>
          <w:rFonts w:ascii="Times New Roman" w:hAnsi="Times New Roman"/>
          <w:sz w:val="24"/>
          <w:szCs w:val="24"/>
        </w:rPr>
        <w:t xml:space="preserve"> 38, 1-2</w:t>
      </w:r>
      <w:r w:rsidR="008C4E59" w:rsidRPr="00A51DD1">
        <w:rPr>
          <w:rFonts w:ascii="Times New Roman" w:hAnsi="Times New Roman"/>
          <w:sz w:val="24"/>
          <w:szCs w:val="24"/>
        </w:rPr>
        <w:t>4.</w:t>
      </w:r>
    </w:p>
    <w:p w14:paraId="77A3D0E7" w14:textId="740BB827" w:rsidR="00C339C4" w:rsidRPr="00A51DD1" w:rsidRDefault="00C339C4" w:rsidP="00C339C4">
      <w:pPr>
        <w:rPr>
          <w:rFonts w:ascii="Times New Roman" w:hAnsi="Times New Roman"/>
          <w:sz w:val="24"/>
          <w:szCs w:val="24"/>
        </w:rPr>
      </w:pPr>
      <w:r w:rsidRPr="00A51DD1">
        <w:rPr>
          <w:rFonts w:ascii="Times New Roman" w:hAnsi="Times New Roman"/>
          <w:sz w:val="24"/>
          <w:szCs w:val="24"/>
        </w:rPr>
        <w:t xml:space="preserve">Ghosh, A., &amp; Moon, D. (2005). Auditor tenure and perceptions of audit quality. </w:t>
      </w:r>
      <w:r w:rsidRPr="00A51DD1">
        <w:rPr>
          <w:rFonts w:ascii="Times New Roman" w:hAnsi="Times New Roman"/>
          <w:i/>
          <w:sz w:val="24"/>
          <w:szCs w:val="24"/>
        </w:rPr>
        <w:t>The accounting review</w:t>
      </w:r>
      <w:r w:rsidRPr="00A51DD1">
        <w:rPr>
          <w:rFonts w:ascii="Times New Roman" w:hAnsi="Times New Roman"/>
          <w:sz w:val="24"/>
          <w:szCs w:val="24"/>
        </w:rPr>
        <w:t>, 80(2), 585-612.</w:t>
      </w:r>
    </w:p>
    <w:p w14:paraId="62922AD2" w14:textId="4B91C6EA" w:rsidR="00C339C4" w:rsidRPr="00A51DD1" w:rsidRDefault="00C339C4" w:rsidP="00C339C4">
      <w:pPr>
        <w:rPr>
          <w:rFonts w:ascii="Times New Roman" w:hAnsi="Times New Roman"/>
          <w:sz w:val="24"/>
          <w:szCs w:val="24"/>
        </w:rPr>
      </w:pPr>
      <w:r w:rsidRPr="00A51DD1">
        <w:rPr>
          <w:rFonts w:ascii="Times New Roman" w:hAnsi="Times New Roman"/>
          <w:sz w:val="24"/>
          <w:szCs w:val="24"/>
        </w:rPr>
        <w:t>Gul, F.</w:t>
      </w:r>
      <w:r w:rsidR="00970B59" w:rsidRPr="00A51DD1">
        <w:rPr>
          <w:rFonts w:ascii="Times New Roman" w:hAnsi="Times New Roman"/>
          <w:sz w:val="24"/>
          <w:szCs w:val="24"/>
        </w:rPr>
        <w:t>,</w:t>
      </w:r>
      <w:r w:rsidRPr="00A51DD1">
        <w:rPr>
          <w:rFonts w:ascii="Times New Roman" w:hAnsi="Times New Roman"/>
          <w:sz w:val="24"/>
          <w:szCs w:val="24"/>
        </w:rPr>
        <w:t xml:space="preserve"> Fung, S. &amp; Jaggi, B. (2009). Earnings quality: Some evidence on the role of auditor tenure and auditors’ industry expertise. </w:t>
      </w:r>
      <w:r w:rsidRPr="00A51DD1">
        <w:rPr>
          <w:rFonts w:ascii="Times New Roman" w:hAnsi="Times New Roman"/>
          <w:i/>
          <w:sz w:val="24"/>
          <w:szCs w:val="24"/>
        </w:rPr>
        <w:t>Journal of Accounting and Economics,</w:t>
      </w:r>
      <w:r w:rsidRPr="00A51DD1">
        <w:rPr>
          <w:rFonts w:ascii="Times New Roman" w:hAnsi="Times New Roman"/>
          <w:sz w:val="24"/>
          <w:szCs w:val="24"/>
        </w:rPr>
        <w:t xml:space="preserve"> 47(3), 265-287.</w:t>
      </w:r>
    </w:p>
    <w:p w14:paraId="2A8A67A7" w14:textId="1A766873" w:rsidR="005D7B06" w:rsidRPr="00A51DD1" w:rsidRDefault="005D7B06" w:rsidP="005D7B06">
      <w:pPr>
        <w:rPr>
          <w:rFonts w:ascii="Times New Roman" w:hAnsi="Times New Roman"/>
          <w:sz w:val="24"/>
          <w:szCs w:val="24"/>
        </w:rPr>
      </w:pPr>
      <w:r w:rsidRPr="00A51DD1">
        <w:rPr>
          <w:rFonts w:ascii="Times New Roman" w:hAnsi="Times New Roman"/>
          <w:sz w:val="24"/>
          <w:szCs w:val="24"/>
        </w:rPr>
        <w:t>Guthrie, K</w:t>
      </w:r>
      <w:r w:rsidR="00B04D99" w:rsidRPr="00A51DD1">
        <w:rPr>
          <w:rFonts w:ascii="Times New Roman" w:hAnsi="Times New Roman"/>
          <w:sz w:val="24"/>
          <w:szCs w:val="24"/>
        </w:rPr>
        <w:t>.</w:t>
      </w:r>
      <w:r w:rsidR="00970B59" w:rsidRPr="00A51DD1">
        <w:rPr>
          <w:rFonts w:ascii="Times New Roman" w:hAnsi="Times New Roman"/>
          <w:sz w:val="24"/>
          <w:szCs w:val="24"/>
        </w:rPr>
        <w:t>,</w:t>
      </w:r>
      <w:r w:rsidR="00B04D99" w:rsidRPr="00A51DD1">
        <w:rPr>
          <w:rFonts w:ascii="Times New Roman" w:hAnsi="Times New Roman"/>
          <w:sz w:val="24"/>
          <w:szCs w:val="24"/>
        </w:rPr>
        <w:t xml:space="preserve"> &amp;</w:t>
      </w:r>
      <w:r w:rsidRPr="00A51DD1">
        <w:rPr>
          <w:rFonts w:ascii="Times New Roman" w:hAnsi="Times New Roman"/>
          <w:sz w:val="24"/>
          <w:szCs w:val="24"/>
        </w:rPr>
        <w:t xml:space="preserve"> Sokolowsky, J</w:t>
      </w:r>
      <w:r w:rsidR="00B04D99" w:rsidRPr="00A51DD1">
        <w:rPr>
          <w:rFonts w:ascii="Times New Roman" w:hAnsi="Times New Roman"/>
          <w:sz w:val="24"/>
          <w:szCs w:val="24"/>
        </w:rPr>
        <w:t>.</w:t>
      </w:r>
      <w:r w:rsidRPr="00A51DD1">
        <w:rPr>
          <w:rFonts w:ascii="Times New Roman" w:hAnsi="Times New Roman"/>
          <w:sz w:val="24"/>
          <w:szCs w:val="24"/>
        </w:rPr>
        <w:t xml:space="preserve"> </w:t>
      </w:r>
      <w:r w:rsidR="00F560FF" w:rsidRPr="00A51DD1">
        <w:rPr>
          <w:rFonts w:ascii="Times New Roman" w:hAnsi="Times New Roman"/>
          <w:sz w:val="24"/>
          <w:szCs w:val="24"/>
        </w:rPr>
        <w:t xml:space="preserve">(2010). </w:t>
      </w:r>
      <w:r w:rsidRPr="00A51DD1">
        <w:rPr>
          <w:rFonts w:ascii="Times New Roman" w:hAnsi="Times New Roman"/>
          <w:sz w:val="24"/>
          <w:szCs w:val="24"/>
        </w:rPr>
        <w:t xml:space="preserve">Large shareholders and the pressure to manage earnings. </w:t>
      </w:r>
      <w:r w:rsidRPr="00A51DD1">
        <w:rPr>
          <w:rFonts w:ascii="Times New Roman" w:hAnsi="Times New Roman"/>
          <w:i/>
          <w:sz w:val="24"/>
          <w:szCs w:val="24"/>
        </w:rPr>
        <w:t>Journal of Corporate Finance</w:t>
      </w:r>
      <w:r w:rsidR="00F560FF" w:rsidRPr="00A51DD1">
        <w:rPr>
          <w:rFonts w:ascii="Times New Roman" w:hAnsi="Times New Roman"/>
          <w:sz w:val="24"/>
          <w:szCs w:val="24"/>
        </w:rPr>
        <w:t>,</w:t>
      </w:r>
      <w:r w:rsidRPr="00A51DD1">
        <w:rPr>
          <w:rFonts w:ascii="Times New Roman" w:hAnsi="Times New Roman"/>
          <w:sz w:val="24"/>
          <w:szCs w:val="24"/>
        </w:rPr>
        <w:t xml:space="preserve"> </w:t>
      </w:r>
      <w:r w:rsidR="00F560FF" w:rsidRPr="00A51DD1">
        <w:rPr>
          <w:rFonts w:ascii="Times New Roman" w:hAnsi="Times New Roman"/>
          <w:sz w:val="24"/>
          <w:szCs w:val="24"/>
        </w:rPr>
        <w:t xml:space="preserve">16, </w:t>
      </w:r>
      <w:r w:rsidRPr="00A51DD1">
        <w:rPr>
          <w:rFonts w:ascii="Times New Roman" w:hAnsi="Times New Roman"/>
          <w:sz w:val="24"/>
          <w:szCs w:val="24"/>
        </w:rPr>
        <w:t>302-319.</w:t>
      </w:r>
    </w:p>
    <w:p w14:paraId="0EA6830F" w14:textId="7CAB79DA" w:rsidR="00631E28" w:rsidRPr="00A51DD1" w:rsidRDefault="00631E28" w:rsidP="00631E28">
      <w:pPr>
        <w:rPr>
          <w:rFonts w:ascii="Times New Roman" w:hAnsi="Times New Roman"/>
          <w:sz w:val="24"/>
          <w:szCs w:val="24"/>
        </w:rPr>
      </w:pPr>
      <w:r w:rsidRPr="00A51DD1">
        <w:rPr>
          <w:rFonts w:ascii="Times New Roman" w:hAnsi="Times New Roman"/>
          <w:sz w:val="24"/>
          <w:szCs w:val="24"/>
        </w:rPr>
        <w:t xml:space="preserve">Haw, I., Hu, B., Hwang, S., and Wu W. (2004). </w:t>
      </w:r>
      <w:r w:rsidRPr="00A51DD1">
        <w:rPr>
          <w:rFonts w:ascii="Times New Roman" w:hAnsi="Times New Roman" w:hint="eastAsia"/>
          <w:sz w:val="24"/>
          <w:szCs w:val="24"/>
        </w:rPr>
        <w:t xml:space="preserve">Ultimate </w:t>
      </w:r>
      <w:r w:rsidRPr="00A51DD1">
        <w:rPr>
          <w:rFonts w:ascii="Times New Roman" w:hAnsi="Times New Roman"/>
          <w:sz w:val="24"/>
          <w:szCs w:val="24"/>
        </w:rPr>
        <w:t>o</w:t>
      </w:r>
      <w:r w:rsidRPr="00A51DD1">
        <w:rPr>
          <w:rFonts w:ascii="Times New Roman" w:hAnsi="Times New Roman" w:hint="eastAsia"/>
          <w:sz w:val="24"/>
          <w:szCs w:val="24"/>
        </w:rPr>
        <w:t xml:space="preserve">wnership, </w:t>
      </w:r>
      <w:r w:rsidRPr="00A51DD1">
        <w:rPr>
          <w:rFonts w:ascii="Times New Roman" w:hAnsi="Times New Roman"/>
          <w:sz w:val="24"/>
          <w:szCs w:val="24"/>
        </w:rPr>
        <w:t>i</w:t>
      </w:r>
      <w:r w:rsidRPr="00A51DD1">
        <w:rPr>
          <w:rFonts w:ascii="Times New Roman" w:hAnsi="Times New Roman" w:hint="eastAsia"/>
          <w:sz w:val="24"/>
          <w:szCs w:val="24"/>
        </w:rPr>
        <w:t xml:space="preserve">ncome </w:t>
      </w:r>
      <w:r w:rsidRPr="00A51DD1">
        <w:rPr>
          <w:rFonts w:ascii="Times New Roman" w:hAnsi="Times New Roman"/>
          <w:sz w:val="24"/>
          <w:szCs w:val="24"/>
        </w:rPr>
        <w:t>m</w:t>
      </w:r>
      <w:r w:rsidRPr="00A51DD1">
        <w:rPr>
          <w:rFonts w:ascii="Times New Roman" w:hAnsi="Times New Roman" w:hint="eastAsia"/>
          <w:sz w:val="24"/>
          <w:szCs w:val="24"/>
        </w:rPr>
        <w:t xml:space="preserve">anagement, and </w:t>
      </w:r>
      <w:r w:rsidRPr="00A51DD1">
        <w:rPr>
          <w:rFonts w:ascii="Times New Roman" w:hAnsi="Times New Roman"/>
          <w:sz w:val="24"/>
          <w:szCs w:val="24"/>
        </w:rPr>
        <w:t>l</w:t>
      </w:r>
      <w:r w:rsidRPr="00A51DD1">
        <w:rPr>
          <w:rFonts w:ascii="Times New Roman" w:hAnsi="Times New Roman" w:hint="eastAsia"/>
          <w:sz w:val="24"/>
          <w:szCs w:val="24"/>
        </w:rPr>
        <w:t xml:space="preserve">egal and </w:t>
      </w:r>
      <w:r w:rsidRPr="00A51DD1">
        <w:rPr>
          <w:rFonts w:ascii="Times New Roman" w:hAnsi="Times New Roman"/>
          <w:sz w:val="24"/>
          <w:szCs w:val="24"/>
        </w:rPr>
        <w:t>e</w:t>
      </w:r>
      <w:r w:rsidRPr="00A51DD1">
        <w:rPr>
          <w:rFonts w:ascii="Times New Roman" w:hAnsi="Times New Roman" w:hint="eastAsia"/>
          <w:sz w:val="24"/>
          <w:szCs w:val="24"/>
        </w:rPr>
        <w:t>xtra</w:t>
      </w:r>
      <w:r w:rsidRPr="00A51DD1">
        <w:rPr>
          <w:rFonts w:ascii="Times New Roman" w:hAnsi="Times New Roman" w:hint="eastAsia"/>
          <w:sz w:val="24"/>
          <w:szCs w:val="24"/>
        </w:rPr>
        <w:t>‐</w:t>
      </w:r>
      <w:r w:rsidRPr="00A51DD1">
        <w:rPr>
          <w:rFonts w:ascii="Times New Roman" w:hAnsi="Times New Roman" w:hint="eastAsia"/>
          <w:sz w:val="24"/>
          <w:szCs w:val="24"/>
        </w:rPr>
        <w:t xml:space="preserve">Legal </w:t>
      </w:r>
      <w:r w:rsidRPr="00A51DD1">
        <w:rPr>
          <w:rFonts w:ascii="Times New Roman" w:hAnsi="Times New Roman"/>
          <w:sz w:val="24"/>
          <w:szCs w:val="24"/>
        </w:rPr>
        <w:t>i</w:t>
      </w:r>
      <w:r w:rsidRPr="00A51DD1">
        <w:rPr>
          <w:rFonts w:ascii="Times New Roman" w:hAnsi="Times New Roman" w:hint="eastAsia"/>
          <w:sz w:val="24"/>
          <w:szCs w:val="24"/>
        </w:rPr>
        <w:t>nstitutions</w:t>
      </w:r>
      <w:r w:rsidRPr="00A51DD1">
        <w:rPr>
          <w:rFonts w:ascii="Times New Roman" w:hAnsi="Times New Roman"/>
          <w:sz w:val="24"/>
          <w:szCs w:val="24"/>
        </w:rPr>
        <w:t xml:space="preserve">. </w:t>
      </w:r>
      <w:r w:rsidRPr="00A51DD1">
        <w:rPr>
          <w:rFonts w:ascii="Times New Roman" w:hAnsi="Times New Roman"/>
          <w:i/>
          <w:sz w:val="24"/>
          <w:szCs w:val="24"/>
        </w:rPr>
        <w:t>Journal of Accounting Research</w:t>
      </w:r>
      <w:r w:rsidRPr="00A51DD1">
        <w:rPr>
          <w:rFonts w:ascii="Times New Roman" w:hAnsi="Times New Roman"/>
          <w:sz w:val="24"/>
          <w:szCs w:val="24"/>
        </w:rPr>
        <w:t>, 42 (2), 423-462.</w:t>
      </w:r>
    </w:p>
    <w:p w14:paraId="2CB8F18F" w14:textId="7867A9F3" w:rsidR="00815B67" w:rsidRPr="00A51DD1" w:rsidRDefault="00815B67" w:rsidP="00631E28">
      <w:pPr>
        <w:rPr>
          <w:rFonts w:ascii="Times New Roman" w:hAnsi="Times New Roman"/>
          <w:sz w:val="24"/>
          <w:szCs w:val="24"/>
        </w:rPr>
      </w:pPr>
      <w:r w:rsidRPr="00A51DD1">
        <w:rPr>
          <w:rFonts w:ascii="Times New Roman" w:hAnsi="Times New Roman"/>
          <w:sz w:val="24"/>
          <w:szCs w:val="24"/>
        </w:rPr>
        <w:t>Healy P</w:t>
      </w:r>
      <w:r w:rsidR="00970B59" w:rsidRPr="00A51DD1">
        <w:rPr>
          <w:rFonts w:ascii="Times New Roman" w:hAnsi="Times New Roman"/>
          <w:sz w:val="24"/>
          <w:szCs w:val="24"/>
        </w:rPr>
        <w:t>.</w:t>
      </w:r>
      <w:r w:rsidRPr="00A51DD1">
        <w:rPr>
          <w:rFonts w:ascii="Times New Roman" w:hAnsi="Times New Roman"/>
          <w:sz w:val="24"/>
          <w:szCs w:val="24"/>
        </w:rPr>
        <w:t xml:space="preserve">, </w:t>
      </w:r>
      <w:r w:rsidR="005E5A10" w:rsidRPr="00A51DD1">
        <w:rPr>
          <w:rFonts w:ascii="Times New Roman" w:hAnsi="Times New Roman"/>
          <w:sz w:val="24"/>
          <w:szCs w:val="24"/>
        </w:rPr>
        <w:t xml:space="preserve">&amp; </w:t>
      </w:r>
      <w:r w:rsidRPr="00A51DD1">
        <w:rPr>
          <w:rFonts w:ascii="Times New Roman" w:hAnsi="Times New Roman"/>
          <w:sz w:val="24"/>
          <w:szCs w:val="24"/>
        </w:rPr>
        <w:t>Wahlen J</w:t>
      </w:r>
      <w:r w:rsidR="00631E28" w:rsidRPr="00A51DD1">
        <w:rPr>
          <w:rFonts w:ascii="Times New Roman" w:hAnsi="Times New Roman"/>
          <w:sz w:val="24"/>
          <w:szCs w:val="24"/>
        </w:rPr>
        <w:t>.</w:t>
      </w:r>
      <w:r w:rsidRPr="00A51DD1">
        <w:rPr>
          <w:rFonts w:ascii="Times New Roman" w:hAnsi="Times New Roman"/>
          <w:sz w:val="24"/>
          <w:szCs w:val="24"/>
        </w:rPr>
        <w:t xml:space="preserve"> (1999) A review of the earnings management literature and its implications for standard setting. </w:t>
      </w:r>
      <w:r w:rsidRPr="00A51DD1">
        <w:rPr>
          <w:rFonts w:ascii="Times New Roman" w:hAnsi="Times New Roman"/>
          <w:i/>
          <w:sz w:val="24"/>
          <w:szCs w:val="24"/>
        </w:rPr>
        <w:t>Account Horizon</w:t>
      </w:r>
      <w:r w:rsidRPr="00A51DD1">
        <w:rPr>
          <w:rFonts w:ascii="Times New Roman" w:hAnsi="Times New Roman"/>
          <w:sz w:val="24"/>
          <w:szCs w:val="24"/>
        </w:rPr>
        <w:t>, 13, 365–383.</w:t>
      </w:r>
    </w:p>
    <w:p w14:paraId="36B152E5" w14:textId="55759232" w:rsidR="00C339C4" w:rsidRPr="00A51DD1" w:rsidRDefault="00C339C4" w:rsidP="005E5A10">
      <w:pPr>
        <w:rPr>
          <w:rFonts w:ascii="Times New Roman" w:hAnsi="Times New Roman"/>
          <w:sz w:val="24"/>
          <w:szCs w:val="24"/>
        </w:rPr>
      </w:pPr>
      <w:r w:rsidRPr="00A51DD1">
        <w:rPr>
          <w:rFonts w:ascii="Times New Roman" w:hAnsi="Times New Roman"/>
          <w:sz w:val="24"/>
          <w:szCs w:val="24"/>
        </w:rPr>
        <w:t>Jensen, M.</w:t>
      </w:r>
      <w:r w:rsidR="00970B59" w:rsidRPr="00A51DD1">
        <w:rPr>
          <w:rFonts w:ascii="Times New Roman" w:hAnsi="Times New Roman"/>
          <w:sz w:val="24"/>
          <w:szCs w:val="24"/>
        </w:rPr>
        <w:t>,</w:t>
      </w:r>
      <w:r w:rsidRPr="00A51DD1">
        <w:rPr>
          <w:rFonts w:ascii="Times New Roman" w:hAnsi="Times New Roman"/>
          <w:sz w:val="24"/>
          <w:szCs w:val="24"/>
        </w:rPr>
        <w:t xml:space="preserve"> &amp; Meckling, W. (1976). Theory of the firm: Managerial behavior, agency costs and ownership structure. </w:t>
      </w:r>
      <w:r w:rsidRPr="00A51DD1">
        <w:rPr>
          <w:rFonts w:ascii="Times New Roman" w:hAnsi="Times New Roman"/>
          <w:i/>
          <w:sz w:val="24"/>
          <w:szCs w:val="24"/>
        </w:rPr>
        <w:t xml:space="preserve">Journal of </w:t>
      </w:r>
      <w:r w:rsidR="00837C7A" w:rsidRPr="00A51DD1">
        <w:rPr>
          <w:rFonts w:ascii="Times New Roman" w:hAnsi="Times New Roman"/>
          <w:i/>
          <w:sz w:val="24"/>
          <w:szCs w:val="24"/>
        </w:rPr>
        <w:t>F</w:t>
      </w:r>
      <w:r w:rsidRPr="00A51DD1">
        <w:rPr>
          <w:rFonts w:ascii="Times New Roman" w:hAnsi="Times New Roman"/>
          <w:i/>
          <w:sz w:val="24"/>
          <w:szCs w:val="24"/>
        </w:rPr>
        <w:t xml:space="preserve">inancial </w:t>
      </w:r>
      <w:r w:rsidR="00837C7A" w:rsidRPr="00A51DD1">
        <w:rPr>
          <w:rFonts w:ascii="Times New Roman" w:hAnsi="Times New Roman"/>
          <w:i/>
          <w:sz w:val="24"/>
          <w:szCs w:val="24"/>
        </w:rPr>
        <w:t>E</w:t>
      </w:r>
      <w:r w:rsidRPr="00A51DD1">
        <w:rPr>
          <w:rFonts w:ascii="Times New Roman" w:hAnsi="Times New Roman"/>
          <w:i/>
          <w:sz w:val="24"/>
          <w:szCs w:val="24"/>
        </w:rPr>
        <w:t>conomics</w:t>
      </w:r>
      <w:r w:rsidRPr="00A51DD1">
        <w:rPr>
          <w:rFonts w:ascii="Times New Roman" w:hAnsi="Times New Roman"/>
          <w:sz w:val="24"/>
          <w:szCs w:val="24"/>
        </w:rPr>
        <w:t>, 3(4), 305-360.</w:t>
      </w:r>
    </w:p>
    <w:p w14:paraId="28BF35FB" w14:textId="5B9310F5" w:rsidR="00421AAB" w:rsidRPr="00A51DD1" w:rsidRDefault="00421AAB" w:rsidP="00B11DBF">
      <w:pPr>
        <w:autoSpaceDE w:val="0"/>
        <w:autoSpaceDN w:val="0"/>
        <w:adjustRightInd w:val="0"/>
        <w:spacing w:after="0" w:line="240" w:lineRule="auto"/>
        <w:contextualSpacing/>
        <w:rPr>
          <w:rFonts w:ascii="Times New Roman" w:hAnsi="Times New Roman"/>
          <w:sz w:val="24"/>
          <w:szCs w:val="24"/>
        </w:rPr>
      </w:pPr>
      <w:r w:rsidRPr="00A51DD1">
        <w:rPr>
          <w:rFonts w:ascii="Times New Roman" w:hAnsi="Times New Roman"/>
          <w:sz w:val="24"/>
          <w:szCs w:val="24"/>
        </w:rPr>
        <w:t>Jensen</w:t>
      </w:r>
      <w:r w:rsidR="00B04D99" w:rsidRPr="00A51DD1">
        <w:rPr>
          <w:rFonts w:ascii="Times New Roman" w:hAnsi="Times New Roman"/>
          <w:sz w:val="24"/>
          <w:szCs w:val="24"/>
        </w:rPr>
        <w:t>,</w:t>
      </w:r>
      <w:r w:rsidRPr="00A51DD1">
        <w:rPr>
          <w:rFonts w:ascii="Times New Roman" w:hAnsi="Times New Roman"/>
          <w:sz w:val="24"/>
          <w:szCs w:val="24"/>
        </w:rPr>
        <w:t xml:space="preserve"> M</w:t>
      </w:r>
      <w:r w:rsidR="00B04D99" w:rsidRPr="00A51DD1">
        <w:rPr>
          <w:rFonts w:ascii="Times New Roman" w:hAnsi="Times New Roman"/>
          <w:sz w:val="24"/>
          <w:szCs w:val="24"/>
        </w:rPr>
        <w:t>.</w:t>
      </w:r>
      <w:r w:rsidRPr="00A51DD1">
        <w:rPr>
          <w:rFonts w:ascii="Times New Roman" w:hAnsi="Times New Roman"/>
          <w:sz w:val="24"/>
          <w:szCs w:val="24"/>
        </w:rPr>
        <w:t xml:space="preserve"> </w:t>
      </w:r>
      <w:r w:rsidR="00B04D99" w:rsidRPr="00A51DD1">
        <w:rPr>
          <w:rFonts w:ascii="Times New Roman" w:hAnsi="Times New Roman"/>
          <w:sz w:val="24"/>
          <w:szCs w:val="24"/>
        </w:rPr>
        <w:t>(</w:t>
      </w:r>
      <w:r w:rsidRPr="00A51DD1">
        <w:rPr>
          <w:rFonts w:ascii="Times New Roman" w:hAnsi="Times New Roman"/>
          <w:sz w:val="24"/>
          <w:szCs w:val="24"/>
        </w:rPr>
        <w:t>1986</w:t>
      </w:r>
      <w:r w:rsidR="00B04D99" w:rsidRPr="00A51DD1">
        <w:rPr>
          <w:rFonts w:ascii="Times New Roman" w:hAnsi="Times New Roman"/>
          <w:sz w:val="24"/>
          <w:szCs w:val="24"/>
        </w:rPr>
        <w:t>)</w:t>
      </w:r>
      <w:r w:rsidRPr="00A51DD1">
        <w:rPr>
          <w:rFonts w:ascii="Times New Roman" w:hAnsi="Times New Roman"/>
          <w:sz w:val="24"/>
          <w:szCs w:val="24"/>
        </w:rPr>
        <w:t xml:space="preserve">. Agency costs of free cash flow, corporate finance, and takeover. </w:t>
      </w:r>
      <w:r w:rsidRPr="00A51DD1">
        <w:rPr>
          <w:rFonts w:ascii="Times New Roman" w:hAnsi="Times New Roman"/>
          <w:i/>
          <w:sz w:val="24"/>
          <w:szCs w:val="24"/>
        </w:rPr>
        <w:t>American Economic Review</w:t>
      </w:r>
      <w:r w:rsidRPr="00A51DD1">
        <w:rPr>
          <w:rFonts w:ascii="Times New Roman" w:hAnsi="Times New Roman"/>
          <w:sz w:val="24"/>
          <w:szCs w:val="24"/>
        </w:rPr>
        <w:t>, 76 (2), 323-329.</w:t>
      </w:r>
    </w:p>
    <w:p w14:paraId="4560AC4F" w14:textId="77777777" w:rsidR="00421AAB" w:rsidRPr="00A51DD1" w:rsidRDefault="00421AAB" w:rsidP="00A73182">
      <w:pPr>
        <w:adjustRightInd w:val="0"/>
        <w:spacing w:after="0" w:line="240" w:lineRule="auto"/>
        <w:contextualSpacing/>
        <w:rPr>
          <w:rFonts w:ascii="Times New Roman" w:hAnsi="Times New Roman"/>
          <w:sz w:val="24"/>
          <w:szCs w:val="24"/>
        </w:rPr>
      </w:pPr>
    </w:p>
    <w:p w14:paraId="4BC5FB2D" w14:textId="7B270633" w:rsidR="00652DD5" w:rsidRPr="00A51DD1" w:rsidRDefault="00652DD5" w:rsidP="00A73182">
      <w:pPr>
        <w:adjustRightInd w:val="0"/>
        <w:spacing w:after="0" w:line="240" w:lineRule="auto"/>
        <w:contextualSpacing/>
        <w:rPr>
          <w:rFonts w:ascii="Times New Roman" w:hAnsi="Times New Roman"/>
          <w:sz w:val="24"/>
          <w:szCs w:val="24"/>
        </w:rPr>
      </w:pPr>
      <w:r w:rsidRPr="00A51DD1">
        <w:rPr>
          <w:rFonts w:ascii="Times New Roman" w:hAnsi="Times New Roman"/>
          <w:sz w:val="24"/>
          <w:szCs w:val="24"/>
        </w:rPr>
        <w:t>Kasanen, E.</w:t>
      </w:r>
      <w:r w:rsidR="00970B59" w:rsidRPr="00A51DD1">
        <w:rPr>
          <w:rFonts w:ascii="Times New Roman" w:hAnsi="Times New Roman"/>
          <w:sz w:val="24"/>
          <w:szCs w:val="24"/>
        </w:rPr>
        <w:t>,</w:t>
      </w:r>
      <w:r w:rsidRPr="00A51DD1">
        <w:rPr>
          <w:rFonts w:ascii="Times New Roman" w:hAnsi="Times New Roman"/>
          <w:sz w:val="24"/>
          <w:szCs w:val="24"/>
        </w:rPr>
        <w:t xml:space="preserve"> Kinnunen, J. &amp; Niskanen, J. (1996). Dividend-based earnings management: Empirical evidence from Finland. </w:t>
      </w:r>
      <w:r w:rsidRPr="00A51DD1">
        <w:rPr>
          <w:rFonts w:ascii="Times New Roman" w:hAnsi="Times New Roman"/>
          <w:i/>
          <w:sz w:val="24"/>
          <w:szCs w:val="24"/>
        </w:rPr>
        <w:t>Journal of Accounting and Economics</w:t>
      </w:r>
      <w:r w:rsidRPr="00A51DD1">
        <w:rPr>
          <w:rFonts w:ascii="Times New Roman" w:hAnsi="Times New Roman"/>
          <w:sz w:val="24"/>
          <w:szCs w:val="24"/>
        </w:rPr>
        <w:t>, 22</w:t>
      </w:r>
      <w:r w:rsidR="00B53743" w:rsidRPr="00A51DD1">
        <w:rPr>
          <w:rFonts w:ascii="Times New Roman" w:hAnsi="Times New Roman"/>
          <w:sz w:val="24"/>
          <w:szCs w:val="24"/>
        </w:rPr>
        <w:t xml:space="preserve"> </w:t>
      </w:r>
      <w:r w:rsidRPr="00A51DD1">
        <w:rPr>
          <w:rFonts w:ascii="Times New Roman" w:hAnsi="Times New Roman"/>
          <w:sz w:val="24"/>
          <w:szCs w:val="24"/>
        </w:rPr>
        <w:t>(1), 283-312.</w:t>
      </w:r>
    </w:p>
    <w:p w14:paraId="64F61302" w14:textId="77777777" w:rsidR="004D37E3" w:rsidRPr="00A51DD1" w:rsidRDefault="004D37E3" w:rsidP="00A73182">
      <w:pPr>
        <w:adjustRightInd w:val="0"/>
        <w:spacing w:after="0" w:line="240" w:lineRule="auto"/>
        <w:contextualSpacing/>
        <w:rPr>
          <w:rFonts w:ascii="Times New Roman" w:hAnsi="Times New Roman"/>
          <w:sz w:val="24"/>
          <w:szCs w:val="24"/>
        </w:rPr>
      </w:pPr>
    </w:p>
    <w:p w14:paraId="6A625654" w14:textId="19C2C78F" w:rsidR="008B0380" w:rsidRPr="00A51DD1" w:rsidRDefault="008B0380" w:rsidP="00AC2173">
      <w:pPr>
        <w:rPr>
          <w:rFonts w:ascii="Times New Roman" w:hAnsi="Times New Roman"/>
          <w:sz w:val="24"/>
          <w:szCs w:val="24"/>
        </w:rPr>
      </w:pPr>
      <w:r w:rsidRPr="00A51DD1">
        <w:rPr>
          <w:rFonts w:ascii="Times New Roman" w:hAnsi="Times New Roman"/>
          <w:sz w:val="24"/>
          <w:szCs w:val="24"/>
        </w:rPr>
        <w:t>Kim, I</w:t>
      </w:r>
      <w:r w:rsidR="00505A61" w:rsidRPr="00A51DD1">
        <w:rPr>
          <w:rFonts w:ascii="Times New Roman" w:hAnsi="Times New Roman"/>
          <w:sz w:val="24"/>
          <w:szCs w:val="24"/>
        </w:rPr>
        <w:t xml:space="preserve">., </w:t>
      </w:r>
      <w:r w:rsidRPr="00A51DD1">
        <w:rPr>
          <w:rFonts w:ascii="Times New Roman" w:hAnsi="Times New Roman"/>
          <w:sz w:val="24"/>
          <w:szCs w:val="24"/>
        </w:rPr>
        <w:t>Miller, S</w:t>
      </w:r>
      <w:r w:rsidR="00505A61" w:rsidRPr="00A51DD1">
        <w:rPr>
          <w:rFonts w:ascii="Times New Roman" w:hAnsi="Times New Roman"/>
          <w:sz w:val="24"/>
          <w:szCs w:val="24"/>
        </w:rPr>
        <w:t xml:space="preserve">. </w:t>
      </w:r>
      <w:r w:rsidRPr="00A51DD1">
        <w:rPr>
          <w:rFonts w:ascii="Times New Roman" w:hAnsi="Times New Roman"/>
          <w:sz w:val="24"/>
          <w:szCs w:val="24"/>
        </w:rPr>
        <w:t>Wan, H</w:t>
      </w:r>
      <w:r w:rsidR="00505A61" w:rsidRPr="00A51DD1">
        <w:rPr>
          <w:rFonts w:ascii="Times New Roman" w:hAnsi="Times New Roman"/>
          <w:sz w:val="24"/>
          <w:szCs w:val="24"/>
        </w:rPr>
        <w:t xml:space="preserve">. &amp; </w:t>
      </w:r>
      <w:r w:rsidRPr="00A51DD1">
        <w:rPr>
          <w:rFonts w:ascii="Times New Roman" w:hAnsi="Times New Roman"/>
          <w:sz w:val="24"/>
          <w:szCs w:val="24"/>
        </w:rPr>
        <w:t xml:space="preserve">Wang, B. </w:t>
      </w:r>
      <w:r w:rsidR="00F560FF" w:rsidRPr="00A51DD1">
        <w:rPr>
          <w:rFonts w:ascii="Times New Roman" w:hAnsi="Times New Roman"/>
          <w:sz w:val="24"/>
          <w:szCs w:val="24"/>
        </w:rPr>
        <w:t xml:space="preserve">(2016). </w:t>
      </w:r>
      <w:r w:rsidR="00AC2173" w:rsidRPr="00A51DD1">
        <w:rPr>
          <w:rFonts w:ascii="Times New Roman" w:hAnsi="Times New Roman"/>
          <w:sz w:val="24"/>
          <w:szCs w:val="24"/>
        </w:rPr>
        <w:t xml:space="preserve">Drivers behind the monitoring effectiveness of global institutional investors: Evidence from earnings management. </w:t>
      </w:r>
      <w:r w:rsidRPr="00A51DD1">
        <w:rPr>
          <w:rFonts w:ascii="Times New Roman" w:hAnsi="Times New Roman"/>
          <w:i/>
          <w:sz w:val="24"/>
          <w:szCs w:val="24"/>
        </w:rPr>
        <w:t>Journal of Corporate Finance</w:t>
      </w:r>
      <w:r w:rsidR="00B53743" w:rsidRPr="00A51DD1">
        <w:rPr>
          <w:rFonts w:ascii="Times New Roman" w:hAnsi="Times New Roman"/>
          <w:sz w:val="24"/>
          <w:szCs w:val="24"/>
        </w:rPr>
        <w:t xml:space="preserve">, </w:t>
      </w:r>
      <w:r w:rsidRPr="00A51DD1">
        <w:rPr>
          <w:rFonts w:ascii="Times New Roman" w:hAnsi="Times New Roman"/>
          <w:sz w:val="24"/>
          <w:szCs w:val="24"/>
        </w:rPr>
        <w:t>40</w:t>
      </w:r>
      <w:r w:rsidR="00B53743" w:rsidRPr="00A51DD1">
        <w:rPr>
          <w:rFonts w:ascii="Times New Roman" w:hAnsi="Times New Roman"/>
          <w:sz w:val="24"/>
          <w:szCs w:val="24"/>
        </w:rPr>
        <w:t>,</w:t>
      </w:r>
      <w:r w:rsidRPr="00A51DD1">
        <w:rPr>
          <w:rFonts w:ascii="Times New Roman" w:hAnsi="Times New Roman"/>
          <w:sz w:val="24"/>
          <w:szCs w:val="24"/>
        </w:rPr>
        <w:t xml:space="preserve"> 24-46.</w:t>
      </w:r>
      <w:r w:rsidR="00AC2173" w:rsidRPr="00A51DD1">
        <w:rPr>
          <w:sz w:val="24"/>
          <w:szCs w:val="24"/>
        </w:rPr>
        <w:t xml:space="preserve"> </w:t>
      </w:r>
    </w:p>
    <w:p w14:paraId="1DD2EA43" w14:textId="606E79D6" w:rsidR="00D064EC" w:rsidRPr="00A51DD1" w:rsidRDefault="00AC2173" w:rsidP="008B0380">
      <w:pPr>
        <w:rPr>
          <w:rFonts w:ascii="Times New Roman" w:hAnsi="Times New Roman"/>
          <w:sz w:val="24"/>
          <w:szCs w:val="24"/>
        </w:rPr>
      </w:pPr>
      <w:r w:rsidRPr="00A51DD1">
        <w:rPr>
          <w:rFonts w:ascii="Times New Roman" w:hAnsi="Times New Roman"/>
          <w:sz w:val="24"/>
          <w:szCs w:val="24"/>
        </w:rPr>
        <w:t>Lee</w:t>
      </w:r>
      <w:r w:rsidR="00CF3C13" w:rsidRPr="00A51DD1">
        <w:rPr>
          <w:rFonts w:ascii="Times New Roman" w:hAnsi="Times New Roman"/>
          <w:sz w:val="24"/>
          <w:szCs w:val="24"/>
        </w:rPr>
        <w:t xml:space="preserve">, </w:t>
      </w:r>
      <w:r w:rsidR="00044FE9" w:rsidRPr="00A51DD1">
        <w:rPr>
          <w:rFonts w:ascii="Times New Roman" w:hAnsi="Times New Roman"/>
          <w:sz w:val="24"/>
          <w:szCs w:val="24"/>
        </w:rPr>
        <w:t>K.</w:t>
      </w:r>
      <w:r w:rsidR="00970B59" w:rsidRPr="00A51DD1">
        <w:rPr>
          <w:rFonts w:ascii="Times New Roman" w:hAnsi="Times New Roman"/>
          <w:sz w:val="24"/>
          <w:szCs w:val="24"/>
        </w:rPr>
        <w:t>,</w:t>
      </w:r>
      <w:r w:rsidR="00044FE9" w:rsidRPr="00A51DD1">
        <w:rPr>
          <w:rFonts w:ascii="Times New Roman" w:hAnsi="Times New Roman"/>
          <w:sz w:val="24"/>
          <w:szCs w:val="24"/>
        </w:rPr>
        <w:t xml:space="preserve"> </w:t>
      </w:r>
      <w:r w:rsidRPr="00A51DD1">
        <w:rPr>
          <w:rFonts w:ascii="Times New Roman" w:hAnsi="Times New Roman"/>
          <w:sz w:val="24"/>
          <w:szCs w:val="24"/>
        </w:rPr>
        <w:t>Lev</w:t>
      </w:r>
      <w:r w:rsidR="00CF3C13" w:rsidRPr="00A51DD1">
        <w:rPr>
          <w:rFonts w:ascii="Times New Roman" w:hAnsi="Times New Roman"/>
          <w:sz w:val="24"/>
          <w:szCs w:val="24"/>
        </w:rPr>
        <w:t xml:space="preserve">, </w:t>
      </w:r>
      <w:r w:rsidR="00044FE9" w:rsidRPr="00A51DD1">
        <w:rPr>
          <w:rFonts w:ascii="Times New Roman" w:hAnsi="Times New Roman"/>
          <w:sz w:val="24"/>
          <w:szCs w:val="24"/>
        </w:rPr>
        <w:t>B.</w:t>
      </w:r>
      <w:r w:rsidR="00970B59" w:rsidRPr="00A51DD1">
        <w:rPr>
          <w:rFonts w:ascii="Times New Roman" w:hAnsi="Times New Roman"/>
          <w:sz w:val="24"/>
          <w:szCs w:val="24"/>
        </w:rPr>
        <w:t>,</w:t>
      </w:r>
      <w:r w:rsidR="00044FE9" w:rsidRPr="00A51DD1">
        <w:rPr>
          <w:rFonts w:ascii="Times New Roman" w:hAnsi="Times New Roman"/>
          <w:sz w:val="24"/>
          <w:szCs w:val="24"/>
        </w:rPr>
        <w:t xml:space="preserve"> &amp; Yeo </w:t>
      </w:r>
      <w:r w:rsidRPr="00A51DD1">
        <w:rPr>
          <w:rFonts w:ascii="Times New Roman" w:hAnsi="Times New Roman"/>
          <w:sz w:val="24"/>
          <w:szCs w:val="24"/>
        </w:rPr>
        <w:t>G</w:t>
      </w:r>
      <w:r w:rsidR="00044FE9" w:rsidRPr="00A51DD1">
        <w:rPr>
          <w:rFonts w:ascii="Times New Roman" w:hAnsi="Times New Roman"/>
          <w:sz w:val="24"/>
          <w:szCs w:val="24"/>
        </w:rPr>
        <w:t xml:space="preserve">. </w:t>
      </w:r>
      <w:r w:rsidR="00CF3C13" w:rsidRPr="00A51DD1">
        <w:rPr>
          <w:rFonts w:ascii="Times New Roman" w:hAnsi="Times New Roman"/>
          <w:sz w:val="24"/>
          <w:szCs w:val="24"/>
        </w:rPr>
        <w:t>(</w:t>
      </w:r>
      <w:r w:rsidR="00F560FF" w:rsidRPr="00A51DD1">
        <w:rPr>
          <w:rFonts w:ascii="Times New Roman" w:hAnsi="Times New Roman"/>
          <w:sz w:val="24"/>
          <w:szCs w:val="24"/>
        </w:rPr>
        <w:t>2007</w:t>
      </w:r>
      <w:r w:rsidR="00044FE9" w:rsidRPr="00A51DD1">
        <w:rPr>
          <w:rFonts w:ascii="Times New Roman" w:hAnsi="Times New Roman"/>
          <w:sz w:val="24"/>
          <w:szCs w:val="24"/>
        </w:rPr>
        <w:t xml:space="preserve">): </w:t>
      </w:r>
      <w:r w:rsidRPr="00A51DD1">
        <w:rPr>
          <w:rFonts w:ascii="Times New Roman" w:hAnsi="Times New Roman"/>
          <w:sz w:val="24"/>
          <w:szCs w:val="24"/>
        </w:rPr>
        <w:t xml:space="preserve">Organizational </w:t>
      </w:r>
      <w:r w:rsidR="00044FE9" w:rsidRPr="00A51DD1">
        <w:rPr>
          <w:rFonts w:ascii="Times New Roman" w:hAnsi="Times New Roman"/>
          <w:sz w:val="24"/>
          <w:szCs w:val="24"/>
        </w:rPr>
        <w:t>s</w:t>
      </w:r>
      <w:r w:rsidRPr="00A51DD1">
        <w:rPr>
          <w:rFonts w:ascii="Times New Roman" w:hAnsi="Times New Roman"/>
          <w:sz w:val="24"/>
          <w:szCs w:val="24"/>
        </w:rPr>
        <w:t xml:space="preserve">tructure and </w:t>
      </w:r>
      <w:r w:rsidR="00044FE9" w:rsidRPr="00A51DD1">
        <w:rPr>
          <w:rFonts w:ascii="Times New Roman" w:hAnsi="Times New Roman"/>
          <w:sz w:val="24"/>
          <w:szCs w:val="24"/>
        </w:rPr>
        <w:t>e</w:t>
      </w:r>
      <w:r w:rsidRPr="00A51DD1">
        <w:rPr>
          <w:rFonts w:ascii="Times New Roman" w:hAnsi="Times New Roman"/>
          <w:sz w:val="24"/>
          <w:szCs w:val="24"/>
        </w:rPr>
        <w:t xml:space="preserve">arnings </w:t>
      </w:r>
      <w:r w:rsidR="00044FE9" w:rsidRPr="00A51DD1">
        <w:rPr>
          <w:rFonts w:ascii="Times New Roman" w:hAnsi="Times New Roman"/>
          <w:sz w:val="24"/>
          <w:szCs w:val="24"/>
        </w:rPr>
        <w:t>m</w:t>
      </w:r>
      <w:r w:rsidRPr="00A51DD1">
        <w:rPr>
          <w:rFonts w:ascii="Times New Roman" w:hAnsi="Times New Roman"/>
          <w:sz w:val="24"/>
          <w:szCs w:val="24"/>
        </w:rPr>
        <w:t xml:space="preserve">anagement. </w:t>
      </w:r>
      <w:r w:rsidRPr="00A51DD1">
        <w:rPr>
          <w:rFonts w:ascii="Times New Roman" w:hAnsi="Times New Roman"/>
          <w:i/>
          <w:sz w:val="24"/>
          <w:szCs w:val="24"/>
        </w:rPr>
        <w:t>Journal of Accounting, Auditing &amp; Finance</w:t>
      </w:r>
      <w:r w:rsidR="00B53743" w:rsidRPr="00A51DD1">
        <w:rPr>
          <w:rFonts w:ascii="Times New Roman" w:hAnsi="Times New Roman"/>
          <w:sz w:val="24"/>
          <w:szCs w:val="24"/>
        </w:rPr>
        <w:t>,</w:t>
      </w:r>
      <w:r w:rsidRPr="00A51DD1">
        <w:rPr>
          <w:rFonts w:ascii="Times New Roman" w:hAnsi="Times New Roman"/>
          <w:sz w:val="24"/>
          <w:szCs w:val="24"/>
        </w:rPr>
        <w:t xml:space="preserve"> 22</w:t>
      </w:r>
      <w:r w:rsidR="00044FE9" w:rsidRPr="00A51DD1">
        <w:rPr>
          <w:rFonts w:ascii="Times New Roman" w:hAnsi="Times New Roman"/>
          <w:sz w:val="24"/>
          <w:szCs w:val="24"/>
        </w:rPr>
        <w:t xml:space="preserve">, </w:t>
      </w:r>
      <w:r w:rsidRPr="00A51DD1">
        <w:rPr>
          <w:rFonts w:ascii="Times New Roman" w:hAnsi="Times New Roman"/>
          <w:sz w:val="24"/>
          <w:szCs w:val="24"/>
        </w:rPr>
        <w:t>293-331</w:t>
      </w:r>
      <w:r w:rsidR="00044FE9" w:rsidRPr="00A51DD1">
        <w:rPr>
          <w:rFonts w:ascii="Times New Roman" w:hAnsi="Times New Roman"/>
          <w:sz w:val="24"/>
          <w:szCs w:val="24"/>
        </w:rPr>
        <w:t xml:space="preserve">. </w:t>
      </w:r>
    </w:p>
    <w:p w14:paraId="0541BAFA" w14:textId="4685A01F" w:rsidR="00D05DE9" w:rsidRPr="00A51DD1" w:rsidRDefault="00D05DE9" w:rsidP="008B0380">
      <w:pPr>
        <w:rPr>
          <w:rFonts w:ascii="Times New Roman" w:hAnsi="Times New Roman"/>
          <w:sz w:val="24"/>
          <w:szCs w:val="24"/>
        </w:rPr>
      </w:pPr>
      <w:r w:rsidRPr="00A51DD1">
        <w:rPr>
          <w:rFonts w:ascii="Times New Roman" w:hAnsi="Times New Roman"/>
          <w:sz w:val="24"/>
          <w:szCs w:val="24"/>
        </w:rPr>
        <w:t>Li, D</w:t>
      </w:r>
      <w:r w:rsidR="00837C7A" w:rsidRPr="00A51DD1">
        <w:rPr>
          <w:rFonts w:ascii="Times New Roman" w:hAnsi="Times New Roman"/>
          <w:sz w:val="24"/>
          <w:szCs w:val="24"/>
        </w:rPr>
        <w:t>.,</w:t>
      </w:r>
      <w:r w:rsidRPr="00A51DD1">
        <w:rPr>
          <w:rFonts w:ascii="Times New Roman" w:hAnsi="Times New Roman"/>
          <w:sz w:val="24"/>
          <w:szCs w:val="24"/>
        </w:rPr>
        <w:t xml:space="preserve"> </w:t>
      </w:r>
      <w:r w:rsidR="00837C7A" w:rsidRPr="00A51DD1">
        <w:rPr>
          <w:rFonts w:ascii="Times New Roman" w:hAnsi="Times New Roman"/>
          <w:sz w:val="24"/>
          <w:szCs w:val="24"/>
        </w:rPr>
        <w:t xml:space="preserve">&amp; </w:t>
      </w:r>
      <w:r w:rsidR="007B3C92" w:rsidRPr="00A51DD1">
        <w:rPr>
          <w:rFonts w:ascii="Times New Roman" w:hAnsi="Times New Roman"/>
          <w:sz w:val="24"/>
          <w:szCs w:val="24"/>
        </w:rPr>
        <w:t xml:space="preserve">Xia, </w:t>
      </w:r>
      <w:r w:rsidRPr="00A51DD1">
        <w:rPr>
          <w:rFonts w:ascii="Times New Roman" w:hAnsi="Times New Roman"/>
          <w:sz w:val="24"/>
          <w:szCs w:val="24"/>
        </w:rPr>
        <w:t>Y</w:t>
      </w:r>
      <w:r w:rsidR="00837C7A" w:rsidRPr="00A51DD1">
        <w:rPr>
          <w:rFonts w:ascii="Times New Roman" w:hAnsi="Times New Roman"/>
          <w:sz w:val="24"/>
          <w:szCs w:val="24"/>
        </w:rPr>
        <w:t xml:space="preserve">. (2016). </w:t>
      </w:r>
      <w:r w:rsidRPr="00A51DD1">
        <w:rPr>
          <w:rFonts w:ascii="Times New Roman" w:hAnsi="Times New Roman"/>
          <w:sz w:val="24"/>
          <w:szCs w:val="24"/>
        </w:rPr>
        <w:t>Does Stock Market Liquidity Affect Real and Accrual-Based Earnings Management? (August 18, 2016). 29</w:t>
      </w:r>
      <w:r w:rsidR="001F0B4A" w:rsidRPr="00993726">
        <w:rPr>
          <w:rFonts w:ascii="Times New Roman" w:hAnsi="Times New Roman"/>
          <w:sz w:val="24"/>
          <w:szCs w:val="24"/>
          <w:vertAlign w:val="superscript"/>
        </w:rPr>
        <w:t>th</w:t>
      </w:r>
      <w:r w:rsidR="001F0B4A">
        <w:rPr>
          <w:rFonts w:ascii="Times New Roman" w:hAnsi="Times New Roman"/>
          <w:sz w:val="24"/>
          <w:szCs w:val="24"/>
        </w:rPr>
        <w:t xml:space="preserve"> </w:t>
      </w:r>
      <w:r w:rsidRPr="00A51DD1">
        <w:rPr>
          <w:rFonts w:ascii="Times New Roman" w:hAnsi="Times New Roman"/>
          <w:sz w:val="24"/>
          <w:szCs w:val="24"/>
        </w:rPr>
        <w:t>Australasian Finance and Banking Conference 2016. Available at SSRN: https://ssr</w:t>
      </w:r>
      <w:r w:rsidR="00B53743" w:rsidRPr="00A51DD1">
        <w:rPr>
          <w:rFonts w:ascii="Times New Roman" w:hAnsi="Times New Roman"/>
          <w:sz w:val="24"/>
          <w:szCs w:val="24"/>
        </w:rPr>
        <w:t xml:space="preserve"> </w:t>
      </w:r>
      <w:r w:rsidRPr="00A51DD1">
        <w:rPr>
          <w:rFonts w:ascii="Times New Roman" w:hAnsi="Times New Roman"/>
          <w:sz w:val="24"/>
          <w:szCs w:val="24"/>
        </w:rPr>
        <w:t>n.com/abstract=2825789</w:t>
      </w:r>
    </w:p>
    <w:p w14:paraId="14E0306D" w14:textId="1B6A3D5E" w:rsidR="00672311" w:rsidRDefault="00672311" w:rsidP="00C339C4">
      <w:pPr>
        <w:rPr>
          <w:rFonts w:ascii="Times New Roman" w:hAnsi="Times New Roman"/>
          <w:sz w:val="24"/>
          <w:szCs w:val="24"/>
        </w:rPr>
      </w:pPr>
      <w:r w:rsidRPr="00672311">
        <w:rPr>
          <w:rFonts w:ascii="Times New Roman" w:hAnsi="Times New Roman"/>
          <w:sz w:val="24"/>
          <w:szCs w:val="24"/>
        </w:rPr>
        <w:t xml:space="preserve">Mandell, Aaron, </w:t>
      </w:r>
      <w:r w:rsidR="003746E5">
        <w:rPr>
          <w:rFonts w:ascii="Times New Roman" w:hAnsi="Times New Roman"/>
          <w:sz w:val="24"/>
          <w:szCs w:val="24"/>
        </w:rPr>
        <w:t xml:space="preserve">2015. </w:t>
      </w:r>
      <w:r w:rsidRPr="00672311">
        <w:rPr>
          <w:rFonts w:ascii="Times New Roman" w:hAnsi="Times New Roman"/>
          <w:sz w:val="24"/>
          <w:szCs w:val="24"/>
        </w:rPr>
        <w:t xml:space="preserve">Equity </w:t>
      </w:r>
      <w:r w:rsidR="003746E5">
        <w:rPr>
          <w:rFonts w:ascii="Times New Roman" w:hAnsi="Times New Roman"/>
          <w:sz w:val="24"/>
          <w:szCs w:val="24"/>
        </w:rPr>
        <w:t>v</w:t>
      </w:r>
      <w:r w:rsidRPr="00672311">
        <w:rPr>
          <w:rFonts w:ascii="Times New Roman" w:hAnsi="Times New Roman"/>
          <w:sz w:val="24"/>
          <w:szCs w:val="24"/>
        </w:rPr>
        <w:t xml:space="preserve">aluation </w:t>
      </w:r>
      <w:r w:rsidR="003746E5">
        <w:rPr>
          <w:rFonts w:ascii="Times New Roman" w:hAnsi="Times New Roman"/>
          <w:sz w:val="24"/>
          <w:szCs w:val="24"/>
        </w:rPr>
        <w:t>c</w:t>
      </w:r>
      <w:r w:rsidRPr="00672311">
        <w:rPr>
          <w:rFonts w:ascii="Times New Roman" w:hAnsi="Times New Roman"/>
          <w:sz w:val="24"/>
          <w:szCs w:val="24"/>
        </w:rPr>
        <w:t xml:space="preserve">onsequences of the </w:t>
      </w:r>
      <w:r w:rsidR="003746E5" w:rsidRPr="00672311">
        <w:rPr>
          <w:rFonts w:ascii="Times New Roman" w:hAnsi="Times New Roman"/>
          <w:sz w:val="24"/>
          <w:szCs w:val="24"/>
        </w:rPr>
        <w:t>new wave</w:t>
      </w:r>
      <w:r w:rsidRPr="00672311">
        <w:rPr>
          <w:rFonts w:ascii="Times New Roman" w:hAnsi="Times New Roman"/>
          <w:sz w:val="24"/>
          <w:szCs w:val="24"/>
        </w:rPr>
        <w:t xml:space="preserve"> of Master Limited Partnership </w:t>
      </w:r>
      <w:r w:rsidR="003746E5">
        <w:rPr>
          <w:rFonts w:ascii="Times New Roman" w:hAnsi="Times New Roman"/>
          <w:sz w:val="24"/>
          <w:szCs w:val="24"/>
        </w:rPr>
        <w:t>f</w:t>
      </w:r>
      <w:r w:rsidRPr="00672311">
        <w:rPr>
          <w:rFonts w:ascii="Times New Roman" w:hAnsi="Times New Roman"/>
          <w:sz w:val="24"/>
          <w:szCs w:val="24"/>
        </w:rPr>
        <w:t>ormations</w:t>
      </w:r>
      <w:r w:rsidR="003746E5">
        <w:rPr>
          <w:rFonts w:ascii="Times New Roman" w:hAnsi="Times New Roman"/>
          <w:sz w:val="24"/>
          <w:szCs w:val="24"/>
        </w:rPr>
        <w:t>.</w:t>
      </w:r>
      <w:r w:rsidRPr="00672311">
        <w:rPr>
          <w:rFonts w:ascii="Times New Roman" w:hAnsi="Times New Roman"/>
          <w:sz w:val="24"/>
          <w:szCs w:val="24"/>
        </w:rPr>
        <w:t xml:space="preserve"> Available at SSRN: https://ssrn</w:t>
      </w:r>
      <w:r w:rsidR="003746E5">
        <w:rPr>
          <w:rFonts w:ascii="Times New Roman" w:hAnsi="Times New Roman"/>
          <w:sz w:val="24"/>
          <w:szCs w:val="24"/>
        </w:rPr>
        <w:t>.com/abstract=2658373.</w:t>
      </w:r>
    </w:p>
    <w:p w14:paraId="77C9A30C" w14:textId="77AE928C" w:rsidR="00415173" w:rsidRPr="00A51DD1" w:rsidRDefault="00415173" w:rsidP="00C339C4">
      <w:pPr>
        <w:rPr>
          <w:rFonts w:ascii="Times New Roman" w:hAnsi="Times New Roman"/>
          <w:sz w:val="24"/>
          <w:szCs w:val="24"/>
        </w:rPr>
      </w:pPr>
      <w:r w:rsidRPr="00A51DD1">
        <w:rPr>
          <w:rFonts w:ascii="Times New Roman" w:hAnsi="Times New Roman"/>
          <w:sz w:val="24"/>
          <w:szCs w:val="24"/>
        </w:rPr>
        <w:t xml:space="preserve">Mellado-Cid, C., Jory, S.R. &amp; Ngo, T.N. (2018): Real activities manipulation and firm valuation. </w:t>
      </w:r>
      <w:r w:rsidRPr="00A51DD1">
        <w:rPr>
          <w:rFonts w:ascii="Times New Roman" w:hAnsi="Times New Roman"/>
          <w:i/>
          <w:sz w:val="24"/>
          <w:szCs w:val="24"/>
        </w:rPr>
        <w:t>Review of Quantitative Finance and Accounting</w:t>
      </w:r>
      <w:r w:rsidRPr="00A51DD1">
        <w:rPr>
          <w:rFonts w:ascii="Times New Roman" w:hAnsi="Times New Roman"/>
          <w:sz w:val="24"/>
          <w:szCs w:val="24"/>
        </w:rPr>
        <w:t xml:space="preserve">, 50, 1201–1226. </w:t>
      </w:r>
    </w:p>
    <w:p w14:paraId="45AEC330" w14:textId="3391B496" w:rsidR="00C339C4" w:rsidRPr="00A51DD1" w:rsidRDefault="00C339C4" w:rsidP="00C339C4">
      <w:pPr>
        <w:rPr>
          <w:rFonts w:ascii="Times New Roman" w:hAnsi="Times New Roman"/>
          <w:sz w:val="24"/>
          <w:szCs w:val="24"/>
        </w:rPr>
      </w:pPr>
      <w:r w:rsidRPr="00A51DD1">
        <w:rPr>
          <w:rFonts w:ascii="Times New Roman" w:hAnsi="Times New Roman"/>
          <w:sz w:val="24"/>
          <w:szCs w:val="24"/>
        </w:rPr>
        <w:t xml:space="preserve">Moody’s Investors Service (2017). Corporate Governance Structure of Master Limited Partnerships Carries Credit Risk. Accessed online at: </w:t>
      </w:r>
      <w:r w:rsidR="00D55ACE" w:rsidRPr="00A51DD1">
        <w:rPr>
          <w:sz w:val="24"/>
          <w:szCs w:val="24"/>
        </w:rPr>
        <w:t xml:space="preserve"> </w:t>
      </w:r>
      <w:r w:rsidR="00D55ACE" w:rsidRPr="00A51DD1">
        <w:rPr>
          <w:rFonts w:ascii="Times New Roman" w:hAnsi="Times New Roman"/>
          <w:sz w:val="24"/>
          <w:szCs w:val="24"/>
        </w:rPr>
        <w:t>https://www.moodys.com/sites/products/aboutmoodysratingsattachments/2006600000441511.pdf</w:t>
      </w:r>
    </w:p>
    <w:p w14:paraId="3B952F66" w14:textId="0944EC20" w:rsidR="00DF53E2" w:rsidRPr="00A51DD1" w:rsidRDefault="00DF53E2" w:rsidP="00C339C4">
      <w:pPr>
        <w:rPr>
          <w:rFonts w:ascii="Times New Roman" w:hAnsi="Times New Roman"/>
          <w:sz w:val="24"/>
          <w:szCs w:val="24"/>
        </w:rPr>
      </w:pPr>
      <w:r w:rsidRPr="00A51DD1">
        <w:rPr>
          <w:rFonts w:ascii="Times New Roman" w:hAnsi="Times New Roman"/>
          <w:sz w:val="24"/>
          <w:szCs w:val="24"/>
        </w:rPr>
        <w:t>Prencipe, A</w:t>
      </w:r>
      <w:r w:rsidR="00B04D99" w:rsidRPr="00A51DD1">
        <w:rPr>
          <w:rFonts w:ascii="Times New Roman" w:hAnsi="Times New Roman"/>
          <w:sz w:val="24"/>
          <w:szCs w:val="24"/>
        </w:rPr>
        <w:t>.</w:t>
      </w:r>
      <w:r w:rsidR="00970B59" w:rsidRPr="00A51DD1">
        <w:rPr>
          <w:rFonts w:ascii="Times New Roman" w:hAnsi="Times New Roman"/>
          <w:sz w:val="24"/>
          <w:szCs w:val="24"/>
        </w:rPr>
        <w:t>,</w:t>
      </w:r>
      <w:r w:rsidR="008E1806" w:rsidRPr="00A51DD1">
        <w:rPr>
          <w:rFonts w:ascii="Times New Roman" w:hAnsi="Times New Roman"/>
          <w:sz w:val="24"/>
          <w:szCs w:val="24"/>
        </w:rPr>
        <w:t xml:space="preserve"> &amp;</w:t>
      </w:r>
      <w:r w:rsidRPr="00A51DD1">
        <w:rPr>
          <w:rFonts w:ascii="Times New Roman" w:hAnsi="Times New Roman"/>
          <w:sz w:val="24"/>
          <w:szCs w:val="24"/>
        </w:rPr>
        <w:t xml:space="preserve"> Bar-Yosef, S</w:t>
      </w:r>
      <w:r w:rsidR="00B04D99" w:rsidRPr="00A51DD1">
        <w:rPr>
          <w:rFonts w:ascii="Times New Roman" w:hAnsi="Times New Roman"/>
          <w:sz w:val="24"/>
          <w:szCs w:val="24"/>
        </w:rPr>
        <w:t xml:space="preserve">. </w:t>
      </w:r>
      <w:r w:rsidR="00F560FF" w:rsidRPr="00A51DD1">
        <w:rPr>
          <w:rFonts w:ascii="Times New Roman" w:hAnsi="Times New Roman"/>
          <w:sz w:val="24"/>
          <w:szCs w:val="24"/>
        </w:rPr>
        <w:t xml:space="preserve">(2011). Corporate Governance and Earnings Management in Family-Controlled Companies. </w:t>
      </w:r>
      <w:r w:rsidRPr="00A51DD1">
        <w:rPr>
          <w:rFonts w:ascii="Times New Roman" w:hAnsi="Times New Roman"/>
          <w:i/>
          <w:sz w:val="24"/>
          <w:szCs w:val="24"/>
        </w:rPr>
        <w:t>Journal of Accounting, Auditing &amp; Finance</w:t>
      </w:r>
      <w:r w:rsidR="00B53743" w:rsidRPr="00A51DD1">
        <w:rPr>
          <w:rFonts w:ascii="Times New Roman" w:hAnsi="Times New Roman"/>
          <w:sz w:val="24"/>
          <w:szCs w:val="24"/>
        </w:rPr>
        <w:t>,</w:t>
      </w:r>
      <w:r w:rsidRPr="00A51DD1">
        <w:rPr>
          <w:rFonts w:ascii="Times New Roman" w:hAnsi="Times New Roman"/>
          <w:sz w:val="24"/>
          <w:szCs w:val="24"/>
        </w:rPr>
        <w:t xml:space="preserve"> </w:t>
      </w:r>
      <w:r w:rsidR="00F560FF" w:rsidRPr="00A51DD1">
        <w:rPr>
          <w:rFonts w:ascii="Times New Roman" w:hAnsi="Times New Roman"/>
          <w:sz w:val="24"/>
          <w:szCs w:val="24"/>
        </w:rPr>
        <w:t xml:space="preserve">26, </w:t>
      </w:r>
      <w:r w:rsidRPr="00A51DD1">
        <w:rPr>
          <w:rFonts w:ascii="Times New Roman" w:hAnsi="Times New Roman"/>
          <w:sz w:val="24"/>
          <w:szCs w:val="24"/>
        </w:rPr>
        <w:t>199-227.</w:t>
      </w:r>
    </w:p>
    <w:p w14:paraId="5C82F562" w14:textId="50352A48" w:rsidR="00C339C4" w:rsidRPr="00A51DD1" w:rsidRDefault="00C339C4" w:rsidP="00C339C4">
      <w:pPr>
        <w:rPr>
          <w:rFonts w:ascii="Times New Roman" w:hAnsi="Times New Roman"/>
          <w:sz w:val="24"/>
          <w:szCs w:val="24"/>
        </w:rPr>
      </w:pPr>
      <w:r w:rsidRPr="00A51DD1">
        <w:rPr>
          <w:rFonts w:ascii="Times New Roman" w:hAnsi="Times New Roman"/>
          <w:sz w:val="24"/>
          <w:szCs w:val="24"/>
        </w:rPr>
        <w:t xml:space="preserve">Roychowdhury, S. </w:t>
      </w:r>
      <w:r w:rsidR="00837C7A" w:rsidRPr="00A51DD1">
        <w:rPr>
          <w:rFonts w:ascii="Times New Roman" w:hAnsi="Times New Roman"/>
          <w:sz w:val="24"/>
          <w:szCs w:val="24"/>
        </w:rPr>
        <w:t>(</w:t>
      </w:r>
      <w:r w:rsidRPr="00A51DD1">
        <w:rPr>
          <w:rFonts w:ascii="Times New Roman" w:hAnsi="Times New Roman"/>
          <w:sz w:val="24"/>
          <w:szCs w:val="24"/>
        </w:rPr>
        <w:t>2006</w:t>
      </w:r>
      <w:r w:rsidR="00837C7A" w:rsidRPr="00A51DD1">
        <w:rPr>
          <w:rFonts w:ascii="Times New Roman" w:hAnsi="Times New Roman"/>
          <w:sz w:val="24"/>
          <w:szCs w:val="24"/>
        </w:rPr>
        <w:t>)</w:t>
      </w:r>
      <w:r w:rsidRPr="00A51DD1">
        <w:rPr>
          <w:rFonts w:ascii="Times New Roman" w:hAnsi="Times New Roman"/>
          <w:sz w:val="24"/>
          <w:szCs w:val="24"/>
        </w:rPr>
        <w:t xml:space="preserve">. Earnings management through real activities manipulation. </w:t>
      </w:r>
      <w:r w:rsidRPr="00A51DD1">
        <w:rPr>
          <w:rFonts w:ascii="Times New Roman" w:hAnsi="Times New Roman"/>
          <w:i/>
          <w:sz w:val="24"/>
          <w:szCs w:val="24"/>
        </w:rPr>
        <w:t>Journal of Accounting and Economics</w:t>
      </w:r>
      <w:r w:rsidR="00837C7A" w:rsidRPr="00A51DD1">
        <w:rPr>
          <w:rFonts w:ascii="Times New Roman" w:hAnsi="Times New Roman"/>
          <w:sz w:val="24"/>
          <w:szCs w:val="24"/>
        </w:rPr>
        <w:t>,</w:t>
      </w:r>
      <w:r w:rsidRPr="00A51DD1">
        <w:rPr>
          <w:rFonts w:ascii="Times New Roman" w:hAnsi="Times New Roman"/>
          <w:sz w:val="24"/>
          <w:szCs w:val="24"/>
        </w:rPr>
        <w:t xml:space="preserve"> 42, 335–370.</w:t>
      </w:r>
    </w:p>
    <w:p w14:paraId="270C8E7D" w14:textId="43485089" w:rsidR="00BC6EFF" w:rsidRPr="00A51DD1" w:rsidRDefault="00BC6EFF" w:rsidP="00C339C4">
      <w:pPr>
        <w:rPr>
          <w:rFonts w:ascii="Times New Roman" w:hAnsi="Times New Roman"/>
          <w:sz w:val="24"/>
          <w:szCs w:val="24"/>
        </w:rPr>
      </w:pPr>
      <w:r w:rsidRPr="00A51DD1">
        <w:rPr>
          <w:rFonts w:ascii="Times New Roman" w:hAnsi="Times New Roman"/>
          <w:sz w:val="24"/>
          <w:szCs w:val="24"/>
        </w:rPr>
        <w:t>Shrieves, R.</w:t>
      </w:r>
      <w:r w:rsidR="00837C7A" w:rsidRPr="00A51DD1">
        <w:rPr>
          <w:rFonts w:ascii="Times New Roman" w:hAnsi="Times New Roman"/>
          <w:sz w:val="24"/>
          <w:szCs w:val="24"/>
        </w:rPr>
        <w:t>,</w:t>
      </w:r>
      <w:r w:rsidRPr="00A51DD1">
        <w:rPr>
          <w:rFonts w:ascii="Times New Roman" w:hAnsi="Times New Roman"/>
          <w:sz w:val="24"/>
          <w:szCs w:val="24"/>
        </w:rPr>
        <w:t xml:space="preserve"> and Gao, P</w:t>
      </w:r>
      <w:r w:rsidR="00837C7A" w:rsidRPr="00A51DD1">
        <w:rPr>
          <w:rFonts w:ascii="Times New Roman" w:hAnsi="Times New Roman"/>
          <w:sz w:val="24"/>
          <w:szCs w:val="24"/>
        </w:rPr>
        <w:t xml:space="preserve">. (2002). </w:t>
      </w:r>
      <w:r w:rsidRPr="00A51DD1">
        <w:rPr>
          <w:rFonts w:ascii="Times New Roman" w:hAnsi="Times New Roman"/>
          <w:sz w:val="24"/>
          <w:szCs w:val="24"/>
        </w:rPr>
        <w:t>Earnings Management and Executive Compensation: A Case of Overdose of Option and Underdose of Salary? (July 29, 2002). EFA 2002 Berlin Meetings Presented Paper. Available at SSRN: https://ssrn.com/abstract=302843 or http://dx.doi.org/10.2139/ssrn.302843</w:t>
      </w:r>
    </w:p>
    <w:p w14:paraId="62E8418E" w14:textId="342331E3" w:rsidR="008E25EF" w:rsidRPr="00A51DD1" w:rsidRDefault="008E25EF" w:rsidP="008E25EF">
      <w:pPr>
        <w:rPr>
          <w:rFonts w:ascii="Times New Roman" w:hAnsi="Times New Roman"/>
          <w:sz w:val="24"/>
          <w:szCs w:val="24"/>
        </w:rPr>
      </w:pPr>
      <w:r w:rsidRPr="00A51DD1">
        <w:rPr>
          <w:rFonts w:ascii="Times New Roman" w:hAnsi="Times New Roman"/>
          <w:sz w:val="24"/>
          <w:szCs w:val="24"/>
        </w:rPr>
        <w:t>Small, K</w:t>
      </w:r>
      <w:r w:rsidR="00B04D99" w:rsidRPr="00A51DD1">
        <w:rPr>
          <w:rFonts w:ascii="Times New Roman" w:hAnsi="Times New Roman"/>
          <w:sz w:val="24"/>
          <w:szCs w:val="24"/>
        </w:rPr>
        <w:t>.</w:t>
      </w:r>
      <w:r w:rsidR="00970B59" w:rsidRPr="00A51DD1">
        <w:rPr>
          <w:rFonts w:ascii="Times New Roman" w:hAnsi="Times New Roman"/>
          <w:sz w:val="24"/>
          <w:szCs w:val="24"/>
        </w:rPr>
        <w:t>,</w:t>
      </w:r>
      <w:r w:rsidRPr="00A51DD1">
        <w:rPr>
          <w:rFonts w:ascii="Times New Roman" w:hAnsi="Times New Roman"/>
          <w:sz w:val="24"/>
          <w:szCs w:val="24"/>
        </w:rPr>
        <w:t xml:space="preserve"> Kwag, S</w:t>
      </w:r>
      <w:r w:rsidR="00B04D99" w:rsidRPr="00A51DD1">
        <w:rPr>
          <w:rFonts w:ascii="Times New Roman" w:hAnsi="Times New Roman"/>
          <w:sz w:val="24"/>
          <w:szCs w:val="24"/>
        </w:rPr>
        <w:t xml:space="preserve">. &amp; </w:t>
      </w:r>
      <w:r w:rsidRPr="00A51DD1">
        <w:rPr>
          <w:rFonts w:ascii="Times New Roman" w:hAnsi="Times New Roman"/>
          <w:sz w:val="24"/>
          <w:szCs w:val="24"/>
        </w:rPr>
        <w:t>Li,</w:t>
      </w:r>
      <w:r w:rsidRPr="00A51DD1">
        <w:rPr>
          <w:sz w:val="24"/>
          <w:szCs w:val="24"/>
        </w:rPr>
        <w:t xml:space="preserve"> </w:t>
      </w:r>
      <w:r w:rsidRPr="00A51DD1">
        <w:rPr>
          <w:rFonts w:ascii="Times New Roman" w:hAnsi="Times New Roman"/>
          <w:sz w:val="24"/>
          <w:szCs w:val="24"/>
        </w:rPr>
        <w:t>J</w:t>
      </w:r>
      <w:r w:rsidR="00B04D99" w:rsidRPr="00A51DD1">
        <w:rPr>
          <w:rFonts w:ascii="Times New Roman" w:hAnsi="Times New Roman"/>
          <w:sz w:val="24"/>
          <w:szCs w:val="24"/>
        </w:rPr>
        <w:t xml:space="preserve">. </w:t>
      </w:r>
      <w:r w:rsidRPr="00A51DD1">
        <w:rPr>
          <w:rFonts w:ascii="Times New Roman" w:hAnsi="Times New Roman"/>
          <w:sz w:val="24"/>
          <w:szCs w:val="24"/>
        </w:rPr>
        <w:t xml:space="preserve">(2015). Do shareholder rights influence managerial propensity to engage in earnings management?  </w:t>
      </w:r>
      <w:r w:rsidRPr="00A51DD1">
        <w:rPr>
          <w:rFonts w:ascii="Times New Roman" w:hAnsi="Times New Roman"/>
          <w:i/>
          <w:sz w:val="24"/>
          <w:szCs w:val="24"/>
        </w:rPr>
        <w:t>Journal of Economics &amp; Finance</w:t>
      </w:r>
      <w:r w:rsidR="00B53743" w:rsidRPr="00A51DD1">
        <w:rPr>
          <w:rFonts w:ascii="Times New Roman" w:hAnsi="Times New Roman"/>
          <w:sz w:val="24"/>
          <w:szCs w:val="24"/>
        </w:rPr>
        <w:t>,</w:t>
      </w:r>
      <w:r w:rsidRPr="00A51DD1">
        <w:rPr>
          <w:rFonts w:ascii="Times New Roman" w:hAnsi="Times New Roman"/>
          <w:sz w:val="24"/>
          <w:szCs w:val="24"/>
        </w:rPr>
        <w:t xml:space="preserve"> 39, 308-326.</w:t>
      </w:r>
    </w:p>
    <w:p w14:paraId="2F6549EC" w14:textId="0F5CA2A0" w:rsidR="0082470E" w:rsidRPr="00A51DD1" w:rsidRDefault="0082470E" w:rsidP="00993726">
      <w:pPr>
        <w:spacing w:after="0"/>
        <w:contextualSpacing/>
        <w:rPr>
          <w:rFonts w:ascii="Times New Roman" w:hAnsi="Times New Roman"/>
          <w:sz w:val="24"/>
          <w:szCs w:val="24"/>
        </w:rPr>
      </w:pPr>
      <w:r w:rsidRPr="00A51DD1">
        <w:rPr>
          <w:rFonts w:ascii="Times New Roman" w:hAnsi="Times New Roman"/>
          <w:sz w:val="24"/>
          <w:szCs w:val="24"/>
        </w:rPr>
        <w:t xml:space="preserve">Subramanyam, K. </w:t>
      </w:r>
      <w:r w:rsidR="00B04D99" w:rsidRPr="00A51DD1">
        <w:rPr>
          <w:rFonts w:ascii="Times New Roman" w:hAnsi="Times New Roman"/>
          <w:sz w:val="24"/>
          <w:szCs w:val="24"/>
        </w:rPr>
        <w:t>(</w:t>
      </w:r>
      <w:r w:rsidRPr="00A51DD1">
        <w:rPr>
          <w:rFonts w:ascii="Times New Roman" w:hAnsi="Times New Roman"/>
          <w:sz w:val="24"/>
          <w:szCs w:val="24"/>
        </w:rPr>
        <w:t>1996</w:t>
      </w:r>
      <w:r w:rsidR="00B04D99" w:rsidRPr="00A51DD1">
        <w:rPr>
          <w:rFonts w:ascii="Times New Roman" w:hAnsi="Times New Roman"/>
          <w:sz w:val="24"/>
          <w:szCs w:val="24"/>
        </w:rPr>
        <w:t>)</w:t>
      </w:r>
      <w:r w:rsidRPr="00A51DD1">
        <w:rPr>
          <w:rFonts w:ascii="Times New Roman" w:hAnsi="Times New Roman"/>
          <w:sz w:val="24"/>
          <w:szCs w:val="24"/>
        </w:rPr>
        <w:t xml:space="preserve">. The pricing of discretionary accruals. </w:t>
      </w:r>
      <w:r w:rsidRPr="00A51DD1">
        <w:rPr>
          <w:rFonts w:ascii="Times New Roman" w:hAnsi="Times New Roman"/>
          <w:i/>
          <w:sz w:val="24"/>
          <w:szCs w:val="24"/>
        </w:rPr>
        <w:t>Journal of Accounting</w:t>
      </w:r>
      <w:r w:rsidR="001F0B4A">
        <w:rPr>
          <w:rFonts w:ascii="Times New Roman" w:hAnsi="Times New Roman"/>
          <w:i/>
          <w:sz w:val="24"/>
          <w:szCs w:val="24"/>
        </w:rPr>
        <w:t xml:space="preserve"> </w:t>
      </w:r>
      <w:r w:rsidRPr="00A51DD1">
        <w:rPr>
          <w:rFonts w:ascii="Times New Roman" w:hAnsi="Times New Roman"/>
          <w:i/>
          <w:sz w:val="24"/>
          <w:szCs w:val="24"/>
        </w:rPr>
        <w:t>and Economics</w:t>
      </w:r>
      <w:r w:rsidR="00B53743" w:rsidRPr="00A51DD1">
        <w:rPr>
          <w:rFonts w:ascii="Times New Roman" w:hAnsi="Times New Roman"/>
          <w:sz w:val="24"/>
          <w:szCs w:val="24"/>
        </w:rPr>
        <w:t>,</w:t>
      </w:r>
      <w:r w:rsidRPr="00A51DD1">
        <w:rPr>
          <w:rFonts w:ascii="Times New Roman" w:hAnsi="Times New Roman"/>
          <w:sz w:val="24"/>
          <w:szCs w:val="24"/>
        </w:rPr>
        <w:t xml:space="preserve"> 22</w:t>
      </w:r>
      <w:r w:rsidR="009C4EF5" w:rsidRPr="00A51DD1">
        <w:rPr>
          <w:rFonts w:ascii="Times New Roman" w:hAnsi="Times New Roman"/>
          <w:sz w:val="24"/>
          <w:szCs w:val="24"/>
        </w:rPr>
        <w:t xml:space="preserve">, </w:t>
      </w:r>
      <w:r w:rsidRPr="00A51DD1">
        <w:rPr>
          <w:rFonts w:ascii="Times New Roman" w:hAnsi="Times New Roman"/>
          <w:sz w:val="24"/>
          <w:szCs w:val="24"/>
        </w:rPr>
        <w:t>249–</w:t>
      </w:r>
      <w:r w:rsidR="009C4EF5" w:rsidRPr="00A51DD1">
        <w:rPr>
          <w:rFonts w:ascii="Times New Roman" w:hAnsi="Times New Roman"/>
          <w:sz w:val="24"/>
          <w:szCs w:val="24"/>
        </w:rPr>
        <w:t>2</w:t>
      </w:r>
      <w:r w:rsidRPr="00A51DD1">
        <w:rPr>
          <w:rFonts w:ascii="Times New Roman" w:hAnsi="Times New Roman"/>
          <w:sz w:val="24"/>
          <w:szCs w:val="24"/>
        </w:rPr>
        <w:t>81.</w:t>
      </w:r>
    </w:p>
    <w:p w14:paraId="27C31BBE" w14:textId="5122640E" w:rsidR="00C339C4" w:rsidRPr="00A51DD1" w:rsidRDefault="00C339C4" w:rsidP="0082470E">
      <w:pPr>
        <w:rPr>
          <w:rFonts w:ascii="Times New Roman" w:hAnsi="Times New Roman"/>
          <w:sz w:val="24"/>
          <w:szCs w:val="24"/>
        </w:rPr>
      </w:pPr>
      <w:r w:rsidRPr="00A51DD1">
        <w:rPr>
          <w:rFonts w:ascii="Times New Roman" w:hAnsi="Times New Roman"/>
          <w:sz w:val="24"/>
          <w:szCs w:val="24"/>
        </w:rPr>
        <w:t>Sun, J.</w:t>
      </w:r>
      <w:r w:rsidR="00837C7A" w:rsidRPr="00A51DD1">
        <w:rPr>
          <w:rFonts w:ascii="Times New Roman" w:hAnsi="Times New Roman"/>
          <w:sz w:val="24"/>
          <w:szCs w:val="24"/>
        </w:rPr>
        <w:t>,</w:t>
      </w:r>
      <w:r w:rsidRPr="00A51DD1">
        <w:rPr>
          <w:rFonts w:ascii="Times New Roman" w:hAnsi="Times New Roman"/>
          <w:sz w:val="24"/>
          <w:szCs w:val="24"/>
        </w:rPr>
        <w:t xml:space="preserve"> </w:t>
      </w:r>
      <w:r w:rsidR="00837C7A" w:rsidRPr="00A51DD1">
        <w:rPr>
          <w:rFonts w:ascii="Times New Roman" w:hAnsi="Times New Roman"/>
          <w:sz w:val="24"/>
          <w:szCs w:val="24"/>
        </w:rPr>
        <w:t xml:space="preserve">&amp; </w:t>
      </w:r>
      <w:r w:rsidRPr="00A51DD1">
        <w:rPr>
          <w:rFonts w:ascii="Times New Roman" w:hAnsi="Times New Roman"/>
          <w:sz w:val="24"/>
          <w:szCs w:val="24"/>
        </w:rPr>
        <w:t xml:space="preserve">Liu, G. </w:t>
      </w:r>
      <w:r w:rsidR="00837C7A" w:rsidRPr="00A51DD1">
        <w:rPr>
          <w:rFonts w:ascii="Times New Roman" w:hAnsi="Times New Roman"/>
          <w:sz w:val="24"/>
          <w:szCs w:val="24"/>
        </w:rPr>
        <w:t>(</w:t>
      </w:r>
      <w:r w:rsidRPr="00A51DD1">
        <w:rPr>
          <w:rFonts w:ascii="Times New Roman" w:hAnsi="Times New Roman"/>
          <w:sz w:val="24"/>
          <w:szCs w:val="24"/>
        </w:rPr>
        <w:t>2016</w:t>
      </w:r>
      <w:r w:rsidR="00837C7A" w:rsidRPr="00A51DD1">
        <w:rPr>
          <w:rFonts w:ascii="Times New Roman" w:hAnsi="Times New Roman"/>
          <w:sz w:val="24"/>
          <w:szCs w:val="24"/>
        </w:rPr>
        <w:t>)</w:t>
      </w:r>
      <w:r w:rsidRPr="00A51DD1">
        <w:rPr>
          <w:rFonts w:ascii="Times New Roman" w:hAnsi="Times New Roman"/>
          <w:sz w:val="24"/>
          <w:szCs w:val="24"/>
        </w:rPr>
        <w:t xml:space="preserve">. Does analyst coverage constrain real earnings management? </w:t>
      </w:r>
      <w:r w:rsidRPr="00A51DD1">
        <w:rPr>
          <w:rFonts w:ascii="Times New Roman" w:hAnsi="Times New Roman"/>
          <w:i/>
          <w:sz w:val="24"/>
          <w:szCs w:val="24"/>
        </w:rPr>
        <w:t>The Quarterly Review of Economics and Finance</w:t>
      </w:r>
      <w:r w:rsidR="00837C7A" w:rsidRPr="00A51DD1">
        <w:rPr>
          <w:rFonts w:ascii="Times New Roman" w:hAnsi="Times New Roman"/>
          <w:i/>
          <w:sz w:val="24"/>
          <w:szCs w:val="24"/>
        </w:rPr>
        <w:t>,</w:t>
      </w:r>
      <w:r w:rsidRPr="00A51DD1">
        <w:rPr>
          <w:rFonts w:ascii="Times New Roman" w:hAnsi="Times New Roman"/>
          <w:sz w:val="24"/>
          <w:szCs w:val="24"/>
        </w:rPr>
        <w:t xml:space="preserve"> 59, 131-140. </w:t>
      </w:r>
    </w:p>
    <w:p w14:paraId="030C02B2" w14:textId="7543BD09" w:rsidR="00CB1B27" w:rsidRPr="00A51DD1" w:rsidRDefault="00CB1B27" w:rsidP="00C339C4">
      <w:pPr>
        <w:rPr>
          <w:rFonts w:ascii="Times New Roman" w:hAnsi="Times New Roman"/>
          <w:sz w:val="24"/>
          <w:szCs w:val="24"/>
        </w:rPr>
      </w:pPr>
      <w:r w:rsidRPr="00A51DD1">
        <w:rPr>
          <w:rFonts w:ascii="Times New Roman" w:hAnsi="Times New Roman"/>
          <w:sz w:val="24"/>
          <w:szCs w:val="24"/>
        </w:rPr>
        <w:t xml:space="preserve">Teoh, S., Welch, I., &amp; Wong, T. (1998). Earnings management and the underperformance of seasoned equity offerings. </w:t>
      </w:r>
      <w:r w:rsidRPr="00A51DD1">
        <w:rPr>
          <w:rFonts w:ascii="Times New Roman" w:hAnsi="Times New Roman"/>
          <w:i/>
          <w:sz w:val="24"/>
          <w:szCs w:val="24"/>
        </w:rPr>
        <w:t xml:space="preserve">Journal of Financial </w:t>
      </w:r>
      <w:r w:rsidR="00837C7A" w:rsidRPr="00A51DD1">
        <w:rPr>
          <w:rFonts w:ascii="Times New Roman" w:hAnsi="Times New Roman"/>
          <w:i/>
          <w:sz w:val="24"/>
          <w:szCs w:val="24"/>
        </w:rPr>
        <w:t>E</w:t>
      </w:r>
      <w:r w:rsidRPr="00A51DD1">
        <w:rPr>
          <w:rFonts w:ascii="Times New Roman" w:hAnsi="Times New Roman"/>
          <w:i/>
          <w:sz w:val="24"/>
          <w:szCs w:val="24"/>
        </w:rPr>
        <w:t>conomics,</w:t>
      </w:r>
      <w:r w:rsidRPr="00A51DD1">
        <w:rPr>
          <w:rFonts w:ascii="Times New Roman" w:hAnsi="Times New Roman"/>
          <w:sz w:val="24"/>
          <w:szCs w:val="24"/>
        </w:rPr>
        <w:t xml:space="preserve"> 50(1), 63-99.</w:t>
      </w:r>
    </w:p>
    <w:p w14:paraId="7ED022C1" w14:textId="32E4E12E" w:rsidR="00C339C4" w:rsidRPr="00A51DD1" w:rsidRDefault="00C339C4" w:rsidP="00FF5A46">
      <w:pPr>
        <w:rPr>
          <w:rFonts w:ascii="Times New Roman" w:hAnsi="Times New Roman"/>
          <w:sz w:val="24"/>
          <w:szCs w:val="24"/>
        </w:rPr>
      </w:pPr>
      <w:r w:rsidRPr="00A51DD1">
        <w:rPr>
          <w:rFonts w:ascii="Times New Roman" w:hAnsi="Times New Roman"/>
          <w:sz w:val="24"/>
          <w:szCs w:val="24"/>
        </w:rPr>
        <w:t xml:space="preserve">Yu, F. </w:t>
      </w:r>
      <w:r w:rsidR="00837C7A" w:rsidRPr="00A51DD1">
        <w:rPr>
          <w:rFonts w:ascii="Times New Roman" w:hAnsi="Times New Roman"/>
          <w:sz w:val="24"/>
          <w:szCs w:val="24"/>
        </w:rPr>
        <w:t>(</w:t>
      </w:r>
      <w:r w:rsidRPr="00A51DD1">
        <w:rPr>
          <w:rFonts w:ascii="Times New Roman" w:hAnsi="Times New Roman"/>
          <w:sz w:val="24"/>
          <w:szCs w:val="24"/>
        </w:rPr>
        <w:t>2008</w:t>
      </w:r>
      <w:r w:rsidR="00837C7A" w:rsidRPr="00A51DD1">
        <w:rPr>
          <w:rFonts w:ascii="Times New Roman" w:hAnsi="Times New Roman"/>
          <w:sz w:val="24"/>
          <w:szCs w:val="24"/>
        </w:rPr>
        <w:t>)</w:t>
      </w:r>
      <w:r w:rsidRPr="00A51DD1">
        <w:rPr>
          <w:rFonts w:ascii="Times New Roman" w:hAnsi="Times New Roman"/>
          <w:sz w:val="24"/>
          <w:szCs w:val="24"/>
        </w:rPr>
        <w:t xml:space="preserve">. Analyst coverage and earnings management. </w:t>
      </w:r>
      <w:r w:rsidRPr="00A51DD1">
        <w:rPr>
          <w:rFonts w:ascii="Times New Roman" w:hAnsi="Times New Roman"/>
          <w:i/>
          <w:sz w:val="24"/>
          <w:szCs w:val="24"/>
        </w:rPr>
        <w:t>Journal of Financial Economics</w:t>
      </w:r>
      <w:r w:rsidR="00837C7A" w:rsidRPr="00A51DD1">
        <w:rPr>
          <w:rFonts w:ascii="Times New Roman" w:hAnsi="Times New Roman"/>
          <w:sz w:val="24"/>
          <w:szCs w:val="24"/>
        </w:rPr>
        <w:t>,</w:t>
      </w:r>
      <w:r w:rsidR="00FF53BC" w:rsidRPr="00A51DD1">
        <w:rPr>
          <w:rFonts w:ascii="Times New Roman" w:hAnsi="Times New Roman"/>
          <w:sz w:val="24"/>
          <w:szCs w:val="24"/>
        </w:rPr>
        <w:t xml:space="preserve"> 88</w:t>
      </w:r>
      <w:r w:rsidRPr="00A51DD1">
        <w:rPr>
          <w:rFonts w:ascii="Times New Roman" w:hAnsi="Times New Roman"/>
          <w:sz w:val="24"/>
          <w:szCs w:val="24"/>
        </w:rPr>
        <w:t xml:space="preserve">, 245-271. </w:t>
      </w:r>
    </w:p>
    <w:p w14:paraId="4E2B2947" w14:textId="42B7FBE1" w:rsidR="002D69B5" w:rsidRPr="00A51DD1" w:rsidRDefault="00C339C4" w:rsidP="00C339C4">
      <w:pPr>
        <w:rPr>
          <w:rFonts w:ascii="Times New Roman" w:hAnsi="Times New Roman"/>
          <w:sz w:val="24"/>
          <w:szCs w:val="24"/>
        </w:rPr>
      </w:pPr>
      <w:r w:rsidRPr="00A51DD1">
        <w:rPr>
          <w:rFonts w:ascii="Times New Roman" w:hAnsi="Times New Roman"/>
          <w:sz w:val="24"/>
          <w:szCs w:val="24"/>
        </w:rPr>
        <w:t>Zang</w:t>
      </w:r>
      <w:r w:rsidR="00837C7A" w:rsidRPr="00A51DD1">
        <w:rPr>
          <w:rFonts w:ascii="Times New Roman" w:hAnsi="Times New Roman"/>
          <w:sz w:val="24"/>
          <w:szCs w:val="24"/>
        </w:rPr>
        <w:t>,</w:t>
      </w:r>
      <w:r w:rsidRPr="00A51DD1">
        <w:rPr>
          <w:rFonts w:ascii="Times New Roman" w:hAnsi="Times New Roman"/>
          <w:sz w:val="24"/>
          <w:szCs w:val="24"/>
        </w:rPr>
        <w:t xml:space="preserve"> A. </w:t>
      </w:r>
      <w:r w:rsidR="00837C7A" w:rsidRPr="00A51DD1">
        <w:rPr>
          <w:rFonts w:ascii="Times New Roman" w:hAnsi="Times New Roman"/>
          <w:sz w:val="24"/>
          <w:szCs w:val="24"/>
        </w:rPr>
        <w:t>(</w:t>
      </w:r>
      <w:r w:rsidRPr="00A51DD1">
        <w:rPr>
          <w:rFonts w:ascii="Times New Roman" w:hAnsi="Times New Roman"/>
          <w:sz w:val="24"/>
          <w:szCs w:val="24"/>
        </w:rPr>
        <w:t>2012</w:t>
      </w:r>
      <w:r w:rsidR="00837C7A" w:rsidRPr="00A51DD1">
        <w:rPr>
          <w:rFonts w:ascii="Times New Roman" w:hAnsi="Times New Roman"/>
          <w:sz w:val="24"/>
          <w:szCs w:val="24"/>
        </w:rPr>
        <w:t>)</w:t>
      </w:r>
      <w:r w:rsidRPr="00A51DD1">
        <w:rPr>
          <w:rFonts w:ascii="Times New Roman" w:hAnsi="Times New Roman"/>
          <w:sz w:val="24"/>
          <w:szCs w:val="24"/>
        </w:rPr>
        <w:t xml:space="preserve">. Evidence on the trade-off between real activities manipulation and accrual-based earnings management. </w:t>
      </w:r>
      <w:r w:rsidRPr="00A51DD1">
        <w:rPr>
          <w:rFonts w:ascii="Times New Roman" w:hAnsi="Times New Roman"/>
          <w:i/>
          <w:sz w:val="24"/>
          <w:szCs w:val="24"/>
        </w:rPr>
        <w:t>Accounting Review</w:t>
      </w:r>
      <w:r w:rsidR="00837C7A" w:rsidRPr="00A51DD1">
        <w:rPr>
          <w:rFonts w:ascii="Times New Roman" w:hAnsi="Times New Roman"/>
          <w:sz w:val="24"/>
          <w:szCs w:val="24"/>
        </w:rPr>
        <w:t>,</w:t>
      </w:r>
      <w:r w:rsidRPr="00A51DD1">
        <w:rPr>
          <w:rFonts w:ascii="Times New Roman" w:hAnsi="Times New Roman"/>
          <w:sz w:val="24"/>
          <w:szCs w:val="24"/>
        </w:rPr>
        <w:t xml:space="preserve"> 87, 675-703.</w:t>
      </w:r>
    </w:p>
    <w:p w14:paraId="2074B99B" w14:textId="5735B0FB" w:rsidR="00B301FC" w:rsidRPr="00A51DD1" w:rsidRDefault="00B301FC" w:rsidP="00B301FC">
      <w:pPr>
        <w:rPr>
          <w:rFonts w:ascii="Times New Roman" w:hAnsi="Times New Roman"/>
          <w:sz w:val="24"/>
          <w:szCs w:val="24"/>
        </w:rPr>
        <w:sectPr w:rsidR="00B301FC" w:rsidRPr="00A51DD1" w:rsidSect="002D69B5">
          <w:footerReference w:type="default" r:id="rId8"/>
          <w:pgSz w:w="12240" w:h="15840"/>
          <w:pgMar w:top="1440" w:right="1440" w:bottom="1440" w:left="1440" w:header="720" w:footer="720" w:gutter="0"/>
          <w:cols w:space="720"/>
          <w:docGrid w:linePitch="360"/>
        </w:sectPr>
      </w:pPr>
      <w:r w:rsidRPr="00A51DD1">
        <w:rPr>
          <w:rFonts w:ascii="Times New Roman" w:hAnsi="Times New Roman"/>
          <w:sz w:val="24"/>
          <w:szCs w:val="24"/>
        </w:rPr>
        <w:t xml:space="preserve">Zhe, A., Li, D., and Yu, J. (2016). Earnings management, capital structure, and the role of institutional environments. </w:t>
      </w:r>
      <w:r w:rsidRPr="00A51DD1">
        <w:rPr>
          <w:rFonts w:ascii="Times New Roman" w:hAnsi="Times New Roman"/>
          <w:i/>
          <w:sz w:val="24"/>
          <w:szCs w:val="24"/>
        </w:rPr>
        <w:t>Journal of Banking &amp; Finance</w:t>
      </w:r>
      <w:r w:rsidRPr="00A51DD1">
        <w:rPr>
          <w:rFonts w:ascii="Times New Roman" w:hAnsi="Times New Roman"/>
          <w:sz w:val="24"/>
          <w:szCs w:val="24"/>
        </w:rPr>
        <w:t>, 68, 131-152.</w:t>
      </w:r>
    </w:p>
    <w:tbl>
      <w:tblPr>
        <w:tblW w:w="5000" w:type="pct"/>
        <w:tblLook w:val="04A0" w:firstRow="1" w:lastRow="0" w:firstColumn="1" w:lastColumn="0" w:noHBand="0" w:noVBand="1"/>
      </w:tblPr>
      <w:tblGrid>
        <w:gridCol w:w="4051"/>
        <w:gridCol w:w="718"/>
        <w:gridCol w:w="4321"/>
        <w:gridCol w:w="3870"/>
      </w:tblGrid>
      <w:tr w:rsidR="002D69B5" w:rsidRPr="00A51DD1" w14:paraId="63592099" w14:textId="77777777" w:rsidTr="00421AAB">
        <w:trPr>
          <w:trHeight w:val="20"/>
        </w:trPr>
        <w:tc>
          <w:tcPr>
            <w:tcW w:w="5000" w:type="pct"/>
            <w:gridSpan w:val="4"/>
            <w:tcBorders>
              <w:top w:val="single" w:sz="4" w:space="0" w:color="auto"/>
              <w:bottom w:val="single" w:sz="4" w:space="0" w:color="auto"/>
            </w:tcBorders>
            <w:shd w:val="clear" w:color="auto" w:fill="auto"/>
            <w:hideMark/>
          </w:tcPr>
          <w:p w14:paraId="62654D73" w14:textId="766651B5" w:rsidR="002D69B5" w:rsidRPr="00993726" w:rsidRDefault="002D69B5" w:rsidP="00421AAB">
            <w:pPr>
              <w:spacing w:after="0" w:line="240" w:lineRule="auto"/>
              <w:rPr>
                <w:rFonts w:ascii="Times New Roman" w:eastAsia="Times New Roman" w:hAnsi="Times New Roman"/>
                <w:b/>
              </w:rPr>
            </w:pPr>
            <w:r w:rsidRPr="00993726">
              <w:rPr>
                <w:rFonts w:ascii="Times New Roman" w:hAnsi="Times New Roman"/>
              </w:rPr>
              <w:br w:type="page"/>
            </w:r>
            <w:r w:rsidRPr="00993726">
              <w:rPr>
                <w:rFonts w:ascii="Times New Roman" w:hAnsi="Times New Roman"/>
                <w:b/>
              </w:rPr>
              <w:br w:type="page"/>
              <w:t xml:space="preserve">Appendix 1 – </w:t>
            </w:r>
            <w:r w:rsidR="00000F0E" w:rsidRPr="00993726">
              <w:rPr>
                <w:rFonts w:ascii="Times New Roman" w:hAnsi="Times New Roman"/>
                <w:b/>
              </w:rPr>
              <w:t xml:space="preserve">The Lit of </w:t>
            </w:r>
            <w:r w:rsidRPr="00993726">
              <w:rPr>
                <w:rFonts w:ascii="Times New Roman" w:eastAsia="Times New Roman" w:hAnsi="Times New Roman"/>
                <w:b/>
                <w:bCs/>
                <w:color w:val="000000"/>
              </w:rPr>
              <w:t>Master-Limited Partners in the Sample</w:t>
            </w:r>
          </w:p>
        </w:tc>
      </w:tr>
      <w:tr w:rsidR="002D69B5" w:rsidRPr="00A51DD1" w14:paraId="19168896" w14:textId="77777777" w:rsidTr="00421AAB">
        <w:trPr>
          <w:trHeight w:val="20"/>
        </w:trPr>
        <w:tc>
          <w:tcPr>
            <w:tcW w:w="1563" w:type="pct"/>
            <w:tcBorders>
              <w:top w:val="nil"/>
              <w:left w:val="nil"/>
              <w:bottom w:val="nil"/>
              <w:right w:val="nil"/>
            </w:tcBorders>
            <w:shd w:val="clear" w:color="auto" w:fill="auto"/>
            <w:noWrap/>
            <w:vAlign w:val="bottom"/>
            <w:hideMark/>
          </w:tcPr>
          <w:p w14:paraId="6D447608"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Access Midstream Partners LP</w:t>
            </w:r>
          </w:p>
        </w:tc>
        <w:tc>
          <w:tcPr>
            <w:tcW w:w="277" w:type="pct"/>
            <w:tcBorders>
              <w:top w:val="nil"/>
              <w:left w:val="nil"/>
              <w:bottom w:val="nil"/>
              <w:right w:val="nil"/>
            </w:tcBorders>
            <w:shd w:val="clear" w:color="auto" w:fill="auto"/>
            <w:noWrap/>
            <w:vAlign w:val="bottom"/>
            <w:hideMark/>
          </w:tcPr>
          <w:p w14:paraId="7670F2AF" w14:textId="77777777" w:rsidR="002D69B5" w:rsidRPr="00993726" w:rsidRDefault="002D69B5" w:rsidP="00421AAB">
            <w:pPr>
              <w:spacing w:after="0" w:line="240" w:lineRule="auto"/>
              <w:rPr>
                <w:rFonts w:ascii="Times New Roman" w:eastAsia="Times New Roman" w:hAnsi="Times New Roman"/>
                <w:color w:val="000000"/>
              </w:rPr>
            </w:pPr>
          </w:p>
        </w:tc>
        <w:tc>
          <w:tcPr>
            <w:tcW w:w="1667" w:type="pct"/>
            <w:tcBorders>
              <w:top w:val="nil"/>
              <w:left w:val="nil"/>
              <w:bottom w:val="nil"/>
              <w:right w:val="nil"/>
            </w:tcBorders>
            <w:shd w:val="clear" w:color="auto" w:fill="auto"/>
            <w:noWrap/>
            <w:vAlign w:val="bottom"/>
            <w:hideMark/>
          </w:tcPr>
          <w:p w14:paraId="661B256C"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Dynagas LNG Partners LP</w:t>
            </w:r>
          </w:p>
        </w:tc>
        <w:tc>
          <w:tcPr>
            <w:tcW w:w="1493" w:type="pct"/>
            <w:tcBorders>
              <w:top w:val="nil"/>
              <w:left w:val="nil"/>
              <w:bottom w:val="nil"/>
              <w:right w:val="nil"/>
            </w:tcBorders>
            <w:shd w:val="clear" w:color="auto" w:fill="auto"/>
            <w:noWrap/>
            <w:vAlign w:val="bottom"/>
            <w:hideMark/>
          </w:tcPr>
          <w:p w14:paraId="3A779832"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ONEOK Partners, L.P.</w:t>
            </w:r>
          </w:p>
        </w:tc>
      </w:tr>
      <w:tr w:rsidR="002D69B5" w:rsidRPr="00A51DD1" w14:paraId="4B222DA8" w14:textId="77777777" w:rsidTr="00421AAB">
        <w:trPr>
          <w:trHeight w:val="20"/>
        </w:trPr>
        <w:tc>
          <w:tcPr>
            <w:tcW w:w="1563" w:type="pct"/>
            <w:tcBorders>
              <w:top w:val="nil"/>
              <w:left w:val="nil"/>
              <w:bottom w:val="nil"/>
              <w:right w:val="nil"/>
            </w:tcBorders>
            <w:shd w:val="clear" w:color="auto" w:fill="auto"/>
            <w:noWrap/>
            <w:vAlign w:val="bottom"/>
            <w:hideMark/>
          </w:tcPr>
          <w:p w14:paraId="1082B4D7"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Alliance Holdings GP, L.P,</w:t>
            </w:r>
          </w:p>
        </w:tc>
        <w:tc>
          <w:tcPr>
            <w:tcW w:w="277" w:type="pct"/>
            <w:tcBorders>
              <w:top w:val="nil"/>
              <w:left w:val="nil"/>
              <w:bottom w:val="nil"/>
              <w:right w:val="nil"/>
            </w:tcBorders>
            <w:shd w:val="clear" w:color="auto" w:fill="auto"/>
            <w:noWrap/>
            <w:vAlign w:val="bottom"/>
            <w:hideMark/>
          </w:tcPr>
          <w:p w14:paraId="0160677D" w14:textId="77777777" w:rsidR="002D69B5" w:rsidRPr="00993726" w:rsidRDefault="002D69B5" w:rsidP="00421AAB">
            <w:pPr>
              <w:spacing w:after="0" w:line="240" w:lineRule="auto"/>
              <w:rPr>
                <w:rFonts w:ascii="Times New Roman" w:eastAsia="Times New Roman" w:hAnsi="Times New Roman"/>
                <w:color w:val="000000"/>
              </w:rPr>
            </w:pPr>
          </w:p>
        </w:tc>
        <w:tc>
          <w:tcPr>
            <w:tcW w:w="1667" w:type="pct"/>
            <w:tcBorders>
              <w:top w:val="nil"/>
              <w:left w:val="nil"/>
              <w:bottom w:val="nil"/>
              <w:right w:val="nil"/>
            </w:tcBorders>
            <w:shd w:val="clear" w:color="auto" w:fill="auto"/>
            <w:noWrap/>
            <w:vAlign w:val="bottom"/>
            <w:hideMark/>
          </w:tcPr>
          <w:p w14:paraId="6A6ECF8B"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EQT Midstream Partners, LP</w:t>
            </w:r>
          </w:p>
        </w:tc>
        <w:tc>
          <w:tcPr>
            <w:tcW w:w="1493" w:type="pct"/>
            <w:tcBorders>
              <w:top w:val="nil"/>
              <w:left w:val="nil"/>
              <w:bottom w:val="nil"/>
              <w:right w:val="nil"/>
            </w:tcBorders>
            <w:shd w:val="clear" w:color="auto" w:fill="auto"/>
            <w:noWrap/>
            <w:vAlign w:val="bottom"/>
            <w:hideMark/>
          </w:tcPr>
          <w:p w14:paraId="381CFCFC"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PBF Logistics LP</w:t>
            </w:r>
          </w:p>
        </w:tc>
      </w:tr>
      <w:tr w:rsidR="002D69B5" w:rsidRPr="00A51DD1" w14:paraId="41FCB341" w14:textId="77777777" w:rsidTr="00421AAB">
        <w:trPr>
          <w:trHeight w:val="20"/>
        </w:trPr>
        <w:tc>
          <w:tcPr>
            <w:tcW w:w="1563" w:type="pct"/>
            <w:tcBorders>
              <w:top w:val="nil"/>
              <w:left w:val="nil"/>
              <w:bottom w:val="nil"/>
              <w:right w:val="nil"/>
            </w:tcBorders>
            <w:shd w:val="clear" w:color="auto" w:fill="auto"/>
            <w:noWrap/>
            <w:vAlign w:val="bottom"/>
            <w:hideMark/>
          </w:tcPr>
          <w:p w14:paraId="793E6543"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Alliance Resource Partners, L.P.</w:t>
            </w:r>
          </w:p>
        </w:tc>
        <w:tc>
          <w:tcPr>
            <w:tcW w:w="277" w:type="pct"/>
            <w:tcBorders>
              <w:top w:val="nil"/>
              <w:left w:val="nil"/>
              <w:bottom w:val="nil"/>
              <w:right w:val="nil"/>
            </w:tcBorders>
            <w:shd w:val="clear" w:color="auto" w:fill="auto"/>
            <w:noWrap/>
            <w:vAlign w:val="bottom"/>
            <w:hideMark/>
          </w:tcPr>
          <w:p w14:paraId="69BFB65F" w14:textId="77777777" w:rsidR="002D69B5" w:rsidRPr="00993726" w:rsidRDefault="002D69B5" w:rsidP="00421AAB">
            <w:pPr>
              <w:spacing w:after="0" w:line="240" w:lineRule="auto"/>
              <w:rPr>
                <w:rFonts w:ascii="Times New Roman" w:eastAsia="Times New Roman" w:hAnsi="Times New Roman"/>
                <w:color w:val="000000"/>
              </w:rPr>
            </w:pPr>
          </w:p>
        </w:tc>
        <w:tc>
          <w:tcPr>
            <w:tcW w:w="1667" w:type="pct"/>
            <w:tcBorders>
              <w:top w:val="nil"/>
              <w:left w:val="nil"/>
              <w:bottom w:val="nil"/>
              <w:right w:val="nil"/>
            </w:tcBorders>
            <w:shd w:val="clear" w:color="auto" w:fill="auto"/>
            <w:noWrap/>
            <w:vAlign w:val="bottom"/>
            <w:hideMark/>
          </w:tcPr>
          <w:p w14:paraId="7AC43E3D"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EV Energy Partners, L.P.</w:t>
            </w:r>
          </w:p>
        </w:tc>
        <w:tc>
          <w:tcPr>
            <w:tcW w:w="1493" w:type="pct"/>
            <w:tcBorders>
              <w:top w:val="nil"/>
              <w:left w:val="nil"/>
              <w:bottom w:val="nil"/>
              <w:right w:val="nil"/>
            </w:tcBorders>
            <w:shd w:val="clear" w:color="auto" w:fill="auto"/>
            <w:noWrap/>
            <w:vAlign w:val="bottom"/>
            <w:hideMark/>
          </w:tcPr>
          <w:p w14:paraId="5594A14C"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PennTex Midstream Partners, LP</w:t>
            </w:r>
          </w:p>
        </w:tc>
      </w:tr>
      <w:tr w:rsidR="002D69B5" w:rsidRPr="00A51DD1" w14:paraId="5411EE73" w14:textId="77777777" w:rsidTr="00421AAB">
        <w:trPr>
          <w:trHeight w:val="20"/>
        </w:trPr>
        <w:tc>
          <w:tcPr>
            <w:tcW w:w="1563" w:type="pct"/>
            <w:tcBorders>
              <w:top w:val="nil"/>
              <w:left w:val="nil"/>
              <w:bottom w:val="nil"/>
              <w:right w:val="nil"/>
            </w:tcBorders>
            <w:shd w:val="clear" w:color="auto" w:fill="auto"/>
            <w:noWrap/>
            <w:vAlign w:val="bottom"/>
            <w:hideMark/>
          </w:tcPr>
          <w:p w14:paraId="1675ABDE"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Alon USA Partners, LP</w:t>
            </w:r>
          </w:p>
        </w:tc>
        <w:tc>
          <w:tcPr>
            <w:tcW w:w="277" w:type="pct"/>
            <w:tcBorders>
              <w:top w:val="nil"/>
              <w:left w:val="nil"/>
              <w:bottom w:val="nil"/>
              <w:right w:val="nil"/>
            </w:tcBorders>
            <w:shd w:val="clear" w:color="auto" w:fill="auto"/>
            <w:noWrap/>
            <w:vAlign w:val="bottom"/>
            <w:hideMark/>
          </w:tcPr>
          <w:p w14:paraId="3B4F22AA" w14:textId="77777777" w:rsidR="002D69B5" w:rsidRPr="00993726" w:rsidRDefault="002D69B5" w:rsidP="00421AAB">
            <w:pPr>
              <w:spacing w:after="0" w:line="240" w:lineRule="auto"/>
              <w:rPr>
                <w:rFonts w:ascii="Times New Roman" w:eastAsia="Times New Roman" w:hAnsi="Times New Roman"/>
                <w:color w:val="000000"/>
              </w:rPr>
            </w:pPr>
          </w:p>
        </w:tc>
        <w:tc>
          <w:tcPr>
            <w:tcW w:w="1667" w:type="pct"/>
            <w:tcBorders>
              <w:top w:val="nil"/>
              <w:left w:val="nil"/>
              <w:bottom w:val="nil"/>
              <w:right w:val="nil"/>
            </w:tcBorders>
            <w:shd w:val="clear" w:color="auto" w:fill="auto"/>
            <w:noWrap/>
            <w:vAlign w:val="bottom"/>
            <w:hideMark/>
          </w:tcPr>
          <w:p w14:paraId="65F1A461"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Emerge Energy Services LP</w:t>
            </w:r>
          </w:p>
        </w:tc>
        <w:tc>
          <w:tcPr>
            <w:tcW w:w="1493" w:type="pct"/>
            <w:tcBorders>
              <w:top w:val="nil"/>
              <w:left w:val="nil"/>
              <w:bottom w:val="nil"/>
              <w:right w:val="nil"/>
            </w:tcBorders>
            <w:shd w:val="clear" w:color="auto" w:fill="auto"/>
            <w:noWrap/>
            <w:vAlign w:val="bottom"/>
            <w:hideMark/>
          </w:tcPr>
          <w:p w14:paraId="023C082A"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Phillips 66 Partners LP</w:t>
            </w:r>
          </w:p>
        </w:tc>
      </w:tr>
      <w:tr w:rsidR="002D69B5" w:rsidRPr="00A51DD1" w14:paraId="7CD1BAA9" w14:textId="77777777" w:rsidTr="00421AAB">
        <w:trPr>
          <w:trHeight w:val="20"/>
        </w:trPr>
        <w:tc>
          <w:tcPr>
            <w:tcW w:w="1563" w:type="pct"/>
            <w:tcBorders>
              <w:top w:val="nil"/>
              <w:left w:val="nil"/>
              <w:bottom w:val="nil"/>
              <w:right w:val="nil"/>
            </w:tcBorders>
            <w:shd w:val="clear" w:color="auto" w:fill="auto"/>
            <w:noWrap/>
            <w:vAlign w:val="bottom"/>
            <w:hideMark/>
          </w:tcPr>
          <w:p w14:paraId="4EF59EA6"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AmeriGas Partners, L.P.</w:t>
            </w:r>
          </w:p>
        </w:tc>
        <w:tc>
          <w:tcPr>
            <w:tcW w:w="277" w:type="pct"/>
            <w:tcBorders>
              <w:top w:val="nil"/>
              <w:left w:val="nil"/>
              <w:bottom w:val="nil"/>
              <w:right w:val="nil"/>
            </w:tcBorders>
            <w:shd w:val="clear" w:color="auto" w:fill="auto"/>
            <w:noWrap/>
            <w:vAlign w:val="bottom"/>
            <w:hideMark/>
          </w:tcPr>
          <w:p w14:paraId="3FD4343A" w14:textId="77777777" w:rsidR="002D69B5" w:rsidRPr="00993726" w:rsidRDefault="002D69B5" w:rsidP="00421AAB">
            <w:pPr>
              <w:spacing w:after="0" w:line="240" w:lineRule="auto"/>
              <w:rPr>
                <w:rFonts w:ascii="Times New Roman" w:eastAsia="Times New Roman" w:hAnsi="Times New Roman"/>
                <w:color w:val="000000"/>
              </w:rPr>
            </w:pPr>
          </w:p>
        </w:tc>
        <w:tc>
          <w:tcPr>
            <w:tcW w:w="1667" w:type="pct"/>
            <w:tcBorders>
              <w:top w:val="nil"/>
              <w:left w:val="nil"/>
              <w:bottom w:val="nil"/>
              <w:right w:val="nil"/>
            </w:tcBorders>
            <w:shd w:val="clear" w:color="auto" w:fill="auto"/>
            <w:noWrap/>
            <w:vAlign w:val="bottom"/>
            <w:hideMark/>
          </w:tcPr>
          <w:p w14:paraId="4AE45A74"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EnLink Midstream Partners, LP</w:t>
            </w:r>
          </w:p>
        </w:tc>
        <w:tc>
          <w:tcPr>
            <w:tcW w:w="1493" w:type="pct"/>
            <w:tcBorders>
              <w:top w:val="nil"/>
              <w:left w:val="nil"/>
              <w:bottom w:val="nil"/>
              <w:right w:val="nil"/>
            </w:tcBorders>
            <w:shd w:val="clear" w:color="auto" w:fill="auto"/>
            <w:noWrap/>
            <w:vAlign w:val="bottom"/>
            <w:hideMark/>
          </w:tcPr>
          <w:p w14:paraId="356EF5A0"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Plains All American Pipeline,L.P.</w:t>
            </w:r>
          </w:p>
        </w:tc>
      </w:tr>
      <w:tr w:rsidR="002D69B5" w:rsidRPr="00A51DD1" w14:paraId="39FC15B7" w14:textId="77777777" w:rsidTr="00421AAB">
        <w:trPr>
          <w:trHeight w:val="20"/>
        </w:trPr>
        <w:tc>
          <w:tcPr>
            <w:tcW w:w="1563" w:type="pct"/>
            <w:tcBorders>
              <w:top w:val="nil"/>
              <w:left w:val="nil"/>
              <w:bottom w:val="nil"/>
              <w:right w:val="nil"/>
            </w:tcBorders>
            <w:shd w:val="clear" w:color="auto" w:fill="auto"/>
            <w:noWrap/>
            <w:vAlign w:val="bottom"/>
            <w:hideMark/>
          </w:tcPr>
          <w:p w14:paraId="14F2E6CC"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American Midstream Partners, LP</w:t>
            </w:r>
          </w:p>
        </w:tc>
        <w:tc>
          <w:tcPr>
            <w:tcW w:w="277" w:type="pct"/>
            <w:tcBorders>
              <w:top w:val="nil"/>
              <w:left w:val="nil"/>
              <w:bottom w:val="nil"/>
              <w:right w:val="nil"/>
            </w:tcBorders>
            <w:shd w:val="clear" w:color="auto" w:fill="auto"/>
            <w:noWrap/>
            <w:vAlign w:val="bottom"/>
            <w:hideMark/>
          </w:tcPr>
          <w:p w14:paraId="458CEE42" w14:textId="77777777" w:rsidR="002D69B5" w:rsidRPr="00993726" w:rsidRDefault="002D69B5" w:rsidP="00421AAB">
            <w:pPr>
              <w:spacing w:after="0" w:line="240" w:lineRule="auto"/>
              <w:rPr>
                <w:rFonts w:ascii="Times New Roman" w:eastAsia="Times New Roman" w:hAnsi="Times New Roman"/>
                <w:color w:val="000000"/>
              </w:rPr>
            </w:pPr>
          </w:p>
        </w:tc>
        <w:tc>
          <w:tcPr>
            <w:tcW w:w="1667" w:type="pct"/>
            <w:tcBorders>
              <w:top w:val="nil"/>
              <w:left w:val="nil"/>
              <w:bottom w:val="nil"/>
              <w:right w:val="nil"/>
            </w:tcBorders>
            <w:shd w:val="clear" w:color="auto" w:fill="auto"/>
            <w:noWrap/>
            <w:vAlign w:val="bottom"/>
            <w:hideMark/>
          </w:tcPr>
          <w:p w14:paraId="4A9D4520"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Enable Midstream Partners, L.P.</w:t>
            </w:r>
          </w:p>
        </w:tc>
        <w:tc>
          <w:tcPr>
            <w:tcW w:w="1493" w:type="pct"/>
            <w:tcBorders>
              <w:top w:val="nil"/>
              <w:left w:val="nil"/>
              <w:bottom w:val="nil"/>
              <w:right w:val="nil"/>
            </w:tcBorders>
            <w:shd w:val="clear" w:color="auto" w:fill="auto"/>
            <w:noWrap/>
            <w:vAlign w:val="bottom"/>
            <w:hideMark/>
          </w:tcPr>
          <w:p w14:paraId="0E71ACBA"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Rhino Resource Partners LP</w:t>
            </w:r>
          </w:p>
        </w:tc>
      </w:tr>
      <w:tr w:rsidR="002D69B5" w:rsidRPr="00A51DD1" w14:paraId="1877F5CB" w14:textId="77777777" w:rsidTr="00421AAB">
        <w:trPr>
          <w:trHeight w:val="20"/>
        </w:trPr>
        <w:tc>
          <w:tcPr>
            <w:tcW w:w="1563" w:type="pct"/>
            <w:tcBorders>
              <w:top w:val="nil"/>
              <w:left w:val="nil"/>
              <w:bottom w:val="nil"/>
              <w:right w:val="nil"/>
            </w:tcBorders>
            <w:shd w:val="clear" w:color="auto" w:fill="auto"/>
            <w:noWrap/>
            <w:vAlign w:val="bottom"/>
            <w:hideMark/>
          </w:tcPr>
          <w:p w14:paraId="16D9E586"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Andeavor Logistics LP</w:t>
            </w:r>
          </w:p>
        </w:tc>
        <w:tc>
          <w:tcPr>
            <w:tcW w:w="277" w:type="pct"/>
            <w:tcBorders>
              <w:top w:val="nil"/>
              <w:left w:val="nil"/>
              <w:bottom w:val="nil"/>
              <w:right w:val="nil"/>
            </w:tcBorders>
            <w:shd w:val="clear" w:color="auto" w:fill="auto"/>
            <w:noWrap/>
            <w:vAlign w:val="bottom"/>
            <w:hideMark/>
          </w:tcPr>
          <w:p w14:paraId="40470991" w14:textId="77777777" w:rsidR="002D69B5" w:rsidRPr="00993726" w:rsidRDefault="002D69B5" w:rsidP="00421AAB">
            <w:pPr>
              <w:spacing w:after="0" w:line="240" w:lineRule="auto"/>
              <w:rPr>
                <w:rFonts w:ascii="Times New Roman" w:eastAsia="Times New Roman" w:hAnsi="Times New Roman"/>
                <w:color w:val="000000"/>
              </w:rPr>
            </w:pPr>
          </w:p>
        </w:tc>
        <w:tc>
          <w:tcPr>
            <w:tcW w:w="1667" w:type="pct"/>
            <w:tcBorders>
              <w:top w:val="nil"/>
              <w:left w:val="nil"/>
              <w:bottom w:val="nil"/>
              <w:right w:val="nil"/>
            </w:tcBorders>
            <w:shd w:val="clear" w:color="auto" w:fill="auto"/>
            <w:noWrap/>
            <w:vAlign w:val="bottom"/>
            <w:hideMark/>
          </w:tcPr>
          <w:p w14:paraId="0046C8E3"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Enbridge Energy Partners, L.P.</w:t>
            </w:r>
          </w:p>
        </w:tc>
        <w:tc>
          <w:tcPr>
            <w:tcW w:w="1493" w:type="pct"/>
            <w:tcBorders>
              <w:top w:val="nil"/>
              <w:left w:val="nil"/>
              <w:bottom w:val="nil"/>
              <w:right w:val="nil"/>
            </w:tcBorders>
            <w:shd w:val="clear" w:color="auto" w:fill="auto"/>
            <w:noWrap/>
            <w:vAlign w:val="bottom"/>
            <w:hideMark/>
          </w:tcPr>
          <w:p w14:paraId="36954B56"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Rice Midstream Partners LP</w:t>
            </w:r>
          </w:p>
        </w:tc>
      </w:tr>
      <w:tr w:rsidR="002D69B5" w:rsidRPr="00A51DD1" w14:paraId="03E9533B" w14:textId="77777777" w:rsidTr="00421AAB">
        <w:trPr>
          <w:trHeight w:val="20"/>
        </w:trPr>
        <w:tc>
          <w:tcPr>
            <w:tcW w:w="1563" w:type="pct"/>
            <w:tcBorders>
              <w:top w:val="nil"/>
              <w:left w:val="nil"/>
              <w:bottom w:val="nil"/>
              <w:right w:val="nil"/>
            </w:tcBorders>
            <w:shd w:val="clear" w:color="auto" w:fill="auto"/>
            <w:noWrap/>
            <w:vAlign w:val="bottom"/>
            <w:hideMark/>
          </w:tcPr>
          <w:p w14:paraId="4D1D1C8D"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Antero Midstream Partners LP</w:t>
            </w:r>
          </w:p>
        </w:tc>
        <w:tc>
          <w:tcPr>
            <w:tcW w:w="277" w:type="pct"/>
            <w:tcBorders>
              <w:top w:val="nil"/>
              <w:left w:val="nil"/>
              <w:bottom w:val="nil"/>
              <w:right w:val="nil"/>
            </w:tcBorders>
            <w:shd w:val="clear" w:color="auto" w:fill="auto"/>
            <w:noWrap/>
            <w:vAlign w:val="bottom"/>
            <w:hideMark/>
          </w:tcPr>
          <w:p w14:paraId="70DD22B7" w14:textId="77777777" w:rsidR="002D69B5" w:rsidRPr="00993726" w:rsidRDefault="002D69B5" w:rsidP="00421AAB">
            <w:pPr>
              <w:spacing w:after="0" w:line="240" w:lineRule="auto"/>
              <w:rPr>
                <w:rFonts w:ascii="Times New Roman" w:eastAsia="Times New Roman" w:hAnsi="Times New Roman"/>
                <w:color w:val="000000"/>
              </w:rPr>
            </w:pPr>
          </w:p>
        </w:tc>
        <w:tc>
          <w:tcPr>
            <w:tcW w:w="1667" w:type="pct"/>
            <w:tcBorders>
              <w:top w:val="nil"/>
              <w:left w:val="nil"/>
              <w:bottom w:val="nil"/>
              <w:right w:val="nil"/>
            </w:tcBorders>
            <w:shd w:val="clear" w:color="auto" w:fill="auto"/>
            <w:noWrap/>
            <w:vAlign w:val="bottom"/>
            <w:hideMark/>
          </w:tcPr>
          <w:p w14:paraId="6E89A9FC"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Energy Transfer Equity, L.P.</w:t>
            </w:r>
          </w:p>
        </w:tc>
        <w:tc>
          <w:tcPr>
            <w:tcW w:w="1493" w:type="pct"/>
            <w:tcBorders>
              <w:top w:val="nil"/>
              <w:left w:val="nil"/>
              <w:bottom w:val="nil"/>
              <w:right w:val="nil"/>
            </w:tcBorders>
            <w:shd w:val="clear" w:color="auto" w:fill="auto"/>
            <w:noWrap/>
            <w:vAlign w:val="bottom"/>
            <w:hideMark/>
          </w:tcPr>
          <w:p w14:paraId="324B0AC7"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Rose Rock Midstream, L.P.</w:t>
            </w:r>
          </w:p>
        </w:tc>
      </w:tr>
      <w:tr w:rsidR="002D69B5" w:rsidRPr="00A51DD1" w14:paraId="4A00081E" w14:textId="77777777" w:rsidTr="00421AAB">
        <w:trPr>
          <w:trHeight w:val="20"/>
        </w:trPr>
        <w:tc>
          <w:tcPr>
            <w:tcW w:w="1563" w:type="pct"/>
            <w:tcBorders>
              <w:top w:val="nil"/>
              <w:left w:val="nil"/>
              <w:bottom w:val="nil"/>
              <w:right w:val="nil"/>
            </w:tcBorders>
            <w:shd w:val="clear" w:color="auto" w:fill="auto"/>
            <w:noWrap/>
            <w:vAlign w:val="bottom"/>
            <w:hideMark/>
          </w:tcPr>
          <w:p w14:paraId="292AB73B"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Arc Logistics Partners LP</w:t>
            </w:r>
          </w:p>
        </w:tc>
        <w:tc>
          <w:tcPr>
            <w:tcW w:w="277" w:type="pct"/>
            <w:tcBorders>
              <w:top w:val="nil"/>
              <w:left w:val="nil"/>
              <w:bottom w:val="nil"/>
              <w:right w:val="nil"/>
            </w:tcBorders>
            <w:shd w:val="clear" w:color="auto" w:fill="auto"/>
            <w:noWrap/>
            <w:vAlign w:val="bottom"/>
            <w:hideMark/>
          </w:tcPr>
          <w:p w14:paraId="66C42022" w14:textId="77777777" w:rsidR="002D69B5" w:rsidRPr="00993726" w:rsidRDefault="002D69B5" w:rsidP="00421AAB">
            <w:pPr>
              <w:spacing w:after="0" w:line="240" w:lineRule="auto"/>
              <w:rPr>
                <w:rFonts w:ascii="Times New Roman" w:eastAsia="Times New Roman" w:hAnsi="Times New Roman"/>
                <w:color w:val="000000"/>
              </w:rPr>
            </w:pPr>
          </w:p>
        </w:tc>
        <w:tc>
          <w:tcPr>
            <w:tcW w:w="1667" w:type="pct"/>
            <w:tcBorders>
              <w:top w:val="nil"/>
              <w:left w:val="nil"/>
              <w:bottom w:val="nil"/>
              <w:right w:val="nil"/>
            </w:tcBorders>
            <w:shd w:val="clear" w:color="auto" w:fill="auto"/>
            <w:noWrap/>
            <w:vAlign w:val="bottom"/>
            <w:hideMark/>
          </w:tcPr>
          <w:p w14:paraId="0D11A00E"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Energy Transfer Partners, L.P.</w:t>
            </w:r>
          </w:p>
        </w:tc>
        <w:tc>
          <w:tcPr>
            <w:tcW w:w="1493" w:type="pct"/>
            <w:tcBorders>
              <w:top w:val="nil"/>
              <w:left w:val="nil"/>
              <w:bottom w:val="nil"/>
              <w:right w:val="nil"/>
            </w:tcBorders>
            <w:shd w:val="clear" w:color="auto" w:fill="auto"/>
            <w:noWrap/>
            <w:vAlign w:val="bottom"/>
            <w:hideMark/>
          </w:tcPr>
          <w:p w14:paraId="7835FB8B"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Sanchez Production Partners LP</w:t>
            </w:r>
          </w:p>
        </w:tc>
      </w:tr>
      <w:tr w:rsidR="002D69B5" w:rsidRPr="00A51DD1" w14:paraId="7220C3B7" w14:textId="77777777" w:rsidTr="00421AAB">
        <w:trPr>
          <w:trHeight w:val="20"/>
        </w:trPr>
        <w:tc>
          <w:tcPr>
            <w:tcW w:w="1563" w:type="pct"/>
            <w:tcBorders>
              <w:top w:val="nil"/>
              <w:left w:val="nil"/>
              <w:bottom w:val="nil"/>
              <w:right w:val="nil"/>
            </w:tcBorders>
            <w:shd w:val="clear" w:color="auto" w:fill="auto"/>
            <w:noWrap/>
            <w:vAlign w:val="bottom"/>
            <w:hideMark/>
          </w:tcPr>
          <w:p w14:paraId="7E445437"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Archrock Partners, L.P.</w:t>
            </w:r>
          </w:p>
        </w:tc>
        <w:tc>
          <w:tcPr>
            <w:tcW w:w="277" w:type="pct"/>
            <w:tcBorders>
              <w:top w:val="nil"/>
              <w:left w:val="nil"/>
              <w:bottom w:val="nil"/>
              <w:right w:val="nil"/>
            </w:tcBorders>
            <w:shd w:val="clear" w:color="auto" w:fill="auto"/>
            <w:noWrap/>
            <w:vAlign w:val="bottom"/>
            <w:hideMark/>
          </w:tcPr>
          <w:p w14:paraId="1E5FC2B6" w14:textId="77777777" w:rsidR="002D69B5" w:rsidRPr="00993726" w:rsidRDefault="002D69B5" w:rsidP="00421AAB">
            <w:pPr>
              <w:spacing w:after="0" w:line="240" w:lineRule="auto"/>
              <w:rPr>
                <w:rFonts w:ascii="Times New Roman" w:eastAsia="Times New Roman" w:hAnsi="Times New Roman"/>
                <w:color w:val="000000"/>
              </w:rPr>
            </w:pPr>
          </w:p>
        </w:tc>
        <w:tc>
          <w:tcPr>
            <w:tcW w:w="1667" w:type="pct"/>
            <w:tcBorders>
              <w:top w:val="nil"/>
              <w:left w:val="nil"/>
              <w:bottom w:val="nil"/>
              <w:right w:val="nil"/>
            </w:tcBorders>
            <w:shd w:val="clear" w:color="auto" w:fill="auto"/>
            <w:noWrap/>
            <w:vAlign w:val="bottom"/>
            <w:hideMark/>
          </w:tcPr>
          <w:p w14:paraId="5ABD75FD"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Enterprise Oil PLC</w:t>
            </w:r>
          </w:p>
        </w:tc>
        <w:tc>
          <w:tcPr>
            <w:tcW w:w="1493" w:type="pct"/>
            <w:tcBorders>
              <w:top w:val="nil"/>
              <w:left w:val="nil"/>
              <w:bottom w:val="nil"/>
              <w:right w:val="nil"/>
            </w:tcBorders>
            <w:shd w:val="clear" w:color="auto" w:fill="auto"/>
            <w:noWrap/>
            <w:vAlign w:val="bottom"/>
            <w:hideMark/>
          </w:tcPr>
          <w:p w14:paraId="31645BC1"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Shell Midstream Partners, L.P.</w:t>
            </w:r>
          </w:p>
        </w:tc>
      </w:tr>
      <w:tr w:rsidR="002D69B5" w:rsidRPr="00A51DD1" w14:paraId="3662984E" w14:textId="77777777" w:rsidTr="00421AAB">
        <w:trPr>
          <w:trHeight w:val="20"/>
        </w:trPr>
        <w:tc>
          <w:tcPr>
            <w:tcW w:w="1563" w:type="pct"/>
            <w:tcBorders>
              <w:top w:val="nil"/>
              <w:left w:val="nil"/>
              <w:bottom w:val="nil"/>
              <w:right w:val="nil"/>
            </w:tcBorders>
            <w:shd w:val="clear" w:color="auto" w:fill="auto"/>
            <w:noWrap/>
            <w:vAlign w:val="bottom"/>
            <w:hideMark/>
          </w:tcPr>
          <w:p w14:paraId="6E01440E"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Atlas Energy Group, LLC</w:t>
            </w:r>
          </w:p>
        </w:tc>
        <w:tc>
          <w:tcPr>
            <w:tcW w:w="277" w:type="pct"/>
            <w:tcBorders>
              <w:top w:val="nil"/>
              <w:left w:val="nil"/>
              <w:bottom w:val="nil"/>
              <w:right w:val="nil"/>
            </w:tcBorders>
            <w:shd w:val="clear" w:color="auto" w:fill="auto"/>
            <w:noWrap/>
            <w:vAlign w:val="bottom"/>
            <w:hideMark/>
          </w:tcPr>
          <w:p w14:paraId="419CC19A" w14:textId="77777777" w:rsidR="002D69B5" w:rsidRPr="00993726" w:rsidRDefault="002D69B5" w:rsidP="00421AAB">
            <w:pPr>
              <w:spacing w:after="0" w:line="240" w:lineRule="auto"/>
              <w:rPr>
                <w:rFonts w:ascii="Times New Roman" w:eastAsia="Times New Roman" w:hAnsi="Times New Roman"/>
                <w:color w:val="000000"/>
              </w:rPr>
            </w:pPr>
          </w:p>
        </w:tc>
        <w:tc>
          <w:tcPr>
            <w:tcW w:w="1667" w:type="pct"/>
            <w:tcBorders>
              <w:top w:val="nil"/>
              <w:left w:val="nil"/>
              <w:bottom w:val="nil"/>
              <w:right w:val="nil"/>
            </w:tcBorders>
            <w:shd w:val="clear" w:color="auto" w:fill="auto"/>
            <w:noWrap/>
            <w:vAlign w:val="bottom"/>
            <w:hideMark/>
          </w:tcPr>
          <w:p w14:paraId="35BBF5CE"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Enterprise Products Partners L.P.</w:t>
            </w:r>
          </w:p>
        </w:tc>
        <w:tc>
          <w:tcPr>
            <w:tcW w:w="1493" w:type="pct"/>
            <w:tcBorders>
              <w:top w:val="nil"/>
              <w:left w:val="nil"/>
              <w:bottom w:val="nil"/>
              <w:right w:val="nil"/>
            </w:tcBorders>
            <w:shd w:val="clear" w:color="auto" w:fill="auto"/>
            <w:noWrap/>
            <w:vAlign w:val="bottom"/>
            <w:hideMark/>
          </w:tcPr>
          <w:p w14:paraId="06D1B6E8"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Southcross Energy Partners, L.P.</w:t>
            </w:r>
          </w:p>
        </w:tc>
      </w:tr>
      <w:tr w:rsidR="002D69B5" w:rsidRPr="00A51DD1" w14:paraId="34553E30" w14:textId="77777777" w:rsidTr="00421AAB">
        <w:trPr>
          <w:trHeight w:val="20"/>
        </w:trPr>
        <w:tc>
          <w:tcPr>
            <w:tcW w:w="1563" w:type="pct"/>
            <w:tcBorders>
              <w:top w:val="nil"/>
              <w:left w:val="nil"/>
              <w:bottom w:val="nil"/>
              <w:right w:val="nil"/>
            </w:tcBorders>
            <w:shd w:val="clear" w:color="auto" w:fill="auto"/>
            <w:noWrap/>
            <w:vAlign w:val="bottom"/>
            <w:hideMark/>
          </w:tcPr>
          <w:p w14:paraId="7F79C0BF"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Azure Midsteam Partners, LP</w:t>
            </w:r>
          </w:p>
        </w:tc>
        <w:tc>
          <w:tcPr>
            <w:tcW w:w="277" w:type="pct"/>
            <w:tcBorders>
              <w:top w:val="nil"/>
              <w:left w:val="nil"/>
              <w:bottom w:val="nil"/>
              <w:right w:val="nil"/>
            </w:tcBorders>
            <w:shd w:val="clear" w:color="auto" w:fill="auto"/>
            <w:noWrap/>
            <w:vAlign w:val="bottom"/>
            <w:hideMark/>
          </w:tcPr>
          <w:p w14:paraId="7CE46C79" w14:textId="77777777" w:rsidR="002D69B5" w:rsidRPr="00993726" w:rsidRDefault="002D69B5" w:rsidP="00421AAB">
            <w:pPr>
              <w:spacing w:after="0" w:line="240" w:lineRule="auto"/>
              <w:rPr>
                <w:rFonts w:ascii="Times New Roman" w:eastAsia="Times New Roman" w:hAnsi="Times New Roman"/>
                <w:color w:val="000000"/>
              </w:rPr>
            </w:pPr>
          </w:p>
        </w:tc>
        <w:tc>
          <w:tcPr>
            <w:tcW w:w="1667" w:type="pct"/>
            <w:tcBorders>
              <w:top w:val="nil"/>
              <w:left w:val="nil"/>
              <w:bottom w:val="nil"/>
              <w:right w:val="nil"/>
            </w:tcBorders>
            <w:shd w:val="clear" w:color="auto" w:fill="auto"/>
            <w:noWrap/>
            <w:vAlign w:val="bottom"/>
            <w:hideMark/>
          </w:tcPr>
          <w:p w14:paraId="62225F5B"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Ferrellgas Partners, L.P.</w:t>
            </w:r>
          </w:p>
        </w:tc>
        <w:tc>
          <w:tcPr>
            <w:tcW w:w="1493" w:type="pct"/>
            <w:tcBorders>
              <w:top w:val="nil"/>
              <w:left w:val="nil"/>
              <w:bottom w:val="nil"/>
              <w:right w:val="nil"/>
            </w:tcBorders>
            <w:shd w:val="clear" w:color="auto" w:fill="auto"/>
            <w:noWrap/>
            <w:vAlign w:val="bottom"/>
            <w:hideMark/>
          </w:tcPr>
          <w:p w14:paraId="5BB11A92"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Spectra Energy Partners</w:t>
            </w:r>
          </w:p>
        </w:tc>
      </w:tr>
      <w:tr w:rsidR="002D69B5" w:rsidRPr="00A51DD1" w14:paraId="53601CB1" w14:textId="77777777" w:rsidTr="00421AAB">
        <w:trPr>
          <w:trHeight w:val="20"/>
        </w:trPr>
        <w:tc>
          <w:tcPr>
            <w:tcW w:w="1563" w:type="pct"/>
            <w:tcBorders>
              <w:top w:val="nil"/>
              <w:left w:val="nil"/>
              <w:bottom w:val="nil"/>
              <w:right w:val="nil"/>
            </w:tcBorders>
            <w:shd w:val="clear" w:color="auto" w:fill="auto"/>
            <w:noWrap/>
            <w:vAlign w:val="bottom"/>
            <w:hideMark/>
          </w:tcPr>
          <w:p w14:paraId="453F8789"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Black Stone Minerals, L.P.</w:t>
            </w:r>
          </w:p>
        </w:tc>
        <w:tc>
          <w:tcPr>
            <w:tcW w:w="277" w:type="pct"/>
            <w:tcBorders>
              <w:top w:val="nil"/>
              <w:left w:val="nil"/>
              <w:bottom w:val="nil"/>
              <w:right w:val="nil"/>
            </w:tcBorders>
            <w:shd w:val="clear" w:color="auto" w:fill="auto"/>
            <w:noWrap/>
            <w:vAlign w:val="bottom"/>
            <w:hideMark/>
          </w:tcPr>
          <w:p w14:paraId="313F7347" w14:textId="77777777" w:rsidR="002D69B5" w:rsidRPr="00993726" w:rsidRDefault="002D69B5" w:rsidP="00421AAB">
            <w:pPr>
              <w:spacing w:after="0" w:line="240" w:lineRule="auto"/>
              <w:rPr>
                <w:rFonts w:ascii="Times New Roman" w:eastAsia="Times New Roman" w:hAnsi="Times New Roman"/>
                <w:color w:val="000000"/>
              </w:rPr>
            </w:pPr>
          </w:p>
        </w:tc>
        <w:tc>
          <w:tcPr>
            <w:tcW w:w="1667" w:type="pct"/>
            <w:tcBorders>
              <w:top w:val="nil"/>
              <w:left w:val="nil"/>
              <w:bottom w:val="nil"/>
              <w:right w:val="nil"/>
            </w:tcBorders>
            <w:shd w:val="clear" w:color="auto" w:fill="auto"/>
            <w:noWrap/>
            <w:vAlign w:val="bottom"/>
            <w:hideMark/>
          </w:tcPr>
          <w:p w14:paraId="6A3642D5"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Foresight Energy LP</w:t>
            </w:r>
          </w:p>
        </w:tc>
        <w:tc>
          <w:tcPr>
            <w:tcW w:w="1493" w:type="pct"/>
            <w:tcBorders>
              <w:top w:val="nil"/>
              <w:left w:val="nil"/>
              <w:bottom w:val="nil"/>
              <w:right w:val="nil"/>
            </w:tcBorders>
            <w:shd w:val="clear" w:color="auto" w:fill="auto"/>
            <w:noWrap/>
            <w:vAlign w:val="bottom"/>
            <w:hideMark/>
          </w:tcPr>
          <w:p w14:paraId="3EAECFA1"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Sprague Resources LP</w:t>
            </w:r>
          </w:p>
        </w:tc>
      </w:tr>
      <w:tr w:rsidR="002D69B5" w:rsidRPr="00A51DD1" w14:paraId="0919968B" w14:textId="77777777" w:rsidTr="00421AAB">
        <w:trPr>
          <w:trHeight w:val="20"/>
        </w:trPr>
        <w:tc>
          <w:tcPr>
            <w:tcW w:w="1563" w:type="pct"/>
            <w:tcBorders>
              <w:top w:val="nil"/>
              <w:left w:val="nil"/>
              <w:bottom w:val="nil"/>
              <w:right w:val="nil"/>
            </w:tcBorders>
            <w:shd w:val="clear" w:color="auto" w:fill="auto"/>
            <w:noWrap/>
            <w:vAlign w:val="bottom"/>
            <w:hideMark/>
          </w:tcPr>
          <w:p w14:paraId="29399DE6"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Blueknight Energy Partners, L.P.</w:t>
            </w:r>
          </w:p>
        </w:tc>
        <w:tc>
          <w:tcPr>
            <w:tcW w:w="277" w:type="pct"/>
            <w:tcBorders>
              <w:top w:val="nil"/>
              <w:left w:val="nil"/>
              <w:bottom w:val="nil"/>
              <w:right w:val="nil"/>
            </w:tcBorders>
            <w:shd w:val="clear" w:color="auto" w:fill="auto"/>
            <w:noWrap/>
            <w:vAlign w:val="bottom"/>
            <w:hideMark/>
          </w:tcPr>
          <w:p w14:paraId="226B541A" w14:textId="77777777" w:rsidR="002D69B5" w:rsidRPr="00993726" w:rsidRDefault="002D69B5" w:rsidP="00421AAB">
            <w:pPr>
              <w:spacing w:after="0" w:line="240" w:lineRule="auto"/>
              <w:rPr>
                <w:rFonts w:ascii="Times New Roman" w:eastAsia="Times New Roman" w:hAnsi="Times New Roman"/>
                <w:color w:val="000000"/>
              </w:rPr>
            </w:pPr>
          </w:p>
        </w:tc>
        <w:tc>
          <w:tcPr>
            <w:tcW w:w="1667" w:type="pct"/>
            <w:tcBorders>
              <w:top w:val="nil"/>
              <w:left w:val="nil"/>
              <w:bottom w:val="nil"/>
              <w:right w:val="nil"/>
            </w:tcBorders>
            <w:shd w:val="clear" w:color="auto" w:fill="auto"/>
            <w:noWrap/>
            <w:vAlign w:val="bottom"/>
            <w:hideMark/>
          </w:tcPr>
          <w:p w14:paraId="0A86313B"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GasLog Partners LP</w:t>
            </w:r>
          </w:p>
        </w:tc>
        <w:tc>
          <w:tcPr>
            <w:tcW w:w="1493" w:type="pct"/>
            <w:tcBorders>
              <w:top w:val="nil"/>
              <w:left w:val="nil"/>
              <w:bottom w:val="nil"/>
              <w:right w:val="nil"/>
            </w:tcBorders>
            <w:shd w:val="clear" w:color="auto" w:fill="auto"/>
            <w:noWrap/>
            <w:vAlign w:val="bottom"/>
            <w:hideMark/>
          </w:tcPr>
          <w:p w14:paraId="591B585C"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Star Gas Partners, L.P.</w:t>
            </w:r>
          </w:p>
        </w:tc>
      </w:tr>
      <w:tr w:rsidR="002D69B5" w:rsidRPr="00A51DD1" w14:paraId="51756EED" w14:textId="77777777" w:rsidTr="00421AAB">
        <w:trPr>
          <w:trHeight w:val="20"/>
        </w:trPr>
        <w:tc>
          <w:tcPr>
            <w:tcW w:w="1563" w:type="pct"/>
            <w:tcBorders>
              <w:top w:val="nil"/>
              <w:left w:val="nil"/>
              <w:bottom w:val="nil"/>
              <w:right w:val="nil"/>
            </w:tcBorders>
            <w:shd w:val="clear" w:color="auto" w:fill="auto"/>
            <w:noWrap/>
            <w:vAlign w:val="bottom"/>
            <w:hideMark/>
          </w:tcPr>
          <w:p w14:paraId="35B11329"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Boardwalk Pipeline Partners, L.P.</w:t>
            </w:r>
          </w:p>
        </w:tc>
        <w:tc>
          <w:tcPr>
            <w:tcW w:w="277" w:type="pct"/>
            <w:tcBorders>
              <w:top w:val="nil"/>
              <w:left w:val="nil"/>
              <w:bottom w:val="nil"/>
              <w:right w:val="nil"/>
            </w:tcBorders>
            <w:shd w:val="clear" w:color="auto" w:fill="auto"/>
            <w:noWrap/>
            <w:vAlign w:val="bottom"/>
            <w:hideMark/>
          </w:tcPr>
          <w:p w14:paraId="6538DC5E" w14:textId="77777777" w:rsidR="002D69B5" w:rsidRPr="00993726" w:rsidRDefault="002D69B5" w:rsidP="00421AAB">
            <w:pPr>
              <w:spacing w:after="0" w:line="240" w:lineRule="auto"/>
              <w:rPr>
                <w:rFonts w:ascii="Times New Roman" w:eastAsia="Times New Roman" w:hAnsi="Times New Roman"/>
                <w:color w:val="000000"/>
              </w:rPr>
            </w:pPr>
          </w:p>
        </w:tc>
        <w:tc>
          <w:tcPr>
            <w:tcW w:w="1667" w:type="pct"/>
            <w:tcBorders>
              <w:top w:val="nil"/>
              <w:left w:val="nil"/>
              <w:bottom w:val="nil"/>
              <w:right w:val="nil"/>
            </w:tcBorders>
            <w:shd w:val="clear" w:color="auto" w:fill="auto"/>
            <w:noWrap/>
            <w:vAlign w:val="bottom"/>
            <w:hideMark/>
          </w:tcPr>
          <w:p w14:paraId="516ADF22"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Genesis Energy, L.P.</w:t>
            </w:r>
          </w:p>
        </w:tc>
        <w:tc>
          <w:tcPr>
            <w:tcW w:w="1493" w:type="pct"/>
            <w:tcBorders>
              <w:top w:val="nil"/>
              <w:left w:val="nil"/>
              <w:bottom w:val="nil"/>
              <w:right w:val="nil"/>
            </w:tcBorders>
            <w:shd w:val="clear" w:color="auto" w:fill="auto"/>
            <w:noWrap/>
            <w:vAlign w:val="bottom"/>
            <w:hideMark/>
          </w:tcPr>
          <w:p w14:paraId="0BFF0527"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Suburban Propane Partners LP</w:t>
            </w:r>
          </w:p>
        </w:tc>
      </w:tr>
      <w:tr w:rsidR="002D69B5" w:rsidRPr="00A51DD1" w14:paraId="55A9AAEE" w14:textId="77777777" w:rsidTr="00421AAB">
        <w:trPr>
          <w:trHeight w:val="20"/>
        </w:trPr>
        <w:tc>
          <w:tcPr>
            <w:tcW w:w="1563" w:type="pct"/>
            <w:tcBorders>
              <w:top w:val="nil"/>
              <w:left w:val="nil"/>
              <w:bottom w:val="nil"/>
              <w:right w:val="nil"/>
            </w:tcBorders>
            <w:shd w:val="clear" w:color="auto" w:fill="auto"/>
            <w:noWrap/>
            <w:vAlign w:val="bottom"/>
            <w:hideMark/>
          </w:tcPr>
          <w:p w14:paraId="212D580F"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BreitBurn Energy Partners L.P.</w:t>
            </w:r>
          </w:p>
        </w:tc>
        <w:tc>
          <w:tcPr>
            <w:tcW w:w="277" w:type="pct"/>
            <w:tcBorders>
              <w:top w:val="nil"/>
              <w:left w:val="nil"/>
              <w:bottom w:val="nil"/>
              <w:right w:val="nil"/>
            </w:tcBorders>
            <w:shd w:val="clear" w:color="auto" w:fill="auto"/>
            <w:noWrap/>
            <w:vAlign w:val="bottom"/>
            <w:hideMark/>
          </w:tcPr>
          <w:p w14:paraId="639808BF" w14:textId="77777777" w:rsidR="002D69B5" w:rsidRPr="00993726" w:rsidRDefault="002D69B5" w:rsidP="00421AAB">
            <w:pPr>
              <w:spacing w:after="0" w:line="240" w:lineRule="auto"/>
              <w:rPr>
                <w:rFonts w:ascii="Times New Roman" w:eastAsia="Times New Roman" w:hAnsi="Times New Roman"/>
                <w:color w:val="000000"/>
              </w:rPr>
            </w:pPr>
          </w:p>
        </w:tc>
        <w:tc>
          <w:tcPr>
            <w:tcW w:w="1667" w:type="pct"/>
            <w:tcBorders>
              <w:top w:val="nil"/>
              <w:left w:val="nil"/>
              <w:bottom w:val="nil"/>
              <w:right w:val="nil"/>
            </w:tcBorders>
            <w:shd w:val="clear" w:color="auto" w:fill="auto"/>
            <w:noWrap/>
            <w:vAlign w:val="bottom"/>
            <w:hideMark/>
          </w:tcPr>
          <w:p w14:paraId="5A94644C"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Global Partners LP</w:t>
            </w:r>
          </w:p>
        </w:tc>
        <w:tc>
          <w:tcPr>
            <w:tcW w:w="1493" w:type="pct"/>
            <w:tcBorders>
              <w:top w:val="nil"/>
              <w:left w:val="nil"/>
              <w:bottom w:val="nil"/>
              <w:right w:val="nil"/>
            </w:tcBorders>
            <w:shd w:val="clear" w:color="auto" w:fill="auto"/>
            <w:noWrap/>
            <w:vAlign w:val="bottom"/>
            <w:hideMark/>
          </w:tcPr>
          <w:p w14:paraId="09D89A72"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Summit Midstream Partners LP</w:t>
            </w:r>
          </w:p>
        </w:tc>
      </w:tr>
      <w:tr w:rsidR="002D69B5" w:rsidRPr="00A51DD1" w14:paraId="7E9FBF02" w14:textId="77777777" w:rsidTr="00421AAB">
        <w:trPr>
          <w:trHeight w:val="20"/>
        </w:trPr>
        <w:tc>
          <w:tcPr>
            <w:tcW w:w="1563" w:type="pct"/>
            <w:tcBorders>
              <w:top w:val="nil"/>
              <w:left w:val="nil"/>
              <w:bottom w:val="nil"/>
              <w:right w:val="nil"/>
            </w:tcBorders>
            <w:shd w:val="clear" w:color="auto" w:fill="auto"/>
            <w:noWrap/>
            <w:vAlign w:val="bottom"/>
            <w:hideMark/>
          </w:tcPr>
          <w:p w14:paraId="690F4A0B"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Buckeye Partners, L.P.</w:t>
            </w:r>
          </w:p>
        </w:tc>
        <w:tc>
          <w:tcPr>
            <w:tcW w:w="277" w:type="pct"/>
            <w:tcBorders>
              <w:top w:val="nil"/>
              <w:left w:val="nil"/>
              <w:bottom w:val="nil"/>
              <w:right w:val="nil"/>
            </w:tcBorders>
            <w:shd w:val="clear" w:color="auto" w:fill="auto"/>
            <w:noWrap/>
            <w:vAlign w:val="bottom"/>
            <w:hideMark/>
          </w:tcPr>
          <w:p w14:paraId="0A98832F" w14:textId="77777777" w:rsidR="002D69B5" w:rsidRPr="00993726" w:rsidRDefault="002D69B5" w:rsidP="00421AAB">
            <w:pPr>
              <w:spacing w:after="0" w:line="240" w:lineRule="auto"/>
              <w:rPr>
                <w:rFonts w:ascii="Times New Roman" w:eastAsia="Times New Roman" w:hAnsi="Times New Roman"/>
                <w:color w:val="000000"/>
              </w:rPr>
            </w:pPr>
          </w:p>
        </w:tc>
        <w:tc>
          <w:tcPr>
            <w:tcW w:w="1667" w:type="pct"/>
            <w:tcBorders>
              <w:top w:val="nil"/>
              <w:left w:val="nil"/>
              <w:bottom w:val="nil"/>
              <w:right w:val="nil"/>
            </w:tcBorders>
            <w:shd w:val="clear" w:color="auto" w:fill="auto"/>
            <w:noWrap/>
            <w:vAlign w:val="bottom"/>
            <w:hideMark/>
          </w:tcPr>
          <w:p w14:paraId="17ED46DE"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Golar LNG Partners LP</w:t>
            </w:r>
          </w:p>
        </w:tc>
        <w:tc>
          <w:tcPr>
            <w:tcW w:w="1493" w:type="pct"/>
            <w:tcBorders>
              <w:top w:val="nil"/>
              <w:left w:val="nil"/>
              <w:bottom w:val="nil"/>
              <w:right w:val="nil"/>
            </w:tcBorders>
            <w:shd w:val="clear" w:color="auto" w:fill="auto"/>
            <w:noWrap/>
            <w:vAlign w:val="bottom"/>
            <w:hideMark/>
          </w:tcPr>
          <w:p w14:paraId="04C46D3F"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SunCoke Energy Partners, L.P.</w:t>
            </w:r>
          </w:p>
        </w:tc>
      </w:tr>
      <w:tr w:rsidR="002D69B5" w:rsidRPr="00A51DD1" w14:paraId="714E500B" w14:textId="77777777" w:rsidTr="00421AAB">
        <w:trPr>
          <w:trHeight w:val="20"/>
        </w:trPr>
        <w:tc>
          <w:tcPr>
            <w:tcW w:w="1563" w:type="pct"/>
            <w:tcBorders>
              <w:top w:val="nil"/>
              <w:left w:val="nil"/>
              <w:bottom w:val="nil"/>
              <w:right w:val="nil"/>
            </w:tcBorders>
            <w:shd w:val="clear" w:color="auto" w:fill="auto"/>
            <w:noWrap/>
            <w:vAlign w:val="bottom"/>
            <w:hideMark/>
          </w:tcPr>
          <w:p w14:paraId="516FA79C"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CNX Coal Resources LP</w:t>
            </w:r>
          </w:p>
        </w:tc>
        <w:tc>
          <w:tcPr>
            <w:tcW w:w="277" w:type="pct"/>
            <w:tcBorders>
              <w:top w:val="nil"/>
              <w:left w:val="nil"/>
              <w:bottom w:val="nil"/>
              <w:right w:val="nil"/>
            </w:tcBorders>
            <w:shd w:val="clear" w:color="auto" w:fill="auto"/>
            <w:noWrap/>
            <w:vAlign w:val="bottom"/>
            <w:hideMark/>
          </w:tcPr>
          <w:p w14:paraId="437DFD7D" w14:textId="77777777" w:rsidR="002D69B5" w:rsidRPr="00993726" w:rsidRDefault="002D69B5" w:rsidP="00421AAB">
            <w:pPr>
              <w:spacing w:after="0" w:line="240" w:lineRule="auto"/>
              <w:rPr>
                <w:rFonts w:ascii="Times New Roman" w:eastAsia="Times New Roman" w:hAnsi="Times New Roman"/>
                <w:color w:val="000000"/>
              </w:rPr>
            </w:pPr>
          </w:p>
        </w:tc>
        <w:tc>
          <w:tcPr>
            <w:tcW w:w="1667" w:type="pct"/>
            <w:tcBorders>
              <w:top w:val="nil"/>
              <w:left w:val="nil"/>
              <w:bottom w:val="nil"/>
              <w:right w:val="nil"/>
            </w:tcBorders>
            <w:shd w:val="clear" w:color="auto" w:fill="auto"/>
            <w:noWrap/>
            <w:vAlign w:val="bottom"/>
            <w:hideMark/>
          </w:tcPr>
          <w:p w14:paraId="53727AE0"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Green Plains Partners LP</w:t>
            </w:r>
          </w:p>
        </w:tc>
        <w:tc>
          <w:tcPr>
            <w:tcW w:w="1493" w:type="pct"/>
            <w:tcBorders>
              <w:top w:val="nil"/>
              <w:left w:val="nil"/>
              <w:bottom w:val="nil"/>
              <w:right w:val="nil"/>
            </w:tcBorders>
            <w:shd w:val="clear" w:color="auto" w:fill="auto"/>
            <w:noWrap/>
            <w:vAlign w:val="bottom"/>
            <w:hideMark/>
          </w:tcPr>
          <w:p w14:paraId="69E0D4BD"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Sunoco LP</w:t>
            </w:r>
          </w:p>
        </w:tc>
      </w:tr>
      <w:tr w:rsidR="002D69B5" w:rsidRPr="00A51DD1" w14:paraId="38D53352" w14:textId="77777777" w:rsidTr="00421AAB">
        <w:trPr>
          <w:trHeight w:val="20"/>
        </w:trPr>
        <w:tc>
          <w:tcPr>
            <w:tcW w:w="1563" w:type="pct"/>
            <w:tcBorders>
              <w:top w:val="nil"/>
              <w:left w:val="nil"/>
              <w:bottom w:val="nil"/>
              <w:right w:val="nil"/>
            </w:tcBorders>
            <w:shd w:val="clear" w:color="auto" w:fill="auto"/>
            <w:noWrap/>
            <w:vAlign w:val="bottom"/>
            <w:hideMark/>
          </w:tcPr>
          <w:p w14:paraId="646199B9"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CONE Midstream Partners LP</w:t>
            </w:r>
          </w:p>
        </w:tc>
        <w:tc>
          <w:tcPr>
            <w:tcW w:w="277" w:type="pct"/>
            <w:tcBorders>
              <w:top w:val="nil"/>
              <w:left w:val="nil"/>
              <w:bottom w:val="nil"/>
              <w:right w:val="nil"/>
            </w:tcBorders>
            <w:shd w:val="clear" w:color="auto" w:fill="auto"/>
            <w:noWrap/>
            <w:vAlign w:val="bottom"/>
            <w:hideMark/>
          </w:tcPr>
          <w:p w14:paraId="0F53456C" w14:textId="77777777" w:rsidR="002D69B5" w:rsidRPr="00993726" w:rsidRDefault="002D69B5" w:rsidP="00421AAB">
            <w:pPr>
              <w:spacing w:after="0" w:line="240" w:lineRule="auto"/>
              <w:rPr>
                <w:rFonts w:ascii="Times New Roman" w:eastAsia="Times New Roman" w:hAnsi="Times New Roman"/>
                <w:color w:val="000000"/>
              </w:rPr>
            </w:pPr>
          </w:p>
        </w:tc>
        <w:tc>
          <w:tcPr>
            <w:tcW w:w="1667" w:type="pct"/>
            <w:tcBorders>
              <w:top w:val="nil"/>
              <w:left w:val="nil"/>
              <w:bottom w:val="nil"/>
              <w:right w:val="nil"/>
            </w:tcBorders>
            <w:shd w:val="clear" w:color="auto" w:fill="auto"/>
            <w:noWrap/>
            <w:vAlign w:val="bottom"/>
            <w:hideMark/>
          </w:tcPr>
          <w:p w14:paraId="089AF357"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Hi-Crush Partners LP</w:t>
            </w:r>
          </w:p>
        </w:tc>
        <w:tc>
          <w:tcPr>
            <w:tcW w:w="1493" w:type="pct"/>
            <w:tcBorders>
              <w:top w:val="nil"/>
              <w:left w:val="nil"/>
              <w:bottom w:val="nil"/>
              <w:right w:val="nil"/>
            </w:tcBorders>
            <w:shd w:val="clear" w:color="auto" w:fill="auto"/>
            <w:noWrap/>
            <w:vAlign w:val="bottom"/>
            <w:hideMark/>
          </w:tcPr>
          <w:p w14:paraId="3B75FF70"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Sunoco Logistics Partners, L.P.</w:t>
            </w:r>
          </w:p>
        </w:tc>
      </w:tr>
      <w:tr w:rsidR="002D69B5" w:rsidRPr="00A51DD1" w14:paraId="698CF4B8" w14:textId="77777777" w:rsidTr="00421AAB">
        <w:trPr>
          <w:trHeight w:val="20"/>
        </w:trPr>
        <w:tc>
          <w:tcPr>
            <w:tcW w:w="1563" w:type="pct"/>
            <w:tcBorders>
              <w:top w:val="nil"/>
              <w:left w:val="nil"/>
              <w:bottom w:val="nil"/>
              <w:right w:val="nil"/>
            </w:tcBorders>
            <w:shd w:val="clear" w:color="auto" w:fill="auto"/>
            <w:noWrap/>
            <w:vAlign w:val="bottom"/>
            <w:hideMark/>
          </w:tcPr>
          <w:p w14:paraId="661E9D24"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CSI Compressco Partners LP</w:t>
            </w:r>
          </w:p>
        </w:tc>
        <w:tc>
          <w:tcPr>
            <w:tcW w:w="277" w:type="pct"/>
            <w:tcBorders>
              <w:top w:val="nil"/>
              <w:left w:val="nil"/>
              <w:bottom w:val="nil"/>
              <w:right w:val="nil"/>
            </w:tcBorders>
            <w:shd w:val="clear" w:color="auto" w:fill="auto"/>
            <w:noWrap/>
            <w:vAlign w:val="bottom"/>
            <w:hideMark/>
          </w:tcPr>
          <w:p w14:paraId="3F7F4B70" w14:textId="77777777" w:rsidR="002D69B5" w:rsidRPr="00993726" w:rsidRDefault="002D69B5" w:rsidP="00421AAB">
            <w:pPr>
              <w:spacing w:after="0" w:line="240" w:lineRule="auto"/>
              <w:rPr>
                <w:rFonts w:ascii="Times New Roman" w:eastAsia="Times New Roman" w:hAnsi="Times New Roman"/>
                <w:color w:val="000000"/>
              </w:rPr>
            </w:pPr>
          </w:p>
        </w:tc>
        <w:tc>
          <w:tcPr>
            <w:tcW w:w="1667" w:type="pct"/>
            <w:tcBorders>
              <w:top w:val="nil"/>
              <w:left w:val="nil"/>
              <w:bottom w:val="nil"/>
              <w:right w:val="nil"/>
            </w:tcBorders>
            <w:shd w:val="clear" w:color="auto" w:fill="auto"/>
            <w:noWrap/>
            <w:vAlign w:val="bottom"/>
            <w:hideMark/>
          </w:tcPr>
          <w:p w14:paraId="117DEDF8"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Holly Energy Partners, L.P.</w:t>
            </w:r>
          </w:p>
        </w:tc>
        <w:tc>
          <w:tcPr>
            <w:tcW w:w="1493" w:type="pct"/>
            <w:tcBorders>
              <w:top w:val="nil"/>
              <w:left w:val="nil"/>
              <w:bottom w:val="nil"/>
              <w:right w:val="nil"/>
            </w:tcBorders>
            <w:shd w:val="clear" w:color="auto" w:fill="auto"/>
            <w:noWrap/>
            <w:vAlign w:val="bottom"/>
            <w:hideMark/>
          </w:tcPr>
          <w:p w14:paraId="271EF440"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Tallgrass Energy Partners, LP</w:t>
            </w:r>
          </w:p>
        </w:tc>
      </w:tr>
      <w:tr w:rsidR="002D69B5" w:rsidRPr="00A51DD1" w14:paraId="308677B7" w14:textId="77777777" w:rsidTr="00421AAB">
        <w:trPr>
          <w:trHeight w:val="20"/>
        </w:trPr>
        <w:tc>
          <w:tcPr>
            <w:tcW w:w="1563" w:type="pct"/>
            <w:tcBorders>
              <w:top w:val="nil"/>
              <w:left w:val="nil"/>
              <w:bottom w:val="nil"/>
              <w:right w:val="nil"/>
            </w:tcBorders>
            <w:shd w:val="clear" w:color="auto" w:fill="auto"/>
            <w:noWrap/>
            <w:vAlign w:val="bottom"/>
            <w:hideMark/>
          </w:tcPr>
          <w:p w14:paraId="5F951CE5"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CVR Partners, LP</w:t>
            </w:r>
          </w:p>
        </w:tc>
        <w:tc>
          <w:tcPr>
            <w:tcW w:w="277" w:type="pct"/>
            <w:tcBorders>
              <w:top w:val="nil"/>
              <w:left w:val="nil"/>
              <w:bottom w:val="nil"/>
              <w:right w:val="nil"/>
            </w:tcBorders>
            <w:shd w:val="clear" w:color="auto" w:fill="auto"/>
            <w:noWrap/>
            <w:vAlign w:val="bottom"/>
            <w:hideMark/>
          </w:tcPr>
          <w:p w14:paraId="7682662A" w14:textId="77777777" w:rsidR="002D69B5" w:rsidRPr="00993726" w:rsidRDefault="002D69B5" w:rsidP="00421AAB">
            <w:pPr>
              <w:spacing w:after="0" w:line="240" w:lineRule="auto"/>
              <w:rPr>
                <w:rFonts w:ascii="Times New Roman" w:eastAsia="Times New Roman" w:hAnsi="Times New Roman"/>
                <w:color w:val="000000"/>
              </w:rPr>
            </w:pPr>
          </w:p>
        </w:tc>
        <w:tc>
          <w:tcPr>
            <w:tcW w:w="1667" w:type="pct"/>
            <w:tcBorders>
              <w:top w:val="nil"/>
              <w:left w:val="nil"/>
              <w:bottom w:val="nil"/>
              <w:right w:val="nil"/>
            </w:tcBorders>
            <w:shd w:val="clear" w:color="auto" w:fill="auto"/>
            <w:noWrap/>
            <w:vAlign w:val="bottom"/>
            <w:hideMark/>
          </w:tcPr>
          <w:p w14:paraId="03964575"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JP Energy Partners LP</w:t>
            </w:r>
          </w:p>
        </w:tc>
        <w:tc>
          <w:tcPr>
            <w:tcW w:w="1493" w:type="pct"/>
            <w:tcBorders>
              <w:top w:val="nil"/>
              <w:left w:val="nil"/>
              <w:bottom w:val="nil"/>
              <w:right w:val="nil"/>
            </w:tcBorders>
            <w:shd w:val="clear" w:color="auto" w:fill="auto"/>
            <w:noWrap/>
            <w:vAlign w:val="bottom"/>
            <w:hideMark/>
          </w:tcPr>
          <w:p w14:paraId="36F35812"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Terra Nitrogen Company, L.P.</w:t>
            </w:r>
          </w:p>
        </w:tc>
      </w:tr>
      <w:tr w:rsidR="002D69B5" w:rsidRPr="00A51DD1" w14:paraId="6287939D" w14:textId="77777777" w:rsidTr="00421AAB">
        <w:trPr>
          <w:trHeight w:val="20"/>
        </w:trPr>
        <w:tc>
          <w:tcPr>
            <w:tcW w:w="1563" w:type="pct"/>
            <w:tcBorders>
              <w:top w:val="nil"/>
              <w:left w:val="nil"/>
              <w:bottom w:val="nil"/>
              <w:right w:val="nil"/>
            </w:tcBorders>
            <w:shd w:val="clear" w:color="auto" w:fill="auto"/>
            <w:noWrap/>
            <w:vAlign w:val="bottom"/>
            <w:hideMark/>
          </w:tcPr>
          <w:p w14:paraId="31AB84C4"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CVR Refining, LP</w:t>
            </w:r>
          </w:p>
        </w:tc>
        <w:tc>
          <w:tcPr>
            <w:tcW w:w="277" w:type="pct"/>
            <w:tcBorders>
              <w:top w:val="nil"/>
              <w:left w:val="nil"/>
              <w:bottom w:val="nil"/>
              <w:right w:val="nil"/>
            </w:tcBorders>
            <w:shd w:val="clear" w:color="auto" w:fill="auto"/>
            <w:noWrap/>
            <w:vAlign w:val="bottom"/>
            <w:hideMark/>
          </w:tcPr>
          <w:p w14:paraId="1C113284" w14:textId="77777777" w:rsidR="002D69B5" w:rsidRPr="00993726" w:rsidRDefault="002D69B5" w:rsidP="00421AAB">
            <w:pPr>
              <w:spacing w:after="0" w:line="240" w:lineRule="auto"/>
              <w:rPr>
                <w:rFonts w:ascii="Times New Roman" w:eastAsia="Times New Roman" w:hAnsi="Times New Roman"/>
                <w:color w:val="000000"/>
              </w:rPr>
            </w:pPr>
          </w:p>
        </w:tc>
        <w:tc>
          <w:tcPr>
            <w:tcW w:w="1667" w:type="pct"/>
            <w:tcBorders>
              <w:top w:val="nil"/>
              <w:left w:val="nil"/>
              <w:bottom w:val="nil"/>
              <w:right w:val="nil"/>
            </w:tcBorders>
            <w:shd w:val="clear" w:color="auto" w:fill="auto"/>
            <w:noWrap/>
            <w:vAlign w:val="bottom"/>
            <w:hideMark/>
          </w:tcPr>
          <w:p w14:paraId="5ACBA73A"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KNOT Offshore Partners LP</w:t>
            </w:r>
          </w:p>
        </w:tc>
        <w:tc>
          <w:tcPr>
            <w:tcW w:w="1493" w:type="pct"/>
            <w:tcBorders>
              <w:top w:val="nil"/>
              <w:left w:val="nil"/>
              <w:bottom w:val="nil"/>
              <w:right w:val="nil"/>
            </w:tcBorders>
            <w:shd w:val="clear" w:color="auto" w:fill="auto"/>
            <w:noWrap/>
            <w:vAlign w:val="bottom"/>
            <w:hideMark/>
          </w:tcPr>
          <w:p w14:paraId="51DB3B87"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Transmontaigne Partners, L.P.</w:t>
            </w:r>
          </w:p>
        </w:tc>
      </w:tr>
      <w:tr w:rsidR="002D69B5" w:rsidRPr="00A51DD1" w14:paraId="243793B2" w14:textId="77777777" w:rsidTr="00421AAB">
        <w:trPr>
          <w:trHeight w:val="20"/>
        </w:trPr>
        <w:tc>
          <w:tcPr>
            <w:tcW w:w="1840" w:type="pct"/>
            <w:gridSpan w:val="2"/>
            <w:tcBorders>
              <w:top w:val="nil"/>
              <w:left w:val="nil"/>
              <w:bottom w:val="nil"/>
              <w:right w:val="nil"/>
            </w:tcBorders>
            <w:shd w:val="clear" w:color="auto" w:fill="auto"/>
            <w:noWrap/>
            <w:vAlign w:val="bottom"/>
            <w:hideMark/>
          </w:tcPr>
          <w:p w14:paraId="0636EB9E"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Calumet Specialty Products Partners,L.P.</w:t>
            </w:r>
          </w:p>
        </w:tc>
        <w:tc>
          <w:tcPr>
            <w:tcW w:w="1667" w:type="pct"/>
            <w:tcBorders>
              <w:top w:val="nil"/>
              <w:left w:val="nil"/>
              <w:bottom w:val="nil"/>
              <w:right w:val="nil"/>
            </w:tcBorders>
            <w:shd w:val="clear" w:color="auto" w:fill="auto"/>
            <w:noWrap/>
            <w:vAlign w:val="bottom"/>
            <w:hideMark/>
          </w:tcPr>
          <w:p w14:paraId="03F9D05D"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Legacy Reserves, L.P.</w:t>
            </w:r>
          </w:p>
        </w:tc>
        <w:tc>
          <w:tcPr>
            <w:tcW w:w="1493" w:type="pct"/>
            <w:tcBorders>
              <w:top w:val="nil"/>
              <w:left w:val="nil"/>
              <w:bottom w:val="nil"/>
              <w:right w:val="nil"/>
            </w:tcBorders>
            <w:shd w:val="clear" w:color="auto" w:fill="auto"/>
            <w:noWrap/>
            <w:vAlign w:val="bottom"/>
            <w:hideMark/>
          </w:tcPr>
          <w:p w14:paraId="21BB2999"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Transocean Partners LLC</w:t>
            </w:r>
          </w:p>
        </w:tc>
      </w:tr>
      <w:tr w:rsidR="002D69B5" w:rsidRPr="00A51DD1" w14:paraId="1490FE1C" w14:textId="77777777" w:rsidTr="00421AAB">
        <w:trPr>
          <w:trHeight w:val="20"/>
        </w:trPr>
        <w:tc>
          <w:tcPr>
            <w:tcW w:w="1563" w:type="pct"/>
            <w:tcBorders>
              <w:top w:val="nil"/>
              <w:left w:val="nil"/>
              <w:bottom w:val="nil"/>
              <w:right w:val="nil"/>
            </w:tcBorders>
            <w:shd w:val="clear" w:color="auto" w:fill="auto"/>
            <w:noWrap/>
            <w:vAlign w:val="bottom"/>
            <w:hideMark/>
          </w:tcPr>
          <w:p w14:paraId="0329E796"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Capital Product Partners L.P.</w:t>
            </w:r>
          </w:p>
        </w:tc>
        <w:tc>
          <w:tcPr>
            <w:tcW w:w="277" w:type="pct"/>
            <w:tcBorders>
              <w:top w:val="nil"/>
              <w:left w:val="nil"/>
              <w:bottom w:val="nil"/>
              <w:right w:val="nil"/>
            </w:tcBorders>
            <w:shd w:val="clear" w:color="auto" w:fill="auto"/>
            <w:noWrap/>
            <w:vAlign w:val="bottom"/>
            <w:hideMark/>
          </w:tcPr>
          <w:p w14:paraId="79A629C0" w14:textId="77777777" w:rsidR="002D69B5" w:rsidRPr="00993726" w:rsidRDefault="002D69B5" w:rsidP="00421AAB">
            <w:pPr>
              <w:spacing w:after="0" w:line="240" w:lineRule="auto"/>
              <w:rPr>
                <w:rFonts w:ascii="Times New Roman" w:eastAsia="Times New Roman" w:hAnsi="Times New Roman"/>
                <w:color w:val="000000"/>
              </w:rPr>
            </w:pPr>
          </w:p>
        </w:tc>
        <w:tc>
          <w:tcPr>
            <w:tcW w:w="1667" w:type="pct"/>
            <w:tcBorders>
              <w:top w:val="nil"/>
              <w:left w:val="nil"/>
              <w:bottom w:val="nil"/>
              <w:right w:val="nil"/>
            </w:tcBorders>
            <w:shd w:val="clear" w:color="auto" w:fill="auto"/>
            <w:noWrap/>
            <w:vAlign w:val="bottom"/>
            <w:hideMark/>
          </w:tcPr>
          <w:p w14:paraId="769C96CC"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MPLX LP</w:t>
            </w:r>
          </w:p>
        </w:tc>
        <w:tc>
          <w:tcPr>
            <w:tcW w:w="1493" w:type="pct"/>
            <w:tcBorders>
              <w:top w:val="nil"/>
              <w:left w:val="nil"/>
              <w:bottom w:val="nil"/>
              <w:right w:val="nil"/>
            </w:tcBorders>
            <w:shd w:val="clear" w:color="auto" w:fill="auto"/>
            <w:noWrap/>
            <w:vAlign w:val="bottom"/>
            <w:hideMark/>
          </w:tcPr>
          <w:p w14:paraId="7051FE2D"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USA Compression Partners, LP</w:t>
            </w:r>
          </w:p>
        </w:tc>
      </w:tr>
      <w:tr w:rsidR="002D69B5" w:rsidRPr="00A51DD1" w14:paraId="001114F6" w14:textId="77777777" w:rsidTr="00421AAB">
        <w:trPr>
          <w:trHeight w:val="20"/>
        </w:trPr>
        <w:tc>
          <w:tcPr>
            <w:tcW w:w="1563" w:type="pct"/>
            <w:tcBorders>
              <w:top w:val="nil"/>
              <w:left w:val="nil"/>
              <w:bottom w:val="nil"/>
              <w:right w:val="nil"/>
            </w:tcBorders>
            <w:shd w:val="clear" w:color="auto" w:fill="auto"/>
            <w:noWrap/>
            <w:vAlign w:val="bottom"/>
            <w:hideMark/>
          </w:tcPr>
          <w:p w14:paraId="19713218"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Cheniere Energy Partners</w:t>
            </w:r>
          </w:p>
        </w:tc>
        <w:tc>
          <w:tcPr>
            <w:tcW w:w="277" w:type="pct"/>
            <w:tcBorders>
              <w:top w:val="nil"/>
              <w:left w:val="nil"/>
              <w:bottom w:val="nil"/>
              <w:right w:val="nil"/>
            </w:tcBorders>
            <w:shd w:val="clear" w:color="auto" w:fill="auto"/>
            <w:noWrap/>
            <w:vAlign w:val="bottom"/>
            <w:hideMark/>
          </w:tcPr>
          <w:p w14:paraId="269B85DB" w14:textId="77777777" w:rsidR="002D69B5" w:rsidRPr="00993726" w:rsidRDefault="002D69B5" w:rsidP="00421AAB">
            <w:pPr>
              <w:spacing w:after="0" w:line="240" w:lineRule="auto"/>
              <w:rPr>
                <w:rFonts w:ascii="Times New Roman" w:eastAsia="Times New Roman" w:hAnsi="Times New Roman"/>
                <w:color w:val="000000"/>
              </w:rPr>
            </w:pPr>
          </w:p>
        </w:tc>
        <w:tc>
          <w:tcPr>
            <w:tcW w:w="1667" w:type="pct"/>
            <w:tcBorders>
              <w:top w:val="nil"/>
              <w:left w:val="nil"/>
              <w:bottom w:val="nil"/>
              <w:right w:val="nil"/>
            </w:tcBorders>
            <w:shd w:val="clear" w:color="auto" w:fill="auto"/>
            <w:noWrap/>
            <w:vAlign w:val="bottom"/>
            <w:hideMark/>
          </w:tcPr>
          <w:p w14:paraId="376AF2CF"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Magellan Midstream Partners, L.P.</w:t>
            </w:r>
          </w:p>
        </w:tc>
        <w:tc>
          <w:tcPr>
            <w:tcW w:w="1493" w:type="pct"/>
            <w:tcBorders>
              <w:top w:val="nil"/>
              <w:left w:val="nil"/>
              <w:bottom w:val="nil"/>
              <w:right w:val="nil"/>
            </w:tcBorders>
            <w:shd w:val="clear" w:color="auto" w:fill="auto"/>
            <w:noWrap/>
            <w:vAlign w:val="bottom"/>
            <w:hideMark/>
          </w:tcPr>
          <w:p w14:paraId="1CF1B748"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USD Partners LP</w:t>
            </w:r>
          </w:p>
        </w:tc>
      </w:tr>
      <w:tr w:rsidR="002D69B5" w:rsidRPr="00A51DD1" w14:paraId="50D32DCA" w14:textId="77777777" w:rsidTr="00421AAB">
        <w:trPr>
          <w:trHeight w:val="20"/>
        </w:trPr>
        <w:tc>
          <w:tcPr>
            <w:tcW w:w="1563" w:type="pct"/>
            <w:tcBorders>
              <w:top w:val="nil"/>
              <w:left w:val="nil"/>
              <w:bottom w:val="nil"/>
              <w:right w:val="nil"/>
            </w:tcBorders>
            <w:shd w:val="clear" w:color="auto" w:fill="auto"/>
            <w:noWrap/>
            <w:vAlign w:val="bottom"/>
            <w:hideMark/>
          </w:tcPr>
          <w:p w14:paraId="2A5DBFA4"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Ciner Resources LP</w:t>
            </w:r>
          </w:p>
        </w:tc>
        <w:tc>
          <w:tcPr>
            <w:tcW w:w="277" w:type="pct"/>
            <w:tcBorders>
              <w:top w:val="nil"/>
              <w:left w:val="nil"/>
              <w:bottom w:val="nil"/>
              <w:right w:val="nil"/>
            </w:tcBorders>
            <w:shd w:val="clear" w:color="auto" w:fill="auto"/>
            <w:noWrap/>
            <w:vAlign w:val="bottom"/>
            <w:hideMark/>
          </w:tcPr>
          <w:p w14:paraId="698DB8BD" w14:textId="77777777" w:rsidR="002D69B5" w:rsidRPr="00993726" w:rsidRDefault="002D69B5" w:rsidP="00421AAB">
            <w:pPr>
              <w:spacing w:after="0" w:line="240" w:lineRule="auto"/>
              <w:rPr>
                <w:rFonts w:ascii="Times New Roman" w:eastAsia="Times New Roman" w:hAnsi="Times New Roman"/>
                <w:color w:val="000000"/>
              </w:rPr>
            </w:pPr>
          </w:p>
        </w:tc>
        <w:tc>
          <w:tcPr>
            <w:tcW w:w="1667" w:type="pct"/>
            <w:tcBorders>
              <w:top w:val="nil"/>
              <w:left w:val="nil"/>
              <w:bottom w:val="nil"/>
              <w:right w:val="nil"/>
            </w:tcBorders>
            <w:shd w:val="clear" w:color="auto" w:fill="auto"/>
            <w:noWrap/>
            <w:vAlign w:val="bottom"/>
            <w:hideMark/>
          </w:tcPr>
          <w:p w14:paraId="7CF5210B"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Martin Midstream Partners, L.P.</w:t>
            </w:r>
          </w:p>
        </w:tc>
        <w:tc>
          <w:tcPr>
            <w:tcW w:w="1493" w:type="pct"/>
            <w:tcBorders>
              <w:top w:val="nil"/>
              <w:left w:val="nil"/>
              <w:bottom w:val="nil"/>
              <w:right w:val="nil"/>
            </w:tcBorders>
            <w:shd w:val="clear" w:color="auto" w:fill="auto"/>
            <w:noWrap/>
            <w:vAlign w:val="bottom"/>
            <w:hideMark/>
          </w:tcPr>
          <w:p w14:paraId="6301A2E6"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VTTI Energy Partners LP</w:t>
            </w:r>
          </w:p>
        </w:tc>
      </w:tr>
      <w:tr w:rsidR="002D69B5" w:rsidRPr="00A51DD1" w14:paraId="7527AA83" w14:textId="77777777" w:rsidTr="00421AAB">
        <w:trPr>
          <w:trHeight w:val="20"/>
        </w:trPr>
        <w:tc>
          <w:tcPr>
            <w:tcW w:w="1563" w:type="pct"/>
            <w:tcBorders>
              <w:top w:val="nil"/>
              <w:left w:val="nil"/>
              <w:bottom w:val="nil"/>
              <w:right w:val="nil"/>
            </w:tcBorders>
            <w:shd w:val="clear" w:color="auto" w:fill="auto"/>
            <w:noWrap/>
            <w:vAlign w:val="bottom"/>
            <w:hideMark/>
          </w:tcPr>
          <w:p w14:paraId="50908F39"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Columbia Pipeline Partners LP</w:t>
            </w:r>
          </w:p>
        </w:tc>
        <w:tc>
          <w:tcPr>
            <w:tcW w:w="277" w:type="pct"/>
            <w:tcBorders>
              <w:top w:val="nil"/>
              <w:left w:val="nil"/>
              <w:bottom w:val="nil"/>
              <w:right w:val="nil"/>
            </w:tcBorders>
            <w:shd w:val="clear" w:color="auto" w:fill="auto"/>
            <w:noWrap/>
            <w:vAlign w:val="bottom"/>
            <w:hideMark/>
          </w:tcPr>
          <w:p w14:paraId="54D36CAD" w14:textId="77777777" w:rsidR="002D69B5" w:rsidRPr="00993726" w:rsidRDefault="002D69B5" w:rsidP="00421AAB">
            <w:pPr>
              <w:spacing w:after="0" w:line="240" w:lineRule="auto"/>
              <w:rPr>
                <w:rFonts w:ascii="Times New Roman" w:eastAsia="Times New Roman" w:hAnsi="Times New Roman"/>
                <w:color w:val="000000"/>
              </w:rPr>
            </w:pPr>
          </w:p>
        </w:tc>
        <w:tc>
          <w:tcPr>
            <w:tcW w:w="1667" w:type="pct"/>
            <w:tcBorders>
              <w:top w:val="nil"/>
              <w:left w:val="nil"/>
              <w:bottom w:val="nil"/>
              <w:right w:val="nil"/>
            </w:tcBorders>
            <w:shd w:val="clear" w:color="auto" w:fill="auto"/>
            <w:noWrap/>
            <w:vAlign w:val="bottom"/>
            <w:hideMark/>
          </w:tcPr>
          <w:p w14:paraId="4DFD0310"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Memorial Production Partners LP</w:t>
            </w:r>
          </w:p>
        </w:tc>
        <w:tc>
          <w:tcPr>
            <w:tcW w:w="1493" w:type="pct"/>
            <w:tcBorders>
              <w:top w:val="nil"/>
              <w:left w:val="nil"/>
              <w:bottom w:val="nil"/>
              <w:right w:val="nil"/>
            </w:tcBorders>
            <w:shd w:val="clear" w:color="auto" w:fill="auto"/>
            <w:noWrap/>
            <w:vAlign w:val="bottom"/>
            <w:hideMark/>
          </w:tcPr>
          <w:p w14:paraId="7E6B4AF6"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Vanguard Natural Resources, LLC</w:t>
            </w:r>
          </w:p>
        </w:tc>
      </w:tr>
      <w:tr w:rsidR="002D69B5" w:rsidRPr="00A51DD1" w14:paraId="63621566" w14:textId="77777777" w:rsidTr="00421AAB">
        <w:trPr>
          <w:trHeight w:val="20"/>
        </w:trPr>
        <w:tc>
          <w:tcPr>
            <w:tcW w:w="1563" w:type="pct"/>
            <w:tcBorders>
              <w:top w:val="nil"/>
              <w:left w:val="nil"/>
              <w:bottom w:val="nil"/>
              <w:right w:val="nil"/>
            </w:tcBorders>
            <w:shd w:val="clear" w:color="auto" w:fill="auto"/>
            <w:noWrap/>
            <w:vAlign w:val="bottom"/>
            <w:hideMark/>
          </w:tcPr>
          <w:p w14:paraId="0DC55A34"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Crestwood Equity Partners LP</w:t>
            </w:r>
          </w:p>
        </w:tc>
        <w:tc>
          <w:tcPr>
            <w:tcW w:w="277" w:type="pct"/>
            <w:tcBorders>
              <w:top w:val="nil"/>
              <w:left w:val="nil"/>
              <w:bottom w:val="nil"/>
              <w:right w:val="nil"/>
            </w:tcBorders>
            <w:shd w:val="clear" w:color="auto" w:fill="auto"/>
            <w:noWrap/>
            <w:vAlign w:val="bottom"/>
            <w:hideMark/>
          </w:tcPr>
          <w:p w14:paraId="6722450B" w14:textId="77777777" w:rsidR="002D69B5" w:rsidRPr="00993726" w:rsidRDefault="002D69B5" w:rsidP="00421AAB">
            <w:pPr>
              <w:spacing w:after="0" w:line="240" w:lineRule="auto"/>
              <w:rPr>
                <w:rFonts w:ascii="Times New Roman" w:eastAsia="Times New Roman" w:hAnsi="Times New Roman"/>
                <w:color w:val="000000"/>
              </w:rPr>
            </w:pPr>
          </w:p>
        </w:tc>
        <w:tc>
          <w:tcPr>
            <w:tcW w:w="1667" w:type="pct"/>
            <w:tcBorders>
              <w:top w:val="nil"/>
              <w:left w:val="nil"/>
              <w:bottom w:val="nil"/>
              <w:right w:val="nil"/>
            </w:tcBorders>
            <w:shd w:val="clear" w:color="auto" w:fill="auto"/>
            <w:noWrap/>
            <w:vAlign w:val="bottom"/>
            <w:hideMark/>
          </w:tcPr>
          <w:p w14:paraId="28BFB421"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Mid-Con Energy Partners, LP</w:t>
            </w:r>
          </w:p>
        </w:tc>
        <w:tc>
          <w:tcPr>
            <w:tcW w:w="1493" w:type="pct"/>
            <w:tcBorders>
              <w:top w:val="nil"/>
              <w:left w:val="nil"/>
              <w:bottom w:val="nil"/>
              <w:right w:val="nil"/>
            </w:tcBorders>
            <w:shd w:val="clear" w:color="auto" w:fill="auto"/>
            <w:noWrap/>
            <w:vAlign w:val="bottom"/>
            <w:hideMark/>
          </w:tcPr>
          <w:p w14:paraId="5D6E1680"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Western Gas Equity Partners, LP</w:t>
            </w:r>
          </w:p>
        </w:tc>
      </w:tr>
      <w:tr w:rsidR="002D69B5" w:rsidRPr="00A51DD1" w14:paraId="1A303FBF" w14:textId="77777777" w:rsidTr="00421AAB">
        <w:trPr>
          <w:trHeight w:val="20"/>
        </w:trPr>
        <w:tc>
          <w:tcPr>
            <w:tcW w:w="1563" w:type="pct"/>
            <w:tcBorders>
              <w:top w:val="nil"/>
              <w:left w:val="nil"/>
              <w:bottom w:val="nil"/>
              <w:right w:val="nil"/>
            </w:tcBorders>
            <w:shd w:val="clear" w:color="auto" w:fill="auto"/>
            <w:noWrap/>
            <w:vAlign w:val="bottom"/>
            <w:hideMark/>
          </w:tcPr>
          <w:p w14:paraId="44DBCF48"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CrossAmerica Partners LP</w:t>
            </w:r>
          </w:p>
        </w:tc>
        <w:tc>
          <w:tcPr>
            <w:tcW w:w="277" w:type="pct"/>
            <w:tcBorders>
              <w:top w:val="nil"/>
              <w:left w:val="nil"/>
              <w:bottom w:val="nil"/>
              <w:right w:val="nil"/>
            </w:tcBorders>
            <w:shd w:val="clear" w:color="auto" w:fill="auto"/>
            <w:noWrap/>
            <w:vAlign w:val="bottom"/>
            <w:hideMark/>
          </w:tcPr>
          <w:p w14:paraId="3FABE635" w14:textId="77777777" w:rsidR="002D69B5" w:rsidRPr="00993726" w:rsidRDefault="002D69B5" w:rsidP="00421AAB">
            <w:pPr>
              <w:spacing w:after="0" w:line="240" w:lineRule="auto"/>
              <w:rPr>
                <w:rFonts w:ascii="Times New Roman" w:eastAsia="Times New Roman" w:hAnsi="Times New Roman"/>
                <w:color w:val="000000"/>
              </w:rPr>
            </w:pPr>
          </w:p>
        </w:tc>
        <w:tc>
          <w:tcPr>
            <w:tcW w:w="1667" w:type="pct"/>
            <w:tcBorders>
              <w:top w:val="nil"/>
              <w:left w:val="nil"/>
              <w:bottom w:val="nil"/>
              <w:right w:val="nil"/>
            </w:tcBorders>
            <w:shd w:val="clear" w:color="auto" w:fill="auto"/>
            <w:noWrap/>
            <w:vAlign w:val="bottom"/>
            <w:hideMark/>
          </w:tcPr>
          <w:p w14:paraId="40AB4C0E"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Midcoast Energy Partners, L.P.</w:t>
            </w:r>
          </w:p>
        </w:tc>
        <w:tc>
          <w:tcPr>
            <w:tcW w:w="1493" w:type="pct"/>
            <w:tcBorders>
              <w:top w:val="nil"/>
              <w:left w:val="nil"/>
              <w:bottom w:val="nil"/>
              <w:right w:val="nil"/>
            </w:tcBorders>
            <w:shd w:val="clear" w:color="auto" w:fill="auto"/>
            <w:noWrap/>
            <w:vAlign w:val="bottom"/>
            <w:hideMark/>
          </w:tcPr>
          <w:p w14:paraId="069195E6"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Western Gas Partners, L.P.</w:t>
            </w:r>
          </w:p>
        </w:tc>
      </w:tr>
      <w:tr w:rsidR="002D69B5" w:rsidRPr="00A51DD1" w14:paraId="67D55BC1" w14:textId="77777777" w:rsidTr="00421AAB">
        <w:trPr>
          <w:trHeight w:val="20"/>
        </w:trPr>
        <w:tc>
          <w:tcPr>
            <w:tcW w:w="1563" w:type="pct"/>
            <w:tcBorders>
              <w:top w:val="nil"/>
              <w:left w:val="nil"/>
              <w:bottom w:val="nil"/>
              <w:right w:val="nil"/>
            </w:tcBorders>
            <w:shd w:val="clear" w:color="auto" w:fill="auto"/>
            <w:noWrap/>
            <w:vAlign w:val="bottom"/>
            <w:hideMark/>
          </w:tcPr>
          <w:p w14:paraId="480A35CA"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Cypress Energy Partners, L.P.</w:t>
            </w:r>
          </w:p>
        </w:tc>
        <w:tc>
          <w:tcPr>
            <w:tcW w:w="277" w:type="pct"/>
            <w:tcBorders>
              <w:top w:val="nil"/>
              <w:left w:val="nil"/>
              <w:bottom w:val="nil"/>
              <w:right w:val="nil"/>
            </w:tcBorders>
            <w:shd w:val="clear" w:color="auto" w:fill="auto"/>
            <w:noWrap/>
            <w:vAlign w:val="bottom"/>
            <w:hideMark/>
          </w:tcPr>
          <w:p w14:paraId="4ABE5116" w14:textId="77777777" w:rsidR="002D69B5" w:rsidRPr="00993726" w:rsidRDefault="002D69B5" w:rsidP="00421AAB">
            <w:pPr>
              <w:spacing w:after="0" w:line="240" w:lineRule="auto"/>
              <w:rPr>
                <w:rFonts w:ascii="Times New Roman" w:eastAsia="Times New Roman" w:hAnsi="Times New Roman"/>
                <w:color w:val="000000"/>
              </w:rPr>
            </w:pPr>
          </w:p>
        </w:tc>
        <w:tc>
          <w:tcPr>
            <w:tcW w:w="1667" w:type="pct"/>
            <w:tcBorders>
              <w:top w:val="nil"/>
              <w:left w:val="nil"/>
              <w:bottom w:val="nil"/>
              <w:right w:val="nil"/>
            </w:tcBorders>
            <w:shd w:val="clear" w:color="auto" w:fill="auto"/>
            <w:noWrap/>
            <w:vAlign w:val="bottom"/>
            <w:hideMark/>
          </w:tcPr>
          <w:p w14:paraId="02399682"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NGL Energy Partners LP</w:t>
            </w:r>
          </w:p>
        </w:tc>
        <w:tc>
          <w:tcPr>
            <w:tcW w:w="1493" w:type="pct"/>
            <w:tcBorders>
              <w:top w:val="nil"/>
              <w:left w:val="nil"/>
              <w:bottom w:val="nil"/>
              <w:right w:val="nil"/>
            </w:tcBorders>
            <w:shd w:val="clear" w:color="auto" w:fill="auto"/>
            <w:noWrap/>
            <w:vAlign w:val="bottom"/>
            <w:hideMark/>
          </w:tcPr>
          <w:p w14:paraId="764FA0B6"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Western Refining Logistics, LP</w:t>
            </w:r>
          </w:p>
        </w:tc>
      </w:tr>
      <w:tr w:rsidR="002D69B5" w:rsidRPr="00A51DD1" w14:paraId="2BFC2AC3" w14:textId="77777777" w:rsidTr="00421AAB">
        <w:trPr>
          <w:trHeight w:val="20"/>
        </w:trPr>
        <w:tc>
          <w:tcPr>
            <w:tcW w:w="1563" w:type="pct"/>
            <w:tcBorders>
              <w:top w:val="nil"/>
              <w:left w:val="nil"/>
              <w:bottom w:val="nil"/>
              <w:right w:val="nil"/>
            </w:tcBorders>
            <w:shd w:val="clear" w:color="auto" w:fill="auto"/>
            <w:noWrap/>
            <w:vAlign w:val="bottom"/>
            <w:hideMark/>
          </w:tcPr>
          <w:p w14:paraId="7F2DF2C5"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DCP Midstream Partners, L.P.</w:t>
            </w:r>
          </w:p>
        </w:tc>
        <w:tc>
          <w:tcPr>
            <w:tcW w:w="277" w:type="pct"/>
            <w:tcBorders>
              <w:top w:val="nil"/>
              <w:left w:val="nil"/>
              <w:bottom w:val="nil"/>
              <w:right w:val="nil"/>
            </w:tcBorders>
            <w:shd w:val="clear" w:color="auto" w:fill="auto"/>
            <w:noWrap/>
            <w:vAlign w:val="bottom"/>
            <w:hideMark/>
          </w:tcPr>
          <w:p w14:paraId="20C772D8" w14:textId="77777777" w:rsidR="002D69B5" w:rsidRPr="00993726" w:rsidRDefault="002D69B5" w:rsidP="00421AAB">
            <w:pPr>
              <w:spacing w:after="0" w:line="240" w:lineRule="auto"/>
              <w:rPr>
                <w:rFonts w:ascii="Times New Roman" w:eastAsia="Times New Roman" w:hAnsi="Times New Roman"/>
                <w:color w:val="000000"/>
              </w:rPr>
            </w:pPr>
          </w:p>
        </w:tc>
        <w:tc>
          <w:tcPr>
            <w:tcW w:w="1667" w:type="pct"/>
            <w:tcBorders>
              <w:top w:val="nil"/>
              <w:left w:val="nil"/>
              <w:bottom w:val="nil"/>
              <w:right w:val="nil"/>
            </w:tcBorders>
            <w:shd w:val="clear" w:color="auto" w:fill="auto"/>
            <w:noWrap/>
            <w:vAlign w:val="bottom"/>
            <w:hideMark/>
          </w:tcPr>
          <w:p w14:paraId="1E8D84F0"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Navios Maritime Midstream Partners L.P.</w:t>
            </w:r>
          </w:p>
        </w:tc>
        <w:tc>
          <w:tcPr>
            <w:tcW w:w="1493" w:type="pct"/>
            <w:tcBorders>
              <w:top w:val="nil"/>
              <w:left w:val="nil"/>
              <w:bottom w:val="nil"/>
              <w:right w:val="nil"/>
            </w:tcBorders>
            <w:shd w:val="clear" w:color="auto" w:fill="auto"/>
            <w:noWrap/>
            <w:vAlign w:val="bottom"/>
            <w:hideMark/>
          </w:tcPr>
          <w:p w14:paraId="3631B511"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Westlake Chemical Partners LP</w:t>
            </w:r>
          </w:p>
        </w:tc>
      </w:tr>
      <w:tr w:rsidR="002D69B5" w:rsidRPr="00A51DD1" w14:paraId="6F241507" w14:textId="77777777" w:rsidTr="00421AAB">
        <w:trPr>
          <w:trHeight w:val="20"/>
        </w:trPr>
        <w:tc>
          <w:tcPr>
            <w:tcW w:w="1563" w:type="pct"/>
            <w:tcBorders>
              <w:top w:val="nil"/>
              <w:left w:val="nil"/>
              <w:right w:val="nil"/>
            </w:tcBorders>
            <w:shd w:val="clear" w:color="auto" w:fill="auto"/>
            <w:noWrap/>
            <w:vAlign w:val="bottom"/>
            <w:hideMark/>
          </w:tcPr>
          <w:p w14:paraId="04014FAA"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Delek Logistics Partners, LP</w:t>
            </w:r>
          </w:p>
        </w:tc>
        <w:tc>
          <w:tcPr>
            <w:tcW w:w="277" w:type="pct"/>
            <w:tcBorders>
              <w:top w:val="nil"/>
              <w:left w:val="nil"/>
              <w:right w:val="nil"/>
            </w:tcBorders>
            <w:shd w:val="clear" w:color="auto" w:fill="auto"/>
            <w:noWrap/>
            <w:vAlign w:val="bottom"/>
            <w:hideMark/>
          </w:tcPr>
          <w:p w14:paraId="4159D18C" w14:textId="77777777" w:rsidR="002D69B5" w:rsidRPr="00993726" w:rsidRDefault="002D69B5" w:rsidP="00421AAB">
            <w:pPr>
              <w:spacing w:after="0" w:line="240" w:lineRule="auto"/>
              <w:rPr>
                <w:rFonts w:ascii="Times New Roman" w:eastAsia="Times New Roman" w:hAnsi="Times New Roman"/>
                <w:color w:val="000000"/>
              </w:rPr>
            </w:pPr>
          </w:p>
        </w:tc>
        <w:tc>
          <w:tcPr>
            <w:tcW w:w="1667" w:type="pct"/>
            <w:tcBorders>
              <w:top w:val="nil"/>
              <w:left w:val="nil"/>
              <w:right w:val="nil"/>
            </w:tcBorders>
            <w:shd w:val="clear" w:color="auto" w:fill="auto"/>
            <w:noWrap/>
            <w:vAlign w:val="bottom"/>
            <w:hideMark/>
          </w:tcPr>
          <w:p w14:paraId="2DC8C8D1"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NuStar Energy, L.P.</w:t>
            </w:r>
          </w:p>
        </w:tc>
        <w:tc>
          <w:tcPr>
            <w:tcW w:w="1493" w:type="pct"/>
            <w:tcBorders>
              <w:top w:val="nil"/>
              <w:left w:val="nil"/>
              <w:right w:val="nil"/>
            </w:tcBorders>
            <w:shd w:val="clear" w:color="auto" w:fill="auto"/>
            <w:noWrap/>
            <w:vAlign w:val="bottom"/>
            <w:hideMark/>
          </w:tcPr>
          <w:p w14:paraId="0ACCD56B"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Westmoreland Resource Partners, LP</w:t>
            </w:r>
          </w:p>
        </w:tc>
      </w:tr>
      <w:tr w:rsidR="002D69B5" w:rsidRPr="00A51DD1" w14:paraId="71CBC9FC" w14:textId="77777777" w:rsidTr="00421AAB">
        <w:trPr>
          <w:trHeight w:val="20"/>
        </w:trPr>
        <w:tc>
          <w:tcPr>
            <w:tcW w:w="1563" w:type="pct"/>
            <w:tcBorders>
              <w:top w:val="nil"/>
              <w:left w:val="nil"/>
              <w:bottom w:val="single" w:sz="4" w:space="0" w:color="auto"/>
              <w:right w:val="nil"/>
            </w:tcBorders>
            <w:shd w:val="clear" w:color="auto" w:fill="auto"/>
            <w:noWrap/>
            <w:vAlign w:val="bottom"/>
            <w:hideMark/>
          </w:tcPr>
          <w:p w14:paraId="56479F5C"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Dominion Midstream Partners, LP</w:t>
            </w:r>
          </w:p>
        </w:tc>
        <w:tc>
          <w:tcPr>
            <w:tcW w:w="277" w:type="pct"/>
            <w:tcBorders>
              <w:top w:val="nil"/>
              <w:left w:val="nil"/>
              <w:bottom w:val="single" w:sz="4" w:space="0" w:color="auto"/>
              <w:right w:val="nil"/>
            </w:tcBorders>
            <w:shd w:val="clear" w:color="auto" w:fill="auto"/>
            <w:noWrap/>
            <w:vAlign w:val="bottom"/>
            <w:hideMark/>
          </w:tcPr>
          <w:p w14:paraId="14B962F8" w14:textId="77777777" w:rsidR="002D69B5" w:rsidRPr="00993726" w:rsidRDefault="002D69B5" w:rsidP="00421AAB">
            <w:pPr>
              <w:spacing w:after="0" w:line="240" w:lineRule="auto"/>
              <w:rPr>
                <w:rFonts w:ascii="Times New Roman" w:eastAsia="Times New Roman" w:hAnsi="Times New Roman"/>
                <w:color w:val="000000"/>
              </w:rPr>
            </w:pPr>
          </w:p>
        </w:tc>
        <w:tc>
          <w:tcPr>
            <w:tcW w:w="1667" w:type="pct"/>
            <w:tcBorders>
              <w:top w:val="nil"/>
              <w:left w:val="nil"/>
              <w:bottom w:val="single" w:sz="4" w:space="0" w:color="auto"/>
              <w:right w:val="nil"/>
            </w:tcBorders>
            <w:shd w:val="clear" w:color="auto" w:fill="auto"/>
            <w:noWrap/>
            <w:vAlign w:val="bottom"/>
            <w:hideMark/>
          </w:tcPr>
          <w:p w14:paraId="27166FB4"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NuStar GP Holdings, LLC</w:t>
            </w:r>
          </w:p>
        </w:tc>
        <w:tc>
          <w:tcPr>
            <w:tcW w:w="1493" w:type="pct"/>
            <w:tcBorders>
              <w:top w:val="nil"/>
              <w:left w:val="nil"/>
              <w:bottom w:val="single" w:sz="4" w:space="0" w:color="auto"/>
              <w:right w:val="nil"/>
            </w:tcBorders>
            <w:shd w:val="clear" w:color="auto" w:fill="auto"/>
            <w:noWrap/>
            <w:vAlign w:val="bottom"/>
            <w:hideMark/>
          </w:tcPr>
          <w:p w14:paraId="22C81B4B" w14:textId="77777777" w:rsidR="002D69B5" w:rsidRPr="00993726" w:rsidRDefault="002D69B5" w:rsidP="00421AAB">
            <w:pPr>
              <w:spacing w:after="0" w:line="240" w:lineRule="auto"/>
              <w:rPr>
                <w:rFonts w:ascii="Times New Roman" w:eastAsia="Times New Roman" w:hAnsi="Times New Roman"/>
                <w:color w:val="000000"/>
              </w:rPr>
            </w:pPr>
            <w:r w:rsidRPr="00993726">
              <w:rPr>
                <w:rFonts w:ascii="Times New Roman" w:eastAsia="Times New Roman" w:hAnsi="Times New Roman"/>
                <w:color w:val="000000"/>
              </w:rPr>
              <w:t>World Point Terminals, LP</w:t>
            </w:r>
          </w:p>
        </w:tc>
      </w:tr>
    </w:tbl>
    <w:p w14:paraId="3210BC2A" w14:textId="77777777" w:rsidR="002D69B5" w:rsidRPr="00A51DD1" w:rsidRDefault="002D69B5" w:rsidP="002D69B5">
      <w:pPr>
        <w:rPr>
          <w:sz w:val="24"/>
          <w:szCs w:val="24"/>
        </w:rPr>
      </w:pPr>
    </w:p>
    <w:p w14:paraId="20D8DD18" w14:textId="77777777" w:rsidR="00D63C62" w:rsidRPr="00A51DD1" w:rsidRDefault="00D63C62" w:rsidP="00B81F6A">
      <w:pPr>
        <w:jc w:val="center"/>
        <w:rPr>
          <w:rFonts w:ascii="Times New Roman" w:hAnsi="Times New Roman"/>
          <w:b/>
          <w:sz w:val="24"/>
          <w:szCs w:val="24"/>
        </w:rPr>
        <w:sectPr w:rsidR="00D63C62" w:rsidRPr="00A51DD1" w:rsidSect="002D69B5">
          <w:pgSz w:w="15840" w:h="12240" w:orient="landscape"/>
          <w:pgMar w:top="1440" w:right="1440" w:bottom="1440" w:left="1440" w:header="720" w:footer="720" w:gutter="0"/>
          <w:cols w:space="720"/>
          <w:docGrid w:linePitch="360"/>
        </w:sectPr>
      </w:pPr>
    </w:p>
    <w:p w14:paraId="49904EFF" w14:textId="5F281C77" w:rsidR="00B81F6A" w:rsidRPr="00EB7C2F" w:rsidRDefault="00B81F6A" w:rsidP="00B81F6A">
      <w:pPr>
        <w:jc w:val="center"/>
        <w:rPr>
          <w:rFonts w:ascii="Times New Roman" w:hAnsi="Times New Roman"/>
          <w:b/>
          <w:sz w:val="20"/>
          <w:szCs w:val="20"/>
        </w:rPr>
      </w:pPr>
      <w:r w:rsidRPr="00EB7C2F">
        <w:rPr>
          <w:rFonts w:ascii="Times New Roman" w:hAnsi="Times New Roman"/>
          <w:b/>
          <w:sz w:val="20"/>
          <w:szCs w:val="20"/>
        </w:rPr>
        <w:t>Table 1 - Sample Distribution</w:t>
      </w:r>
    </w:p>
    <w:tbl>
      <w:tblPr>
        <w:tblW w:w="4952" w:type="pct"/>
        <w:tblLook w:val="04A0" w:firstRow="1" w:lastRow="0" w:firstColumn="1" w:lastColumn="0" w:noHBand="0" w:noVBand="1"/>
      </w:tblPr>
      <w:tblGrid>
        <w:gridCol w:w="4142"/>
        <w:gridCol w:w="89"/>
        <w:gridCol w:w="899"/>
        <w:gridCol w:w="1350"/>
        <w:gridCol w:w="89"/>
        <w:gridCol w:w="1090"/>
        <w:gridCol w:w="258"/>
        <w:gridCol w:w="1353"/>
      </w:tblGrid>
      <w:tr w:rsidR="00844891" w:rsidRPr="00EB7C2F" w14:paraId="09CB1BD4" w14:textId="77777777" w:rsidTr="00844891">
        <w:trPr>
          <w:trHeight w:val="20"/>
        </w:trPr>
        <w:tc>
          <w:tcPr>
            <w:tcW w:w="2234" w:type="pct"/>
            <w:tcBorders>
              <w:top w:val="single" w:sz="4" w:space="0" w:color="auto"/>
              <w:left w:val="nil"/>
              <w:bottom w:val="single" w:sz="4" w:space="0" w:color="auto"/>
              <w:right w:val="nil"/>
            </w:tcBorders>
            <w:shd w:val="clear" w:color="auto" w:fill="auto"/>
            <w:noWrap/>
            <w:vAlign w:val="bottom"/>
            <w:hideMark/>
          </w:tcPr>
          <w:p w14:paraId="3EA76AA3" w14:textId="77777777" w:rsidR="00844891" w:rsidRPr="00EB7C2F" w:rsidRDefault="00844891" w:rsidP="00844891">
            <w:pPr>
              <w:spacing w:after="0" w:line="240" w:lineRule="auto"/>
              <w:contextualSpacing/>
              <w:rPr>
                <w:rFonts w:ascii="Times New Roman" w:eastAsia="Times New Roman" w:hAnsi="Times New Roman"/>
                <w:b/>
                <w:bCs/>
                <w:i/>
                <w:iCs/>
                <w:color w:val="000000"/>
                <w:sz w:val="20"/>
                <w:szCs w:val="20"/>
              </w:rPr>
            </w:pPr>
            <w:r w:rsidRPr="00EB7C2F">
              <w:rPr>
                <w:rFonts w:ascii="Times New Roman" w:eastAsia="Times New Roman" w:hAnsi="Times New Roman"/>
                <w:b/>
                <w:bCs/>
                <w:i/>
                <w:iCs/>
                <w:color w:val="000000"/>
                <w:sz w:val="20"/>
                <w:szCs w:val="20"/>
              </w:rPr>
              <w:t>Year</w:t>
            </w:r>
          </w:p>
        </w:tc>
        <w:tc>
          <w:tcPr>
            <w:tcW w:w="1261" w:type="pct"/>
            <w:gridSpan w:val="3"/>
            <w:tcBorders>
              <w:top w:val="single" w:sz="4" w:space="0" w:color="auto"/>
              <w:left w:val="nil"/>
              <w:bottom w:val="single" w:sz="4" w:space="0" w:color="auto"/>
              <w:right w:val="nil"/>
            </w:tcBorders>
            <w:shd w:val="clear" w:color="auto" w:fill="auto"/>
            <w:noWrap/>
            <w:vAlign w:val="bottom"/>
            <w:hideMark/>
          </w:tcPr>
          <w:p w14:paraId="37B2CF93" w14:textId="77777777" w:rsidR="00844891" w:rsidRPr="00EB7C2F" w:rsidRDefault="00844891" w:rsidP="00844891">
            <w:pPr>
              <w:spacing w:after="0" w:line="240" w:lineRule="auto"/>
              <w:contextualSpacing/>
              <w:rPr>
                <w:rFonts w:ascii="Times New Roman" w:eastAsia="Times New Roman" w:hAnsi="Times New Roman"/>
                <w:b/>
                <w:bCs/>
                <w:i/>
                <w:iCs/>
                <w:color w:val="000000"/>
                <w:sz w:val="20"/>
                <w:szCs w:val="20"/>
              </w:rPr>
            </w:pPr>
            <w:r w:rsidRPr="00EB7C2F">
              <w:rPr>
                <w:rFonts w:ascii="Times New Roman" w:eastAsia="Times New Roman" w:hAnsi="Times New Roman"/>
                <w:b/>
                <w:bCs/>
                <w:i/>
                <w:iCs/>
                <w:color w:val="000000"/>
                <w:sz w:val="20"/>
                <w:szCs w:val="20"/>
              </w:rPr>
              <w:t>MLPs</w:t>
            </w:r>
          </w:p>
        </w:tc>
        <w:tc>
          <w:tcPr>
            <w:tcW w:w="775" w:type="pct"/>
            <w:gridSpan w:val="3"/>
            <w:tcBorders>
              <w:top w:val="single" w:sz="4" w:space="0" w:color="auto"/>
              <w:left w:val="nil"/>
              <w:bottom w:val="single" w:sz="4" w:space="0" w:color="auto"/>
              <w:right w:val="nil"/>
            </w:tcBorders>
            <w:shd w:val="clear" w:color="auto" w:fill="auto"/>
            <w:noWrap/>
            <w:vAlign w:val="bottom"/>
            <w:hideMark/>
          </w:tcPr>
          <w:p w14:paraId="61D20481" w14:textId="77777777" w:rsidR="00844891" w:rsidRPr="00EB7C2F" w:rsidRDefault="00844891" w:rsidP="00844891">
            <w:pPr>
              <w:spacing w:after="0" w:line="240" w:lineRule="auto"/>
              <w:contextualSpacing/>
              <w:rPr>
                <w:rFonts w:ascii="Times New Roman" w:eastAsia="Times New Roman" w:hAnsi="Times New Roman"/>
                <w:b/>
                <w:bCs/>
                <w:i/>
                <w:iCs/>
                <w:color w:val="000000"/>
                <w:sz w:val="20"/>
                <w:szCs w:val="20"/>
              </w:rPr>
            </w:pPr>
            <w:r w:rsidRPr="00EB7C2F">
              <w:rPr>
                <w:rFonts w:ascii="Times New Roman" w:eastAsia="Times New Roman" w:hAnsi="Times New Roman"/>
                <w:b/>
                <w:bCs/>
                <w:i/>
                <w:iCs/>
                <w:color w:val="000000"/>
                <w:sz w:val="20"/>
                <w:szCs w:val="20"/>
              </w:rPr>
              <w:t>All Non-MLPs</w:t>
            </w:r>
          </w:p>
        </w:tc>
        <w:tc>
          <w:tcPr>
            <w:tcW w:w="730" w:type="pct"/>
            <w:tcBorders>
              <w:top w:val="single" w:sz="4" w:space="0" w:color="auto"/>
              <w:left w:val="nil"/>
              <w:bottom w:val="single" w:sz="4" w:space="0" w:color="auto"/>
              <w:right w:val="nil"/>
            </w:tcBorders>
          </w:tcPr>
          <w:p w14:paraId="5103BB5A" w14:textId="77777777" w:rsidR="00844891" w:rsidRPr="00EB7C2F" w:rsidRDefault="00844891" w:rsidP="00844891">
            <w:pPr>
              <w:spacing w:after="0" w:line="240" w:lineRule="auto"/>
              <w:ind w:left="835" w:hanging="835"/>
              <w:contextualSpacing/>
              <w:rPr>
                <w:rFonts w:ascii="Times New Roman" w:eastAsia="Times New Roman" w:hAnsi="Times New Roman"/>
                <w:b/>
                <w:bCs/>
                <w:i/>
                <w:iCs/>
                <w:color w:val="000000"/>
                <w:sz w:val="20"/>
                <w:szCs w:val="20"/>
              </w:rPr>
            </w:pPr>
          </w:p>
        </w:tc>
      </w:tr>
      <w:tr w:rsidR="00844891" w:rsidRPr="00EB7C2F" w14:paraId="108395A7" w14:textId="759C76C0" w:rsidTr="00844891">
        <w:trPr>
          <w:trHeight w:val="20"/>
        </w:trPr>
        <w:tc>
          <w:tcPr>
            <w:tcW w:w="2282" w:type="pct"/>
            <w:gridSpan w:val="2"/>
            <w:tcBorders>
              <w:top w:val="nil"/>
              <w:left w:val="nil"/>
              <w:bottom w:val="single" w:sz="4" w:space="0" w:color="auto"/>
              <w:right w:val="nil"/>
            </w:tcBorders>
            <w:shd w:val="clear" w:color="auto" w:fill="auto"/>
            <w:noWrap/>
            <w:vAlign w:val="bottom"/>
            <w:hideMark/>
          </w:tcPr>
          <w:p w14:paraId="3A729A81" w14:textId="48A84EA6" w:rsidR="00844891" w:rsidRPr="00EB7C2F" w:rsidRDefault="00844891" w:rsidP="003D16BE">
            <w:pPr>
              <w:spacing w:after="0" w:line="240" w:lineRule="auto"/>
              <w:contextualSpacing/>
              <w:rPr>
                <w:rFonts w:ascii="Times New Roman" w:eastAsia="Times New Roman" w:hAnsi="Times New Roman"/>
                <w:b/>
                <w:bCs/>
                <w:i/>
                <w:iCs/>
                <w:color w:val="000000"/>
                <w:sz w:val="20"/>
                <w:szCs w:val="20"/>
              </w:rPr>
            </w:pPr>
          </w:p>
        </w:tc>
        <w:tc>
          <w:tcPr>
            <w:tcW w:w="485" w:type="pct"/>
            <w:tcBorders>
              <w:top w:val="nil"/>
              <w:left w:val="nil"/>
              <w:bottom w:val="single" w:sz="4" w:space="0" w:color="auto"/>
              <w:right w:val="nil"/>
            </w:tcBorders>
            <w:shd w:val="clear" w:color="auto" w:fill="auto"/>
            <w:noWrap/>
            <w:vAlign w:val="bottom"/>
            <w:hideMark/>
          </w:tcPr>
          <w:p w14:paraId="599E0B32" w14:textId="77777777" w:rsidR="00844891" w:rsidRPr="00EB7C2F" w:rsidRDefault="00844891" w:rsidP="003D16BE">
            <w:pPr>
              <w:spacing w:after="0" w:line="240" w:lineRule="auto"/>
              <w:contextualSpacing/>
              <w:rPr>
                <w:rFonts w:ascii="Times New Roman" w:eastAsia="Times New Roman" w:hAnsi="Times New Roman"/>
                <w:b/>
                <w:bCs/>
                <w:i/>
                <w:iCs/>
                <w:color w:val="000000"/>
                <w:sz w:val="20"/>
                <w:szCs w:val="20"/>
              </w:rPr>
            </w:pPr>
            <w:r w:rsidRPr="00EB7C2F">
              <w:rPr>
                <w:rFonts w:ascii="Times New Roman" w:eastAsia="Times New Roman" w:hAnsi="Times New Roman"/>
                <w:b/>
                <w:bCs/>
                <w:i/>
                <w:iCs/>
                <w:color w:val="000000"/>
                <w:sz w:val="20"/>
                <w:szCs w:val="20"/>
              </w:rPr>
              <w:t>N</w:t>
            </w:r>
          </w:p>
        </w:tc>
        <w:tc>
          <w:tcPr>
            <w:tcW w:w="776" w:type="pct"/>
            <w:gridSpan w:val="2"/>
            <w:tcBorders>
              <w:top w:val="nil"/>
              <w:left w:val="nil"/>
              <w:bottom w:val="single" w:sz="4" w:space="0" w:color="auto"/>
              <w:right w:val="nil"/>
            </w:tcBorders>
            <w:shd w:val="clear" w:color="auto" w:fill="auto"/>
            <w:noWrap/>
            <w:vAlign w:val="bottom"/>
            <w:hideMark/>
          </w:tcPr>
          <w:p w14:paraId="1F20702E" w14:textId="77777777" w:rsidR="00844891" w:rsidRPr="00EB7C2F" w:rsidRDefault="00844891" w:rsidP="003D16BE">
            <w:pPr>
              <w:spacing w:after="0" w:line="240" w:lineRule="auto"/>
              <w:contextualSpacing/>
              <w:rPr>
                <w:rFonts w:ascii="Times New Roman" w:eastAsia="Times New Roman" w:hAnsi="Times New Roman"/>
                <w:b/>
                <w:bCs/>
                <w:i/>
                <w:iCs/>
                <w:color w:val="000000"/>
                <w:sz w:val="20"/>
                <w:szCs w:val="20"/>
              </w:rPr>
            </w:pPr>
            <w:r w:rsidRPr="00EB7C2F">
              <w:rPr>
                <w:rFonts w:ascii="Times New Roman" w:eastAsia="Times New Roman" w:hAnsi="Times New Roman"/>
                <w:b/>
                <w:bCs/>
                <w:i/>
                <w:iCs/>
                <w:color w:val="000000"/>
                <w:sz w:val="20"/>
                <w:szCs w:val="20"/>
              </w:rPr>
              <w:t>%</w:t>
            </w:r>
          </w:p>
        </w:tc>
        <w:tc>
          <w:tcPr>
            <w:tcW w:w="588" w:type="pct"/>
            <w:tcBorders>
              <w:top w:val="nil"/>
              <w:left w:val="nil"/>
              <w:bottom w:val="single" w:sz="4" w:space="0" w:color="auto"/>
              <w:right w:val="nil"/>
            </w:tcBorders>
            <w:shd w:val="clear" w:color="auto" w:fill="auto"/>
            <w:noWrap/>
            <w:vAlign w:val="bottom"/>
            <w:hideMark/>
          </w:tcPr>
          <w:p w14:paraId="519E94EC" w14:textId="77777777" w:rsidR="00844891" w:rsidRPr="00EB7C2F" w:rsidRDefault="00844891" w:rsidP="003D16BE">
            <w:pPr>
              <w:spacing w:after="0" w:line="240" w:lineRule="auto"/>
              <w:contextualSpacing/>
              <w:rPr>
                <w:rFonts w:ascii="Times New Roman" w:eastAsia="Times New Roman" w:hAnsi="Times New Roman"/>
                <w:b/>
                <w:bCs/>
                <w:i/>
                <w:iCs/>
                <w:color w:val="000000"/>
                <w:sz w:val="20"/>
                <w:szCs w:val="20"/>
              </w:rPr>
            </w:pPr>
            <w:r w:rsidRPr="00EB7C2F">
              <w:rPr>
                <w:rFonts w:ascii="Times New Roman" w:eastAsia="Times New Roman" w:hAnsi="Times New Roman"/>
                <w:b/>
                <w:bCs/>
                <w:i/>
                <w:iCs/>
                <w:color w:val="000000"/>
                <w:sz w:val="20"/>
                <w:szCs w:val="20"/>
              </w:rPr>
              <w:t>N</w:t>
            </w:r>
          </w:p>
        </w:tc>
        <w:tc>
          <w:tcPr>
            <w:tcW w:w="868" w:type="pct"/>
            <w:gridSpan w:val="2"/>
            <w:tcBorders>
              <w:top w:val="nil"/>
              <w:left w:val="nil"/>
              <w:bottom w:val="single" w:sz="4" w:space="0" w:color="auto"/>
              <w:right w:val="nil"/>
            </w:tcBorders>
            <w:shd w:val="clear" w:color="auto" w:fill="auto"/>
            <w:noWrap/>
            <w:vAlign w:val="bottom"/>
            <w:hideMark/>
          </w:tcPr>
          <w:p w14:paraId="4BC3FAC0" w14:textId="41DD3CFC" w:rsidR="00844891" w:rsidRPr="00EB7C2F" w:rsidRDefault="00844891" w:rsidP="003D16BE">
            <w:pPr>
              <w:spacing w:after="0" w:line="240" w:lineRule="auto"/>
              <w:contextualSpacing/>
              <w:rPr>
                <w:rFonts w:ascii="Times New Roman" w:eastAsia="Times New Roman" w:hAnsi="Times New Roman"/>
                <w:b/>
                <w:bCs/>
                <w:i/>
                <w:iCs/>
                <w:color w:val="000000"/>
                <w:sz w:val="20"/>
                <w:szCs w:val="20"/>
              </w:rPr>
            </w:pPr>
            <w:r w:rsidRPr="00EB7C2F">
              <w:rPr>
                <w:rFonts w:ascii="Times New Roman" w:eastAsia="Times New Roman" w:hAnsi="Times New Roman"/>
                <w:b/>
                <w:bCs/>
                <w:i/>
                <w:iCs/>
                <w:color w:val="000000"/>
                <w:sz w:val="20"/>
                <w:szCs w:val="20"/>
              </w:rPr>
              <w:t>%</w:t>
            </w:r>
          </w:p>
        </w:tc>
      </w:tr>
      <w:tr w:rsidR="00844891" w:rsidRPr="00EB7C2F" w14:paraId="6FD3767B" w14:textId="77777777" w:rsidTr="00844891">
        <w:trPr>
          <w:trHeight w:val="20"/>
        </w:trPr>
        <w:tc>
          <w:tcPr>
            <w:tcW w:w="2282" w:type="pct"/>
            <w:gridSpan w:val="2"/>
            <w:tcBorders>
              <w:top w:val="nil"/>
              <w:left w:val="nil"/>
              <w:bottom w:val="nil"/>
              <w:right w:val="nil"/>
            </w:tcBorders>
            <w:shd w:val="clear" w:color="auto" w:fill="auto"/>
            <w:noWrap/>
            <w:vAlign w:val="bottom"/>
            <w:hideMark/>
          </w:tcPr>
          <w:p w14:paraId="2846A303" w14:textId="77777777" w:rsidR="00844891" w:rsidRPr="00EB7C2F" w:rsidRDefault="00844891" w:rsidP="009348CC">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1995</w:t>
            </w:r>
          </w:p>
        </w:tc>
        <w:tc>
          <w:tcPr>
            <w:tcW w:w="485" w:type="pct"/>
            <w:tcBorders>
              <w:top w:val="nil"/>
              <w:left w:val="nil"/>
              <w:bottom w:val="nil"/>
              <w:right w:val="nil"/>
            </w:tcBorders>
            <w:shd w:val="clear" w:color="auto" w:fill="auto"/>
            <w:noWrap/>
            <w:vAlign w:val="bottom"/>
            <w:hideMark/>
          </w:tcPr>
          <w:p w14:paraId="38E876D1"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3</w:t>
            </w:r>
          </w:p>
        </w:tc>
        <w:tc>
          <w:tcPr>
            <w:tcW w:w="776" w:type="pct"/>
            <w:gridSpan w:val="2"/>
            <w:tcBorders>
              <w:top w:val="nil"/>
              <w:left w:val="nil"/>
              <w:bottom w:val="nil"/>
              <w:right w:val="nil"/>
            </w:tcBorders>
            <w:shd w:val="clear" w:color="auto" w:fill="auto"/>
            <w:noWrap/>
            <w:vAlign w:val="bottom"/>
            <w:hideMark/>
          </w:tcPr>
          <w:p w14:paraId="492309C4"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0.47</w:t>
            </w:r>
          </w:p>
        </w:tc>
        <w:tc>
          <w:tcPr>
            <w:tcW w:w="588" w:type="pct"/>
            <w:tcBorders>
              <w:top w:val="nil"/>
              <w:left w:val="nil"/>
              <w:bottom w:val="nil"/>
              <w:right w:val="nil"/>
            </w:tcBorders>
            <w:shd w:val="clear" w:color="auto" w:fill="auto"/>
            <w:noWrap/>
            <w:vAlign w:val="bottom"/>
            <w:hideMark/>
          </w:tcPr>
          <w:p w14:paraId="603A75E0"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430</w:t>
            </w:r>
          </w:p>
        </w:tc>
        <w:tc>
          <w:tcPr>
            <w:tcW w:w="868" w:type="pct"/>
            <w:gridSpan w:val="2"/>
            <w:tcBorders>
              <w:top w:val="nil"/>
              <w:left w:val="nil"/>
              <w:bottom w:val="nil"/>
              <w:right w:val="nil"/>
            </w:tcBorders>
            <w:shd w:val="clear" w:color="auto" w:fill="auto"/>
            <w:noWrap/>
            <w:vAlign w:val="bottom"/>
            <w:hideMark/>
          </w:tcPr>
          <w:p w14:paraId="3DC8EBC4"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5.71</w:t>
            </w:r>
          </w:p>
        </w:tc>
      </w:tr>
      <w:tr w:rsidR="00844891" w:rsidRPr="00EB7C2F" w14:paraId="7654D2B0" w14:textId="77777777" w:rsidTr="00844891">
        <w:trPr>
          <w:trHeight w:val="20"/>
        </w:trPr>
        <w:tc>
          <w:tcPr>
            <w:tcW w:w="2282" w:type="pct"/>
            <w:gridSpan w:val="2"/>
            <w:tcBorders>
              <w:top w:val="nil"/>
              <w:left w:val="nil"/>
              <w:bottom w:val="nil"/>
              <w:right w:val="nil"/>
            </w:tcBorders>
            <w:shd w:val="clear" w:color="auto" w:fill="auto"/>
            <w:noWrap/>
            <w:vAlign w:val="bottom"/>
            <w:hideMark/>
          </w:tcPr>
          <w:p w14:paraId="1E7548B1" w14:textId="77777777" w:rsidR="00844891" w:rsidRPr="00EB7C2F" w:rsidRDefault="00844891" w:rsidP="009348CC">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1996</w:t>
            </w:r>
          </w:p>
        </w:tc>
        <w:tc>
          <w:tcPr>
            <w:tcW w:w="485" w:type="pct"/>
            <w:tcBorders>
              <w:top w:val="nil"/>
              <w:left w:val="nil"/>
              <w:bottom w:val="nil"/>
              <w:right w:val="nil"/>
            </w:tcBorders>
            <w:shd w:val="clear" w:color="auto" w:fill="auto"/>
            <w:noWrap/>
            <w:vAlign w:val="bottom"/>
            <w:hideMark/>
          </w:tcPr>
          <w:p w14:paraId="14727975"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7</w:t>
            </w:r>
          </w:p>
        </w:tc>
        <w:tc>
          <w:tcPr>
            <w:tcW w:w="776" w:type="pct"/>
            <w:gridSpan w:val="2"/>
            <w:tcBorders>
              <w:top w:val="nil"/>
              <w:left w:val="nil"/>
              <w:bottom w:val="nil"/>
              <w:right w:val="nil"/>
            </w:tcBorders>
            <w:shd w:val="clear" w:color="auto" w:fill="auto"/>
            <w:noWrap/>
            <w:vAlign w:val="bottom"/>
            <w:hideMark/>
          </w:tcPr>
          <w:p w14:paraId="06AA381A"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1.09</w:t>
            </w:r>
          </w:p>
        </w:tc>
        <w:tc>
          <w:tcPr>
            <w:tcW w:w="588" w:type="pct"/>
            <w:tcBorders>
              <w:top w:val="nil"/>
              <w:left w:val="nil"/>
              <w:bottom w:val="nil"/>
              <w:right w:val="nil"/>
            </w:tcBorders>
            <w:shd w:val="clear" w:color="auto" w:fill="auto"/>
            <w:noWrap/>
            <w:vAlign w:val="bottom"/>
            <w:hideMark/>
          </w:tcPr>
          <w:p w14:paraId="4B36F292"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445</w:t>
            </w:r>
          </w:p>
        </w:tc>
        <w:tc>
          <w:tcPr>
            <w:tcW w:w="868" w:type="pct"/>
            <w:gridSpan w:val="2"/>
            <w:tcBorders>
              <w:top w:val="nil"/>
              <w:left w:val="nil"/>
              <w:bottom w:val="nil"/>
              <w:right w:val="nil"/>
            </w:tcBorders>
            <w:shd w:val="clear" w:color="auto" w:fill="auto"/>
            <w:noWrap/>
            <w:vAlign w:val="bottom"/>
            <w:hideMark/>
          </w:tcPr>
          <w:p w14:paraId="16049C90"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5.91</w:t>
            </w:r>
          </w:p>
        </w:tc>
      </w:tr>
      <w:tr w:rsidR="00844891" w:rsidRPr="00EB7C2F" w14:paraId="0BEFEE54" w14:textId="77777777" w:rsidTr="00844891">
        <w:trPr>
          <w:trHeight w:val="20"/>
        </w:trPr>
        <w:tc>
          <w:tcPr>
            <w:tcW w:w="2282" w:type="pct"/>
            <w:gridSpan w:val="2"/>
            <w:tcBorders>
              <w:top w:val="nil"/>
              <w:left w:val="nil"/>
              <w:bottom w:val="nil"/>
              <w:right w:val="nil"/>
            </w:tcBorders>
            <w:shd w:val="clear" w:color="auto" w:fill="auto"/>
            <w:noWrap/>
            <w:vAlign w:val="bottom"/>
            <w:hideMark/>
          </w:tcPr>
          <w:p w14:paraId="2F23A113" w14:textId="77777777" w:rsidR="00844891" w:rsidRPr="00EB7C2F" w:rsidRDefault="00844891" w:rsidP="009348CC">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1997</w:t>
            </w:r>
          </w:p>
        </w:tc>
        <w:tc>
          <w:tcPr>
            <w:tcW w:w="485" w:type="pct"/>
            <w:tcBorders>
              <w:top w:val="nil"/>
              <w:left w:val="nil"/>
              <w:bottom w:val="nil"/>
              <w:right w:val="nil"/>
            </w:tcBorders>
            <w:shd w:val="clear" w:color="auto" w:fill="auto"/>
            <w:noWrap/>
            <w:vAlign w:val="bottom"/>
            <w:hideMark/>
          </w:tcPr>
          <w:p w14:paraId="04E7288D"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9</w:t>
            </w:r>
          </w:p>
        </w:tc>
        <w:tc>
          <w:tcPr>
            <w:tcW w:w="776" w:type="pct"/>
            <w:gridSpan w:val="2"/>
            <w:tcBorders>
              <w:top w:val="nil"/>
              <w:left w:val="nil"/>
              <w:bottom w:val="nil"/>
              <w:right w:val="nil"/>
            </w:tcBorders>
            <w:shd w:val="clear" w:color="auto" w:fill="auto"/>
            <w:noWrap/>
            <w:vAlign w:val="bottom"/>
            <w:hideMark/>
          </w:tcPr>
          <w:p w14:paraId="330B6A1D"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1.4</w:t>
            </w:r>
          </w:p>
        </w:tc>
        <w:tc>
          <w:tcPr>
            <w:tcW w:w="588" w:type="pct"/>
            <w:tcBorders>
              <w:top w:val="nil"/>
              <w:left w:val="nil"/>
              <w:bottom w:val="nil"/>
              <w:right w:val="nil"/>
            </w:tcBorders>
            <w:shd w:val="clear" w:color="auto" w:fill="auto"/>
            <w:noWrap/>
            <w:vAlign w:val="bottom"/>
            <w:hideMark/>
          </w:tcPr>
          <w:p w14:paraId="57F2998C"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436</w:t>
            </w:r>
          </w:p>
        </w:tc>
        <w:tc>
          <w:tcPr>
            <w:tcW w:w="868" w:type="pct"/>
            <w:gridSpan w:val="2"/>
            <w:tcBorders>
              <w:top w:val="nil"/>
              <w:left w:val="nil"/>
              <w:bottom w:val="nil"/>
              <w:right w:val="nil"/>
            </w:tcBorders>
            <w:shd w:val="clear" w:color="auto" w:fill="auto"/>
            <w:noWrap/>
            <w:vAlign w:val="bottom"/>
            <w:hideMark/>
          </w:tcPr>
          <w:p w14:paraId="10F986D9"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5.79</w:t>
            </w:r>
          </w:p>
        </w:tc>
      </w:tr>
      <w:tr w:rsidR="00844891" w:rsidRPr="00EB7C2F" w14:paraId="23AAD5F2" w14:textId="77777777" w:rsidTr="00844891">
        <w:trPr>
          <w:trHeight w:val="20"/>
        </w:trPr>
        <w:tc>
          <w:tcPr>
            <w:tcW w:w="2282" w:type="pct"/>
            <w:gridSpan w:val="2"/>
            <w:tcBorders>
              <w:top w:val="nil"/>
              <w:left w:val="nil"/>
              <w:bottom w:val="nil"/>
              <w:right w:val="nil"/>
            </w:tcBorders>
            <w:shd w:val="clear" w:color="auto" w:fill="auto"/>
            <w:noWrap/>
            <w:vAlign w:val="bottom"/>
            <w:hideMark/>
          </w:tcPr>
          <w:p w14:paraId="0E96C6D0" w14:textId="77777777" w:rsidR="00844891" w:rsidRPr="00EB7C2F" w:rsidRDefault="00844891" w:rsidP="009348CC">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1998</w:t>
            </w:r>
          </w:p>
        </w:tc>
        <w:tc>
          <w:tcPr>
            <w:tcW w:w="485" w:type="pct"/>
            <w:tcBorders>
              <w:top w:val="nil"/>
              <w:left w:val="nil"/>
              <w:bottom w:val="nil"/>
              <w:right w:val="nil"/>
            </w:tcBorders>
            <w:shd w:val="clear" w:color="auto" w:fill="auto"/>
            <w:noWrap/>
            <w:vAlign w:val="bottom"/>
            <w:hideMark/>
          </w:tcPr>
          <w:p w14:paraId="4955D92D"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11</w:t>
            </w:r>
          </w:p>
        </w:tc>
        <w:tc>
          <w:tcPr>
            <w:tcW w:w="776" w:type="pct"/>
            <w:gridSpan w:val="2"/>
            <w:tcBorders>
              <w:top w:val="nil"/>
              <w:left w:val="nil"/>
              <w:bottom w:val="nil"/>
              <w:right w:val="nil"/>
            </w:tcBorders>
            <w:shd w:val="clear" w:color="auto" w:fill="auto"/>
            <w:noWrap/>
            <w:vAlign w:val="bottom"/>
            <w:hideMark/>
          </w:tcPr>
          <w:p w14:paraId="7D79755A"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1.71</w:t>
            </w:r>
          </w:p>
        </w:tc>
        <w:tc>
          <w:tcPr>
            <w:tcW w:w="588" w:type="pct"/>
            <w:tcBorders>
              <w:top w:val="nil"/>
              <w:left w:val="nil"/>
              <w:bottom w:val="nil"/>
              <w:right w:val="nil"/>
            </w:tcBorders>
            <w:shd w:val="clear" w:color="auto" w:fill="auto"/>
            <w:noWrap/>
            <w:vAlign w:val="bottom"/>
            <w:hideMark/>
          </w:tcPr>
          <w:p w14:paraId="3797EE03"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422</w:t>
            </w:r>
          </w:p>
        </w:tc>
        <w:tc>
          <w:tcPr>
            <w:tcW w:w="868" w:type="pct"/>
            <w:gridSpan w:val="2"/>
            <w:tcBorders>
              <w:top w:val="nil"/>
              <w:left w:val="nil"/>
              <w:bottom w:val="nil"/>
              <w:right w:val="nil"/>
            </w:tcBorders>
            <w:shd w:val="clear" w:color="auto" w:fill="auto"/>
            <w:noWrap/>
            <w:vAlign w:val="bottom"/>
            <w:hideMark/>
          </w:tcPr>
          <w:p w14:paraId="5A92CDB8"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5.6</w:t>
            </w:r>
          </w:p>
        </w:tc>
      </w:tr>
      <w:tr w:rsidR="00844891" w:rsidRPr="00EB7C2F" w14:paraId="7389AE38" w14:textId="77777777" w:rsidTr="00844891">
        <w:trPr>
          <w:trHeight w:val="20"/>
        </w:trPr>
        <w:tc>
          <w:tcPr>
            <w:tcW w:w="2282" w:type="pct"/>
            <w:gridSpan w:val="2"/>
            <w:tcBorders>
              <w:top w:val="nil"/>
              <w:left w:val="nil"/>
              <w:bottom w:val="nil"/>
              <w:right w:val="nil"/>
            </w:tcBorders>
            <w:shd w:val="clear" w:color="auto" w:fill="auto"/>
            <w:noWrap/>
            <w:vAlign w:val="bottom"/>
            <w:hideMark/>
          </w:tcPr>
          <w:p w14:paraId="6BDE67AC" w14:textId="77777777" w:rsidR="00844891" w:rsidRPr="00EB7C2F" w:rsidRDefault="00844891" w:rsidP="009348CC">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1999</w:t>
            </w:r>
          </w:p>
        </w:tc>
        <w:tc>
          <w:tcPr>
            <w:tcW w:w="485" w:type="pct"/>
            <w:tcBorders>
              <w:top w:val="nil"/>
              <w:left w:val="nil"/>
              <w:bottom w:val="nil"/>
              <w:right w:val="nil"/>
            </w:tcBorders>
            <w:shd w:val="clear" w:color="auto" w:fill="auto"/>
            <w:noWrap/>
            <w:vAlign w:val="bottom"/>
            <w:hideMark/>
          </w:tcPr>
          <w:p w14:paraId="4E3C2B9E"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11</w:t>
            </w:r>
          </w:p>
        </w:tc>
        <w:tc>
          <w:tcPr>
            <w:tcW w:w="776" w:type="pct"/>
            <w:gridSpan w:val="2"/>
            <w:tcBorders>
              <w:top w:val="nil"/>
              <w:left w:val="nil"/>
              <w:bottom w:val="nil"/>
              <w:right w:val="nil"/>
            </w:tcBorders>
            <w:shd w:val="clear" w:color="auto" w:fill="auto"/>
            <w:noWrap/>
            <w:vAlign w:val="bottom"/>
            <w:hideMark/>
          </w:tcPr>
          <w:p w14:paraId="7562293B"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1.71</w:t>
            </w:r>
          </w:p>
        </w:tc>
        <w:tc>
          <w:tcPr>
            <w:tcW w:w="588" w:type="pct"/>
            <w:tcBorders>
              <w:top w:val="nil"/>
              <w:left w:val="nil"/>
              <w:bottom w:val="nil"/>
              <w:right w:val="nil"/>
            </w:tcBorders>
            <w:shd w:val="clear" w:color="auto" w:fill="auto"/>
            <w:noWrap/>
            <w:vAlign w:val="bottom"/>
            <w:hideMark/>
          </w:tcPr>
          <w:p w14:paraId="51D4BEA9"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370</w:t>
            </w:r>
          </w:p>
        </w:tc>
        <w:tc>
          <w:tcPr>
            <w:tcW w:w="868" w:type="pct"/>
            <w:gridSpan w:val="2"/>
            <w:tcBorders>
              <w:top w:val="nil"/>
              <w:left w:val="nil"/>
              <w:bottom w:val="nil"/>
              <w:right w:val="nil"/>
            </w:tcBorders>
            <w:shd w:val="clear" w:color="auto" w:fill="auto"/>
            <w:noWrap/>
            <w:vAlign w:val="bottom"/>
            <w:hideMark/>
          </w:tcPr>
          <w:p w14:paraId="69A3278B"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4.91</w:t>
            </w:r>
          </w:p>
        </w:tc>
      </w:tr>
      <w:tr w:rsidR="00844891" w:rsidRPr="00EB7C2F" w14:paraId="04E1C44F" w14:textId="77777777" w:rsidTr="00844891">
        <w:trPr>
          <w:trHeight w:val="20"/>
        </w:trPr>
        <w:tc>
          <w:tcPr>
            <w:tcW w:w="2282" w:type="pct"/>
            <w:gridSpan w:val="2"/>
            <w:tcBorders>
              <w:top w:val="nil"/>
              <w:left w:val="nil"/>
              <w:bottom w:val="nil"/>
              <w:right w:val="nil"/>
            </w:tcBorders>
            <w:shd w:val="clear" w:color="auto" w:fill="auto"/>
            <w:noWrap/>
            <w:vAlign w:val="bottom"/>
            <w:hideMark/>
          </w:tcPr>
          <w:p w14:paraId="03ED90E2" w14:textId="77777777" w:rsidR="00844891" w:rsidRPr="00EB7C2F" w:rsidRDefault="00844891" w:rsidP="009348CC">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2000</w:t>
            </w:r>
          </w:p>
        </w:tc>
        <w:tc>
          <w:tcPr>
            <w:tcW w:w="485" w:type="pct"/>
            <w:tcBorders>
              <w:top w:val="nil"/>
              <w:left w:val="nil"/>
              <w:bottom w:val="nil"/>
              <w:right w:val="nil"/>
            </w:tcBorders>
            <w:shd w:val="clear" w:color="auto" w:fill="auto"/>
            <w:noWrap/>
            <w:vAlign w:val="bottom"/>
            <w:hideMark/>
          </w:tcPr>
          <w:p w14:paraId="4BDBEF5D"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11</w:t>
            </w:r>
          </w:p>
        </w:tc>
        <w:tc>
          <w:tcPr>
            <w:tcW w:w="776" w:type="pct"/>
            <w:gridSpan w:val="2"/>
            <w:tcBorders>
              <w:top w:val="nil"/>
              <w:left w:val="nil"/>
              <w:bottom w:val="nil"/>
              <w:right w:val="nil"/>
            </w:tcBorders>
            <w:shd w:val="clear" w:color="auto" w:fill="auto"/>
            <w:noWrap/>
            <w:vAlign w:val="bottom"/>
            <w:hideMark/>
          </w:tcPr>
          <w:p w14:paraId="4F7AA4A4"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1.71</w:t>
            </w:r>
          </w:p>
        </w:tc>
        <w:tc>
          <w:tcPr>
            <w:tcW w:w="588" w:type="pct"/>
            <w:tcBorders>
              <w:top w:val="nil"/>
              <w:left w:val="nil"/>
              <w:bottom w:val="nil"/>
              <w:right w:val="nil"/>
            </w:tcBorders>
            <w:shd w:val="clear" w:color="auto" w:fill="auto"/>
            <w:noWrap/>
            <w:vAlign w:val="bottom"/>
            <w:hideMark/>
          </w:tcPr>
          <w:p w14:paraId="2F0B09F6"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348</w:t>
            </w:r>
          </w:p>
        </w:tc>
        <w:tc>
          <w:tcPr>
            <w:tcW w:w="868" w:type="pct"/>
            <w:gridSpan w:val="2"/>
            <w:tcBorders>
              <w:top w:val="nil"/>
              <w:left w:val="nil"/>
              <w:bottom w:val="nil"/>
              <w:right w:val="nil"/>
            </w:tcBorders>
            <w:shd w:val="clear" w:color="auto" w:fill="auto"/>
            <w:noWrap/>
            <w:vAlign w:val="bottom"/>
            <w:hideMark/>
          </w:tcPr>
          <w:p w14:paraId="5589E8CC"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4.62</w:t>
            </w:r>
          </w:p>
        </w:tc>
      </w:tr>
      <w:tr w:rsidR="00844891" w:rsidRPr="00EB7C2F" w14:paraId="51B1E9DC" w14:textId="77777777" w:rsidTr="00844891">
        <w:trPr>
          <w:trHeight w:val="20"/>
        </w:trPr>
        <w:tc>
          <w:tcPr>
            <w:tcW w:w="2282" w:type="pct"/>
            <w:gridSpan w:val="2"/>
            <w:tcBorders>
              <w:top w:val="nil"/>
              <w:left w:val="nil"/>
              <w:bottom w:val="nil"/>
              <w:right w:val="nil"/>
            </w:tcBorders>
            <w:shd w:val="clear" w:color="auto" w:fill="auto"/>
            <w:noWrap/>
            <w:vAlign w:val="bottom"/>
            <w:hideMark/>
          </w:tcPr>
          <w:p w14:paraId="6434C9B6" w14:textId="77777777" w:rsidR="00844891" w:rsidRPr="00EB7C2F" w:rsidRDefault="00844891" w:rsidP="009348CC">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2001</w:t>
            </w:r>
          </w:p>
        </w:tc>
        <w:tc>
          <w:tcPr>
            <w:tcW w:w="485" w:type="pct"/>
            <w:tcBorders>
              <w:top w:val="nil"/>
              <w:left w:val="nil"/>
              <w:bottom w:val="nil"/>
              <w:right w:val="nil"/>
            </w:tcBorders>
            <w:shd w:val="clear" w:color="auto" w:fill="auto"/>
            <w:noWrap/>
            <w:vAlign w:val="bottom"/>
            <w:hideMark/>
          </w:tcPr>
          <w:p w14:paraId="582B421A"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11</w:t>
            </w:r>
          </w:p>
        </w:tc>
        <w:tc>
          <w:tcPr>
            <w:tcW w:w="776" w:type="pct"/>
            <w:gridSpan w:val="2"/>
            <w:tcBorders>
              <w:top w:val="nil"/>
              <w:left w:val="nil"/>
              <w:bottom w:val="nil"/>
              <w:right w:val="nil"/>
            </w:tcBorders>
            <w:shd w:val="clear" w:color="auto" w:fill="auto"/>
            <w:noWrap/>
            <w:vAlign w:val="bottom"/>
            <w:hideMark/>
          </w:tcPr>
          <w:p w14:paraId="0E93CA5F"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1.71</w:t>
            </w:r>
          </w:p>
        </w:tc>
        <w:tc>
          <w:tcPr>
            <w:tcW w:w="588" w:type="pct"/>
            <w:tcBorders>
              <w:top w:val="nil"/>
              <w:left w:val="nil"/>
              <w:bottom w:val="nil"/>
              <w:right w:val="nil"/>
            </w:tcBorders>
            <w:shd w:val="clear" w:color="auto" w:fill="auto"/>
            <w:noWrap/>
            <w:vAlign w:val="bottom"/>
            <w:hideMark/>
          </w:tcPr>
          <w:p w14:paraId="56C759B4"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325</w:t>
            </w:r>
          </w:p>
        </w:tc>
        <w:tc>
          <w:tcPr>
            <w:tcW w:w="868" w:type="pct"/>
            <w:gridSpan w:val="2"/>
            <w:tcBorders>
              <w:top w:val="nil"/>
              <w:left w:val="nil"/>
              <w:bottom w:val="nil"/>
              <w:right w:val="nil"/>
            </w:tcBorders>
            <w:shd w:val="clear" w:color="auto" w:fill="auto"/>
            <w:noWrap/>
            <w:vAlign w:val="bottom"/>
            <w:hideMark/>
          </w:tcPr>
          <w:p w14:paraId="38C93B43"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4.31</w:t>
            </w:r>
          </w:p>
        </w:tc>
      </w:tr>
      <w:tr w:rsidR="00844891" w:rsidRPr="00EB7C2F" w14:paraId="2F028FE2" w14:textId="77777777" w:rsidTr="00844891">
        <w:trPr>
          <w:trHeight w:val="20"/>
        </w:trPr>
        <w:tc>
          <w:tcPr>
            <w:tcW w:w="2282" w:type="pct"/>
            <w:gridSpan w:val="2"/>
            <w:tcBorders>
              <w:top w:val="nil"/>
              <w:left w:val="nil"/>
              <w:bottom w:val="nil"/>
              <w:right w:val="nil"/>
            </w:tcBorders>
            <w:shd w:val="clear" w:color="auto" w:fill="auto"/>
            <w:noWrap/>
            <w:vAlign w:val="bottom"/>
            <w:hideMark/>
          </w:tcPr>
          <w:p w14:paraId="31658D3E" w14:textId="77777777" w:rsidR="00844891" w:rsidRPr="00EB7C2F" w:rsidRDefault="00844891" w:rsidP="009348CC">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2002</w:t>
            </w:r>
          </w:p>
        </w:tc>
        <w:tc>
          <w:tcPr>
            <w:tcW w:w="485" w:type="pct"/>
            <w:tcBorders>
              <w:top w:val="nil"/>
              <w:left w:val="nil"/>
              <w:bottom w:val="nil"/>
              <w:right w:val="nil"/>
            </w:tcBorders>
            <w:shd w:val="clear" w:color="auto" w:fill="auto"/>
            <w:noWrap/>
            <w:vAlign w:val="bottom"/>
            <w:hideMark/>
          </w:tcPr>
          <w:p w14:paraId="1FE841B7"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13</w:t>
            </w:r>
          </w:p>
        </w:tc>
        <w:tc>
          <w:tcPr>
            <w:tcW w:w="776" w:type="pct"/>
            <w:gridSpan w:val="2"/>
            <w:tcBorders>
              <w:top w:val="nil"/>
              <w:left w:val="nil"/>
              <w:bottom w:val="nil"/>
              <w:right w:val="nil"/>
            </w:tcBorders>
            <w:shd w:val="clear" w:color="auto" w:fill="auto"/>
            <w:noWrap/>
            <w:vAlign w:val="bottom"/>
            <w:hideMark/>
          </w:tcPr>
          <w:p w14:paraId="2C2DDA2E"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2.02</w:t>
            </w:r>
          </w:p>
        </w:tc>
        <w:tc>
          <w:tcPr>
            <w:tcW w:w="588" w:type="pct"/>
            <w:tcBorders>
              <w:top w:val="nil"/>
              <w:left w:val="nil"/>
              <w:bottom w:val="nil"/>
              <w:right w:val="nil"/>
            </w:tcBorders>
            <w:shd w:val="clear" w:color="auto" w:fill="auto"/>
            <w:noWrap/>
            <w:vAlign w:val="bottom"/>
            <w:hideMark/>
          </w:tcPr>
          <w:p w14:paraId="7617E23C"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304</w:t>
            </w:r>
          </w:p>
        </w:tc>
        <w:tc>
          <w:tcPr>
            <w:tcW w:w="868" w:type="pct"/>
            <w:gridSpan w:val="2"/>
            <w:tcBorders>
              <w:top w:val="nil"/>
              <w:left w:val="nil"/>
              <w:bottom w:val="nil"/>
              <w:right w:val="nil"/>
            </w:tcBorders>
            <w:shd w:val="clear" w:color="auto" w:fill="auto"/>
            <w:noWrap/>
            <w:vAlign w:val="bottom"/>
            <w:hideMark/>
          </w:tcPr>
          <w:p w14:paraId="0D4F1B99"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4.04</w:t>
            </w:r>
          </w:p>
        </w:tc>
      </w:tr>
      <w:tr w:rsidR="00844891" w:rsidRPr="00EB7C2F" w14:paraId="2E0094B7" w14:textId="77777777" w:rsidTr="00844891">
        <w:trPr>
          <w:trHeight w:val="20"/>
        </w:trPr>
        <w:tc>
          <w:tcPr>
            <w:tcW w:w="2282" w:type="pct"/>
            <w:gridSpan w:val="2"/>
            <w:tcBorders>
              <w:top w:val="nil"/>
              <w:left w:val="nil"/>
              <w:bottom w:val="nil"/>
              <w:right w:val="nil"/>
            </w:tcBorders>
            <w:shd w:val="clear" w:color="auto" w:fill="auto"/>
            <w:noWrap/>
            <w:vAlign w:val="bottom"/>
            <w:hideMark/>
          </w:tcPr>
          <w:p w14:paraId="1056AA92" w14:textId="77777777" w:rsidR="00844891" w:rsidRPr="00EB7C2F" w:rsidRDefault="00844891" w:rsidP="009348CC">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2003</w:t>
            </w:r>
          </w:p>
        </w:tc>
        <w:tc>
          <w:tcPr>
            <w:tcW w:w="485" w:type="pct"/>
            <w:tcBorders>
              <w:top w:val="nil"/>
              <w:left w:val="nil"/>
              <w:bottom w:val="nil"/>
              <w:right w:val="nil"/>
            </w:tcBorders>
            <w:shd w:val="clear" w:color="auto" w:fill="auto"/>
            <w:noWrap/>
            <w:vAlign w:val="bottom"/>
            <w:hideMark/>
          </w:tcPr>
          <w:p w14:paraId="67DA51DE"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14</w:t>
            </w:r>
          </w:p>
        </w:tc>
        <w:tc>
          <w:tcPr>
            <w:tcW w:w="776" w:type="pct"/>
            <w:gridSpan w:val="2"/>
            <w:tcBorders>
              <w:top w:val="nil"/>
              <w:left w:val="nil"/>
              <w:bottom w:val="nil"/>
              <w:right w:val="nil"/>
            </w:tcBorders>
            <w:shd w:val="clear" w:color="auto" w:fill="auto"/>
            <w:noWrap/>
            <w:vAlign w:val="bottom"/>
            <w:hideMark/>
          </w:tcPr>
          <w:p w14:paraId="3D839FA5"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2.17</w:t>
            </w:r>
          </w:p>
        </w:tc>
        <w:tc>
          <w:tcPr>
            <w:tcW w:w="588" w:type="pct"/>
            <w:tcBorders>
              <w:top w:val="nil"/>
              <w:left w:val="nil"/>
              <w:bottom w:val="nil"/>
              <w:right w:val="nil"/>
            </w:tcBorders>
            <w:shd w:val="clear" w:color="auto" w:fill="auto"/>
            <w:noWrap/>
            <w:vAlign w:val="bottom"/>
            <w:hideMark/>
          </w:tcPr>
          <w:p w14:paraId="7D90494A"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298</w:t>
            </w:r>
          </w:p>
        </w:tc>
        <w:tc>
          <w:tcPr>
            <w:tcW w:w="868" w:type="pct"/>
            <w:gridSpan w:val="2"/>
            <w:tcBorders>
              <w:top w:val="nil"/>
              <w:left w:val="nil"/>
              <w:bottom w:val="nil"/>
              <w:right w:val="nil"/>
            </w:tcBorders>
            <w:shd w:val="clear" w:color="auto" w:fill="auto"/>
            <w:noWrap/>
            <w:vAlign w:val="bottom"/>
            <w:hideMark/>
          </w:tcPr>
          <w:p w14:paraId="23589F9C"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3.96</w:t>
            </w:r>
          </w:p>
        </w:tc>
      </w:tr>
      <w:tr w:rsidR="00844891" w:rsidRPr="00EB7C2F" w14:paraId="09C96C71" w14:textId="77777777" w:rsidTr="00844891">
        <w:trPr>
          <w:trHeight w:val="20"/>
        </w:trPr>
        <w:tc>
          <w:tcPr>
            <w:tcW w:w="2282" w:type="pct"/>
            <w:gridSpan w:val="2"/>
            <w:tcBorders>
              <w:top w:val="nil"/>
              <w:left w:val="nil"/>
              <w:bottom w:val="nil"/>
              <w:right w:val="nil"/>
            </w:tcBorders>
            <w:shd w:val="clear" w:color="auto" w:fill="auto"/>
            <w:noWrap/>
            <w:vAlign w:val="bottom"/>
            <w:hideMark/>
          </w:tcPr>
          <w:p w14:paraId="6755F38A" w14:textId="77777777" w:rsidR="00844891" w:rsidRPr="00EB7C2F" w:rsidRDefault="00844891" w:rsidP="009348CC">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2004</w:t>
            </w:r>
          </w:p>
        </w:tc>
        <w:tc>
          <w:tcPr>
            <w:tcW w:w="485" w:type="pct"/>
            <w:tcBorders>
              <w:top w:val="nil"/>
              <w:left w:val="nil"/>
              <w:bottom w:val="nil"/>
              <w:right w:val="nil"/>
            </w:tcBorders>
            <w:shd w:val="clear" w:color="auto" w:fill="auto"/>
            <w:noWrap/>
            <w:vAlign w:val="bottom"/>
            <w:hideMark/>
          </w:tcPr>
          <w:p w14:paraId="676CE4C6"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14</w:t>
            </w:r>
          </w:p>
        </w:tc>
        <w:tc>
          <w:tcPr>
            <w:tcW w:w="776" w:type="pct"/>
            <w:gridSpan w:val="2"/>
            <w:tcBorders>
              <w:top w:val="nil"/>
              <w:left w:val="nil"/>
              <w:bottom w:val="nil"/>
              <w:right w:val="nil"/>
            </w:tcBorders>
            <w:shd w:val="clear" w:color="auto" w:fill="auto"/>
            <w:noWrap/>
            <w:vAlign w:val="bottom"/>
            <w:hideMark/>
          </w:tcPr>
          <w:p w14:paraId="5791727E"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2.17</w:t>
            </w:r>
          </w:p>
        </w:tc>
        <w:tc>
          <w:tcPr>
            <w:tcW w:w="588" w:type="pct"/>
            <w:tcBorders>
              <w:top w:val="nil"/>
              <w:left w:val="nil"/>
              <w:bottom w:val="nil"/>
              <w:right w:val="nil"/>
            </w:tcBorders>
            <w:shd w:val="clear" w:color="auto" w:fill="auto"/>
            <w:noWrap/>
            <w:vAlign w:val="bottom"/>
            <w:hideMark/>
          </w:tcPr>
          <w:p w14:paraId="01E24191"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306</w:t>
            </w:r>
          </w:p>
        </w:tc>
        <w:tc>
          <w:tcPr>
            <w:tcW w:w="868" w:type="pct"/>
            <w:gridSpan w:val="2"/>
            <w:tcBorders>
              <w:top w:val="nil"/>
              <w:left w:val="nil"/>
              <w:bottom w:val="nil"/>
              <w:right w:val="nil"/>
            </w:tcBorders>
            <w:shd w:val="clear" w:color="auto" w:fill="auto"/>
            <w:noWrap/>
            <w:vAlign w:val="bottom"/>
            <w:hideMark/>
          </w:tcPr>
          <w:p w14:paraId="5FF9F978"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4.06</w:t>
            </w:r>
          </w:p>
        </w:tc>
      </w:tr>
      <w:tr w:rsidR="00844891" w:rsidRPr="00EB7C2F" w14:paraId="1761640C" w14:textId="77777777" w:rsidTr="00844891">
        <w:trPr>
          <w:trHeight w:val="20"/>
        </w:trPr>
        <w:tc>
          <w:tcPr>
            <w:tcW w:w="2282" w:type="pct"/>
            <w:gridSpan w:val="2"/>
            <w:tcBorders>
              <w:top w:val="nil"/>
              <w:left w:val="nil"/>
              <w:bottom w:val="nil"/>
              <w:right w:val="nil"/>
            </w:tcBorders>
            <w:shd w:val="clear" w:color="auto" w:fill="auto"/>
            <w:noWrap/>
            <w:vAlign w:val="bottom"/>
            <w:hideMark/>
          </w:tcPr>
          <w:p w14:paraId="0F51F0E3" w14:textId="77777777" w:rsidR="00844891" w:rsidRPr="00EB7C2F" w:rsidRDefault="00844891" w:rsidP="009348CC">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2005</w:t>
            </w:r>
          </w:p>
        </w:tc>
        <w:tc>
          <w:tcPr>
            <w:tcW w:w="485" w:type="pct"/>
            <w:tcBorders>
              <w:top w:val="nil"/>
              <w:left w:val="nil"/>
              <w:bottom w:val="nil"/>
              <w:right w:val="nil"/>
            </w:tcBorders>
            <w:shd w:val="clear" w:color="auto" w:fill="auto"/>
            <w:noWrap/>
            <w:vAlign w:val="bottom"/>
            <w:hideMark/>
          </w:tcPr>
          <w:p w14:paraId="5592F307"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17</w:t>
            </w:r>
          </w:p>
        </w:tc>
        <w:tc>
          <w:tcPr>
            <w:tcW w:w="776" w:type="pct"/>
            <w:gridSpan w:val="2"/>
            <w:tcBorders>
              <w:top w:val="nil"/>
              <w:left w:val="nil"/>
              <w:bottom w:val="nil"/>
              <w:right w:val="nil"/>
            </w:tcBorders>
            <w:shd w:val="clear" w:color="auto" w:fill="auto"/>
            <w:noWrap/>
            <w:vAlign w:val="bottom"/>
            <w:hideMark/>
          </w:tcPr>
          <w:p w14:paraId="01824716"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2.64</w:t>
            </w:r>
          </w:p>
        </w:tc>
        <w:tc>
          <w:tcPr>
            <w:tcW w:w="588" w:type="pct"/>
            <w:tcBorders>
              <w:top w:val="nil"/>
              <w:left w:val="nil"/>
              <w:bottom w:val="nil"/>
              <w:right w:val="nil"/>
            </w:tcBorders>
            <w:shd w:val="clear" w:color="auto" w:fill="auto"/>
            <w:noWrap/>
            <w:vAlign w:val="bottom"/>
            <w:hideMark/>
          </w:tcPr>
          <w:p w14:paraId="7DEDCDE9"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331</w:t>
            </w:r>
          </w:p>
        </w:tc>
        <w:tc>
          <w:tcPr>
            <w:tcW w:w="868" w:type="pct"/>
            <w:gridSpan w:val="2"/>
            <w:tcBorders>
              <w:top w:val="nil"/>
              <w:left w:val="nil"/>
              <w:bottom w:val="nil"/>
              <w:right w:val="nil"/>
            </w:tcBorders>
            <w:shd w:val="clear" w:color="auto" w:fill="auto"/>
            <w:noWrap/>
            <w:vAlign w:val="bottom"/>
            <w:hideMark/>
          </w:tcPr>
          <w:p w14:paraId="27016952"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4.39</w:t>
            </w:r>
          </w:p>
        </w:tc>
      </w:tr>
      <w:tr w:rsidR="00844891" w:rsidRPr="00EB7C2F" w14:paraId="6A36A769" w14:textId="77777777" w:rsidTr="00844891">
        <w:trPr>
          <w:trHeight w:val="20"/>
        </w:trPr>
        <w:tc>
          <w:tcPr>
            <w:tcW w:w="2282" w:type="pct"/>
            <w:gridSpan w:val="2"/>
            <w:tcBorders>
              <w:top w:val="nil"/>
              <w:left w:val="nil"/>
              <w:bottom w:val="nil"/>
              <w:right w:val="nil"/>
            </w:tcBorders>
            <w:shd w:val="clear" w:color="auto" w:fill="auto"/>
            <w:noWrap/>
            <w:vAlign w:val="bottom"/>
            <w:hideMark/>
          </w:tcPr>
          <w:p w14:paraId="0E47E30D" w14:textId="77777777" w:rsidR="00844891" w:rsidRPr="00EB7C2F" w:rsidRDefault="00844891" w:rsidP="009348CC">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2006</w:t>
            </w:r>
          </w:p>
        </w:tc>
        <w:tc>
          <w:tcPr>
            <w:tcW w:w="485" w:type="pct"/>
            <w:tcBorders>
              <w:top w:val="nil"/>
              <w:left w:val="nil"/>
              <w:bottom w:val="nil"/>
              <w:right w:val="nil"/>
            </w:tcBorders>
            <w:shd w:val="clear" w:color="auto" w:fill="auto"/>
            <w:noWrap/>
            <w:vAlign w:val="bottom"/>
            <w:hideMark/>
          </w:tcPr>
          <w:p w14:paraId="76DE1028"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25</w:t>
            </w:r>
          </w:p>
        </w:tc>
        <w:tc>
          <w:tcPr>
            <w:tcW w:w="776" w:type="pct"/>
            <w:gridSpan w:val="2"/>
            <w:tcBorders>
              <w:top w:val="nil"/>
              <w:left w:val="nil"/>
              <w:bottom w:val="nil"/>
              <w:right w:val="nil"/>
            </w:tcBorders>
            <w:shd w:val="clear" w:color="auto" w:fill="auto"/>
            <w:noWrap/>
            <w:vAlign w:val="bottom"/>
            <w:hideMark/>
          </w:tcPr>
          <w:p w14:paraId="401ED5B4"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3.88</w:t>
            </w:r>
          </w:p>
        </w:tc>
        <w:tc>
          <w:tcPr>
            <w:tcW w:w="588" w:type="pct"/>
            <w:tcBorders>
              <w:top w:val="nil"/>
              <w:left w:val="nil"/>
              <w:bottom w:val="nil"/>
              <w:right w:val="nil"/>
            </w:tcBorders>
            <w:shd w:val="clear" w:color="auto" w:fill="auto"/>
            <w:noWrap/>
            <w:vAlign w:val="bottom"/>
            <w:hideMark/>
          </w:tcPr>
          <w:p w14:paraId="79F927F0"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363</w:t>
            </w:r>
          </w:p>
        </w:tc>
        <w:tc>
          <w:tcPr>
            <w:tcW w:w="868" w:type="pct"/>
            <w:gridSpan w:val="2"/>
            <w:tcBorders>
              <w:top w:val="nil"/>
              <w:left w:val="nil"/>
              <w:bottom w:val="nil"/>
              <w:right w:val="nil"/>
            </w:tcBorders>
            <w:shd w:val="clear" w:color="auto" w:fill="auto"/>
            <w:noWrap/>
            <w:vAlign w:val="bottom"/>
            <w:hideMark/>
          </w:tcPr>
          <w:p w14:paraId="667E2250"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4.82</w:t>
            </w:r>
          </w:p>
        </w:tc>
      </w:tr>
      <w:tr w:rsidR="00844891" w:rsidRPr="00EB7C2F" w14:paraId="3AF73259" w14:textId="77777777" w:rsidTr="00844891">
        <w:trPr>
          <w:trHeight w:val="20"/>
        </w:trPr>
        <w:tc>
          <w:tcPr>
            <w:tcW w:w="2282" w:type="pct"/>
            <w:gridSpan w:val="2"/>
            <w:tcBorders>
              <w:top w:val="nil"/>
              <w:left w:val="nil"/>
              <w:bottom w:val="nil"/>
              <w:right w:val="nil"/>
            </w:tcBorders>
            <w:shd w:val="clear" w:color="auto" w:fill="auto"/>
            <w:noWrap/>
            <w:vAlign w:val="bottom"/>
            <w:hideMark/>
          </w:tcPr>
          <w:p w14:paraId="4DC169BE" w14:textId="77777777" w:rsidR="00844891" w:rsidRPr="00EB7C2F" w:rsidRDefault="00844891" w:rsidP="009348CC">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2007</w:t>
            </w:r>
          </w:p>
        </w:tc>
        <w:tc>
          <w:tcPr>
            <w:tcW w:w="485" w:type="pct"/>
            <w:tcBorders>
              <w:top w:val="nil"/>
              <w:left w:val="nil"/>
              <w:bottom w:val="nil"/>
              <w:right w:val="nil"/>
            </w:tcBorders>
            <w:shd w:val="clear" w:color="auto" w:fill="auto"/>
            <w:noWrap/>
            <w:vAlign w:val="bottom"/>
            <w:hideMark/>
          </w:tcPr>
          <w:p w14:paraId="10028EDE"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31</w:t>
            </w:r>
          </w:p>
        </w:tc>
        <w:tc>
          <w:tcPr>
            <w:tcW w:w="776" w:type="pct"/>
            <w:gridSpan w:val="2"/>
            <w:tcBorders>
              <w:top w:val="nil"/>
              <w:left w:val="nil"/>
              <w:bottom w:val="nil"/>
              <w:right w:val="nil"/>
            </w:tcBorders>
            <w:shd w:val="clear" w:color="auto" w:fill="auto"/>
            <w:noWrap/>
            <w:vAlign w:val="bottom"/>
            <w:hideMark/>
          </w:tcPr>
          <w:p w14:paraId="4D2FA341"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4.81</w:t>
            </w:r>
          </w:p>
        </w:tc>
        <w:tc>
          <w:tcPr>
            <w:tcW w:w="588" w:type="pct"/>
            <w:tcBorders>
              <w:top w:val="nil"/>
              <w:left w:val="nil"/>
              <w:bottom w:val="nil"/>
              <w:right w:val="nil"/>
            </w:tcBorders>
            <w:shd w:val="clear" w:color="auto" w:fill="auto"/>
            <w:noWrap/>
            <w:vAlign w:val="bottom"/>
            <w:hideMark/>
          </w:tcPr>
          <w:p w14:paraId="3796CED4"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368</w:t>
            </w:r>
          </w:p>
        </w:tc>
        <w:tc>
          <w:tcPr>
            <w:tcW w:w="868" w:type="pct"/>
            <w:gridSpan w:val="2"/>
            <w:tcBorders>
              <w:top w:val="nil"/>
              <w:left w:val="nil"/>
              <w:bottom w:val="nil"/>
              <w:right w:val="nil"/>
            </w:tcBorders>
            <w:shd w:val="clear" w:color="auto" w:fill="auto"/>
            <w:noWrap/>
            <w:vAlign w:val="bottom"/>
            <w:hideMark/>
          </w:tcPr>
          <w:p w14:paraId="2F89692B"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4.88</w:t>
            </w:r>
          </w:p>
        </w:tc>
      </w:tr>
      <w:tr w:rsidR="00844891" w:rsidRPr="00EB7C2F" w14:paraId="5BB8EAC6" w14:textId="77777777" w:rsidTr="00844891">
        <w:trPr>
          <w:trHeight w:val="20"/>
        </w:trPr>
        <w:tc>
          <w:tcPr>
            <w:tcW w:w="2282" w:type="pct"/>
            <w:gridSpan w:val="2"/>
            <w:tcBorders>
              <w:top w:val="nil"/>
              <w:left w:val="nil"/>
              <w:bottom w:val="nil"/>
              <w:right w:val="nil"/>
            </w:tcBorders>
            <w:shd w:val="clear" w:color="auto" w:fill="auto"/>
            <w:noWrap/>
            <w:vAlign w:val="bottom"/>
            <w:hideMark/>
          </w:tcPr>
          <w:p w14:paraId="3853498A" w14:textId="77777777" w:rsidR="00844891" w:rsidRPr="00EB7C2F" w:rsidRDefault="00844891" w:rsidP="009348CC">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2008</w:t>
            </w:r>
          </w:p>
        </w:tc>
        <w:tc>
          <w:tcPr>
            <w:tcW w:w="485" w:type="pct"/>
            <w:tcBorders>
              <w:top w:val="nil"/>
              <w:left w:val="nil"/>
              <w:bottom w:val="nil"/>
              <w:right w:val="nil"/>
            </w:tcBorders>
            <w:shd w:val="clear" w:color="auto" w:fill="auto"/>
            <w:noWrap/>
            <w:vAlign w:val="bottom"/>
            <w:hideMark/>
          </w:tcPr>
          <w:p w14:paraId="6E38F85D"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32</w:t>
            </w:r>
          </w:p>
        </w:tc>
        <w:tc>
          <w:tcPr>
            <w:tcW w:w="776" w:type="pct"/>
            <w:gridSpan w:val="2"/>
            <w:tcBorders>
              <w:top w:val="nil"/>
              <w:left w:val="nil"/>
              <w:bottom w:val="nil"/>
              <w:right w:val="nil"/>
            </w:tcBorders>
            <w:shd w:val="clear" w:color="auto" w:fill="auto"/>
            <w:noWrap/>
            <w:vAlign w:val="bottom"/>
            <w:hideMark/>
          </w:tcPr>
          <w:p w14:paraId="1A9D01B2"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4.96</w:t>
            </w:r>
          </w:p>
        </w:tc>
        <w:tc>
          <w:tcPr>
            <w:tcW w:w="588" w:type="pct"/>
            <w:tcBorders>
              <w:top w:val="nil"/>
              <w:left w:val="nil"/>
              <w:bottom w:val="nil"/>
              <w:right w:val="nil"/>
            </w:tcBorders>
            <w:shd w:val="clear" w:color="auto" w:fill="auto"/>
            <w:noWrap/>
            <w:vAlign w:val="bottom"/>
            <w:hideMark/>
          </w:tcPr>
          <w:p w14:paraId="1456D186"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365</w:t>
            </w:r>
          </w:p>
        </w:tc>
        <w:tc>
          <w:tcPr>
            <w:tcW w:w="868" w:type="pct"/>
            <w:gridSpan w:val="2"/>
            <w:tcBorders>
              <w:top w:val="nil"/>
              <w:left w:val="nil"/>
              <w:bottom w:val="nil"/>
              <w:right w:val="nil"/>
            </w:tcBorders>
            <w:shd w:val="clear" w:color="auto" w:fill="auto"/>
            <w:noWrap/>
            <w:vAlign w:val="bottom"/>
            <w:hideMark/>
          </w:tcPr>
          <w:p w14:paraId="61B0BC92"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4.84</w:t>
            </w:r>
          </w:p>
        </w:tc>
      </w:tr>
      <w:tr w:rsidR="00844891" w:rsidRPr="00EB7C2F" w14:paraId="6AC8823D" w14:textId="77777777" w:rsidTr="00844891">
        <w:trPr>
          <w:trHeight w:val="20"/>
        </w:trPr>
        <w:tc>
          <w:tcPr>
            <w:tcW w:w="2282" w:type="pct"/>
            <w:gridSpan w:val="2"/>
            <w:tcBorders>
              <w:top w:val="nil"/>
              <w:left w:val="nil"/>
              <w:bottom w:val="nil"/>
              <w:right w:val="nil"/>
            </w:tcBorders>
            <w:shd w:val="clear" w:color="auto" w:fill="auto"/>
            <w:noWrap/>
            <w:vAlign w:val="bottom"/>
            <w:hideMark/>
          </w:tcPr>
          <w:p w14:paraId="60138871" w14:textId="77777777" w:rsidR="00844891" w:rsidRPr="00EB7C2F" w:rsidRDefault="00844891" w:rsidP="009348CC">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2009</w:t>
            </w:r>
          </w:p>
        </w:tc>
        <w:tc>
          <w:tcPr>
            <w:tcW w:w="485" w:type="pct"/>
            <w:tcBorders>
              <w:top w:val="nil"/>
              <w:left w:val="nil"/>
              <w:bottom w:val="nil"/>
              <w:right w:val="nil"/>
            </w:tcBorders>
            <w:shd w:val="clear" w:color="auto" w:fill="auto"/>
            <w:noWrap/>
            <w:vAlign w:val="bottom"/>
            <w:hideMark/>
          </w:tcPr>
          <w:p w14:paraId="68664112"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31</w:t>
            </w:r>
          </w:p>
        </w:tc>
        <w:tc>
          <w:tcPr>
            <w:tcW w:w="776" w:type="pct"/>
            <w:gridSpan w:val="2"/>
            <w:tcBorders>
              <w:top w:val="nil"/>
              <w:left w:val="nil"/>
              <w:bottom w:val="nil"/>
              <w:right w:val="nil"/>
            </w:tcBorders>
            <w:shd w:val="clear" w:color="auto" w:fill="auto"/>
            <w:noWrap/>
            <w:vAlign w:val="bottom"/>
            <w:hideMark/>
          </w:tcPr>
          <w:p w14:paraId="35DB5091"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4.81</w:t>
            </w:r>
          </w:p>
        </w:tc>
        <w:tc>
          <w:tcPr>
            <w:tcW w:w="588" w:type="pct"/>
            <w:tcBorders>
              <w:top w:val="nil"/>
              <w:left w:val="nil"/>
              <w:bottom w:val="nil"/>
              <w:right w:val="nil"/>
            </w:tcBorders>
            <w:shd w:val="clear" w:color="auto" w:fill="auto"/>
            <w:noWrap/>
            <w:vAlign w:val="bottom"/>
            <w:hideMark/>
          </w:tcPr>
          <w:p w14:paraId="39AE9C46"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359</w:t>
            </w:r>
          </w:p>
        </w:tc>
        <w:tc>
          <w:tcPr>
            <w:tcW w:w="868" w:type="pct"/>
            <w:gridSpan w:val="2"/>
            <w:tcBorders>
              <w:top w:val="nil"/>
              <w:left w:val="nil"/>
              <w:bottom w:val="nil"/>
              <w:right w:val="nil"/>
            </w:tcBorders>
            <w:shd w:val="clear" w:color="auto" w:fill="auto"/>
            <w:noWrap/>
            <w:vAlign w:val="bottom"/>
            <w:hideMark/>
          </w:tcPr>
          <w:p w14:paraId="7AADFBD9"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4.77</w:t>
            </w:r>
          </w:p>
        </w:tc>
      </w:tr>
      <w:tr w:rsidR="00844891" w:rsidRPr="00EB7C2F" w14:paraId="60EF19CE" w14:textId="77777777" w:rsidTr="00844891">
        <w:trPr>
          <w:trHeight w:val="20"/>
        </w:trPr>
        <w:tc>
          <w:tcPr>
            <w:tcW w:w="2282" w:type="pct"/>
            <w:gridSpan w:val="2"/>
            <w:tcBorders>
              <w:top w:val="nil"/>
              <w:left w:val="nil"/>
              <w:bottom w:val="nil"/>
              <w:right w:val="nil"/>
            </w:tcBorders>
            <w:shd w:val="clear" w:color="auto" w:fill="auto"/>
            <w:noWrap/>
            <w:vAlign w:val="bottom"/>
            <w:hideMark/>
          </w:tcPr>
          <w:p w14:paraId="29394244" w14:textId="77777777" w:rsidR="00844891" w:rsidRPr="00EB7C2F" w:rsidRDefault="00844891" w:rsidP="009348CC">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2010</w:t>
            </w:r>
          </w:p>
        </w:tc>
        <w:tc>
          <w:tcPr>
            <w:tcW w:w="485" w:type="pct"/>
            <w:tcBorders>
              <w:top w:val="nil"/>
              <w:left w:val="nil"/>
              <w:bottom w:val="nil"/>
              <w:right w:val="nil"/>
            </w:tcBorders>
            <w:shd w:val="clear" w:color="auto" w:fill="auto"/>
            <w:noWrap/>
            <w:vAlign w:val="bottom"/>
            <w:hideMark/>
          </w:tcPr>
          <w:p w14:paraId="14AFF7F5"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34</w:t>
            </w:r>
          </w:p>
        </w:tc>
        <w:tc>
          <w:tcPr>
            <w:tcW w:w="776" w:type="pct"/>
            <w:gridSpan w:val="2"/>
            <w:tcBorders>
              <w:top w:val="nil"/>
              <w:left w:val="nil"/>
              <w:bottom w:val="nil"/>
              <w:right w:val="nil"/>
            </w:tcBorders>
            <w:shd w:val="clear" w:color="auto" w:fill="auto"/>
            <w:noWrap/>
            <w:vAlign w:val="bottom"/>
            <w:hideMark/>
          </w:tcPr>
          <w:p w14:paraId="3DC82FE5"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5.27</w:t>
            </w:r>
          </w:p>
        </w:tc>
        <w:tc>
          <w:tcPr>
            <w:tcW w:w="588" w:type="pct"/>
            <w:tcBorders>
              <w:top w:val="nil"/>
              <w:left w:val="nil"/>
              <w:bottom w:val="nil"/>
              <w:right w:val="nil"/>
            </w:tcBorders>
            <w:shd w:val="clear" w:color="auto" w:fill="auto"/>
            <w:noWrap/>
            <w:vAlign w:val="bottom"/>
            <w:hideMark/>
          </w:tcPr>
          <w:p w14:paraId="43E23F61"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350</w:t>
            </w:r>
          </w:p>
        </w:tc>
        <w:tc>
          <w:tcPr>
            <w:tcW w:w="868" w:type="pct"/>
            <w:gridSpan w:val="2"/>
            <w:tcBorders>
              <w:top w:val="nil"/>
              <w:left w:val="nil"/>
              <w:bottom w:val="nil"/>
              <w:right w:val="nil"/>
            </w:tcBorders>
            <w:shd w:val="clear" w:color="auto" w:fill="auto"/>
            <w:noWrap/>
            <w:vAlign w:val="bottom"/>
            <w:hideMark/>
          </w:tcPr>
          <w:p w14:paraId="59A64840"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4.65</w:t>
            </w:r>
          </w:p>
        </w:tc>
      </w:tr>
      <w:tr w:rsidR="00844891" w:rsidRPr="00EB7C2F" w14:paraId="6DB28FF8" w14:textId="77777777" w:rsidTr="00844891">
        <w:trPr>
          <w:trHeight w:val="20"/>
        </w:trPr>
        <w:tc>
          <w:tcPr>
            <w:tcW w:w="2282" w:type="pct"/>
            <w:gridSpan w:val="2"/>
            <w:tcBorders>
              <w:top w:val="nil"/>
              <w:left w:val="nil"/>
              <w:bottom w:val="nil"/>
              <w:right w:val="nil"/>
            </w:tcBorders>
            <w:shd w:val="clear" w:color="auto" w:fill="auto"/>
            <w:noWrap/>
            <w:vAlign w:val="bottom"/>
            <w:hideMark/>
          </w:tcPr>
          <w:p w14:paraId="4FBDE4AD" w14:textId="77777777" w:rsidR="00844891" w:rsidRPr="00EB7C2F" w:rsidRDefault="00844891" w:rsidP="009348CC">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2011</w:t>
            </w:r>
          </w:p>
        </w:tc>
        <w:tc>
          <w:tcPr>
            <w:tcW w:w="485" w:type="pct"/>
            <w:tcBorders>
              <w:top w:val="nil"/>
              <w:left w:val="nil"/>
              <w:bottom w:val="nil"/>
              <w:right w:val="nil"/>
            </w:tcBorders>
            <w:shd w:val="clear" w:color="auto" w:fill="auto"/>
            <w:noWrap/>
            <w:vAlign w:val="bottom"/>
            <w:hideMark/>
          </w:tcPr>
          <w:p w14:paraId="42FAAFD1"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44</w:t>
            </w:r>
          </w:p>
        </w:tc>
        <w:tc>
          <w:tcPr>
            <w:tcW w:w="776" w:type="pct"/>
            <w:gridSpan w:val="2"/>
            <w:tcBorders>
              <w:top w:val="nil"/>
              <w:left w:val="nil"/>
              <w:bottom w:val="nil"/>
              <w:right w:val="nil"/>
            </w:tcBorders>
            <w:shd w:val="clear" w:color="auto" w:fill="auto"/>
            <w:noWrap/>
            <w:vAlign w:val="bottom"/>
            <w:hideMark/>
          </w:tcPr>
          <w:p w14:paraId="2637BF24"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6.82</w:t>
            </w:r>
          </w:p>
        </w:tc>
        <w:tc>
          <w:tcPr>
            <w:tcW w:w="588" w:type="pct"/>
            <w:tcBorders>
              <w:top w:val="nil"/>
              <w:left w:val="nil"/>
              <w:bottom w:val="nil"/>
              <w:right w:val="nil"/>
            </w:tcBorders>
            <w:shd w:val="clear" w:color="auto" w:fill="auto"/>
            <w:noWrap/>
            <w:vAlign w:val="bottom"/>
            <w:hideMark/>
          </w:tcPr>
          <w:p w14:paraId="43AC963A"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345</w:t>
            </w:r>
          </w:p>
        </w:tc>
        <w:tc>
          <w:tcPr>
            <w:tcW w:w="868" w:type="pct"/>
            <w:gridSpan w:val="2"/>
            <w:tcBorders>
              <w:top w:val="nil"/>
              <w:left w:val="nil"/>
              <w:bottom w:val="nil"/>
              <w:right w:val="nil"/>
            </w:tcBorders>
            <w:shd w:val="clear" w:color="auto" w:fill="auto"/>
            <w:noWrap/>
            <w:vAlign w:val="bottom"/>
            <w:hideMark/>
          </w:tcPr>
          <w:p w14:paraId="4F0C1A38"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4.58</w:t>
            </w:r>
          </w:p>
        </w:tc>
      </w:tr>
      <w:tr w:rsidR="00844891" w:rsidRPr="00EB7C2F" w14:paraId="49AF97FD" w14:textId="77777777" w:rsidTr="00844891">
        <w:trPr>
          <w:trHeight w:val="20"/>
        </w:trPr>
        <w:tc>
          <w:tcPr>
            <w:tcW w:w="2282" w:type="pct"/>
            <w:gridSpan w:val="2"/>
            <w:tcBorders>
              <w:top w:val="nil"/>
              <w:left w:val="nil"/>
              <w:bottom w:val="nil"/>
              <w:right w:val="nil"/>
            </w:tcBorders>
            <w:shd w:val="clear" w:color="auto" w:fill="auto"/>
            <w:noWrap/>
            <w:vAlign w:val="bottom"/>
            <w:hideMark/>
          </w:tcPr>
          <w:p w14:paraId="764A0491" w14:textId="77777777" w:rsidR="00844891" w:rsidRPr="00EB7C2F" w:rsidRDefault="00844891" w:rsidP="009348CC">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2012</w:t>
            </w:r>
          </w:p>
        </w:tc>
        <w:tc>
          <w:tcPr>
            <w:tcW w:w="485" w:type="pct"/>
            <w:tcBorders>
              <w:top w:val="nil"/>
              <w:left w:val="nil"/>
              <w:bottom w:val="nil"/>
              <w:right w:val="nil"/>
            </w:tcBorders>
            <w:shd w:val="clear" w:color="auto" w:fill="auto"/>
            <w:noWrap/>
            <w:vAlign w:val="bottom"/>
            <w:hideMark/>
          </w:tcPr>
          <w:p w14:paraId="109E2909"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62</w:t>
            </w:r>
          </w:p>
        </w:tc>
        <w:tc>
          <w:tcPr>
            <w:tcW w:w="776" w:type="pct"/>
            <w:gridSpan w:val="2"/>
            <w:tcBorders>
              <w:top w:val="nil"/>
              <w:left w:val="nil"/>
              <w:bottom w:val="nil"/>
              <w:right w:val="nil"/>
            </w:tcBorders>
            <w:shd w:val="clear" w:color="auto" w:fill="auto"/>
            <w:noWrap/>
            <w:vAlign w:val="bottom"/>
            <w:hideMark/>
          </w:tcPr>
          <w:p w14:paraId="1E990993"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9.61</w:t>
            </w:r>
          </w:p>
        </w:tc>
        <w:tc>
          <w:tcPr>
            <w:tcW w:w="588" w:type="pct"/>
            <w:tcBorders>
              <w:top w:val="nil"/>
              <w:left w:val="nil"/>
              <w:bottom w:val="nil"/>
              <w:right w:val="nil"/>
            </w:tcBorders>
            <w:shd w:val="clear" w:color="auto" w:fill="auto"/>
            <w:noWrap/>
            <w:vAlign w:val="bottom"/>
            <w:hideMark/>
          </w:tcPr>
          <w:p w14:paraId="701114EE"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346</w:t>
            </w:r>
          </w:p>
        </w:tc>
        <w:tc>
          <w:tcPr>
            <w:tcW w:w="868" w:type="pct"/>
            <w:gridSpan w:val="2"/>
            <w:tcBorders>
              <w:top w:val="nil"/>
              <w:left w:val="nil"/>
              <w:bottom w:val="nil"/>
              <w:right w:val="nil"/>
            </w:tcBorders>
            <w:shd w:val="clear" w:color="auto" w:fill="auto"/>
            <w:noWrap/>
            <w:vAlign w:val="bottom"/>
            <w:hideMark/>
          </w:tcPr>
          <w:p w14:paraId="5A5CE811"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4.59</w:t>
            </w:r>
          </w:p>
        </w:tc>
      </w:tr>
      <w:tr w:rsidR="00844891" w:rsidRPr="00EB7C2F" w14:paraId="05141EDB" w14:textId="77777777" w:rsidTr="00844891">
        <w:trPr>
          <w:trHeight w:val="20"/>
        </w:trPr>
        <w:tc>
          <w:tcPr>
            <w:tcW w:w="2282" w:type="pct"/>
            <w:gridSpan w:val="2"/>
            <w:tcBorders>
              <w:top w:val="nil"/>
              <w:left w:val="nil"/>
              <w:bottom w:val="nil"/>
              <w:right w:val="nil"/>
            </w:tcBorders>
            <w:shd w:val="clear" w:color="auto" w:fill="auto"/>
            <w:noWrap/>
            <w:vAlign w:val="bottom"/>
            <w:hideMark/>
          </w:tcPr>
          <w:p w14:paraId="7066AC29" w14:textId="77777777" w:rsidR="00844891" w:rsidRPr="00EB7C2F" w:rsidRDefault="00844891" w:rsidP="009348CC">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2013</w:t>
            </w:r>
          </w:p>
        </w:tc>
        <w:tc>
          <w:tcPr>
            <w:tcW w:w="485" w:type="pct"/>
            <w:tcBorders>
              <w:top w:val="nil"/>
              <w:left w:val="nil"/>
              <w:bottom w:val="nil"/>
              <w:right w:val="nil"/>
            </w:tcBorders>
            <w:shd w:val="clear" w:color="auto" w:fill="auto"/>
            <w:noWrap/>
            <w:vAlign w:val="bottom"/>
            <w:hideMark/>
          </w:tcPr>
          <w:p w14:paraId="2DE78646"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76</w:t>
            </w:r>
          </w:p>
        </w:tc>
        <w:tc>
          <w:tcPr>
            <w:tcW w:w="776" w:type="pct"/>
            <w:gridSpan w:val="2"/>
            <w:tcBorders>
              <w:top w:val="nil"/>
              <w:left w:val="nil"/>
              <w:bottom w:val="nil"/>
              <w:right w:val="nil"/>
            </w:tcBorders>
            <w:shd w:val="clear" w:color="auto" w:fill="auto"/>
            <w:noWrap/>
            <w:vAlign w:val="bottom"/>
            <w:hideMark/>
          </w:tcPr>
          <w:p w14:paraId="2616FC21"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11.78</w:t>
            </w:r>
          </w:p>
        </w:tc>
        <w:tc>
          <w:tcPr>
            <w:tcW w:w="588" w:type="pct"/>
            <w:tcBorders>
              <w:top w:val="nil"/>
              <w:left w:val="nil"/>
              <w:bottom w:val="nil"/>
              <w:right w:val="nil"/>
            </w:tcBorders>
            <w:shd w:val="clear" w:color="auto" w:fill="auto"/>
            <w:noWrap/>
            <w:vAlign w:val="bottom"/>
            <w:hideMark/>
          </w:tcPr>
          <w:p w14:paraId="5AD34984"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345</w:t>
            </w:r>
          </w:p>
        </w:tc>
        <w:tc>
          <w:tcPr>
            <w:tcW w:w="868" w:type="pct"/>
            <w:gridSpan w:val="2"/>
            <w:tcBorders>
              <w:top w:val="nil"/>
              <w:left w:val="nil"/>
              <w:bottom w:val="nil"/>
              <w:right w:val="nil"/>
            </w:tcBorders>
            <w:shd w:val="clear" w:color="auto" w:fill="auto"/>
            <w:noWrap/>
            <w:vAlign w:val="bottom"/>
            <w:hideMark/>
          </w:tcPr>
          <w:p w14:paraId="76B82A63"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4.58</w:t>
            </w:r>
          </w:p>
        </w:tc>
      </w:tr>
      <w:tr w:rsidR="00844891" w:rsidRPr="00EB7C2F" w14:paraId="2F839DBF" w14:textId="77777777" w:rsidTr="00844891">
        <w:trPr>
          <w:trHeight w:val="20"/>
        </w:trPr>
        <w:tc>
          <w:tcPr>
            <w:tcW w:w="2282" w:type="pct"/>
            <w:gridSpan w:val="2"/>
            <w:tcBorders>
              <w:top w:val="nil"/>
              <w:left w:val="nil"/>
              <w:bottom w:val="nil"/>
              <w:right w:val="nil"/>
            </w:tcBorders>
            <w:shd w:val="clear" w:color="auto" w:fill="auto"/>
            <w:noWrap/>
            <w:vAlign w:val="bottom"/>
            <w:hideMark/>
          </w:tcPr>
          <w:p w14:paraId="6FF07838" w14:textId="77777777" w:rsidR="00844891" w:rsidRPr="00EB7C2F" w:rsidRDefault="00844891" w:rsidP="009348CC">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2014</w:t>
            </w:r>
          </w:p>
        </w:tc>
        <w:tc>
          <w:tcPr>
            <w:tcW w:w="485" w:type="pct"/>
            <w:tcBorders>
              <w:top w:val="nil"/>
              <w:left w:val="nil"/>
              <w:bottom w:val="nil"/>
              <w:right w:val="nil"/>
            </w:tcBorders>
            <w:shd w:val="clear" w:color="auto" w:fill="auto"/>
            <w:noWrap/>
            <w:vAlign w:val="bottom"/>
            <w:hideMark/>
          </w:tcPr>
          <w:p w14:paraId="7740F32D"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93</w:t>
            </w:r>
          </w:p>
        </w:tc>
        <w:tc>
          <w:tcPr>
            <w:tcW w:w="776" w:type="pct"/>
            <w:gridSpan w:val="2"/>
            <w:tcBorders>
              <w:top w:val="nil"/>
              <w:left w:val="nil"/>
              <w:bottom w:val="nil"/>
              <w:right w:val="nil"/>
            </w:tcBorders>
            <w:shd w:val="clear" w:color="auto" w:fill="auto"/>
            <w:noWrap/>
            <w:vAlign w:val="bottom"/>
            <w:hideMark/>
          </w:tcPr>
          <w:p w14:paraId="11BE08DA"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14.42</w:t>
            </w:r>
          </w:p>
        </w:tc>
        <w:tc>
          <w:tcPr>
            <w:tcW w:w="588" w:type="pct"/>
            <w:tcBorders>
              <w:top w:val="nil"/>
              <w:left w:val="nil"/>
              <w:bottom w:val="nil"/>
              <w:right w:val="nil"/>
            </w:tcBorders>
            <w:shd w:val="clear" w:color="auto" w:fill="auto"/>
            <w:noWrap/>
            <w:vAlign w:val="bottom"/>
            <w:hideMark/>
          </w:tcPr>
          <w:p w14:paraId="42663E47"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346</w:t>
            </w:r>
          </w:p>
        </w:tc>
        <w:tc>
          <w:tcPr>
            <w:tcW w:w="868" w:type="pct"/>
            <w:gridSpan w:val="2"/>
            <w:tcBorders>
              <w:top w:val="nil"/>
              <w:left w:val="nil"/>
              <w:bottom w:val="nil"/>
              <w:right w:val="nil"/>
            </w:tcBorders>
            <w:shd w:val="clear" w:color="auto" w:fill="auto"/>
            <w:noWrap/>
            <w:vAlign w:val="bottom"/>
            <w:hideMark/>
          </w:tcPr>
          <w:p w14:paraId="677014A3"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4.59</w:t>
            </w:r>
          </w:p>
        </w:tc>
      </w:tr>
      <w:tr w:rsidR="00844891" w:rsidRPr="00EB7C2F" w14:paraId="62E0586E" w14:textId="77777777" w:rsidTr="00844891">
        <w:trPr>
          <w:trHeight w:val="20"/>
        </w:trPr>
        <w:tc>
          <w:tcPr>
            <w:tcW w:w="2282" w:type="pct"/>
            <w:gridSpan w:val="2"/>
            <w:tcBorders>
              <w:top w:val="nil"/>
              <w:left w:val="nil"/>
              <w:bottom w:val="nil"/>
              <w:right w:val="nil"/>
            </w:tcBorders>
            <w:shd w:val="clear" w:color="auto" w:fill="auto"/>
            <w:noWrap/>
            <w:vAlign w:val="bottom"/>
            <w:hideMark/>
          </w:tcPr>
          <w:p w14:paraId="67476633" w14:textId="77777777" w:rsidR="00844891" w:rsidRPr="00EB7C2F" w:rsidRDefault="00844891" w:rsidP="009348CC">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2015</w:t>
            </w:r>
          </w:p>
        </w:tc>
        <w:tc>
          <w:tcPr>
            <w:tcW w:w="485" w:type="pct"/>
            <w:tcBorders>
              <w:top w:val="nil"/>
              <w:left w:val="nil"/>
              <w:bottom w:val="nil"/>
              <w:right w:val="nil"/>
            </w:tcBorders>
            <w:shd w:val="clear" w:color="auto" w:fill="auto"/>
            <w:noWrap/>
            <w:vAlign w:val="bottom"/>
            <w:hideMark/>
          </w:tcPr>
          <w:p w14:paraId="3928AD1C"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96</w:t>
            </w:r>
          </w:p>
        </w:tc>
        <w:tc>
          <w:tcPr>
            <w:tcW w:w="776" w:type="pct"/>
            <w:gridSpan w:val="2"/>
            <w:tcBorders>
              <w:top w:val="nil"/>
              <w:left w:val="nil"/>
              <w:bottom w:val="nil"/>
              <w:right w:val="nil"/>
            </w:tcBorders>
            <w:shd w:val="clear" w:color="auto" w:fill="auto"/>
            <w:noWrap/>
            <w:vAlign w:val="bottom"/>
            <w:hideMark/>
          </w:tcPr>
          <w:p w14:paraId="6885EB4D"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14.88</w:t>
            </w:r>
          </w:p>
        </w:tc>
        <w:tc>
          <w:tcPr>
            <w:tcW w:w="588" w:type="pct"/>
            <w:tcBorders>
              <w:top w:val="nil"/>
              <w:left w:val="nil"/>
              <w:bottom w:val="nil"/>
              <w:right w:val="nil"/>
            </w:tcBorders>
            <w:shd w:val="clear" w:color="auto" w:fill="auto"/>
            <w:noWrap/>
            <w:vAlign w:val="bottom"/>
            <w:hideMark/>
          </w:tcPr>
          <w:p w14:paraId="74A0EAE5"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332</w:t>
            </w:r>
          </w:p>
        </w:tc>
        <w:tc>
          <w:tcPr>
            <w:tcW w:w="868" w:type="pct"/>
            <w:gridSpan w:val="2"/>
            <w:tcBorders>
              <w:top w:val="nil"/>
              <w:left w:val="nil"/>
              <w:bottom w:val="nil"/>
              <w:right w:val="nil"/>
            </w:tcBorders>
            <w:shd w:val="clear" w:color="auto" w:fill="auto"/>
            <w:noWrap/>
            <w:vAlign w:val="bottom"/>
            <w:hideMark/>
          </w:tcPr>
          <w:p w14:paraId="5C60520B"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4.41</w:t>
            </w:r>
          </w:p>
        </w:tc>
      </w:tr>
      <w:tr w:rsidR="00844891" w:rsidRPr="00EB7C2F" w14:paraId="6D0A72C8" w14:textId="77777777" w:rsidTr="00844891">
        <w:trPr>
          <w:trHeight w:val="20"/>
        </w:trPr>
        <w:tc>
          <w:tcPr>
            <w:tcW w:w="2282" w:type="pct"/>
            <w:gridSpan w:val="2"/>
            <w:tcBorders>
              <w:top w:val="nil"/>
              <w:left w:val="nil"/>
              <w:right w:val="nil"/>
            </w:tcBorders>
            <w:shd w:val="clear" w:color="auto" w:fill="auto"/>
            <w:noWrap/>
            <w:vAlign w:val="bottom"/>
            <w:hideMark/>
          </w:tcPr>
          <w:p w14:paraId="53AD6746" w14:textId="77777777" w:rsidR="00844891" w:rsidRPr="00EB7C2F" w:rsidRDefault="00844891" w:rsidP="009348CC">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Total</w:t>
            </w:r>
          </w:p>
        </w:tc>
        <w:tc>
          <w:tcPr>
            <w:tcW w:w="485" w:type="pct"/>
            <w:tcBorders>
              <w:top w:val="nil"/>
              <w:left w:val="nil"/>
              <w:right w:val="nil"/>
            </w:tcBorders>
            <w:shd w:val="clear" w:color="auto" w:fill="auto"/>
            <w:noWrap/>
            <w:vAlign w:val="bottom"/>
            <w:hideMark/>
          </w:tcPr>
          <w:p w14:paraId="3E5FD72D"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645</w:t>
            </w:r>
          </w:p>
        </w:tc>
        <w:tc>
          <w:tcPr>
            <w:tcW w:w="776" w:type="pct"/>
            <w:gridSpan w:val="2"/>
            <w:tcBorders>
              <w:top w:val="nil"/>
              <w:left w:val="nil"/>
              <w:right w:val="nil"/>
            </w:tcBorders>
            <w:shd w:val="clear" w:color="auto" w:fill="auto"/>
            <w:noWrap/>
            <w:vAlign w:val="bottom"/>
            <w:hideMark/>
          </w:tcPr>
          <w:p w14:paraId="7DCE9EA7"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100</w:t>
            </w:r>
          </w:p>
        </w:tc>
        <w:tc>
          <w:tcPr>
            <w:tcW w:w="588" w:type="pct"/>
            <w:tcBorders>
              <w:top w:val="nil"/>
              <w:left w:val="nil"/>
              <w:right w:val="nil"/>
            </w:tcBorders>
            <w:shd w:val="clear" w:color="auto" w:fill="auto"/>
            <w:noWrap/>
            <w:vAlign w:val="bottom"/>
            <w:hideMark/>
          </w:tcPr>
          <w:p w14:paraId="7AA96D8B"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7,534</w:t>
            </w:r>
          </w:p>
        </w:tc>
        <w:tc>
          <w:tcPr>
            <w:tcW w:w="868" w:type="pct"/>
            <w:gridSpan w:val="2"/>
            <w:tcBorders>
              <w:top w:val="nil"/>
              <w:left w:val="nil"/>
              <w:right w:val="nil"/>
            </w:tcBorders>
            <w:shd w:val="clear" w:color="auto" w:fill="auto"/>
            <w:noWrap/>
            <w:vAlign w:val="bottom"/>
            <w:hideMark/>
          </w:tcPr>
          <w:p w14:paraId="50DC5785"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100</w:t>
            </w:r>
          </w:p>
        </w:tc>
      </w:tr>
      <w:tr w:rsidR="00844891" w:rsidRPr="00EB7C2F" w14:paraId="72F03C59" w14:textId="77777777" w:rsidTr="00844891">
        <w:trPr>
          <w:trHeight w:val="20"/>
        </w:trPr>
        <w:tc>
          <w:tcPr>
            <w:tcW w:w="2282" w:type="pct"/>
            <w:gridSpan w:val="2"/>
            <w:tcBorders>
              <w:top w:val="nil"/>
              <w:left w:val="nil"/>
              <w:bottom w:val="single" w:sz="4" w:space="0" w:color="auto"/>
              <w:right w:val="nil"/>
            </w:tcBorders>
            <w:shd w:val="clear" w:color="auto" w:fill="auto"/>
            <w:noWrap/>
            <w:vAlign w:val="bottom"/>
          </w:tcPr>
          <w:p w14:paraId="44E243EA" w14:textId="77777777" w:rsidR="00844891" w:rsidRPr="00EB7C2F" w:rsidRDefault="00844891" w:rsidP="009348CC">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Number of unique firms</w:t>
            </w:r>
          </w:p>
        </w:tc>
        <w:tc>
          <w:tcPr>
            <w:tcW w:w="485" w:type="pct"/>
            <w:tcBorders>
              <w:top w:val="nil"/>
              <w:left w:val="nil"/>
              <w:bottom w:val="single" w:sz="4" w:space="0" w:color="auto"/>
              <w:right w:val="nil"/>
            </w:tcBorders>
            <w:shd w:val="clear" w:color="auto" w:fill="auto"/>
            <w:noWrap/>
            <w:vAlign w:val="bottom"/>
          </w:tcPr>
          <w:p w14:paraId="37543928"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99</w:t>
            </w:r>
          </w:p>
        </w:tc>
        <w:tc>
          <w:tcPr>
            <w:tcW w:w="776" w:type="pct"/>
            <w:gridSpan w:val="2"/>
            <w:tcBorders>
              <w:top w:val="nil"/>
              <w:left w:val="nil"/>
              <w:bottom w:val="single" w:sz="4" w:space="0" w:color="auto"/>
              <w:right w:val="nil"/>
            </w:tcBorders>
            <w:shd w:val="clear" w:color="auto" w:fill="auto"/>
            <w:noWrap/>
            <w:vAlign w:val="bottom"/>
          </w:tcPr>
          <w:p w14:paraId="35218282" w14:textId="77777777" w:rsidR="00844891" w:rsidRPr="00EB7C2F" w:rsidRDefault="00844891" w:rsidP="009348CC">
            <w:pPr>
              <w:spacing w:line="240" w:lineRule="auto"/>
              <w:contextualSpacing/>
              <w:rPr>
                <w:rFonts w:ascii="Times New Roman" w:hAnsi="Times New Roman"/>
                <w:color w:val="000000"/>
                <w:sz w:val="20"/>
                <w:szCs w:val="20"/>
              </w:rPr>
            </w:pPr>
          </w:p>
        </w:tc>
        <w:tc>
          <w:tcPr>
            <w:tcW w:w="588" w:type="pct"/>
            <w:tcBorders>
              <w:top w:val="nil"/>
              <w:left w:val="nil"/>
              <w:bottom w:val="single" w:sz="4" w:space="0" w:color="auto"/>
              <w:right w:val="nil"/>
            </w:tcBorders>
            <w:shd w:val="clear" w:color="auto" w:fill="auto"/>
            <w:noWrap/>
            <w:vAlign w:val="bottom"/>
          </w:tcPr>
          <w:p w14:paraId="619879EF" w14:textId="77777777" w:rsidR="00844891" w:rsidRPr="00EB7C2F" w:rsidRDefault="00844891" w:rsidP="009348CC">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930</w:t>
            </w:r>
          </w:p>
        </w:tc>
        <w:tc>
          <w:tcPr>
            <w:tcW w:w="868" w:type="pct"/>
            <w:gridSpan w:val="2"/>
            <w:tcBorders>
              <w:top w:val="nil"/>
              <w:left w:val="nil"/>
              <w:bottom w:val="single" w:sz="4" w:space="0" w:color="auto"/>
              <w:right w:val="nil"/>
            </w:tcBorders>
            <w:shd w:val="clear" w:color="auto" w:fill="auto"/>
            <w:noWrap/>
            <w:vAlign w:val="bottom"/>
          </w:tcPr>
          <w:p w14:paraId="318AB552" w14:textId="77777777" w:rsidR="00844891" w:rsidRPr="00EB7C2F" w:rsidRDefault="00844891" w:rsidP="009348CC">
            <w:pPr>
              <w:spacing w:line="240" w:lineRule="auto"/>
              <w:contextualSpacing/>
              <w:rPr>
                <w:rFonts w:ascii="Times New Roman" w:hAnsi="Times New Roman"/>
                <w:color w:val="000000"/>
                <w:sz w:val="20"/>
                <w:szCs w:val="20"/>
              </w:rPr>
            </w:pPr>
          </w:p>
        </w:tc>
      </w:tr>
    </w:tbl>
    <w:p w14:paraId="29C50318" w14:textId="4CFED0AD" w:rsidR="00B81F6A" w:rsidRPr="00EB7C2F" w:rsidRDefault="00D63C62" w:rsidP="00B81F6A">
      <w:pPr>
        <w:spacing w:after="0" w:line="240" w:lineRule="auto"/>
        <w:rPr>
          <w:rFonts w:ascii="Times New Roman" w:eastAsia="Times New Roman" w:hAnsi="Times New Roman"/>
          <w:b/>
          <w:bCs/>
          <w:i/>
          <w:iCs/>
          <w:color w:val="000000"/>
          <w:sz w:val="20"/>
          <w:szCs w:val="20"/>
        </w:rPr>
      </w:pPr>
      <w:r w:rsidRPr="00EB7C2F">
        <w:rPr>
          <w:rFonts w:ascii="Times New Roman" w:hAnsi="Times New Roman"/>
          <w:sz w:val="20"/>
          <w:szCs w:val="20"/>
        </w:rPr>
        <w:t>P</w:t>
      </w:r>
      <w:r w:rsidRPr="00EB7C2F">
        <w:rPr>
          <w:rFonts w:ascii="Times New Roman" w:eastAsia="Times New Roman" w:hAnsi="Times New Roman"/>
          <w:b/>
          <w:bCs/>
          <w:i/>
          <w:iCs/>
          <w:color w:val="000000"/>
          <w:sz w:val="20"/>
          <w:szCs w:val="20"/>
        </w:rPr>
        <w:t>anel B - By Industry</w:t>
      </w:r>
    </w:p>
    <w:tbl>
      <w:tblPr>
        <w:tblW w:w="4952" w:type="pct"/>
        <w:tblLook w:val="04A0" w:firstRow="1" w:lastRow="0" w:firstColumn="1" w:lastColumn="0" w:noHBand="0" w:noVBand="1"/>
      </w:tblPr>
      <w:tblGrid>
        <w:gridCol w:w="4231"/>
        <w:gridCol w:w="20"/>
        <w:gridCol w:w="920"/>
        <w:gridCol w:w="1379"/>
        <w:gridCol w:w="22"/>
        <w:gridCol w:w="1161"/>
        <w:gridCol w:w="1537"/>
      </w:tblGrid>
      <w:tr w:rsidR="00D63C62" w:rsidRPr="00EB7C2F" w14:paraId="5D26F241" w14:textId="77777777" w:rsidTr="00D63C62">
        <w:trPr>
          <w:trHeight w:val="20"/>
        </w:trPr>
        <w:tc>
          <w:tcPr>
            <w:tcW w:w="2282" w:type="pct"/>
            <w:tcBorders>
              <w:top w:val="nil"/>
              <w:left w:val="nil"/>
              <w:bottom w:val="single" w:sz="4" w:space="0" w:color="auto"/>
              <w:right w:val="nil"/>
            </w:tcBorders>
            <w:shd w:val="clear" w:color="auto" w:fill="auto"/>
            <w:noWrap/>
            <w:vAlign w:val="bottom"/>
            <w:hideMark/>
          </w:tcPr>
          <w:p w14:paraId="3D44A90B" w14:textId="77777777" w:rsidR="00D63C62" w:rsidRPr="00EB7C2F" w:rsidRDefault="00D63C62" w:rsidP="009348CC">
            <w:pPr>
              <w:spacing w:after="0" w:line="240" w:lineRule="auto"/>
              <w:contextualSpacing/>
              <w:rPr>
                <w:rFonts w:ascii="Times New Roman" w:eastAsia="Times New Roman" w:hAnsi="Times New Roman"/>
                <w:b/>
                <w:bCs/>
                <w:i/>
                <w:iCs/>
                <w:color w:val="000000"/>
                <w:sz w:val="20"/>
                <w:szCs w:val="20"/>
              </w:rPr>
            </w:pPr>
          </w:p>
        </w:tc>
        <w:tc>
          <w:tcPr>
            <w:tcW w:w="1263" w:type="pct"/>
            <w:gridSpan w:val="4"/>
            <w:tcBorders>
              <w:top w:val="nil"/>
              <w:left w:val="nil"/>
              <w:bottom w:val="single" w:sz="4" w:space="0" w:color="auto"/>
              <w:right w:val="nil"/>
            </w:tcBorders>
            <w:shd w:val="clear" w:color="auto" w:fill="auto"/>
            <w:noWrap/>
            <w:vAlign w:val="bottom"/>
            <w:hideMark/>
          </w:tcPr>
          <w:p w14:paraId="0E15E12B" w14:textId="77777777" w:rsidR="00D63C62" w:rsidRPr="00EB7C2F" w:rsidRDefault="00D63C62" w:rsidP="009348CC">
            <w:pPr>
              <w:spacing w:after="0" w:line="240" w:lineRule="auto"/>
              <w:contextualSpacing/>
              <w:rPr>
                <w:rFonts w:ascii="Times New Roman" w:eastAsia="Times New Roman" w:hAnsi="Times New Roman"/>
                <w:b/>
                <w:bCs/>
                <w:i/>
                <w:iCs/>
                <w:color w:val="000000"/>
                <w:sz w:val="20"/>
                <w:szCs w:val="20"/>
              </w:rPr>
            </w:pPr>
            <w:r w:rsidRPr="00EB7C2F">
              <w:rPr>
                <w:rFonts w:ascii="Times New Roman" w:eastAsia="Times New Roman" w:hAnsi="Times New Roman"/>
                <w:b/>
                <w:bCs/>
                <w:i/>
                <w:iCs/>
                <w:color w:val="000000"/>
                <w:sz w:val="20"/>
                <w:szCs w:val="20"/>
              </w:rPr>
              <w:t>MLPs</w:t>
            </w:r>
          </w:p>
        </w:tc>
        <w:tc>
          <w:tcPr>
            <w:tcW w:w="1455" w:type="pct"/>
            <w:gridSpan w:val="2"/>
            <w:tcBorders>
              <w:top w:val="nil"/>
              <w:left w:val="nil"/>
              <w:bottom w:val="single" w:sz="4" w:space="0" w:color="auto"/>
              <w:right w:val="nil"/>
            </w:tcBorders>
          </w:tcPr>
          <w:p w14:paraId="786BDDBF" w14:textId="37C332E5" w:rsidR="00D63C62" w:rsidRPr="00EB7C2F" w:rsidRDefault="00D8504C" w:rsidP="009348CC">
            <w:pPr>
              <w:spacing w:after="0" w:line="240" w:lineRule="auto"/>
              <w:contextualSpacing/>
              <w:rPr>
                <w:rFonts w:ascii="Times New Roman" w:eastAsia="Times New Roman" w:hAnsi="Times New Roman"/>
                <w:b/>
                <w:bCs/>
                <w:i/>
                <w:iCs/>
                <w:color w:val="000000"/>
                <w:sz w:val="20"/>
                <w:szCs w:val="20"/>
              </w:rPr>
            </w:pPr>
            <w:r>
              <w:rPr>
                <w:rFonts w:ascii="Times New Roman" w:eastAsia="Times New Roman" w:hAnsi="Times New Roman"/>
                <w:b/>
                <w:bCs/>
                <w:i/>
                <w:iCs/>
                <w:color w:val="000000"/>
                <w:sz w:val="20"/>
                <w:szCs w:val="20"/>
              </w:rPr>
              <w:t xml:space="preserve">All </w:t>
            </w:r>
            <w:r w:rsidR="00D63C62" w:rsidRPr="00EB7C2F">
              <w:rPr>
                <w:rFonts w:ascii="Times New Roman" w:eastAsia="Times New Roman" w:hAnsi="Times New Roman"/>
                <w:b/>
                <w:bCs/>
                <w:i/>
                <w:iCs/>
                <w:color w:val="000000"/>
                <w:sz w:val="20"/>
                <w:szCs w:val="20"/>
              </w:rPr>
              <w:t>Non-MLPs</w:t>
            </w:r>
          </w:p>
        </w:tc>
      </w:tr>
      <w:tr w:rsidR="00D63C62" w:rsidRPr="00EB7C2F" w14:paraId="0FABEE26" w14:textId="77777777" w:rsidTr="00D63C62">
        <w:trPr>
          <w:trHeight w:val="20"/>
        </w:trPr>
        <w:tc>
          <w:tcPr>
            <w:tcW w:w="2293" w:type="pct"/>
            <w:gridSpan w:val="2"/>
            <w:tcBorders>
              <w:top w:val="nil"/>
              <w:left w:val="nil"/>
              <w:bottom w:val="single" w:sz="4" w:space="0" w:color="auto"/>
              <w:right w:val="nil"/>
            </w:tcBorders>
            <w:shd w:val="clear" w:color="auto" w:fill="auto"/>
            <w:noWrap/>
            <w:vAlign w:val="bottom"/>
            <w:hideMark/>
          </w:tcPr>
          <w:p w14:paraId="24F2A10C" w14:textId="77777777" w:rsidR="00D63C62" w:rsidRPr="00EB7C2F" w:rsidRDefault="00D63C62" w:rsidP="00B81F6A">
            <w:pPr>
              <w:spacing w:after="0" w:line="240" w:lineRule="auto"/>
              <w:contextualSpacing/>
              <w:rPr>
                <w:rFonts w:ascii="Times New Roman" w:eastAsia="Times New Roman" w:hAnsi="Times New Roman"/>
                <w:b/>
                <w:bCs/>
                <w:i/>
                <w:iCs/>
                <w:color w:val="000000"/>
                <w:sz w:val="20"/>
                <w:szCs w:val="20"/>
              </w:rPr>
            </w:pPr>
            <w:r w:rsidRPr="00EB7C2F">
              <w:rPr>
                <w:rFonts w:ascii="Times New Roman" w:eastAsia="Times New Roman" w:hAnsi="Times New Roman"/>
                <w:b/>
                <w:bCs/>
                <w:i/>
                <w:iCs/>
                <w:color w:val="000000"/>
                <w:sz w:val="20"/>
                <w:szCs w:val="20"/>
              </w:rPr>
              <w:t>Industry</w:t>
            </w:r>
          </w:p>
        </w:tc>
        <w:tc>
          <w:tcPr>
            <w:tcW w:w="496" w:type="pct"/>
            <w:tcBorders>
              <w:top w:val="nil"/>
              <w:left w:val="nil"/>
              <w:bottom w:val="single" w:sz="4" w:space="0" w:color="auto"/>
              <w:right w:val="nil"/>
            </w:tcBorders>
            <w:shd w:val="clear" w:color="auto" w:fill="auto"/>
            <w:noWrap/>
            <w:vAlign w:val="bottom"/>
            <w:hideMark/>
          </w:tcPr>
          <w:p w14:paraId="0B191FC1" w14:textId="77777777" w:rsidR="00D63C62" w:rsidRPr="00EB7C2F" w:rsidRDefault="00D63C62" w:rsidP="00B81F6A">
            <w:pPr>
              <w:spacing w:after="0" w:line="240" w:lineRule="auto"/>
              <w:contextualSpacing/>
              <w:rPr>
                <w:rFonts w:ascii="Times New Roman" w:eastAsia="Times New Roman" w:hAnsi="Times New Roman"/>
                <w:b/>
                <w:bCs/>
                <w:i/>
                <w:iCs/>
                <w:color w:val="000000"/>
                <w:sz w:val="20"/>
                <w:szCs w:val="20"/>
              </w:rPr>
            </w:pPr>
            <w:r w:rsidRPr="00EB7C2F">
              <w:rPr>
                <w:rFonts w:ascii="Times New Roman" w:eastAsia="Times New Roman" w:hAnsi="Times New Roman"/>
                <w:b/>
                <w:bCs/>
                <w:i/>
                <w:iCs/>
                <w:color w:val="000000"/>
                <w:sz w:val="20"/>
                <w:szCs w:val="20"/>
              </w:rPr>
              <w:t>N</w:t>
            </w:r>
          </w:p>
        </w:tc>
        <w:tc>
          <w:tcPr>
            <w:tcW w:w="744" w:type="pct"/>
            <w:tcBorders>
              <w:top w:val="nil"/>
              <w:left w:val="nil"/>
              <w:bottom w:val="single" w:sz="4" w:space="0" w:color="auto"/>
              <w:right w:val="nil"/>
            </w:tcBorders>
            <w:shd w:val="clear" w:color="auto" w:fill="auto"/>
            <w:noWrap/>
            <w:vAlign w:val="bottom"/>
            <w:hideMark/>
          </w:tcPr>
          <w:p w14:paraId="5DE3F326" w14:textId="552E5A78" w:rsidR="00D63C62" w:rsidRPr="00EB7C2F" w:rsidRDefault="00D63C62" w:rsidP="00D63C62">
            <w:pPr>
              <w:spacing w:after="0" w:line="240" w:lineRule="auto"/>
              <w:contextualSpacing/>
              <w:rPr>
                <w:rFonts w:ascii="Times New Roman" w:eastAsia="Times New Roman" w:hAnsi="Times New Roman"/>
                <w:b/>
                <w:bCs/>
                <w:i/>
                <w:iCs/>
                <w:color w:val="000000"/>
                <w:sz w:val="20"/>
                <w:szCs w:val="20"/>
              </w:rPr>
            </w:pPr>
            <w:r w:rsidRPr="00EB7C2F">
              <w:rPr>
                <w:rFonts w:ascii="Times New Roman" w:eastAsia="Times New Roman" w:hAnsi="Times New Roman"/>
                <w:b/>
                <w:bCs/>
                <w:i/>
                <w:iCs/>
                <w:color w:val="000000"/>
                <w:sz w:val="20"/>
                <w:szCs w:val="20"/>
              </w:rPr>
              <w:t>%</w:t>
            </w:r>
          </w:p>
        </w:tc>
        <w:tc>
          <w:tcPr>
            <w:tcW w:w="638" w:type="pct"/>
            <w:gridSpan w:val="2"/>
            <w:tcBorders>
              <w:top w:val="nil"/>
              <w:left w:val="nil"/>
              <w:bottom w:val="single" w:sz="4" w:space="0" w:color="auto"/>
              <w:right w:val="nil"/>
            </w:tcBorders>
            <w:shd w:val="clear" w:color="auto" w:fill="auto"/>
            <w:noWrap/>
            <w:vAlign w:val="bottom"/>
            <w:hideMark/>
          </w:tcPr>
          <w:p w14:paraId="76C4F985" w14:textId="77777777" w:rsidR="00D63C62" w:rsidRPr="00EB7C2F" w:rsidRDefault="00D63C62" w:rsidP="00B81F6A">
            <w:pPr>
              <w:spacing w:after="0" w:line="240" w:lineRule="auto"/>
              <w:contextualSpacing/>
              <w:rPr>
                <w:rFonts w:ascii="Times New Roman" w:eastAsia="Times New Roman" w:hAnsi="Times New Roman"/>
                <w:b/>
                <w:bCs/>
                <w:i/>
                <w:iCs/>
                <w:color w:val="000000"/>
                <w:sz w:val="20"/>
                <w:szCs w:val="20"/>
              </w:rPr>
            </w:pPr>
            <w:r w:rsidRPr="00EB7C2F">
              <w:rPr>
                <w:rFonts w:ascii="Times New Roman" w:eastAsia="Times New Roman" w:hAnsi="Times New Roman"/>
                <w:b/>
                <w:bCs/>
                <w:i/>
                <w:iCs/>
                <w:color w:val="000000"/>
                <w:sz w:val="20"/>
                <w:szCs w:val="20"/>
              </w:rPr>
              <w:t>N</w:t>
            </w:r>
          </w:p>
        </w:tc>
        <w:tc>
          <w:tcPr>
            <w:tcW w:w="829" w:type="pct"/>
            <w:tcBorders>
              <w:top w:val="nil"/>
              <w:left w:val="nil"/>
              <w:bottom w:val="single" w:sz="4" w:space="0" w:color="auto"/>
              <w:right w:val="nil"/>
            </w:tcBorders>
            <w:shd w:val="clear" w:color="auto" w:fill="auto"/>
            <w:noWrap/>
            <w:vAlign w:val="bottom"/>
            <w:hideMark/>
          </w:tcPr>
          <w:p w14:paraId="4E438757" w14:textId="69A570DF" w:rsidR="00D63C62" w:rsidRPr="00EB7C2F" w:rsidRDefault="00D63C62" w:rsidP="00D63C62">
            <w:pPr>
              <w:spacing w:after="0" w:line="240" w:lineRule="auto"/>
              <w:contextualSpacing/>
              <w:rPr>
                <w:rFonts w:ascii="Times New Roman" w:eastAsia="Times New Roman" w:hAnsi="Times New Roman"/>
                <w:b/>
                <w:bCs/>
                <w:i/>
                <w:iCs/>
                <w:color w:val="000000"/>
                <w:sz w:val="20"/>
                <w:szCs w:val="20"/>
              </w:rPr>
            </w:pPr>
            <w:r w:rsidRPr="00EB7C2F">
              <w:rPr>
                <w:rFonts w:ascii="Times New Roman" w:eastAsia="Times New Roman" w:hAnsi="Times New Roman"/>
                <w:b/>
                <w:bCs/>
                <w:i/>
                <w:iCs/>
                <w:color w:val="000000"/>
                <w:sz w:val="20"/>
                <w:szCs w:val="20"/>
              </w:rPr>
              <w:t>%</w:t>
            </w:r>
          </w:p>
        </w:tc>
      </w:tr>
      <w:tr w:rsidR="00D63C62" w:rsidRPr="00EB7C2F" w14:paraId="7260F7F4" w14:textId="77777777" w:rsidTr="00D63C62">
        <w:trPr>
          <w:trHeight w:val="20"/>
        </w:trPr>
        <w:tc>
          <w:tcPr>
            <w:tcW w:w="2293" w:type="pct"/>
            <w:gridSpan w:val="2"/>
            <w:tcBorders>
              <w:top w:val="single" w:sz="4" w:space="0" w:color="auto"/>
              <w:right w:val="nil"/>
            </w:tcBorders>
            <w:shd w:val="clear" w:color="auto" w:fill="auto"/>
            <w:vAlign w:val="center"/>
            <w:hideMark/>
          </w:tcPr>
          <w:p w14:paraId="51DBDD9A" w14:textId="77777777" w:rsidR="00D63C62" w:rsidRPr="00EB7C2F" w:rsidRDefault="00D63C62" w:rsidP="00B81F6A">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Bituminous Coal &amp; Lignite Mining</w:t>
            </w:r>
          </w:p>
        </w:tc>
        <w:tc>
          <w:tcPr>
            <w:tcW w:w="496" w:type="pct"/>
            <w:tcBorders>
              <w:top w:val="nil"/>
              <w:left w:val="nil"/>
              <w:bottom w:val="nil"/>
              <w:right w:val="nil"/>
            </w:tcBorders>
            <w:shd w:val="clear" w:color="auto" w:fill="auto"/>
            <w:noWrap/>
            <w:vAlign w:val="bottom"/>
            <w:hideMark/>
          </w:tcPr>
          <w:p w14:paraId="7AD146D1"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38</w:t>
            </w:r>
          </w:p>
        </w:tc>
        <w:tc>
          <w:tcPr>
            <w:tcW w:w="744" w:type="pct"/>
            <w:tcBorders>
              <w:top w:val="nil"/>
              <w:left w:val="nil"/>
              <w:bottom w:val="nil"/>
              <w:right w:val="nil"/>
            </w:tcBorders>
            <w:shd w:val="clear" w:color="auto" w:fill="auto"/>
            <w:noWrap/>
            <w:vAlign w:val="bottom"/>
            <w:hideMark/>
          </w:tcPr>
          <w:p w14:paraId="4996B304"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5.89</w:t>
            </w:r>
          </w:p>
        </w:tc>
        <w:tc>
          <w:tcPr>
            <w:tcW w:w="638" w:type="pct"/>
            <w:gridSpan w:val="2"/>
            <w:tcBorders>
              <w:top w:val="nil"/>
              <w:left w:val="nil"/>
              <w:bottom w:val="nil"/>
              <w:right w:val="nil"/>
            </w:tcBorders>
            <w:shd w:val="clear" w:color="auto" w:fill="auto"/>
            <w:noWrap/>
            <w:vAlign w:val="bottom"/>
            <w:hideMark/>
          </w:tcPr>
          <w:p w14:paraId="00613712"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146</w:t>
            </w:r>
          </w:p>
        </w:tc>
        <w:tc>
          <w:tcPr>
            <w:tcW w:w="829" w:type="pct"/>
            <w:tcBorders>
              <w:top w:val="nil"/>
              <w:left w:val="nil"/>
              <w:bottom w:val="nil"/>
              <w:right w:val="nil"/>
            </w:tcBorders>
            <w:shd w:val="clear" w:color="auto" w:fill="auto"/>
            <w:noWrap/>
            <w:vAlign w:val="bottom"/>
            <w:hideMark/>
          </w:tcPr>
          <w:p w14:paraId="519C4070"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1.94</w:t>
            </w:r>
          </w:p>
        </w:tc>
      </w:tr>
      <w:tr w:rsidR="00D63C62" w:rsidRPr="00EB7C2F" w14:paraId="52520BF2" w14:textId="77777777" w:rsidTr="00D63C62">
        <w:trPr>
          <w:trHeight w:val="20"/>
        </w:trPr>
        <w:tc>
          <w:tcPr>
            <w:tcW w:w="2293" w:type="pct"/>
            <w:gridSpan w:val="2"/>
            <w:tcBorders>
              <w:top w:val="nil"/>
              <w:right w:val="nil"/>
            </w:tcBorders>
            <w:shd w:val="clear" w:color="auto" w:fill="auto"/>
            <w:vAlign w:val="center"/>
            <w:hideMark/>
          </w:tcPr>
          <w:p w14:paraId="0D1541BB" w14:textId="77777777" w:rsidR="00D63C62" w:rsidRPr="00EB7C2F" w:rsidRDefault="00D63C62" w:rsidP="00B81F6A">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Crude Petroleum &amp; Natural Gas</w:t>
            </w:r>
          </w:p>
        </w:tc>
        <w:tc>
          <w:tcPr>
            <w:tcW w:w="496" w:type="pct"/>
            <w:tcBorders>
              <w:top w:val="nil"/>
              <w:left w:val="nil"/>
              <w:bottom w:val="nil"/>
              <w:right w:val="nil"/>
            </w:tcBorders>
            <w:shd w:val="clear" w:color="auto" w:fill="auto"/>
            <w:noWrap/>
            <w:vAlign w:val="bottom"/>
            <w:hideMark/>
          </w:tcPr>
          <w:p w14:paraId="0387609B"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121</w:t>
            </w:r>
          </w:p>
        </w:tc>
        <w:tc>
          <w:tcPr>
            <w:tcW w:w="744" w:type="pct"/>
            <w:tcBorders>
              <w:top w:val="nil"/>
              <w:left w:val="nil"/>
              <w:bottom w:val="nil"/>
              <w:right w:val="nil"/>
            </w:tcBorders>
            <w:shd w:val="clear" w:color="auto" w:fill="auto"/>
            <w:noWrap/>
            <w:vAlign w:val="bottom"/>
            <w:hideMark/>
          </w:tcPr>
          <w:p w14:paraId="7B91BA3A"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18.76</w:t>
            </w:r>
          </w:p>
        </w:tc>
        <w:tc>
          <w:tcPr>
            <w:tcW w:w="638" w:type="pct"/>
            <w:gridSpan w:val="2"/>
            <w:tcBorders>
              <w:top w:val="nil"/>
              <w:left w:val="nil"/>
              <w:bottom w:val="nil"/>
              <w:right w:val="nil"/>
            </w:tcBorders>
            <w:shd w:val="clear" w:color="auto" w:fill="auto"/>
            <w:noWrap/>
            <w:vAlign w:val="bottom"/>
            <w:hideMark/>
          </w:tcPr>
          <w:p w14:paraId="4E140561"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3,049</w:t>
            </w:r>
          </w:p>
        </w:tc>
        <w:tc>
          <w:tcPr>
            <w:tcW w:w="829" w:type="pct"/>
            <w:tcBorders>
              <w:top w:val="nil"/>
              <w:left w:val="nil"/>
              <w:bottom w:val="nil"/>
              <w:right w:val="nil"/>
            </w:tcBorders>
            <w:shd w:val="clear" w:color="auto" w:fill="auto"/>
            <w:noWrap/>
            <w:vAlign w:val="bottom"/>
            <w:hideMark/>
          </w:tcPr>
          <w:p w14:paraId="54295FEE"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40.47</w:t>
            </w:r>
          </w:p>
        </w:tc>
      </w:tr>
      <w:tr w:rsidR="00D63C62" w:rsidRPr="00EB7C2F" w14:paraId="24C448B6" w14:textId="77777777" w:rsidTr="00D63C62">
        <w:trPr>
          <w:trHeight w:val="20"/>
        </w:trPr>
        <w:tc>
          <w:tcPr>
            <w:tcW w:w="2293" w:type="pct"/>
            <w:gridSpan w:val="2"/>
            <w:tcBorders>
              <w:top w:val="nil"/>
              <w:right w:val="nil"/>
            </w:tcBorders>
            <w:shd w:val="clear" w:color="auto" w:fill="auto"/>
            <w:vAlign w:val="center"/>
            <w:hideMark/>
          </w:tcPr>
          <w:p w14:paraId="30A11EA1" w14:textId="77777777" w:rsidR="00D63C62" w:rsidRPr="00EB7C2F" w:rsidRDefault="00D63C62" w:rsidP="00B81F6A">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Drilling Oil &amp; Gas Wells</w:t>
            </w:r>
          </w:p>
        </w:tc>
        <w:tc>
          <w:tcPr>
            <w:tcW w:w="496" w:type="pct"/>
            <w:tcBorders>
              <w:top w:val="nil"/>
              <w:left w:val="nil"/>
              <w:bottom w:val="nil"/>
              <w:right w:val="nil"/>
            </w:tcBorders>
            <w:shd w:val="clear" w:color="auto" w:fill="auto"/>
            <w:noWrap/>
            <w:vAlign w:val="bottom"/>
            <w:hideMark/>
          </w:tcPr>
          <w:p w14:paraId="3020C68E"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2</w:t>
            </w:r>
          </w:p>
        </w:tc>
        <w:tc>
          <w:tcPr>
            <w:tcW w:w="744" w:type="pct"/>
            <w:tcBorders>
              <w:top w:val="nil"/>
              <w:left w:val="nil"/>
              <w:bottom w:val="nil"/>
              <w:right w:val="nil"/>
            </w:tcBorders>
            <w:shd w:val="clear" w:color="auto" w:fill="auto"/>
            <w:noWrap/>
            <w:vAlign w:val="bottom"/>
            <w:hideMark/>
          </w:tcPr>
          <w:p w14:paraId="746DF4AC"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0.31</w:t>
            </w:r>
          </w:p>
        </w:tc>
        <w:tc>
          <w:tcPr>
            <w:tcW w:w="638" w:type="pct"/>
            <w:gridSpan w:val="2"/>
            <w:tcBorders>
              <w:top w:val="nil"/>
              <w:left w:val="nil"/>
              <w:bottom w:val="nil"/>
              <w:right w:val="nil"/>
            </w:tcBorders>
            <w:shd w:val="clear" w:color="auto" w:fill="auto"/>
            <w:noWrap/>
            <w:vAlign w:val="bottom"/>
            <w:hideMark/>
          </w:tcPr>
          <w:p w14:paraId="027DD4D9"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468</w:t>
            </w:r>
          </w:p>
        </w:tc>
        <w:tc>
          <w:tcPr>
            <w:tcW w:w="829" w:type="pct"/>
            <w:tcBorders>
              <w:top w:val="nil"/>
              <w:left w:val="nil"/>
              <w:bottom w:val="nil"/>
              <w:right w:val="nil"/>
            </w:tcBorders>
            <w:shd w:val="clear" w:color="auto" w:fill="auto"/>
            <w:noWrap/>
            <w:vAlign w:val="bottom"/>
            <w:hideMark/>
          </w:tcPr>
          <w:p w14:paraId="396CFA1F"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6.21</w:t>
            </w:r>
          </w:p>
        </w:tc>
      </w:tr>
      <w:tr w:rsidR="00D63C62" w:rsidRPr="00EB7C2F" w14:paraId="611D4BD0" w14:textId="77777777" w:rsidTr="00D63C62">
        <w:trPr>
          <w:trHeight w:val="20"/>
        </w:trPr>
        <w:tc>
          <w:tcPr>
            <w:tcW w:w="2293" w:type="pct"/>
            <w:gridSpan w:val="2"/>
            <w:tcBorders>
              <w:top w:val="nil"/>
              <w:right w:val="nil"/>
            </w:tcBorders>
            <w:shd w:val="clear" w:color="auto" w:fill="auto"/>
            <w:vAlign w:val="center"/>
            <w:hideMark/>
          </w:tcPr>
          <w:p w14:paraId="1926329B" w14:textId="77777777" w:rsidR="00D63C62" w:rsidRPr="00EB7C2F" w:rsidRDefault="00D63C62" w:rsidP="00B81F6A">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Oil &amp; Gas Field Exploration Services</w:t>
            </w:r>
          </w:p>
        </w:tc>
        <w:tc>
          <w:tcPr>
            <w:tcW w:w="496" w:type="pct"/>
            <w:tcBorders>
              <w:top w:val="nil"/>
              <w:left w:val="nil"/>
              <w:bottom w:val="nil"/>
              <w:right w:val="nil"/>
            </w:tcBorders>
            <w:shd w:val="clear" w:color="auto" w:fill="auto"/>
            <w:noWrap/>
            <w:vAlign w:val="bottom"/>
            <w:hideMark/>
          </w:tcPr>
          <w:p w14:paraId="69701888"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15</w:t>
            </w:r>
          </w:p>
        </w:tc>
        <w:tc>
          <w:tcPr>
            <w:tcW w:w="744" w:type="pct"/>
            <w:tcBorders>
              <w:top w:val="nil"/>
              <w:left w:val="nil"/>
              <w:bottom w:val="nil"/>
              <w:right w:val="nil"/>
            </w:tcBorders>
            <w:shd w:val="clear" w:color="auto" w:fill="auto"/>
            <w:noWrap/>
            <w:vAlign w:val="bottom"/>
            <w:hideMark/>
          </w:tcPr>
          <w:p w14:paraId="0C6A0A67"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2.33</w:t>
            </w:r>
          </w:p>
        </w:tc>
        <w:tc>
          <w:tcPr>
            <w:tcW w:w="638" w:type="pct"/>
            <w:gridSpan w:val="2"/>
            <w:tcBorders>
              <w:top w:val="nil"/>
              <w:left w:val="nil"/>
              <w:bottom w:val="nil"/>
              <w:right w:val="nil"/>
            </w:tcBorders>
            <w:shd w:val="clear" w:color="auto" w:fill="auto"/>
            <w:noWrap/>
            <w:vAlign w:val="bottom"/>
            <w:hideMark/>
          </w:tcPr>
          <w:p w14:paraId="53363326"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135</w:t>
            </w:r>
          </w:p>
        </w:tc>
        <w:tc>
          <w:tcPr>
            <w:tcW w:w="829" w:type="pct"/>
            <w:tcBorders>
              <w:top w:val="nil"/>
              <w:left w:val="nil"/>
              <w:bottom w:val="nil"/>
              <w:right w:val="nil"/>
            </w:tcBorders>
            <w:shd w:val="clear" w:color="auto" w:fill="auto"/>
            <w:noWrap/>
            <w:vAlign w:val="bottom"/>
            <w:hideMark/>
          </w:tcPr>
          <w:p w14:paraId="1B95E921"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1.79</w:t>
            </w:r>
          </w:p>
        </w:tc>
      </w:tr>
      <w:tr w:rsidR="00D63C62" w:rsidRPr="00EB7C2F" w14:paraId="089CECA1" w14:textId="77777777" w:rsidTr="00D63C62">
        <w:trPr>
          <w:trHeight w:val="20"/>
        </w:trPr>
        <w:tc>
          <w:tcPr>
            <w:tcW w:w="2293" w:type="pct"/>
            <w:gridSpan w:val="2"/>
            <w:tcBorders>
              <w:top w:val="nil"/>
              <w:right w:val="nil"/>
            </w:tcBorders>
            <w:shd w:val="clear" w:color="auto" w:fill="auto"/>
            <w:vAlign w:val="center"/>
            <w:hideMark/>
          </w:tcPr>
          <w:p w14:paraId="3BF24693" w14:textId="77777777" w:rsidR="00D63C62" w:rsidRPr="00EB7C2F" w:rsidRDefault="00D63C62" w:rsidP="00B81F6A">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Oil &amp; Gas Field Services, Nec</w:t>
            </w:r>
          </w:p>
        </w:tc>
        <w:tc>
          <w:tcPr>
            <w:tcW w:w="496" w:type="pct"/>
            <w:tcBorders>
              <w:top w:val="nil"/>
              <w:left w:val="nil"/>
              <w:bottom w:val="nil"/>
              <w:right w:val="nil"/>
            </w:tcBorders>
            <w:shd w:val="clear" w:color="auto" w:fill="auto"/>
            <w:noWrap/>
            <w:vAlign w:val="bottom"/>
            <w:hideMark/>
          </w:tcPr>
          <w:p w14:paraId="588A5157"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5</w:t>
            </w:r>
          </w:p>
        </w:tc>
        <w:tc>
          <w:tcPr>
            <w:tcW w:w="744" w:type="pct"/>
            <w:tcBorders>
              <w:top w:val="nil"/>
              <w:left w:val="nil"/>
              <w:bottom w:val="nil"/>
              <w:right w:val="nil"/>
            </w:tcBorders>
            <w:shd w:val="clear" w:color="auto" w:fill="auto"/>
            <w:noWrap/>
            <w:vAlign w:val="bottom"/>
            <w:hideMark/>
          </w:tcPr>
          <w:p w14:paraId="4D5F4B93"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0.78</w:t>
            </w:r>
          </w:p>
        </w:tc>
        <w:tc>
          <w:tcPr>
            <w:tcW w:w="638" w:type="pct"/>
            <w:gridSpan w:val="2"/>
            <w:tcBorders>
              <w:top w:val="nil"/>
              <w:left w:val="nil"/>
              <w:bottom w:val="nil"/>
              <w:right w:val="nil"/>
            </w:tcBorders>
            <w:shd w:val="clear" w:color="auto" w:fill="auto"/>
            <w:noWrap/>
            <w:vAlign w:val="bottom"/>
            <w:hideMark/>
          </w:tcPr>
          <w:p w14:paraId="6CEC2AC8"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346</w:t>
            </w:r>
          </w:p>
        </w:tc>
        <w:tc>
          <w:tcPr>
            <w:tcW w:w="829" w:type="pct"/>
            <w:tcBorders>
              <w:top w:val="nil"/>
              <w:left w:val="nil"/>
              <w:bottom w:val="nil"/>
              <w:right w:val="nil"/>
            </w:tcBorders>
            <w:shd w:val="clear" w:color="auto" w:fill="auto"/>
            <w:noWrap/>
            <w:vAlign w:val="bottom"/>
            <w:hideMark/>
          </w:tcPr>
          <w:p w14:paraId="0E73B96B"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4.59</w:t>
            </w:r>
          </w:p>
        </w:tc>
      </w:tr>
      <w:tr w:rsidR="00D63C62" w:rsidRPr="00EB7C2F" w14:paraId="244EDC08" w14:textId="77777777" w:rsidTr="00D63C62">
        <w:trPr>
          <w:trHeight w:val="20"/>
        </w:trPr>
        <w:tc>
          <w:tcPr>
            <w:tcW w:w="2293" w:type="pct"/>
            <w:gridSpan w:val="2"/>
            <w:tcBorders>
              <w:top w:val="nil"/>
              <w:right w:val="nil"/>
            </w:tcBorders>
            <w:shd w:val="clear" w:color="auto" w:fill="auto"/>
            <w:vAlign w:val="center"/>
            <w:hideMark/>
          </w:tcPr>
          <w:p w14:paraId="072E9D28" w14:textId="77777777" w:rsidR="00D63C62" w:rsidRPr="00EB7C2F" w:rsidRDefault="00D63C62" w:rsidP="00B81F6A">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 xml:space="preserve">Mining &amp; Quarrying of Nonmetallic Minerals </w:t>
            </w:r>
          </w:p>
        </w:tc>
        <w:tc>
          <w:tcPr>
            <w:tcW w:w="496" w:type="pct"/>
            <w:tcBorders>
              <w:top w:val="nil"/>
              <w:left w:val="nil"/>
              <w:bottom w:val="nil"/>
              <w:right w:val="nil"/>
            </w:tcBorders>
            <w:shd w:val="clear" w:color="auto" w:fill="auto"/>
            <w:noWrap/>
            <w:vAlign w:val="bottom"/>
            <w:hideMark/>
          </w:tcPr>
          <w:p w14:paraId="224FB1A5"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9</w:t>
            </w:r>
          </w:p>
        </w:tc>
        <w:tc>
          <w:tcPr>
            <w:tcW w:w="744" w:type="pct"/>
            <w:tcBorders>
              <w:top w:val="nil"/>
              <w:left w:val="nil"/>
              <w:bottom w:val="nil"/>
              <w:right w:val="nil"/>
            </w:tcBorders>
            <w:shd w:val="clear" w:color="auto" w:fill="auto"/>
            <w:noWrap/>
            <w:vAlign w:val="bottom"/>
            <w:hideMark/>
          </w:tcPr>
          <w:p w14:paraId="665EBD90"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1.4</w:t>
            </w:r>
          </w:p>
        </w:tc>
        <w:tc>
          <w:tcPr>
            <w:tcW w:w="638" w:type="pct"/>
            <w:gridSpan w:val="2"/>
            <w:tcBorders>
              <w:top w:val="nil"/>
              <w:left w:val="nil"/>
              <w:bottom w:val="nil"/>
              <w:right w:val="nil"/>
            </w:tcBorders>
            <w:shd w:val="clear" w:color="auto" w:fill="auto"/>
            <w:noWrap/>
            <w:vAlign w:val="bottom"/>
            <w:hideMark/>
          </w:tcPr>
          <w:p w14:paraId="71EEE28C"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229</w:t>
            </w:r>
          </w:p>
        </w:tc>
        <w:tc>
          <w:tcPr>
            <w:tcW w:w="829" w:type="pct"/>
            <w:tcBorders>
              <w:top w:val="nil"/>
              <w:left w:val="nil"/>
              <w:bottom w:val="nil"/>
              <w:right w:val="nil"/>
            </w:tcBorders>
            <w:shd w:val="clear" w:color="auto" w:fill="auto"/>
            <w:noWrap/>
            <w:vAlign w:val="bottom"/>
            <w:hideMark/>
          </w:tcPr>
          <w:p w14:paraId="7188B32E"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3.04</w:t>
            </w:r>
          </w:p>
        </w:tc>
      </w:tr>
      <w:tr w:rsidR="00D63C62" w:rsidRPr="00EB7C2F" w14:paraId="63F50BCA" w14:textId="77777777" w:rsidTr="00D63C62">
        <w:trPr>
          <w:trHeight w:val="20"/>
        </w:trPr>
        <w:tc>
          <w:tcPr>
            <w:tcW w:w="2293" w:type="pct"/>
            <w:gridSpan w:val="2"/>
            <w:tcBorders>
              <w:top w:val="nil"/>
              <w:right w:val="nil"/>
            </w:tcBorders>
            <w:shd w:val="clear" w:color="auto" w:fill="auto"/>
            <w:vAlign w:val="center"/>
            <w:hideMark/>
          </w:tcPr>
          <w:p w14:paraId="005BDD2D" w14:textId="77777777" w:rsidR="00D63C62" w:rsidRPr="00EB7C2F" w:rsidRDefault="00D63C62" w:rsidP="00B81F6A">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Industrial Organic Chemicals</w:t>
            </w:r>
          </w:p>
        </w:tc>
        <w:tc>
          <w:tcPr>
            <w:tcW w:w="496" w:type="pct"/>
            <w:tcBorders>
              <w:top w:val="nil"/>
              <w:left w:val="nil"/>
              <w:bottom w:val="nil"/>
              <w:right w:val="nil"/>
            </w:tcBorders>
            <w:shd w:val="clear" w:color="auto" w:fill="auto"/>
            <w:noWrap/>
            <w:vAlign w:val="bottom"/>
            <w:hideMark/>
          </w:tcPr>
          <w:p w14:paraId="5F40B8A6"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2</w:t>
            </w:r>
          </w:p>
        </w:tc>
        <w:tc>
          <w:tcPr>
            <w:tcW w:w="744" w:type="pct"/>
            <w:tcBorders>
              <w:top w:val="nil"/>
              <w:left w:val="nil"/>
              <w:bottom w:val="nil"/>
              <w:right w:val="nil"/>
            </w:tcBorders>
            <w:shd w:val="clear" w:color="auto" w:fill="auto"/>
            <w:noWrap/>
            <w:vAlign w:val="bottom"/>
            <w:hideMark/>
          </w:tcPr>
          <w:p w14:paraId="50F8A613"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0.31</w:t>
            </w:r>
          </w:p>
        </w:tc>
        <w:tc>
          <w:tcPr>
            <w:tcW w:w="638" w:type="pct"/>
            <w:gridSpan w:val="2"/>
            <w:tcBorders>
              <w:top w:val="nil"/>
              <w:left w:val="nil"/>
              <w:bottom w:val="nil"/>
              <w:right w:val="nil"/>
            </w:tcBorders>
            <w:shd w:val="clear" w:color="auto" w:fill="auto"/>
            <w:noWrap/>
            <w:vAlign w:val="bottom"/>
            <w:hideMark/>
          </w:tcPr>
          <w:p w14:paraId="698F50DB"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162</w:t>
            </w:r>
          </w:p>
        </w:tc>
        <w:tc>
          <w:tcPr>
            <w:tcW w:w="829" w:type="pct"/>
            <w:tcBorders>
              <w:top w:val="nil"/>
              <w:left w:val="nil"/>
              <w:bottom w:val="nil"/>
              <w:right w:val="nil"/>
            </w:tcBorders>
            <w:shd w:val="clear" w:color="auto" w:fill="auto"/>
            <w:noWrap/>
            <w:vAlign w:val="bottom"/>
            <w:hideMark/>
          </w:tcPr>
          <w:p w14:paraId="27A444ED"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2.15</w:t>
            </w:r>
          </w:p>
        </w:tc>
      </w:tr>
      <w:tr w:rsidR="00D63C62" w:rsidRPr="00EB7C2F" w14:paraId="27A722D2" w14:textId="77777777" w:rsidTr="00D63C62">
        <w:trPr>
          <w:trHeight w:val="20"/>
        </w:trPr>
        <w:tc>
          <w:tcPr>
            <w:tcW w:w="2293" w:type="pct"/>
            <w:gridSpan w:val="2"/>
            <w:tcBorders>
              <w:top w:val="nil"/>
              <w:right w:val="nil"/>
            </w:tcBorders>
            <w:shd w:val="clear" w:color="auto" w:fill="auto"/>
            <w:vAlign w:val="center"/>
            <w:hideMark/>
          </w:tcPr>
          <w:p w14:paraId="4AD24077" w14:textId="77777777" w:rsidR="00D63C62" w:rsidRPr="00EB7C2F" w:rsidRDefault="00D63C62" w:rsidP="00B81F6A">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Agricultural Chemicals</w:t>
            </w:r>
          </w:p>
        </w:tc>
        <w:tc>
          <w:tcPr>
            <w:tcW w:w="496" w:type="pct"/>
            <w:tcBorders>
              <w:top w:val="nil"/>
              <w:left w:val="nil"/>
              <w:bottom w:val="nil"/>
              <w:right w:val="nil"/>
            </w:tcBorders>
            <w:shd w:val="clear" w:color="auto" w:fill="auto"/>
            <w:noWrap/>
            <w:vAlign w:val="bottom"/>
            <w:hideMark/>
          </w:tcPr>
          <w:p w14:paraId="7EFFE746"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24</w:t>
            </w:r>
          </w:p>
        </w:tc>
        <w:tc>
          <w:tcPr>
            <w:tcW w:w="744" w:type="pct"/>
            <w:tcBorders>
              <w:top w:val="nil"/>
              <w:left w:val="nil"/>
              <w:bottom w:val="nil"/>
              <w:right w:val="nil"/>
            </w:tcBorders>
            <w:shd w:val="clear" w:color="auto" w:fill="auto"/>
            <w:noWrap/>
            <w:vAlign w:val="bottom"/>
            <w:hideMark/>
          </w:tcPr>
          <w:p w14:paraId="3A5864A9"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3.72</w:t>
            </w:r>
          </w:p>
        </w:tc>
        <w:tc>
          <w:tcPr>
            <w:tcW w:w="638" w:type="pct"/>
            <w:gridSpan w:val="2"/>
            <w:tcBorders>
              <w:top w:val="nil"/>
              <w:left w:val="nil"/>
              <w:bottom w:val="nil"/>
              <w:right w:val="nil"/>
            </w:tcBorders>
            <w:shd w:val="clear" w:color="auto" w:fill="auto"/>
            <w:noWrap/>
            <w:vAlign w:val="bottom"/>
            <w:hideMark/>
          </w:tcPr>
          <w:p w14:paraId="112CB28D"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93</w:t>
            </w:r>
          </w:p>
        </w:tc>
        <w:tc>
          <w:tcPr>
            <w:tcW w:w="829" w:type="pct"/>
            <w:tcBorders>
              <w:top w:val="nil"/>
              <w:left w:val="nil"/>
              <w:bottom w:val="nil"/>
              <w:right w:val="nil"/>
            </w:tcBorders>
            <w:shd w:val="clear" w:color="auto" w:fill="auto"/>
            <w:noWrap/>
            <w:vAlign w:val="bottom"/>
            <w:hideMark/>
          </w:tcPr>
          <w:p w14:paraId="43BC3E19"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1.23</w:t>
            </w:r>
          </w:p>
        </w:tc>
      </w:tr>
      <w:tr w:rsidR="00D63C62" w:rsidRPr="00EB7C2F" w14:paraId="3AA9CC0C" w14:textId="77777777" w:rsidTr="00D63C62">
        <w:trPr>
          <w:trHeight w:val="20"/>
        </w:trPr>
        <w:tc>
          <w:tcPr>
            <w:tcW w:w="2293" w:type="pct"/>
            <w:gridSpan w:val="2"/>
            <w:tcBorders>
              <w:top w:val="nil"/>
              <w:right w:val="nil"/>
            </w:tcBorders>
            <w:shd w:val="clear" w:color="auto" w:fill="auto"/>
            <w:vAlign w:val="center"/>
            <w:hideMark/>
          </w:tcPr>
          <w:p w14:paraId="51EF8EAE" w14:textId="77777777" w:rsidR="00D63C62" w:rsidRPr="00EB7C2F" w:rsidRDefault="00D63C62" w:rsidP="00B81F6A">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Petroleum Refining</w:t>
            </w:r>
          </w:p>
        </w:tc>
        <w:tc>
          <w:tcPr>
            <w:tcW w:w="496" w:type="pct"/>
            <w:tcBorders>
              <w:top w:val="nil"/>
              <w:left w:val="nil"/>
              <w:bottom w:val="nil"/>
              <w:right w:val="nil"/>
            </w:tcBorders>
            <w:shd w:val="clear" w:color="auto" w:fill="auto"/>
            <w:noWrap/>
            <w:vAlign w:val="bottom"/>
            <w:hideMark/>
          </w:tcPr>
          <w:p w14:paraId="6E41927C"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32</w:t>
            </w:r>
          </w:p>
        </w:tc>
        <w:tc>
          <w:tcPr>
            <w:tcW w:w="744" w:type="pct"/>
            <w:tcBorders>
              <w:top w:val="nil"/>
              <w:left w:val="nil"/>
              <w:bottom w:val="nil"/>
              <w:right w:val="nil"/>
            </w:tcBorders>
            <w:shd w:val="clear" w:color="auto" w:fill="auto"/>
            <w:noWrap/>
            <w:vAlign w:val="bottom"/>
            <w:hideMark/>
          </w:tcPr>
          <w:p w14:paraId="649D80C0"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4.96</w:t>
            </w:r>
          </w:p>
        </w:tc>
        <w:tc>
          <w:tcPr>
            <w:tcW w:w="638" w:type="pct"/>
            <w:gridSpan w:val="2"/>
            <w:tcBorders>
              <w:top w:val="nil"/>
              <w:left w:val="nil"/>
              <w:bottom w:val="nil"/>
              <w:right w:val="nil"/>
            </w:tcBorders>
            <w:shd w:val="clear" w:color="auto" w:fill="auto"/>
            <w:noWrap/>
            <w:vAlign w:val="bottom"/>
            <w:hideMark/>
          </w:tcPr>
          <w:p w14:paraId="2E5FAAD8"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624</w:t>
            </w:r>
          </w:p>
        </w:tc>
        <w:tc>
          <w:tcPr>
            <w:tcW w:w="829" w:type="pct"/>
            <w:tcBorders>
              <w:top w:val="nil"/>
              <w:left w:val="nil"/>
              <w:bottom w:val="nil"/>
              <w:right w:val="nil"/>
            </w:tcBorders>
            <w:shd w:val="clear" w:color="auto" w:fill="auto"/>
            <w:noWrap/>
            <w:vAlign w:val="bottom"/>
            <w:hideMark/>
          </w:tcPr>
          <w:p w14:paraId="0D276065"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8.28</w:t>
            </w:r>
          </w:p>
        </w:tc>
      </w:tr>
      <w:tr w:rsidR="00D63C62" w:rsidRPr="00EB7C2F" w14:paraId="69A99C2C" w14:textId="77777777" w:rsidTr="00D63C62">
        <w:trPr>
          <w:trHeight w:val="20"/>
        </w:trPr>
        <w:tc>
          <w:tcPr>
            <w:tcW w:w="2293" w:type="pct"/>
            <w:gridSpan w:val="2"/>
            <w:tcBorders>
              <w:top w:val="nil"/>
              <w:right w:val="nil"/>
            </w:tcBorders>
            <w:shd w:val="clear" w:color="auto" w:fill="auto"/>
            <w:vAlign w:val="center"/>
            <w:hideMark/>
          </w:tcPr>
          <w:p w14:paraId="1F05BB88" w14:textId="77777777" w:rsidR="00D63C62" w:rsidRPr="00EB7C2F" w:rsidRDefault="00D63C62" w:rsidP="00B81F6A">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 xml:space="preserve">Steel Works, Blast Furnaces &amp; Rolling Mills </w:t>
            </w:r>
          </w:p>
        </w:tc>
        <w:tc>
          <w:tcPr>
            <w:tcW w:w="496" w:type="pct"/>
            <w:tcBorders>
              <w:top w:val="nil"/>
              <w:left w:val="nil"/>
              <w:bottom w:val="nil"/>
              <w:right w:val="nil"/>
            </w:tcBorders>
            <w:shd w:val="clear" w:color="auto" w:fill="auto"/>
            <w:noWrap/>
            <w:vAlign w:val="bottom"/>
            <w:hideMark/>
          </w:tcPr>
          <w:p w14:paraId="39F81BB6"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3</w:t>
            </w:r>
          </w:p>
        </w:tc>
        <w:tc>
          <w:tcPr>
            <w:tcW w:w="744" w:type="pct"/>
            <w:tcBorders>
              <w:top w:val="nil"/>
              <w:left w:val="nil"/>
              <w:bottom w:val="nil"/>
              <w:right w:val="nil"/>
            </w:tcBorders>
            <w:shd w:val="clear" w:color="auto" w:fill="auto"/>
            <w:noWrap/>
            <w:vAlign w:val="bottom"/>
            <w:hideMark/>
          </w:tcPr>
          <w:p w14:paraId="7E4BDDA5"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0.47</w:t>
            </w:r>
          </w:p>
        </w:tc>
        <w:tc>
          <w:tcPr>
            <w:tcW w:w="638" w:type="pct"/>
            <w:gridSpan w:val="2"/>
            <w:tcBorders>
              <w:top w:val="nil"/>
              <w:left w:val="nil"/>
              <w:bottom w:val="nil"/>
              <w:right w:val="nil"/>
            </w:tcBorders>
            <w:shd w:val="clear" w:color="auto" w:fill="auto"/>
            <w:noWrap/>
            <w:vAlign w:val="bottom"/>
            <w:hideMark/>
          </w:tcPr>
          <w:p w14:paraId="0DBB0B60"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507</w:t>
            </w:r>
          </w:p>
        </w:tc>
        <w:tc>
          <w:tcPr>
            <w:tcW w:w="829" w:type="pct"/>
            <w:tcBorders>
              <w:top w:val="nil"/>
              <w:left w:val="nil"/>
              <w:bottom w:val="nil"/>
              <w:right w:val="nil"/>
            </w:tcBorders>
            <w:shd w:val="clear" w:color="auto" w:fill="auto"/>
            <w:noWrap/>
            <w:vAlign w:val="bottom"/>
            <w:hideMark/>
          </w:tcPr>
          <w:p w14:paraId="0B94E1DD"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6.73</w:t>
            </w:r>
          </w:p>
        </w:tc>
      </w:tr>
      <w:tr w:rsidR="00D63C62" w:rsidRPr="00EB7C2F" w14:paraId="482DB3BB" w14:textId="77777777" w:rsidTr="00D63C62">
        <w:trPr>
          <w:trHeight w:val="20"/>
        </w:trPr>
        <w:tc>
          <w:tcPr>
            <w:tcW w:w="2293" w:type="pct"/>
            <w:gridSpan w:val="2"/>
            <w:tcBorders>
              <w:top w:val="nil"/>
              <w:right w:val="nil"/>
            </w:tcBorders>
            <w:shd w:val="clear" w:color="auto" w:fill="auto"/>
            <w:vAlign w:val="center"/>
            <w:hideMark/>
          </w:tcPr>
          <w:p w14:paraId="2AD9295D" w14:textId="77777777" w:rsidR="00D63C62" w:rsidRPr="00EB7C2F" w:rsidRDefault="00D63C62" w:rsidP="00B81F6A">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Trucking &amp; Courier Services (No Air)</w:t>
            </w:r>
          </w:p>
        </w:tc>
        <w:tc>
          <w:tcPr>
            <w:tcW w:w="496" w:type="pct"/>
            <w:tcBorders>
              <w:top w:val="nil"/>
              <w:left w:val="nil"/>
              <w:bottom w:val="nil"/>
              <w:right w:val="nil"/>
            </w:tcBorders>
            <w:shd w:val="clear" w:color="auto" w:fill="auto"/>
            <w:noWrap/>
            <w:vAlign w:val="bottom"/>
            <w:hideMark/>
          </w:tcPr>
          <w:p w14:paraId="6814A568"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7</w:t>
            </w:r>
          </w:p>
        </w:tc>
        <w:tc>
          <w:tcPr>
            <w:tcW w:w="744" w:type="pct"/>
            <w:tcBorders>
              <w:top w:val="nil"/>
              <w:left w:val="nil"/>
              <w:bottom w:val="nil"/>
              <w:right w:val="nil"/>
            </w:tcBorders>
            <w:shd w:val="clear" w:color="auto" w:fill="auto"/>
            <w:noWrap/>
            <w:vAlign w:val="bottom"/>
            <w:hideMark/>
          </w:tcPr>
          <w:p w14:paraId="7B1A71B3"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1.09</w:t>
            </w:r>
          </w:p>
        </w:tc>
        <w:tc>
          <w:tcPr>
            <w:tcW w:w="638" w:type="pct"/>
            <w:gridSpan w:val="2"/>
            <w:tcBorders>
              <w:top w:val="nil"/>
              <w:left w:val="nil"/>
              <w:bottom w:val="nil"/>
              <w:right w:val="nil"/>
            </w:tcBorders>
            <w:shd w:val="clear" w:color="auto" w:fill="auto"/>
            <w:noWrap/>
            <w:vAlign w:val="bottom"/>
            <w:hideMark/>
          </w:tcPr>
          <w:p w14:paraId="4CE9CD6B"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137</w:t>
            </w:r>
          </w:p>
        </w:tc>
        <w:tc>
          <w:tcPr>
            <w:tcW w:w="829" w:type="pct"/>
            <w:tcBorders>
              <w:top w:val="nil"/>
              <w:left w:val="nil"/>
              <w:bottom w:val="nil"/>
              <w:right w:val="nil"/>
            </w:tcBorders>
            <w:shd w:val="clear" w:color="auto" w:fill="auto"/>
            <w:noWrap/>
            <w:vAlign w:val="bottom"/>
            <w:hideMark/>
          </w:tcPr>
          <w:p w14:paraId="323F79BA"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1.82</w:t>
            </w:r>
          </w:p>
        </w:tc>
      </w:tr>
      <w:tr w:rsidR="00D63C62" w:rsidRPr="00EB7C2F" w14:paraId="4B97EEA5" w14:textId="77777777" w:rsidTr="00D63C62">
        <w:trPr>
          <w:trHeight w:val="20"/>
        </w:trPr>
        <w:tc>
          <w:tcPr>
            <w:tcW w:w="2293" w:type="pct"/>
            <w:gridSpan w:val="2"/>
            <w:tcBorders>
              <w:top w:val="nil"/>
              <w:right w:val="nil"/>
            </w:tcBorders>
            <w:shd w:val="clear" w:color="auto" w:fill="auto"/>
            <w:vAlign w:val="center"/>
            <w:hideMark/>
          </w:tcPr>
          <w:p w14:paraId="1C54DAA3" w14:textId="77777777" w:rsidR="00D63C62" w:rsidRPr="00EB7C2F" w:rsidRDefault="00D63C62" w:rsidP="00B81F6A">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Water Transportation</w:t>
            </w:r>
          </w:p>
        </w:tc>
        <w:tc>
          <w:tcPr>
            <w:tcW w:w="496" w:type="pct"/>
            <w:tcBorders>
              <w:top w:val="nil"/>
              <w:left w:val="nil"/>
              <w:bottom w:val="nil"/>
              <w:right w:val="nil"/>
            </w:tcBorders>
            <w:shd w:val="clear" w:color="auto" w:fill="auto"/>
            <w:noWrap/>
            <w:vAlign w:val="bottom"/>
            <w:hideMark/>
          </w:tcPr>
          <w:p w14:paraId="7E54608D"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8</w:t>
            </w:r>
          </w:p>
        </w:tc>
        <w:tc>
          <w:tcPr>
            <w:tcW w:w="744" w:type="pct"/>
            <w:tcBorders>
              <w:top w:val="nil"/>
              <w:left w:val="nil"/>
              <w:bottom w:val="nil"/>
              <w:right w:val="nil"/>
            </w:tcBorders>
            <w:shd w:val="clear" w:color="auto" w:fill="auto"/>
            <w:noWrap/>
            <w:vAlign w:val="bottom"/>
            <w:hideMark/>
          </w:tcPr>
          <w:p w14:paraId="0608EA0D"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1.24</w:t>
            </w:r>
          </w:p>
        </w:tc>
        <w:tc>
          <w:tcPr>
            <w:tcW w:w="638" w:type="pct"/>
            <w:gridSpan w:val="2"/>
            <w:tcBorders>
              <w:top w:val="nil"/>
              <w:left w:val="nil"/>
              <w:bottom w:val="nil"/>
              <w:right w:val="nil"/>
            </w:tcBorders>
            <w:shd w:val="clear" w:color="auto" w:fill="auto"/>
            <w:noWrap/>
            <w:vAlign w:val="bottom"/>
            <w:hideMark/>
          </w:tcPr>
          <w:p w14:paraId="38A728C3"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342</w:t>
            </w:r>
          </w:p>
        </w:tc>
        <w:tc>
          <w:tcPr>
            <w:tcW w:w="829" w:type="pct"/>
            <w:tcBorders>
              <w:top w:val="nil"/>
              <w:left w:val="nil"/>
              <w:bottom w:val="nil"/>
              <w:right w:val="nil"/>
            </w:tcBorders>
            <w:shd w:val="clear" w:color="auto" w:fill="auto"/>
            <w:noWrap/>
            <w:vAlign w:val="bottom"/>
            <w:hideMark/>
          </w:tcPr>
          <w:p w14:paraId="7499CE9A"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4.54</w:t>
            </w:r>
          </w:p>
        </w:tc>
      </w:tr>
      <w:tr w:rsidR="00D63C62" w:rsidRPr="00EB7C2F" w14:paraId="1C49E6A3" w14:textId="77777777" w:rsidTr="00D63C62">
        <w:trPr>
          <w:trHeight w:val="20"/>
        </w:trPr>
        <w:tc>
          <w:tcPr>
            <w:tcW w:w="2293" w:type="pct"/>
            <w:gridSpan w:val="2"/>
            <w:tcBorders>
              <w:top w:val="nil"/>
              <w:right w:val="nil"/>
            </w:tcBorders>
            <w:shd w:val="clear" w:color="auto" w:fill="auto"/>
            <w:vAlign w:val="center"/>
            <w:hideMark/>
          </w:tcPr>
          <w:p w14:paraId="1EAAFDCB" w14:textId="77777777" w:rsidR="00D63C62" w:rsidRPr="00EB7C2F" w:rsidRDefault="00D63C62" w:rsidP="00B81F6A">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Deep Sea Foreign Transportation Of Freight</w:t>
            </w:r>
          </w:p>
        </w:tc>
        <w:tc>
          <w:tcPr>
            <w:tcW w:w="496" w:type="pct"/>
            <w:tcBorders>
              <w:top w:val="nil"/>
              <w:left w:val="nil"/>
              <w:bottom w:val="nil"/>
              <w:right w:val="nil"/>
            </w:tcBorders>
            <w:shd w:val="clear" w:color="auto" w:fill="auto"/>
            <w:noWrap/>
            <w:vAlign w:val="bottom"/>
            <w:hideMark/>
          </w:tcPr>
          <w:p w14:paraId="20D72406"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16</w:t>
            </w:r>
          </w:p>
        </w:tc>
        <w:tc>
          <w:tcPr>
            <w:tcW w:w="744" w:type="pct"/>
            <w:tcBorders>
              <w:top w:val="nil"/>
              <w:left w:val="nil"/>
              <w:bottom w:val="nil"/>
              <w:right w:val="nil"/>
            </w:tcBorders>
            <w:shd w:val="clear" w:color="auto" w:fill="auto"/>
            <w:noWrap/>
            <w:vAlign w:val="bottom"/>
            <w:hideMark/>
          </w:tcPr>
          <w:p w14:paraId="788DB465"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2.48</w:t>
            </w:r>
          </w:p>
        </w:tc>
        <w:tc>
          <w:tcPr>
            <w:tcW w:w="638" w:type="pct"/>
            <w:gridSpan w:val="2"/>
            <w:tcBorders>
              <w:top w:val="nil"/>
              <w:left w:val="nil"/>
              <w:bottom w:val="nil"/>
              <w:right w:val="nil"/>
            </w:tcBorders>
            <w:shd w:val="clear" w:color="auto" w:fill="auto"/>
            <w:noWrap/>
            <w:vAlign w:val="bottom"/>
            <w:hideMark/>
          </w:tcPr>
          <w:p w14:paraId="2A6C43F0"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482</w:t>
            </w:r>
          </w:p>
        </w:tc>
        <w:tc>
          <w:tcPr>
            <w:tcW w:w="829" w:type="pct"/>
            <w:tcBorders>
              <w:top w:val="nil"/>
              <w:left w:val="nil"/>
              <w:bottom w:val="nil"/>
              <w:right w:val="nil"/>
            </w:tcBorders>
            <w:shd w:val="clear" w:color="auto" w:fill="auto"/>
            <w:noWrap/>
            <w:vAlign w:val="bottom"/>
            <w:hideMark/>
          </w:tcPr>
          <w:p w14:paraId="6FA15BC1"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6.4</w:t>
            </w:r>
          </w:p>
        </w:tc>
      </w:tr>
      <w:tr w:rsidR="00D63C62" w:rsidRPr="00EB7C2F" w14:paraId="302118D7" w14:textId="77777777" w:rsidTr="00D63C62">
        <w:trPr>
          <w:trHeight w:val="20"/>
        </w:trPr>
        <w:tc>
          <w:tcPr>
            <w:tcW w:w="2293" w:type="pct"/>
            <w:gridSpan w:val="2"/>
            <w:tcBorders>
              <w:top w:val="nil"/>
              <w:right w:val="nil"/>
            </w:tcBorders>
            <w:shd w:val="clear" w:color="auto" w:fill="auto"/>
            <w:vAlign w:val="center"/>
            <w:hideMark/>
          </w:tcPr>
          <w:p w14:paraId="5A21C7DD" w14:textId="77777777" w:rsidR="00D63C62" w:rsidRPr="00EB7C2F" w:rsidRDefault="00D63C62" w:rsidP="00B81F6A">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Pipe Lines (No Natural Gas)</w:t>
            </w:r>
          </w:p>
        </w:tc>
        <w:tc>
          <w:tcPr>
            <w:tcW w:w="496" w:type="pct"/>
            <w:tcBorders>
              <w:top w:val="nil"/>
              <w:left w:val="nil"/>
              <w:bottom w:val="nil"/>
              <w:right w:val="nil"/>
            </w:tcBorders>
            <w:shd w:val="clear" w:color="auto" w:fill="auto"/>
            <w:noWrap/>
            <w:vAlign w:val="bottom"/>
            <w:hideMark/>
          </w:tcPr>
          <w:p w14:paraId="5CFD6285"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48</w:t>
            </w:r>
          </w:p>
        </w:tc>
        <w:tc>
          <w:tcPr>
            <w:tcW w:w="744" w:type="pct"/>
            <w:tcBorders>
              <w:top w:val="nil"/>
              <w:left w:val="nil"/>
              <w:bottom w:val="nil"/>
              <w:right w:val="nil"/>
            </w:tcBorders>
            <w:shd w:val="clear" w:color="auto" w:fill="auto"/>
            <w:noWrap/>
            <w:vAlign w:val="bottom"/>
            <w:hideMark/>
          </w:tcPr>
          <w:p w14:paraId="7FB95E1B"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7.44</w:t>
            </w:r>
          </w:p>
        </w:tc>
        <w:tc>
          <w:tcPr>
            <w:tcW w:w="638" w:type="pct"/>
            <w:gridSpan w:val="2"/>
            <w:tcBorders>
              <w:top w:val="nil"/>
              <w:left w:val="nil"/>
              <w:bottom w:val="nil"/>
              <w:right w:val="nil"/>
            </w:tcBorders>
            <w:shd w:val="clear" w:color="auto" w:fill="auto"/>
            <w:noWrap/>
            <w:vAlign w:val="bottom"/>
            <w:hideMark/>
          </w:tcPr>
          <w:p w14:paraId="303E1B6E"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13</w:t>
            </w:r>
          </w:p>
        </w:tc>
        <w:tc>
          <w:tcPr>
            <w:tcW w:w="829" w:type="pct"/>
            <w:tcBorders>
              <w:top w:val="nil"/>
              <w:left w:val="nil"/>
              <w:bottom w:val="nil"/>
              <w:right w:val="nil"/>
            </w:tcBorders>
            <w:shd w:val="clear" w:color="auto" w:fill="auto"/>
            <w:noWrap/>
            <w:vAlign w:val="bottom"/>
            <w:hideMark/>
          </w:tcPr>
          <w:p w14:paraId="2D1595D0"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0.17</w:t>
            </w:r>
          </w:p>
        </w:tc>
      </w:tr>
      <w:tr w:rsidR="00D63C62" w:rsidRPr="00EB7C2F" w14:paraId="57F0B99A" w14:textId="77777777" w:rsidTr="00D63C62">
        <w:trPr>
          <w:trHeight w:val="20"/>
        </w:trPr>
        <w:tc>
          <w:tcPr>
            <w:tcW w:w="2293" w:type="pct"/>
            <w:gridSpan w:val="2"/>
            <w:tcBorders>
              <w:top w:val="nil"/>
              <w:right w:val="nil"/>
            </w:tcBorders>
            <w:shd w:val="clear" w:color="auto" w:fill="auto"/>
            <w:vAlign w:val="center"/>
            <w:hideMark/>
          </w:tcPr>
          <w:p w14:paraId="00C2C681" w14:textId="77777777" w:rsidR="00D63C62" w:rsidRPr="00EB7C2F" w:rsidRDefault="00D63C62" w:rsidP="00B81F6A">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Natural Gas Transmission</w:t>
            </w:r>
          </w:p>
        </w:tc>
        <w:tc>
          <w:tcPr>
            <w:tcW w:w="496" w:type="pct"/>
            <w:tcBorders>
              <w:top w:val="nil"/>
              <w:left w:val="nil"/>
              <w:bottom w:val="nil"/>
              <w:right w:val="nil"/>
            </w:tcBorders>
            <w:shd w:val="clear" w:color="auto" w:fill="auto"/>
            <w:noWrap/>
            <w:vAlign w:val="bottom"/>
            <w:hideMark/>
          </w:tcPr>
          <w:p w14:paraId="4B45E089"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99</w:t>
            </w:r>
          </w:p>
        </w:tc>
        <w:tc>
          <w:tcPr>
            <w:tcW w:w="744" w:type="pct"/>
            <w:tcBorders>
              <w:top w:val="nil"/>
              <w:left w:val="nil"/>
              <w:bottom w:val="nil"/>
              <w:right w:val="nil"/>
            </w:tcBorders>
            <w:shd w:val="clear" w:color="auto" w:fill="auto"/>
            <w:noWrap/>
            <w:vAlign w:val="bottom"/>
            <w:hideMark/>
          </w:tcPr>
          <w:p w14:paraId="52C3BEE9"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15.35</w:t>
            </w:r>
          </w:p>
        </w:tc>
        <w:tc>
          <w:tcPr>
            <w:tcW w:w="638" w:type="pct"/>
            <w:gridSpan w:val="2"/>
            <w:tcBorders>
              <w:top w:val="nil"/>
              <w:left w:val="nil"/>
              <w:bottom w:val="nil"/>
              <w:right w:val="nil"/>
            </w:tcBorders>
            <w:shd w:val="clear" w:color="auto" w:fill="auto"/>
            <w:noWrap/>
            <w:vAlign w:val="bottom"/>
            <w:hideMark/>
          </w:tcPr>
          <w:p w14:paraId="2088C8CD"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237</w:t>
            </w:r>
          </w:p>
        </w:tc>
        <w:tc>
          <w:tcPr>
            <w:tcW w:w="829" w:type="pct"/>
            <w:tcBorders>
              <w:top w:val="nil"/>
              <w:left w:val="nil"/>
              <w:bottom w:val="nil"/>
              <w:right w:val="nil"/>
            </w:tcBorders>
            <w:shd w:val="clear" w:color="auto" w:fill="auto"/>
            <w:noWrap/>
            <w:vAlign w:val="bottom"/>
            <w:hideMark/>
          </w:tcPr>
          <w:p w14:paraId="2A7EA79B"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3.15</w:t>
            </w:r>
          </w:p>
        </w:tc>
      </w:tr>
      <w:tr w:rsidR="00D63C62" w:rsidRPr="00EB7C2F" w14:paraId="478B08F8" w14:textId="77777777" w:rsidTr="00D63C62">
        <w:trPr>
          <w:trHeight w:val="20"/>
        </w:trPr>
        <w:tc>
          <w:tcPr>
            <w:tcW w:w="2293" w:type="pct"/>
            <w:gridSpan w:val="2"/>
            <w:tcBorders>
              <w:top w:val="nil"/>
              <w:right w:val="nil"/>
            </w:tcBorders>
            <w:shd w:val="clear" w:color="auto" w:fill="auto"/>
            <w:vAlign w:val="center"/>
            <w:hideMark/>
          </w:tcPr>
          <w:p w14:paraId="490D300C" w14:textId="77777777" w:rsidR="00D63C62" w:rsidRPr="00EB7C2F" w:rsidRDefault="00D63C62" w:rsidP="00B81F6A">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Natural Gas Transmission &amp; Distribution</w:t>
            </w:r>
          </w:p>
        </w:tc>
        <w:tc>
          <w:tcPr>
            <w:tcW w:w="496" w:type="pct"/>
            <w:tcBorders>
              <w:top w:val="nil"/>
              <w:left w:val="nil"/>
              <w:bottom w:val="nil"/>
              <w:right w:val="nil"/>
            </w:tcBorders>
            <w:shd w:val="clear" w:color="auto" w:fill="auto"/>
            <w:noWrap/>
            <w:vAlign w:val="bottom"/>
            <w:hideMark/>
          </w:tcPr>
          <w:p w14:paraId="19F913CE"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14</w:t>
            </w:r>
          </w:p>
        </w:tc>
        <w:tc>
          <w:tcPr>
            <w:tcW w:w="744" w:type="pct"/>
            <w:tcBorders>
              <w:top w:val="nil"/>
              <w:left w:val="nil"/>
              <w:bottom w:val="nil"/>
              <w:right w:val="nil"/>
            </w:tcBorders>
            <w:shd w:val="clear" w:color="auto" w:fill="auto"/>
            <w:noWrap/>
            <w:vAlign w:val="bottom"/>
            <w:hideMark/>
          </w:tcPr>
          <w:p w14:paraId="03797857"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2.17</w:t>
            </w:r>
          </w:p>
        </w:tc>
        <w:tc>
          <w:tcPr>
            <w:tcW w:w="638" w:type="pct"/>
            <w:gridSpan w:val="2"/>
            <w:tcBorders>
              <w:top w:val="nil"/>
              <w:left w:val="nil"/>
              <w:bottom w:val="nil"/>
              <w:right w:val="nil"/>
            </w:tcBorders>
            <w:shd w:val="clear" w:color="auto" w:fill="auto"/>
            <w:noWrap/>
            <w:vAlign w:val="bottom"/>
            <w:hideMark/>
          </w:tcPr>
          <w:p w14:paraId="52249936"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246</w:t>
            </w:r>
          </w:p>
        </w:tc>
        <w:tc>
          <w:tcPr>
            <w:tcW w:w="829" w:type="pct"/>
            <w:tcBorders>
              <w:top w:val="nil"/>
              <w:left w:val="nil"/>
              <w:bottom w:val="nil"/>
              <w:right w:val="nil"/>
            </w:tcBorders>
            <w:shd w:val="clear" w:color="auto" w:fill="auto"/>
            <w:noWrap/>
            <w:vAlign w:val="bottom"/>
            <w:hideMark/>
          </w:tcPr>
          <w:p w14:paraId="3BC31F0D"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3.27</w:t>
            </w:r>
          </w:p>
        </w:tc>
      </w:tr>
      <w:tr w:rsidR="00D63C62" w:rsidRPr="00EB7C2F" w14:paraId="78D9C34C" w14:textId="77777777" w:rsidTr="00D63C62">
        <w:trPr>
          <w:trHeight w:val="20"/>
        </w:trPr>
        <w:tc>
          <w:tcPr>
            <w:tcW w:w="2293" w:type="pct"/>
            <w:gridSpan w:val="2"/>
            <w:tcBorders>
              <w:top w:val="nil"/>
              <w:right w:val="nil"/>
            </w:tcBorders>
            <w:shd w:val="clear" w:color="auto" w:fill="auto"/>
            <w:vAlign w:val="center"/>
            <w:hideMark/>
          </w:tcPr>
          <w:p w14:paraId="3BE3E45E" w14:textId="77777777" w:rsidR="00D63C62" w:rsidRPr="00EB7C2F" w:rsidRDefault="00D63C62" w:rsidP="00B81F6A">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Wholesale-Petroleum Bulk Stations &amp; Terminals</w:t>
            </w:r>
          </w:p>
        </w:tc>
        <w:tc>
          <w:tcPr>
            <w:tcW w:w="496" w:type="pct"/>
            <w:tcBorders>
              <w:top w:val="nil"/>
              <w:left w:val="nil"/>
              <w:bottom w:val="nil"/>
              <w:right w:val="nil"/>
            </w:tcBorders>
            <w:shd w:val="clear" w:color="auto" w:fill="auto"/>
            <w:noWrap/>
            <w:vAlign w:val="bottom"/>
            <w:hideMark/>
          </w:tcPr>
          <w:p w14:paraId="30BCAE8F"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68</w:t>
            </w:r>
          </w:p>
        </w:tc>
        <w:tc>
          <w:tcPr>
            <w:tcW w:w="744" w:type="pct"/>
            <w:tcBorders>
              <w:top w:val="nil"/>
              <w:left w:val="nil"/>
              <w:bottom w:val="nil"/>
              <w:right w:val="nil"/>
            </w:tcBorders>
            <w:shd w:val="clear" w:color="auto" w:fill="auto"/>
            <w:noWrap/>
            <w:vAlign w:val="bottom"/>
            <w:hideMark/>
          </w:tcPr>
          <w:p w14:paraId="51817792"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10.54</w:t>
            </w:r>
          </w:p>
        </w:tc>
        <w:tc>
          <w:tcPr>
            <w:tcW w:w="638" w:type="pct"/>
            <w:gridSpan w:val="2"/>
            <w:tcBorders>
              <w:top w:val="nil"/>
              <w:left w:val="nil"/>
              <w:bottom w:val="nil"/>
              <w:right w:val="nil"/>
            </w:tcBorders>
            <w:shd w:val="clear" w:color="auto" w:fill="auto"/>
            <w:noWrap/>
            <w:vAlign w:val="bottom"/>
            <w:hideMark/>
          </w:tcPr>
          <w:p w14:paraId="2CC832CE"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82</w:t>
            </w:r>
          </w:p>
        </w:tc>
        <w:tc>
          <w:tcPr>
            <w:tcW w:w="829" w:type="pct"/>
            <w:tcBorders>
              <w:top w:val="nil"/>
              <w:left w:val="nil"/>
              <w:bottom w:val="nil"/>
              <w:right w:val="nil"/>
            </w:tcBorders>
            <w:shd w:val="clear" w:color="auto" w:fill="auto"/>
            <w:noWrap/>
            <w:vAlign w:val="bottom"/>
            <w:hideMark/>
          </w:tcPr>
          <w:p w14:paraId="36C32E73"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1.09</w:t>
            </w:r>
          </w:p>
        </w:tc>
      </w:tr>
      <w:tr w:rsidR="00D63C62" w:rsidRPr="00EB7C2F" w14:paraId="1B2816C3" w14:textId="77777777" w:rsidTr="00D63C62">
        <w:trPr>
          <w:trHeight w:val="20"/>
        </w:trPr>
        <w:tc>
          <w:tcPr>
            <w:tcW w:w="2293" w:type="pct"/>
            <w:gridSpan w:val="2"/>
            <w:tcBorders>
              <w:top w:val="nil"/>
              <w:right w:val="nil"/>
            </w:tcBorders>
            <w:shd w:val="clear" w:color="auto" w:fill="auto"/>
            <w:vAlign w:val="center"/>
            <w:hideMark/>
          </w:tcPr>
          <w:p w14:paraId="55262C6D" w14:textId="77777777" w:rsidR="00D63C62" w:rsidRPr="00EB7C2F" w:rsidRDefault="00D63C62" w:rsidP="00B81F6A">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 xml:space="preserve">Wholesale-Petroleum &amp; Petroleum Products </w:t>
            </w:r>
          </w:p>
        </w:tc>
        <w:tc>
          <w:tcPr>
            <w:tcW w:w="496" w:type="pct"/>
            <w:tcBorders>
              <w:top w:val="nil"/>
              <w:left w:val="nil"/>
              <w:right w:val="nil"/>
            </w:tcBorders>
            <w:shd w:val="clear" w:color="auto" w:fill="auto"/>
            <w:noWrap/>
            <w:vAlign w:val="bottom"/>
            <w:hideMark/>
          </w:tcPr>
          <w:p w14:paraId="34832824"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45</w:t>
            </w:r>
          </w:p>
        </w:tc>
        <w:tc>
          <w:tcPr>
            <w:tcW w:w="744" w:type="pct"/>
            <w:tcBorders>
              <w:top w:val="nil"/>
              <w:left w:val="nil"/>
              <w:right w:val="nil"/>
            </w:tcBorders>
            <w:shd w:val="clear" w:color="auto" w:fill="auto"/>
            <w:noWrap/>
            <w:vAlign w:val="bottom"/>
            <w:hideMark/>
          </w:tcPr>
          <w:p w14:paraId="26A7BF0D"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6.98</w:t>
            </w:r>
          </w:p>
        </w:tc>
        <w:tc>
          <w:tcPr>
            <w:tcW w:w="638" w:type="pct"/>
            <w:gridSpan w:val="2"/>
            <w:tcBorders>
              <w:top w:val="nil"/>
              <w:left w:val="nil"/>
              <w:right w:val="nil"/>
            </w:tcBorders>
            <w:shd w:val="clear" w:color="auto" w:fill="auto"/>
            <w:noWrap/>
            <w:vAlign w:val="bottom"/>
            <w:hideMark/>
          </w:tcPr>
          <w:p w14:paraId="533DEBCF"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139</w:t>
            </w:r>
          </w:p>
        </w:tc>
        <w:tc>
          <w:tcPr>
            <w:tcW w:w="829" w:type="pct"/>
            <w:tcBorders>
              <w:top w:val="nil"/>
              <w:left w:val="nil"/>
              <w:right w:val="nil"/>
            </w:tcBorders>
            <w:shd w:val="clear" w:color="auto" w:fill="auto"/>
            <w:noWrap/>
            <w:vAlign w:val="bottom"/>
            <w:hideMark/>
          </w:tcPr>
          <w:p w14:paraId="646894FA"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1.84</w:t>
            </w:r>
          </w:p>
        </w:tc>
      </w:tr>
      <w:tr w:rsidR="00D63C62" w:rsidRPr="00EB7C2F" w14:paraId="33B59853" w14:textId="77777777" w:rsidTr="00D63C62">
        <w:trPr>
          <w:trHeight w:val="20"/>
        </w:trPr>
        <w:tc>
          <w:tcPr>
            <w:tcW w:w="2293" w:type="pct"/>
            <w:gridSpan w:val="2"/>
            <w:tcBorders>
              <w:top w:val="nil"/>
              <w:bottom w:val="single" w:sz="4" w:space="0" w:color="auto"/>
              <w:right w:val="nil"/>
            </w:tcBorders>
            <w:shd w:val="clear" w:color="auto" w:fill="auto"/>
            <w:vAlign w:val="center"/>
            <w:hideMark/>
          </w:tcPr>
          <w:p w14:paraId="6BFDE571" w14:textId="77777777" w:rsidR="00D63C62" w:rsidRPr="00EB7C2F" w:rsidRDefault="00D63C62" w:rsidP="00B81F6A">
            <w:pPr>
              <w:spacing w:after="0" w:line="240" w:lineRule="auto"/>
              <w:contextualSpacing/>
              <w:rPr>
                <w:rFonts w:ascii="Times New Roman" w:eastAsia="Times New Roman" w:hAnsi="Times New Roman"/>
                <w:color w:val="000000"/>
                <w:sz w:val="20"/>
                <w:szCs w:val="20"/>
              </w:rPr>
            </w:pPr>
            <w:r w:rsidRPr="00EB7C2F">
              <w:rPr>
                <w:rFonts w:ascii="Times New Roman" w:eastAsia="Times New Roman" w:hAnsi="Times New Roman"/>
                <w:color w:val="000000"/>
                <w:sz w:val="20"/>
                <w:szCs w:val="20"/>
              </w:rPr>
              <w:t>Retail-Miscellaneous Retail</w:t>
            </w:r>
          </w:p>
        </w:tc>
        <w:tc>
          <w:tcPr>
            <w:tcW w:w="496" w:type="pct"/>
            <w:tcBorders>
              <w:top w:val="nil"/>
              <w:left w:val="nil"/>
              <w:bottom w:val="single" w:sz="4" w:space="0" w:color="auto"/>
              <w:right w:val="nil"/>
            </w:tcBorders>
            <w:shd w:val="clear" w:color="auto" w:fill="auto"/>
            <w:noWrap/>
            <w:vAlign w:val="bottom"/>
            <w:hideMark/>
          </w:tcPr>
          <w:p w14:paraId="06581F82"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89</w:t>
            </w:r>
          </w:p>
        </w:tc>
        <w:tc>
          <w:tcPr>
            <w:tcW w:w="744" w:type="pct"/>
            <w:tcBorders>
              <w:top w:val="nil"/>
              <w:left w:val="nil"/>
              <w:bottom w:val="single" w:sz="4" w:space="0" w:color="auto"/>
              <w:right w:val="nil"/>
            </w:tcBorders>
            <w:shd w:val="clear" w:color="auto" w:fill="auto"/>
            <w:noWrap/>
            <w:vAlign w:val="bottom"/>
            <w:hideMark/>
          </w:tcPr>
          <w:p w14:paraId="7DBD70A6"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13.8</w:t>
            </w:r>
          </w:p>
        </w:tc>
        <w:tc>
          <w:tcPr>
            <w:tcW w:w="638" w:type="pct"/>
            <w:gridSpan w:val="2"/>
            <w:tcBorders>
              <w:top w:val="nil"/>
              <w:left w:val="nil"/>
              <w:bottom w:val="single" w:sz="4" w:space="0" w:color="auto"/>
              <w:right w:val="nil"/>
            </w:tcBorders>
            <w:shd w:val="clear" w:color="auto" w:fill="auto"/>
            <w:noWrap/>
            <w:vAlign w:val="bottom"/>
            <w:hideMark/>
          </w:tcPr>
          <w:p w14:paraId="1471C77D"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97</w:t>
            </w:r>
          </w:p>
        </w:tc>
        <w:tc>
          <w:tcPr>
            <w:tcW w:w="829" w:type="pct"/>
            <w:tcBorders>
              <w:top w:val="nil"/>
              <w:left w:val="nil"/>
              <w:bottom w:val="single" w:sz="4" w:space="0" w:color="auto"/>
              <w:right w:val="nil"/>
            </w:tcBorders>
            <w:shd w:val="clear" w:color="auto" w:fill="auto"/>
            <w:noWrap/>
            <w:vAlign w:val="bottom"/>
            <w:hideMark/>
          </w:tcPr>
          <w:p w14:paraId="2716E0AA" w14:textId="77777777" w:rsidR="00D63C62" w:rsidRPr="00EB7C2F" w:rsidRDefault="00D63C62" w:rsidP="00B81F6A">
            <w:pPr>
              <w:spacing w:line="240" w:lineRule="auto"/>
              <w:contextualSpacing/>
              <w:rPr>
                <w:rFonts w:ascii="Times New Roman" w:hAnsi="Times New Roman"/>
                <w:color w:val="000000"/>
                <w:sz w:val="20"/>
                <w:szCs w:val="20"/>
              </w:rPr>
            </w:pPr>
            <w:r w:rsidRPr="00EB7C2F">
              <w:rPr>
                <w:rFonts w:ascii="Times New Roman" w:hAnsi="Times New Roman"/>
                <w:color w:val="000000"/>
                <w:sz w:val="20"/>
                <w:szCs w:val="20"/>
              </w:rPr>
              <w:t>1.29</w:t>
            </w:r>
          </w:p>
        </w:tc>
      </w:tr>
    </w:tbl>
    <w:p w14:paraId="522D7F82" w14:textId="5D0BD3B1" w:rsidR="00B81F6A" w:rsidRPr="00EB7C2F" w:rsidRDefault="00B81F6A" w:rsidP="00B81F6A">
      <w:pPr>
        <w:spacing w:after="0" w:line="240" w:lineRule="auto"/>
        <w:rPr>
          <w:rFonts w:ascii="Times New Roman" w:hAnsi="Times New Roman"/>
          <w:sz w:val="20"/>
          <w:szCs w:val="20"/>
        </w:rPr>
      </w:pPr>
    </w:p>
    <w:p w14:paraId="4CD3D897" w14:textId="53C97AC5" w:rsidR="00734A5B" w:rsidRDefault="00734A5B" w:rsidP="00734A5B">
      <w:pPr>
        <w:spacing w:after="0" w:line="240" w:lineRule="auto"/>
        <w:rPr>
          <w:rFonts w:ascii="Times New Roman" w:hAnsi="Times New Roman"/>
          <w:b/>
          <w:sz w:val="16"/>
          <w:szCs w:val="16"/>
        </w:rPr>
      </w:pPr>
    </w:p>
    <w:p w14:paraId="4B2BC46F" w14:textId="77777777" w:rsidR="001A3E25" w:rsidRDefault="001A3E25" w:rsidP="00734A5B">
      <w:pPr>
        <w:spacing w:after="0" w:line="240" w:lineRule="auto"/>
        <w:rPr>
          <w:rFonts w:ascii="Times New Roman" w:hAnsi="Times New Roman"/>
          <w:b/>
          <w:sz w:val="16"/>
          <w:szCs w:val="16"/>
        </w:rPr>
        <w:sectPr w:rsidR="001A3E25" w:rsidSect="00074E65">
          <w:pgSz w:w="12240" w:h="15840"/>
          <w:pgMar w:top="1440" w:right="1440" w:bottom="1440" w:left="1440" w:header="720" w:footer="720" w:gutter="0"/>
          <w:cols w:space="720"/>
          <w:docGrid w:linePitch="360"/>
        </w:sectPr>
      </w:pPr>
    </w:p>
    <w:p w14:paraId="2DA5FEAB" w14:textId="2BF0AD0E" w:rsidR="00734A5B" w:rsidRPr="0042373A" w:rsidRDefault="00734A5B" w:rsidP="00734A5B">
      <w:pPr>
        <w:spacing w:after="0" w:line="240" w:lineRule="auto"/>
        <w:rPr>
          <w:rFonts w:ascii="Times New Roman" w:hAnsi="Times New Roman"/>
          <w:b/>
          <w:sz w:val="16"/>
          <w:szCs w:val="16"/>
        </w:rPr>
      </w:pPr>
      <w:r w:rsidRPr="0042373A">
        <w:rPr>
          <w:rFonts w:ascii="Times New Roman" w:hAnsi="Times New Roman"/>
          <w:b/>
          <w:sz w:val="16"/>
          <w:szCs w:val="16"/>
        </w:rPr>
        <w:t>Table 2 - Sample Descriptive Statistics</w:t>
      </w:r>
    </w:p>
    <w:p w14:paraId="7377A736" w14:textId="7FFD5646" w:rsidR="00734A5B" w:rsidRDefault="00D8504C" w:rsidP="00734A5B">
      <w:pPr>
        <w:spacing w:after="0" w:line="240" w:lineRule="auto"/>
        <w:rPr>
          <w:rFonts w:ascii="Times New Roman" w:hAnsi="Times New Roman"/>
          <w:sz w:val="16"/>
          <w:szCs w:val="16"/>
        </w:rPr>
      </w:pPr>
      <w:r>
        <w:rPr>
          <w:rFonts w:ascii="Times New Roman" w:hAnsi="Times New Roman"/>
          <w:sz w:val="16"/>
          <w:szCs w:val="16"/>
        </w:rPr>
        <w:t>Summary statistics are for MLPs and all Non-MLP firms in the same industry</w:t>
      </w:r>
      <w:r w:rsidR="00EE4A1C">
        <w:rPr>
          <w:rFonts w:ascii="Times New Roman" w:hAnsi="Times New Roman"/>
          <w:sz w:val="16"/>
          <w:szCs w:val="16"/>
        </w:rPr>
        <w:t xml:space="preserve"> in the same year</w:t>
      </w:r>
      <w:r>
        <w:rPr>
          <w:rFonts w:ascii="Times New Roman" w:hAnsi="Times New Roman"/>
          <w:sz w:val="16"/>
          <w:szCs w:val="16"/>
        </w:rPr>
        <w:t xml:space="preserve">. </w:t>
      </w:r>
      <w:r w:rsidR="00734A5B" w:rsidRPr="0042373A">
        <w:rPr>
          <w:rFonts w:ascii="Times New Roman" w:hAnsi="Times New Roman"/>
          <w:sz w:val="16"/>
          <w:szCs w:val="16"/>
        </w:rPr>
        <w:t xml:space="preserve">DA is the discretionary accrual. RDISX is the abnormal discretionary expenditure. RPROD is the abnormal production costs. RCFO is the abnormal cash flow. RM1 is the sum of RDISX and RPROD. RM2 is the sum of RDISX, RPROD and RCFO. Assets is total assets. MKCAP is market capitalization. MKTSHARE is the ratio of firm sales to total sales of all firms in the same industry. DEBT is the ratio of debt-to-asset. NOA is net operating assets and is calculated as total assets minus cash and short-term investment scaled by total assets. OPERCYCLE is the days receivable plus the days inventory less the days payable at the beginning of the year. ROA is net income to total assets ratio. MKBK is the market-to-book ratio of equity. LIQUIDITY is the average of the ratio of monthly trading volume to shares outstanding in the year. STOCKISSUE is the ratio of the amount of sales of common stock and preferred stock in the year to the market capitalization of the firm. DEBISSUE is the ratio of the amount of long-term debt issuance to the firm’s assets. BIG8 is the dummy variable for firms with auditors in the top 8. TENURE is the number of years the auditor has audited the client. INSTOWN is the percentage of institutional ownership at the beginning of year. NUMANALYST is the number of analysts following the firm. *, ** and *** indicate the significance levels of 10%, 5% and 1%, respectively. </w:t>
      </w:r>
    </w:p>
    <w:tbl>
      <w:tblPr>
        <w:tblStyle w:val="TableGrid"/>
        <w:tblW w:w="1296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785"/>
        <w:gridCol w:w="3690"/>
        <w:gridCol w:w="3960"/>
      </w:tblGrid>
      <w:tr w:rsidR="00F436C8" w:rsidRPr="00D8504C" w14:paraId="27FC2027" w14:textId="77777777" w:rsidTr="00F7612D">
        <w:tc>
          <w:tcPr>
            <w:tcW w:w="1525" w:type="dxa"/>
          </w:tcPr>
          <w:p w14:paraId="490F344E" w14:textId="77777777" w:rsidR="00F436C8" w:rsidRDefault="00F436C8" w:rsidP="00672311">
            <w:pPr>
              <w:spacing w:after="0" w:line="240" w:lineRule="auto"/>
              <w:rPr>
                <w:rFonts w:ascii="Times New Roman" w:hAnsi="Times New Roman"/>
                <w:sz w:val="16"/>
                <w:szCs w:val="16"/>
              </w:rPr>
            </w:pPr>
          </w:p>
        </w:tc>
        <w:tc>
          <w:tcPr>
            <w:tcW w:w="3785" w:type="dxa"/>
            <w:tcBorders>
              <w:top w:val="single" w:sz="4" w:space="0" w:color="auto"/>
              <w:right w:val="nil"/>
            </w:tcBorders>
          </w:tcPr>
          <w:p w14:paraId="67567D63" w14:textId="77777777" w:rsidR="00F436C8" w:rsidRPr="00D8504C" w:rsidRDefault="00F436C8" w:rsidP="00F7612D">
            <w:pPr>
              <w:spacing w:after="0" w:line="240" w:lineRule="auto"/>
              <w:jc w:val="center"/>
              <w:rPr>
                <w:rFonts w:ascii="Times New Roman" w:hAnsi="Times New Roman"/>
                <w:b/>
                <w:sz w:val="16"/>
                <w:szCs w:val="16"/>
              </w:rPr>
            </w:pPr>
            <w:r w:rsidRPr="00D8504C">
              <w:rPr>
                <w:rFonts w:ascii="Times New Roman" w:hAnsi="Times New Roman"/>
                <w:b/>
                <w:sz w:val="16"/>
                <w:szCs w:val="16"/>
              </w:rPr>
              <w:t>MLPs</w:t>
            </w:r>
          </w:p>
        </w:tc>
        <w:tc>
          <w:tcPr>
            <w:tcW w:w="3690" w:type="dxa"/>
            <w:tcBorders>
              <w:top w:val="single" w:sz="4" w:space="0" w:color="auto"/>
              <w:left w:val="nil"/>
              <w:right w:val="nil"/>
            </w:tcBorders>
          </w:tcPr>
          <w:p w14:paraId="7C1522C4" w14:textId="77777777" w:rsidR="00F436C8" w:rsidRPr="00D8504C" w:rsidRDefault="00F436C8" w:rsidP="00F7612D">
            <w:pPr>
              <w:spacing w:after="0" w:line="240" w:lineRule="auto"/>
              <w:jc w:val="center"/>
              <w:rPr>
                <w:rFonts w:ascii="Times New Roman" w:hAnsi="Times New Roman"/>
                <w:b/>
                <w:sz w:val="16"/>
                <w:szCs w:val="16"/>
              </w:rPr>
            </w:pPr>
            <w:r w:rsidRPr="00D8504C">
              <w:rPr>
                <w:rFonts w:ascii="Times New Roman" w:hAnsi="Times New Roman"/>
                <w:b/>
                <w:sz w:val="16"/>
                <w:szCs w:val="16"/>
              </w:rPr>
              <w:t>Non-MLPs</w:t>
            </w:r>
          </w:p>
        </w:tc>
        <w:tc>
          <w:tcPr>
            <w:tcW w:w="3960" w:type="dxa"/>
            <w:tcBorders>
              <w:left w:val="nil"/>
            </w:tcBorders>
          </w:tcPr>
          <w:p w14:paraId="51E3B74F" w14:textId="77777777" w:rsidR="00F436C8" w:rsidRPr="00D8504C" w:rsidRDefault="00F436C8" w:rsidP="00F7612D">
            <w:pPr>
              <w:spacing w:after="0" w:line="240" w:lineRule="auto"/>
              <w:jc w:val="center"/>
              <w:rPr>
                <w:rFonts w:ascii="Times New Roman" w:hAnsi="Times New Roman"/>
                <w:b/>
                <w:sz w:val="16"/>
                <w:szCs w:val="16"/>
              </w:rPr>
            </w:pPr>
            <w:r w:rsidRPr="00D8504C">
              <w:rPr>
                <w:rFonts w:ascii="Times New Roman" w:hAnsi="Times New Roman"/>
                <w:b/>
                <w:sz w:val="16"/>
                <w:szCs w:val="16"/>
              </w:rPr>
              <w:t>MLPs minus Non-MLPs</w:t>
            </w:r>
          </w:p>
        </w:tc>
      </w:tr>
    </w:tbl>
    <w:tbl>
      <w:tblPr>
        <w:tblW w:w="5049" w:type="pct"/>
        <w:tblLayout w:type="fixed"/>
        <w:tblLook w:val="04A0" w:firstRow="1" w:lastRow="0" w:firstColumn="1" w:lastColumn="0" w:noHBand="0" w:noVBand="1"/>
      </w:tblPr>
      <w:tblGrid>
        <w:gridCol w:w="1471"/>
        <w:gridCol w:w="610"/>
        <w:gridCol w:w="1034"/>
        <w:gridCol w:w="1089"/>
        <w:gridCol w:w="1089"/>
        <w:gridCol w:w="756"/>
        <w:gridCol w:w="1034"/>
        <w:gridCol w:w="887"/>
        <w:gridCol w:w="1060"/>
        <w:gridCol w:w="866"/>
        <w:gridCol w:w="725"/>
        <w:gridCol w:w="1034"/>
        <w:gridCol w:w="1432"/>
      </w:tblGrid>
      <w:tr w:rsidR="002D5AAC" w:rsidRPr="00734A5B" w14:paraId="461524DC" w14:textId="5F927767" w:rsidTr="00F7612D">
        <w:trPr>
          <w:trHeight w:val="20"/>
        </w:trPr>
        <w:tc>
          <w:tcPr>
            <w:tcW w:w="562" w:type="pct"/>
            <w:tcBorders>
              <w:top w:val="nil"/>
              <w:left w:val="nil"/>
              <w:bottom w:val="single" w:sz="4" w:space="0" w:color="auto"/>
              <w:right w:val="nil"/>
            </w:tcBorders>
            <w:shd w:val="clear" w:color="auto" w:fill="auto"/>
            <w:noWrap/>
            <w:vAlign w:val="bottom"/>
            <w:hideMark/>
          </w:tcPr>
          <w:p w14:paraId="667BEA8F" w14:textId="74B960A3" w:rsidR="001A3E25" w:rsidRPr="00734A5B" w:rsidRDefault="001A3E25" w:rsidP="00993726">
            <w:pPr>
              <w:spacing w:after="0" w:line="240" w:lineRule="auto"/>
              <w:ind w:right="-78"/>
              <w:contextualSpacing/>
              <w:rPr>
                <w:rFonts w:ascii="Times New Roman" w:eastAsia="Times New Roman" w:hAnsi="Times New Roman"/>
                <w:b/>
                <w:bCs/>
                <w:i/>
                <w:iCs/>
                <w:color w:val="000000"/>
                <w:sz w:val="20"/>
                <w:szCs w:val="20"/>
              </w:rPr>
            </w:pPr>
          </w:p>
        </w:tc>
        <w:tc>
          <w:tcPr>
            <w:tcW w:w="233" w:type="pct"/>
            <w:tcBorders>
              <w:top w:val="single" w:sz="4" w:space="0" w:color="auto"/>
              <w:left w:val="nil"/>
              <w:bottom w:val="single" w:sz="4" w:space="0" w:color="auto"/>
              <w:right w:val="nil"/>
            </w:tcBorders>
            <w:shd w:val="clear" w:color="auto" w:fill="auto"/>
            <w:hideMark/>
          </w:tcPr>
          <w:p w14:paraId="3AE25C85" w14:textId="77777777" w:rsidR="001A3E25" w:rsidRPr="00734A5B" w:rsidRDefault="001A3E25" w:rsidP="001A3E25">
            <w:pPr>
              <w:spacing w:after="0" w:line="240" w:lineRule="auto"/>
              <w:contextualSpacing/>
              <w:rPr>
                <w:rFonts w:ascii="Times New Roman" w:eastAsia="Times New Roman" w:hAnsi="Times New Roman"/>
                <w:b/>
                <w:bCs/>
                <w:i/>
                <w:iCs/>
                <w:color w:val="000000"/>
                <w:sz w:val="20"/>
                <w:szCs w:val="20"/>
              </w:rPr>
            </w:pPr>
            <w:r w:rsidRPr="00734A5B">
              <w:rPr>
                <w:rFonts w:ascii="Times New Roman" w:eastAsia="Times New Roman" w:hAnsi="Times New Roman"/>
                <w:b/>
                <w:bCs/>
                <w:i/>
                <w:iCs/>
                <w:color w:val="000000"/>
                <w:sz w:val="20"/>
                <w:szCs w:val="20"/>
              </w:rPr>
              <w:t>N</w:t>
            </w:r>
          </w:p>
        </w:tc>
        <w:tc>
          <w:tcPr>
            <w:tcW w:w="395" w:type="pct"/>
            <w:tcBorders>
              <w:top w:val="single" w:sz="4" w:space="0" w:color="auto"/>
              <w:left w:val="nil"/>
              <w:bottom w:val="single" w:sz="4" w:space="0" w:color="auto"/>
              <w:right w:val="nil"/>
            </w:tcBorders>
            <w:shd w:val="clear" w:color="auto" w:fill="auto"/>
            <w:hideMark/>
          </w:tcPr>
          <w:p w14:paraId="19043BBA" w14:textId="77777777" w:rsidR="001A3E25" w:rsidRPr="00734A5B" w:rsidRDefault="001A3E25" w:rsidP="00993726">
            <w:pPr>
              <w:spacing w:after="0" w:line="240" w:lineRule="auto"/>
              <w:ind w:right="-140"/>
              <w:contextualSpacing/>
              <w:rPr>
                <w:rFonts w:ascii="Times New Roman" w:eastAsia="Times New Roman" w:hAnsi="Times New Roman"/>
                <w:b/>
                <w:bCs/>
                <w:i/>
                <w:iCs/>
                <w:color w:val="000000"/>
                <w:sz w:val="20"/>
                <w:szCs w:val="20"/>
              </w:rPr>
            </w:pPr>
            <w:r w:rsidRPr="00734A5B">
              <w:rPr>
                <w:rFonts w:ascii="Times New Roman" w:eastAsia="Times New Roman" w:hAnsi="Times New Roman"/>
                <w:b/>
                <w:bCs/>
                <w:i/>
                <w:iCs/>
                <w:color w:val="000000"/>
                <w:sz w:val="20"/>
                <w:szCs w:val="20"/>
              </w:rPr>
              <w:t>Mean</w:t>
            </w:r>
          </w:p>
        </w:tc>
        <w:tc>
          <w:tcPr>
            <w:tcW w:w="416" w:type="pct"/>
            <w:tcBorders>
              <w:top w:val="single" w:sz="4" w:space="0" w:color="auto"/>
              <w:left w:val="nil"/>
              <w:bottom w:val="single" w:sz="4" w:space="0" w:color="auto"/>
              <w:right w:val="nil"/>
            </w:tcBorders>
            <w:shd w:val="clear" w:color="auto" w:fill="auto"/>
            <w:hideMark/>
          </w:tcPr>
          <w:p w14:paraId="52740724" w14:textId="77777777" w:rsidR="001A3E25" w:rsidRPr="00734A5B" w:rsidRDefault="001A3E25" w:rsidP="00993726">
            <w:pPr>
              <w:spacing w:after="0" w:line="240" w:lineRule="auto"/>
              <w:ind w:right="-131"/>
              <w:contextualSpacing/>
              <w:rPr>
                <w:rFonts w:ascii="Times New Roman" w:eastAsia="Times New Roman" w:hAnsi="Times New Roman"/>
                <w:b/>
                <w:bCs/>
                <w:i/>
                <w:iCs/>
                <w:color w:val="000000"/>
                <w:sz w:val="20"/>
                <w:szCs w:val="20"/>
              </w:rPr>
            </w:pPr>
            <w:r w:rsidRPr="00734A5B">
              <w:rPr>
                <w:rFonts w:ascii="Times New Roman" w:eastAsia="Times New Roman" w:hAnsi="Times New Roman"/>
                <w:b/>
                <w:bCs/>
                <w:i/>
                <w:iCs/>
                <w:color w:val="000000"/>
                <w:sz w:val="20"/>
                <w:szCs w:val="20"/>
              </w:rPr>
              <w:t>Median</w:t>
            </w:r>
          </w:p>
        </w:tc>
        <w:tc>
          <w:tcPr>
            <w:tcW w:w="416" w:type="pct"/>
            <w:tcBorders>
              <w:top w:val="single" w:sz="4" w:space="0" w:color="auto"/>
              <w:left w:val="nil"/>
              <w:bottom w:val="single" w:sz="4" w:space="0" w:color="auto"/>
              <w:right w:val="single" w:sz="4" w:space="0" w:color="auto"/>
            </w:tcBorders>
            <w:shd w:val="clear" w:color="auto" w:fill="auto"/>
            <w:hideMark/>
          </w:tcPr>
          <w:p w14:paraId="4842CF3D" w14:textId="77777777" w:rsidR="001A3E25" w:rsidRPr="00734A5B" w:rsidRDefault="001A3E25" w:rsidP="00993726">
            <w:pPr>
              <w:spacing w:after="0" w:line="240" w:lineRule="auto"/>
              <w:ind w:right="-108"/>
              <w:contextualSpacing/>
              <w:rPr>
                <w:rFonts w:ascii="Times New Roman" w:eastAsia="Times New Roman" w:hAnsi="Times New Roman"/>
                <w:b/>
                <w:bCs/>
                <w:i/>
                <w:iCs/>
                <w:color w:val="000000"/>
                <w:sz w:val="20"/>
                <w:szCs w:val="20"/>
              </w:rPr>
            </w:pPr>
            <w:r w:rsidRPr="00734A5B">
              <w:rPr>
                <w:rFonts w:ascii="Times New Roman" w:eastAsia="Times New Roman" w:hAnsi="Times New Roman"/>
                <w:b/>
                <w:bCs/>
                <w:i/>
                <w:iCs/>
                <w:color w:val="000000"/>
                <w:sz w:val="20"/>
                <w:szCs w:val="20"/>
              </w:rPr>
              <w:t>Std Dev</w:t>
            </w:r>
          </w:p>
        </w:tc>
        <w:tc>
          <w:tcPr>
            <w:tcW w:w="289" w:type="pct"/>
            <w:tcBorders>
              <w:top w:val="single" w:sz="4" w:space="0" w:color="auto"/>
              <w:left w:val="single" w:sz="4" w:space="0" w:color="auto"/>
              <w:bottom w:val="single" w:sz="4" w:space="0" w:color="auto"/>
              <w:right w:val="nil"/>
            </w:tcBorders>
            <w:shd w:val="clear" w:color="auto" w:fill="auto"/>
          </w:tcPr>
          <w:p w14:paraId="644EAE55" w14:textId="061F51D4" w:rsidR="001A3E25" w:rsidRPr="00734A5B" w:rsidRDefault="001A3E25" w:rsidP="00993726">
            <w:pPr>
              <w:spacing w:after="0" w:line="240" w:lineRule="auto"/>
              <w:ind w:left="-100" w:right="-76"/>
              <w:contextualSpacing/>
              <w:rPr>
                <w:rFonts w:ascii="Times New Roman" w:eastAsia="Times New Roman" w:hAnsi="Times New Roman"/>
                <w:b/>
                <w:bCs/>
                <w:i/>
                <w:iCs/>
                <w:color w:val="000000"/>
                <w:sz w:val="20"/>
                <w:szCs w:val="20"/>
              </w:rPr>
            </w:pPr>
            <w:r w:rsidRPr="00734A5B">
              <w:rPr>
                <w:rFonts w:ascii="Times New Roman" w:eastAsia="Times New Roman" w:hAnsi="Times New Roman"/>
                <w:b/>
                <w:bCs/>
                <w:i/>
                <w:iCs/>
                <w:color w:val="000000"/>
                <w:sz w:val="20"/>
                <w:szCs w:val="20"/>
              </w:rPr>
              <w:t>N</w:t>
            </w:r>
          </w:p>
        </w:tc>
        <w:tc>
          <w:tcPr>
            <w:tcW w:w="395" w:type="pct"/>
            <w:tcBorders>
              <w:top w:val="single" w:sz="4" w:space="0" w:color="auto"/>
              <w:left w:val="nil"/>
              <w:bottom w:val="single" w:sz="4" w:space="0" w:color="auto"/>
              <w:right w:val="nil"/>
            </w:tcBorders>
            <w:shd w:val="clear" w:color="auto" w:fill="auto"/>
          </w:tcPr>
          <w:p w14:paraId="3982E140" w14:textId="7A92E4E4" w:rsidR="001A3E25" w:rsidRPr="00734A5B" w:rsidRDefault="001A3E25" w:rsidP="00993726">
            <w:pPr>
              <w:spacing w:after="0" w:line="240" w:lineRule="auto"/>
              <w:ind w:left="-55" w:right="-28"/>
              <w:contextualSpacing/>
              <w:rPr>
                <w:rFonts w:ascii="Times New Roman" w:eastAsia="Times New Roman" w:hAnsi="Times New Roman"/>
                <w:b/>
                <w:bCs/>
                <w:i/>
                <w:iCs/>
                <w:color w:val="000000"/>
                <w:sz w:val="20"/>
                <w:szCs w:val="20"/>
              </w:rPr>
            </w:pPr>
            <w:r w:rsidRPr="00734A5B">
              <w:rPr>
                <w:rFonts w:ascii="Times New Roman" w:eastAsia="Times New Roman" w:hAnsi="Times New Roman"/>
                <w:b/>
                <w:bCs/>
                <w:i/>
                <w:iCs/>
                <w:color w:val="000000"/>
                <w:sz w:val="20"/>
                <w:szCs w:val="20"/>
              </w:rPr>
              <w:t>Mean</w:t>
            </w:r>
          </w:p>
        </w:tc>
        <w:tc>
          <w:tcPr>
            <w:tcW w:w="339" w:type="pct"/>
            <w:tcBorders>
              <w:top w:val="single" w:sz="4" w:space="0" w:color="auto"/>
              <w:left w:val="nil"/>
              <w:bottom w:val="single" w:sz="4" w:space="0" w:color="auto"/>
              <w:right w:val="nil"/>
            </w:tcBorders>
            <w:shd w:val="clear" w:color="auto" w:fill="auto"/>
          </w:tcPr>
          <w:p w14:paraId="6D081D14" w14:textId="7063E57A" w:rsidR="001A3E25" w:rsidRPr="00734A5B" w:rsidRDefault="001A3E25" w:rsidP="00993726">
            <w:pPr>
              <w:spacing w:after="0" w:line="240" w:lineRule="auto"/>
              <w:ind w:left="-103" w:right="-136"/>
              <w:contextualSpacing/>
              <w:rPr>
                <w:rFonts w:ascii="Times New Roman" w:eastAsia="Times New Roman" w:hAnsi="Times New Roman"/>
                <w:b/>
                <w:bCs/>
                <w:i/>
                <w:iCs/>
                <w:color w:val="000000"/>
                <w:sz w:val="20"/>
                <w:szCs w:val="20"/>
              </w:rPr>
            </w:pPr>
            <w:r w:rsidRPr="00734A5B">
              <w:rPr>
                <w:rFonts w:ascii="Times New Roman" w:eastAsia="Times New Roman" w:hAnsi="Times New Roman"/>
                <w:b/>
                <w:bCs/>
                <w:i/>
                <w:iCs/>
                <w:color w:val="000000"/>
                <w:sz w:val="20"/>
                <w:szCs w:val="20"/>
              </w:rPr>
              <w:t>Median</w:t>
            </w:r>
          </w:p>
        </w:tc>
        <w:tc>
          <w:tcPr>
            <w:tcW w:w="405" w:type="pct"/>
            <w:tcBorders>
              <w:top w:val="single" w:sz="4" w:space="0" w:color="auto"/>
              <w:left w:val="nil"/>
              <w:bottom w:val="single" w:sz="4" w:space="0" w:color="auto"/>
              <w:right w:val="single" w:sz="4" w:space="0" w:color="auto"/>
            </w:tcBorders>
            <w:shd w:val="clear" w:color="auto" w:fill="auto"/>
          </w:tcPr>
          <w:p w14:paraId="6B507762" w14:textId="436773D4" w:rsidR="001A3E25" w:rsidRPr="00734A5B" w:rsidRDefault="001A3E25" w:rsidP="00993726">
            <w:pPr>
              <w:spacing w:after="0" w:line="240" w:lineRule="auto"/>
              <w:ind w:left="-85" w:right="-74"/>
              <w:contextualSpacing/>
              <w:rPr>
                <w:rFonts w:ascii="Times New Roman" w:eastAsia="Times New Roman" w:hAnsi="Times New Roman"/>
                <w:b/>
                <w:bCs/>
                <w:i/>
                <w:iCs/>
                <w:color w:val="000000"/>
                <w:sz w:val="20"/>
                <w:szCs w:val="20"/>
              </w:rPr>
            </w:pPr>
            <w:r w:rsidRPr="00734A5B">
              <w:rPr>
                <w:rFonts w:ascii="Times New Roman" w:eastAsia="Times New Roman" w:hAnsi="Times New Roman"/>
                <w:b/>
                <w:bCs/>
                <w:i/>
                <w:iCs/>
                <w:color w:val="000000"/>
                <w:sz w:val="20"/>
                <w:szCs w:val="20"/>
              </w:rPr>
              <w:t>Std Dev</w:t>
            </w:r>
          </w:p>
        </w:tc>
        <w:tc>
          <w:tcPr>
            <w:tcW w:w="331" w:type="pct"/>
            <w:tcBorders>
              <w:top w:val="single" w:sz="4" w:space="0" w:color="auto"/>
              <w:left w:val="single" w:sz="4" w:space="0" w:color="auto"/>
              <w:bottom w:val="single" w:sz="4" w:space="0" w:color="auto"/>
              <w:right w:val="nil"/>
            </w:tcBorders>
            <w:shd w:val="clear" w:color="auto" w:fill="auto"/>
          </w:tcPr>
          <w:p w14:paraId="10FB993D" w14:textId="537880F9" w:rsidR="001A3E25" w:rsidRPr="00734A5B" w:rsidRDefault="001A3E25" w:rsidP="00993726">
            <w:pPr>
              <w:spacing w:after="0" w:line="240" w:lineRule="auto"/>
              <w:ind w:left="-95" w:right="-156"/>
              <w:contextualSpacing/>
              <w:rPr>
                <w:rFonts w:ascii="Times New Roman" w:eastAsia="Times New Roman" w:hAnsi="Times New Roman"/>
                <w:b/>
                <w:bCs/>
                <w:i/>
                <w:iCs/>
                <w:color w:val="000000"/>
                <w:sz w:val="20"/>
                <w:szCs w:val="20"/>
              </w:rPr>
            </w:pPr>
            <w:r w:rsidRPr="00B44239">
              <w:rPr>
                <w:rFonts w:ascii="Times New Roman" w:eastAsia="Times New Roman" w:hAnsi="Times New Roman"/>
                <w:b/>
                <w:bCs/>
                <w:i/>
                <w:iCs/>
                <w:color w:val="000000"/>
                <w:sz w:val="20"/>
                <w:szCs w:val="20"/>
              </w:rPr>
              <w:t>Mean</w:t>
            </w:r>
          </w:p>
        </w:tc>
        <w:tc>
          <w:tcPr>
            <w:tcW w:w="277" w:type="pct"/>
            <w:tcBorders>
              <w:top w:val="single" w:sz="4" w:space="0" w:color="auto"/>
              <w:left w:val="nil"/>
              <w:bottom w:val="single" w:sz="4" w:space="0" w:color="auto"/>
              <w:right w:val="nil"/>
            </w:tcBorders>
            <w:shd w:val="clear" w:color="auto" w:fill="auto"/>
          </w:tcPr>
          <w:p w14:paraId="1F328571" w14:textId="50F8A1D4" w:rsidR="001A3E25" w:rsidRPr="00734A5B" w:rsidRDefault="001A3E25" w:rsidP="00993726">
            <w:pPr>
              <w:spacing w:after="0" w:line="240" w:lineRule="auto"/>
              <w:ind w:left="-52" w:right="-97"/>
              <w:contextualSpacing/>
              <w:rPr>
                <w:rFonts w:ascii="Times New Roman" w:eastAsia="Times New Roman" w:hAnsi="Times New Roman"/>
                <w:b/>
                <w:bCs/>
                <w:i/>
                <w:iCs/>
                <w:color w:val="000000"/>
                <w:sz w:val="20"/>
                <w:szCs w:val="20"/>
              </w:rPr>
            </w:pPr>
            <w:r w:rsidRPr="00B44239">
              <w:rPr>
                <w:rFonts w:ascii="Times New Roman" w:eastAsia="Times New Roman" w:hAnsi="Times New Roman"/>
                <w:b/>
                <w:bCs/>
                <w:i/>
                <w:iCs/>
                <w:color w:val="000000"/>
                <w:sz w:val="20"/>
                <w:szCs w:val="20"/>
              </w:rPr>
              <w:t>Median</w:t>
            </w:r>
          </w:p>
        </w:tc>
        <w:tc>
          <w:tcPr>
            <w:tcW w:w="395" w:type="pct"/>
            <w:tcBorders>
              <w:top w:val="single" w:sz="4" w:space="0" w:color="auto"/>
              <w:left w:val="nil"/>
              <w:bottom w:val="single" w:sz="4" w:space="0" w:color="auto"/>
              <w:right w:val="nil"/>
            </w:tcBorders>
            <w:shd w:val="clear" w:color="auto" w:fill="auto"/>
          </w:tcPr>
          <w:p w14:paraId="7035F014" w14:textId="6D6525E5" w:rsidR="001A3E25" w:rsidRPr="00734A5B" w:rsidRDefault="001A3E25" w:rsidP="00993726">
            <w:pPr>
              <w:spacing w:after="0" w:line="240" w:lineRule="auto"/>
              <w:ind w:right="-117"/>
              <w:contextualSpacing/>
              <w:rPr>
                <w:rFonts w:ascii="Times New Roman" w:eastAsia="Times New Roman" w:hAnsi="Times New Roman"/>
                <w:b/>
                <w:bCs/>
                <w:i/>
                <w:iCs/>
                <w:color w:val="000000"/>
                <w:sz w:val="20"/>
                <w:szCs w:val="20"/>
              </w:rPr>
            </w:pPr>
            <w:r w:rsidRPr="00B44239">
              <w:rPr>
                <w:rFonts w:ascii="Times New Roman" w:eastAsia="Times New Roman" w:hAnsi="Times New Roman"/>
                <w:b/>
                <w:bCs/>
                <w:i/>
                <w:iCs/>
                <w:color w:val="000000"/>
                <w:sz w:val="20"/>
                <w:szCs w:val="20"/>
              </w:rPr>
              <w:t>t-stats</w:t>
            </w:r>
          </w:p>
        </w:tc>
        <w:tc>
          <w:tcPr>
            <w:tcW w:w="547" w:type="pct"/>
            <w:tcBorders>
              <w:top w:val="single" w:sz="4" w:space="0" w:color="auto"/>
              <w:left w:val="nil"/>
              <w:bottom w:val="single" w:sz="4" w:space="0" w:color="auto"/>
              <w:right w:val="nil"/>
            </w:tcBorders>
            <w:shd w:val="clear" w:color="auto" w:fill="auto"/>
          </w:tcPr>
          <w:p w14:paraId="604819AA" w14:textId="5C6BA0E6" w:rsidR="001A3E25" w:rsidRPr="00734A5B" w:rsidRDefault="001A3E25" w:rsidP="00993726">
            <w:pPr>
              <w:spacing w:after="0" w:line="240" w:lineRule="auto"/>
              <w:ind w:right="-104"/>
              <w:contextualSpacing/>
              <w:rPr>
                <w:rFonts w:ascii="Times New Roman" w:eastAsia="Times New Roman" w:hAnsi="Times New Roman"/>
                <w:b/>
                <w:bCs/>
                <w:i/>
                <w:iCs/>
                <w:color w:val="000000"/>
                <w:sz w:val="20"/>
                <w:szCs w:val="20"/>
              </w:rPr>
            </w:pPr>
            <w:r w:rsidRPr="00B44239">
              <w:rPr>
                <w:rFonts w:ascii="Times New Roman" w:eastAsia="Times New Roman" w:hAnsi="Times New Roman"/>
                <w:b/>
                <w:bCs/>
                <w:i/>
                <w:iCs/>
                <w:color w:val="000000"/>
                <w:sz w:val="20"/>
                <w:szCs w:val="20"/>
              </w:rPr>
              <w:t>Wilcoxon-stats</w:t>
            </w:r>
          </w:p>
        </w:tc>
      </w:tr>
      <w:tr w:rsidR="002D5AAC" w:rsidRPr="00734A5B" w14:paraId="4D933839" w14:textId="490D65E6" w:rsidTr="00F7612D">
        <w:trPr>
          <w:trHeight w:val="20"/>
        </w:trPr>
        <w:tc>
          <w:tcPr>
            <w:tcW w:w="562" w:type="pct"/>
            <w:tcBorders>
              <w:top w:val="nil"/>
              <w:left w:val="nil"/>
              <w:bottom w:val="nil"/>
              <w:right w:val="nil"/>
            </w:tcBorders>
            <w:shd w:val="clear" w:color="auto" w:fill="auto"/>
            <w:hideMark/>
          </w:tcPr>
          <w:p w14:paraId="3433F3A0" w14:textId="77777777" w:rsidR="001A3E25" w:rsidRPr="00734A5B" w:rsidRDefault="001A3E25" w:rsidP="00993726">
            <w:pPr>
              <w:spacing w:after="0" w:line="240" w:lineRule="auto"/>
              <w:ind w:right="-78"/>
              <w:contextualSpacing/>
              <w:rPr>
                <w:rFonts w:ascii="Times New Roman" w:eastAsia="Times New Roman" w:hAnsi="Times New Roman"/>
                <w:i/>
                <w:color w:val="000000"/>
                <w:sz w:val="20"/>
                <w:szCs w:val="20"/>
              </w:rPr>
            </w:pPr>
            <w:r w:rsidRPr="00734A5B">
              <w:rPr>
                <w:rFonts w:ascii="Times New Roman" w:eastAsia="Times New Roman" w:hAnsi="Times New Roman"/>
                <w:i/>
                <w:color w:val="000000"/>
                <w:sz w:val="20"/>
                <w:szCs w:val="20"/>
              </w:rPr>
              <w:t>DA</w:t>
            </w:r>
          </w:p>
        </w:tc>
        <w:tc>
          <w:tcPr>
            <w:tcW w:w="233" w:type="pct"/>
            <w:tcBorders>
              <w:top w:val="nil"/>
              <w:left w:val="nil"/>
              <w:bottom w:val="nil"/>
              <w:right w:val="nil"/>
            </w:tcBorders>
            <w:shd w:val="clear" w:color="auto" w:fill="auto"/>
            <w:noWrap/>
            <w:vAlign w:val="bottom"/>
            <w:hideMark/>
          </w:tcPr>
          <w:p w14:paraId="48160396" w14:textId="77777777" w:rsidR="001A3E25" w:rsidRPr="00734A5B" w:rsidRDefault="001A3E25" w:rsidP="001A3E25">
            <w:pPr>
              <w:spacing w:line="240" w:lineRule="auto"/>
              <w:contextualSpacing/>
              <w:rPr>
                <w:rFonts w:ascii="Times New Roman" w:hAnsi="Times New Roman"/>
                <w:color w:val="000000"/>
                <w:sz w:val="20"/>
                <w:szCs w:val="20"/>
              </w:rPr>
            </w:pPr>
            <w:r w:rsidRPr="00734A5B">
              <w:rPr>
                <w:rFonts w:ascii="Times New Roman" w:hAnsi="Times New Roman"/>
                <w:color w:val="000000"/>
                <w:sz w:val="20"/>
                <w:szCs w:val="20"/>
              </w:rPr>
              <w:t>643</w:t>
            </w:r>
          </w:p>
        </w:tc>
        <w:tc>
          <w:tcPr>
            <w:tcW w:w="395" w:type="pct"/>
            <w:tcBorders>
              <w:top w:val="single" w:sz="4" w:space="0" w:color="auto"/>
              <w:left w:val="nil"/>
              <w:bottom w:val="nil"/>
              <w:right w:val="nil"/>
            </w:tcBorders>
            <w:shd w:val="clear" w:color="auto" w:fill="auto"/>
            <w:hideMark/>
          </w:tcPr>
          <w:p w14:paraId="0F946FC1" w14:textId="77777777" w:rsidR="001A3E25" w:rsidRPr="00734A5B" w:rsidRDefault="001A3E25" w:rsidP="00993726">
            <w:pPr>
              <w:spacing w:line="240" w:lineRule="auto"/>
              <w:ind w:right="-140"/>
              <w:contextualSpacing/>
              <w:rPr>
                <w:rFonts w:ascii="Times New Roman" w:hAnsi="Times New Roman"/>
                <w:color w:val="000000"/>
                <w:sz w:val="20"/>
                <w:szCs w:val="20"/>
              </w:rPr>
            </w:pPr>
            <w:r w:rsidRPr="00734A5B">
              <w:rPr>
                <w:rFonts w:ascii="Times New Roman" w:hAnsi="Times New Roman"/>
                <w:color w:val="000000"/>
                <w:sz w:val="20"/>
                <w:szCs w:val="20"/>
              </w:rPr>
              <w:t>0.072</w:t>
            </w:r>
          </w:p>
        </w:tc>
        <w:tc>
          <w:tcPr>
            <w:tcW w:w="416" w:type="pct"/>
            <w:tcBorders>
              <w:top w:val="single" w:sz="4" w:space="0" w:color="auto"/>
              <w:left w:val="nil"/>
              <w:bottom w:val="nil"/>
              <w:right w:val="nil"/>
            </w:tcBorders>
            <w:shd w:val="clear" w:color="auto" w:fill="auto"/>
            <w:hideMark/>
          </w:tcPr>
          <w:p w14:paraId="4C9005EC" w14:textId="77777777" w:rsidR="001A3E25" w:rsidRPr="00734A5B" w:rsidRDefault="001A3E25" w:rsidP="00993726">
            <w:pPr>
              <w:spacing w:line="240" w:lineRule="auto"/>
              <w:ind w:right="-131"/>
              <w:contextualSpacing/>
              <w:rPr>
                <w:rFonts w:ascii="Times New Roman" w:hAnsi="Times New Roman"/>
                <w:color w:val="000000"/>
                <w:sz w:val="20"/>
                <w:szCs w:val="20"/>
              </w:rPr>
            </w:pPr>
            <w:r w:rsidRPr="00734A5B">
              <w:rPr>
                <w:rFonts w:ascii="Times New Roman" w:hAnsi="Times New Roman"/>
                <w:color w:val="000000"/>
                <w:sz w:val="20"/>
                <w:szCs w:val="20"/>
              </w:rPr>
              <w:t>0.045</w:t>
            </w:r>
          </w:p>
        </w:tc>
        <w:tc>
          <w:tcPr>
            <w:tcW w:w="416" w:type="pct"/>
            <w:tcBorders>
              <w:top w:val="single" w:sz="4" w:space="0" w:color="auto"/>
              <w:left w:val="nil"/>
              <w:bottom w:val="nil"/>
              <w:right w:val="single" w:sz="4" w:space="0" w:color="auto"/>
            </w:tcBorders>
            <w:shd w:val="clear" w:color="auto" w:fill="auto"/>
            <w:hideMark/>
          </w:tcPr>
          <w:p w14:paraId="4C3FFB29" w14:textId="77777777" w:rsidR="001A3E25" w:rsidRPr="00734A5B" w:rsidRDefault="001A3E25" w:rsidP="00993726">
            <w:pPr>
              <w:spacing w:line="240" w:lineRule="auto"/>
              <w:ind w:right="-108"/>
              <w:contextualSpacing/>
              <w:rPr>
                <w:rFonts w:ascii="Times New Roman" w:hAnsi="Times New Roman"/>
                <w:color w:val="000000"/>
                <w:sz w:val="20"/>
                <w:szCs w:val="20"/>
              </w:rPr>
            </w:pPr>
            <w:r w:rsidRPr="00734A5B">
              <w:rPr>
                <w:rFonts w:ascii="Times New Roman" w:hAnsi="Times New Roman"/>
                <w:color w:val="000000"/>
                <w:sz w:val="20"/>
                <w:szCs w:val="20"/>
              </w:rPr>
              <w:t>0.229</w:t>
            </w:r>
          </w:p>
        </w:tc>
        <w:tc>
          <w:tcPr>
            <w:tcW w:w="289" w:type="pct"/>
            <w:tcBorders>
              <w:top w:val="single" w:sz="4" w:space="0" w:color="auto"/>
              <w:left w:val="single" w:sz="4" w:space="0" w:color="auto"/>
              <w:bottom w:val="nil"/>
              <w:right w:val="nil"/>
            </w:tcBorders>
            <w:shd w:val="clear" w:color="auto" w:fill="auto"/>
            <w:vAlign w:val="bottom"/>
          </w:tcPr>
          <w:p w14:paraId="7FA4DBF7" w14:textId="23631530" w:rsidR="001A3E25" w:rsidRPr="00734A5B" w:rsidRDefault="001A3E25" w:rsidP="00993726">
            <w:pPr>
              <w:spacing w:line="240" w:lineRule="auto"/>
              <w:ind w:left="-100" w:right="-76"/>
              <w:contextualSpacing/>
              <w:rPr>
                <w:rFonts w:ascii="Times New Roman" w:hAnsi="Times New Roman"/>
                <w:color w:val="000000"/>
                <w:sz w:val="20"/>
                <w:szCs w:val="20"/>
              </w:rPr>
            </w:pPr>
            <w:r w:rsidRPr="00B44239">
              <w:rPr>
                <w:rFonts w:ascii="Times New Roman" w:hAnsi="Times New Roman"/>
                <w:color w:val="000000"/>
                <w:sz w:val="20"/>
                <w:szCs w:val="20"/>
              </w:rPr>
              <w:t>7,428</w:t>
            </w:r>
          </w:p>
        </w:tc>
        <w:tc>
          <w:tcPr>
            <w:tcW w:w="395" w:type="pct"/>
            <w:tcBorders>
              <w:top w:val="single" w:sz="4" w:space="0" w:color="auto"/>
              <w:left w:val="nil"/>
              <w:bottom w:val="nil"/>
              <w:right w:val="nil"/>
            </w:tcBorders>
            <w:shd w:val="clear" w:color="auto" w:fill="auto"/>
          </w:tcPr>
          <w:p w14:paraId="72978179" w14:textId="2B3086D0" w:rsidR="001A3E25" w:rsidRPr="00734A5B" w:rsidRDefault="001A3E25" w:rsidP="00993726">
            <w:pPr>
              <w:spacing w:line="240" w:lineRule="auto"/>
              <w:ind w:left="-55" w:right="-28"/>
              <w:contextualSpacing/>
              <w:rPr>
                <w:rFonts w:ascii="Times New Roman" w:hAnsi="Times New Roman"/>
                <w:color w:val="000000"/>
                <w:sz w:val="20"/>
                <w:szCs w:val="20"/>
              </w:rPr>
            </w:pPr>
            <w:r w:rsidRPr="00B44239">
              <w:rPr>
                <w:rFonts w:ascii="Times New Roman" w:hAnsi="Times New Roman"/>
                <w:color w:val="000000"/>
                <w:sz w:val="20"/>
                <w:szCs w:val="20"/>
              </w:rPr>
              <w:t>0.030</w:t>
            </w:r>
          </w:p>
        </w:tc>
        <w:tc>
          <w:tcPr>
            <w:tcW w:w="339" w:type="pct"/>
            <w:tcBorders>
              <w:top w:val="single" w:sz="4" w:space="0" w:color="auto"/>
              <w:left w:val="nil"/>
              <w:bottom w:val="nil"/>
              <w:right w:val="nil"/>
            </w:tcBorders>
            <w:shd w:val="clear" w:color="auto" w:fill="auto"/>
          </w:tcPr>
          <w:p w14:paraId="394EEAC8" w14:textId="7FB0B220" w:rsidR="001A3E25" w:rsidRPr="00734A5B" w:rsidRDefault="001A3E25" w:rsidP="00993726">
            <w:pPr>
              <w:spacing w:line="240" w:lineRule="auto"/>
              <w:ind w:left="-103" w:right="-136"/>
              <w:contextualSpacing/>
              <w:rPr>
                <w:rFonts w:ascii="Times New Roman" w:hAnsi="Times New Roman"/>
                <w:color w:val="000000"/>
                <w:sz w:val="20"/>
                <w:szCs w:val="20"/>
              </w:rPr>
            </w:pPr>
            <w:r w:rsidRPr="00B44239">
              <w:rPr>
                <w:rFonts w:ascii="Times New Roman" w:hAnsi="Times New Roman"/>
                <w:color w:val="000000"/>
                <w:sz w:val="20"/>
                <w:szCs w:val="20"/>
              </w:rPr>
              <w:t>0.028</w:t>
            </w:r>
          </w:p>
        </w:tc>
        <w:tc>
          <w:tcPr>
            <w:tcW w:w="405" w:type="pct"/>
            <w:tcBorders>
              <w:top w:val="single" w:sz="4" w:space="0" w:color="auto"/>
              <w:left w:val="nil"/>
              <w:bottom w:val="nil"/>
              <w:right w:val="single" w:sz="4" w:space="0" w:color="auto"/>
            </w:tcBorders>
            <w:shd w:val="clear" w:color="auto" w:fill="auto"/>
          </w:tcPr>
          <w:p w14:paraId="2391BCD2" w14:textId="38AE6A4A" w:rsidR="001A3E25" w:rsidRPr="00734A5B" w:rsidRDefault="001A3E25" w:rsidP="00993726">
            <w:pPr>
              <w:spacing w:line="240" w:lineRule="auto"/>
              <w:ind w:left="-85" w:right="-74"/>
              <w:contextualSpacing/>
              <w:rPr>
                <w:rFonts w:ascii="Times New Roman" w:hAnsi="Times New Roman"/>
                <w:color w:val="000000"/>
                <w:sz w:val="20"/>
                <w:szCs w:val="20"/>
              </w:rPr>
            </w:pPr>
            <w:r w:rsidRPr="00B44239">
              <w:rPr>
                <w:rFonts w:ascii="Times New Roman" w:hAnsi="Times New Roman"/>
                <w:color w:val="000000"/>
                <w:sz w:val="20"/>
                <w:szCs w:val="20"/>
              </w:rPr>
              <w:t>0.200</w:t>
            </w:r>
          </w:p>
        </w:tc>
        <w:tc>
          <w:tcPr>
            <w:tcW w:w="331" w:type="pct"/>
            <w:tcBorders>
              <w:top w:val="nil"/>
              <w:left w:val="single" w:sz="4" w:space="0" w:color="auto"/>
              <w:bottom w:val="nil"/>
              <w:right w:val="nil"/>
            </w:tcBorders>
            <w:shd w:val="clear" w:color="auto" w:fill="auto"/>
            <w:vAlign w:val="bottom"/>
          </w:tcPr>
          <w:p w14:paraId="220B0BE9" w14:textId="06749926" w:rsidR="001A3E25" w:rsidRPr="00734A5B" w:rsidRDefault="001A3E25" w:rsidP="00993726">
            <w:pPr>
              <w:spacing w:line="240" w:lineRule="auto"/>
              <w:ind w:left="-95" w:right="-156"/>
              <w:contextualSpacing/>
              <w:rPr>
                <w:rFonts w:ascii="Times New Roman" w:hAnsi="Times New Roman"/>
                <w:color w:val="000000"/>
                <w:sz w:val="20"/>
                <w:szCs w:val="20"/>
              </w:rPr>
            </w:pPr>
            <w:r w:rsidRPr="00B44239">
              <w:rPr>
                <w:rFonts w:ascii="Times New Roman" w:hAnsi="Times New Roman"/>
                <w:color w:val="000000"/>
                <w:sz w:val="20"/>
                <w:szCs w:val="20"/>
              </w:rPr>
              <w:t>0.041</w:t>
            </w:r>
          </w:p>
        </w:tc>
        <w:tc>
          <w:tcPr>
            <w:tcW w:w="277" w:type="pct"/>
            <w:tcBorders>
              <w:top w:val="nil"/>
              <w:left w:val="nil"/>
              <w:bottom w:val="nil"/>
              <w:right w:val="nil"/>
            </w:tcBorders>
            <w:shd w:val="clear" w:color="auto" w:fill="auto"/>
            <w:vAlign w:val="bottom"/>
          </w:tcPr>
          <w:p w14:paraId="1CD4BDF1" w14:textId="4223F749" w:rsidR="001A3E25" w:rsidRPr="00734A5B" w:rsidRDefault="001A3E25" w:rsidP="00993726">
            <w:pPr>
              <w:spacing w:line="240" w:lineRule="auto"/>
              <w:ind w:left="-52" w:right="-97"/>
              <w:contextualSpacing/>
              <w:rPr>
                <w:rFonts w:ascii="Times New Roman" w:hAnsi="Times New Roman"/>
                <w:color w:val="000000"/>
                <w:sz w:val="20"/>
                <w:szCs w:val="20"/>
              </w:rPr>
            </w:pPr>
            <w:r w:rsidRPr="00B44239">
              <w:rPr>
                <w:rFonts w:ascii="Times New Roman" w:hAnsi="Times New Roman"/>
                <w:color w:val="000000"/>
                <w:sz w:val="20"/>
                <w:szCs w:val="20"/>
              </w:rPr>
              <w:t>0.017</w:t>
            </w:r>
          </w:p>
        </w:tc>
        <w:tc>
          <w:tcPr>
            <w:tcW w:w="395" w:type="pct"/>
            <w:tcBorders>
              <w:top w:val="nil"/>
              <w:left w:val="nil"/>
              <w:bottom w:val="nil"/>
              <w:right w:val="nil"/>
            </w:tcBorders>
            <w:shd w:val="clear" w:color="auto" w:fill="auto"/>
            <w:vAlign w:val="bottom"/>
          </w:tcPr>
          <w:p w14:paraId="2887874A" w14:textId="78D272FF" w:rsidR="001A3E25" w:rsidRPr="00734A5B" w:rsidRDefault="001A3E25" w:rsidP="00993726">
            <w:pPr>
              <w:spacing w:line="240" w:lineRule="auto"/>
              <w:ind w:right="-117"/>
              <w:contextualSpacing/>
              <w:rPr>
                <w:rFonts w:ascii="Times New Roman" w:hAnsi="Times New Roman"/>
                <w:color w:val="000000"/>
                <w:sz w:val="20"/>
                <w:szCs w:val="20"/>
              </w:rPr>
            </w:pPr>
            <w:r w:rsidRPr="00B44239">
              <w:rPr>
                <w:rFonts w:ascii="Times New Roman" w:hAnsi="Times New Roman"/>
                <w:color w:val="000000"/>
                <w:sz w:val="20"/>
                <w:szCs w:val="20"/>
              </w:rPr>
              <w:t>4.43***</w:t>
            </w:r>
          </w:p>
        </w:tc>
        <w:tc>
          <w:tcPr>
            <w:tcW w:w="547" w:type="pct"/>
            <w:tcBorders>
              <w:top w:val="nil"/>
              <w:left w:val="nil"/>
              <w:bottom w:val="nil"/>
              <w:right w:val="nil"/>
            </w:tcBorders>
            <w:shd w:val="clear" w:color="auto" w:fill="auto"/>
            <w:vAlign w:val="bottom"/>
          </w:tcPr>
          <w:p w14:paraId="725DF952" w14:textId="3C92ABC7" w:rsidR="001A3E25" w:rsidRPr="00734A5B" w:rsidRDefault="001A3E25" w:rsidP="00993726">
            <w:pPr>
              <w:spacing w:line="240" w:lineRule="auto"/>
              <w:ind w:right="-467"/>
              <w:contextualSpacing/>
              <w:rPr>
                <w:rFonts w:ascii="Times New Roman" w:hAnsi="Times New Roman"/>
                <w:color w:val="000000"/>
                <w:sz w:val="20"/>
                <w:szCs w:val="20"/>
              </w:rPr>
            </w:pPr>
            <w:r w:rsidRPr="00B44239">
              <w:rPr>
                <w:rFonts w:ascii="Times New Roman" w:hAnsi="Times New Roman"/>
                <w:color w:val="000000"/>
                <w:sz w:val="20"/>
                <w:szCs w:val="20"/>
              </w:rPr>
              <w:t>3.94***</w:t>
            </w:r>
          </w:p>
        </w:tc>
      </w:tr>
      <w:tr w:rsidR="002D5AAC" w:rsidRPr="00734A5B" w14:paraId="38199161" w14:textId="1A32BE05" w:rsidTr="00F7612D">
        <w:trPr>
          <w:trHeight w:val="20"/>
        </w:trPr>
        <w:tc>
          <w:tcPr>
            <w:tcW w:w="562" w:type="pct"/>
            <w:tcBorders>
              <w:top w:val="nil"/>
              <w:left w:val="nil"/>
              <w:bottom w:val="nil"/>
              <w:right w:val="nil"/>
            </w:tcBorders>
            <w:shd w:val="clear" w:color="auto" w:fill="auto"/>
            <w:hideMark/>
          </w:tcPr>
          <w:p w14:paraId="23E0C4DD" w14:textId="77777777" w:rsidR="001A3E25" w:rsidRPr="00734A5B" w:rsidRDefault="001A3E25" w:rsidP="00993726">
            <w:pPr>
              <w:spacing w:after="0" w:line="240" w:lineRule="auto"/>
              <w:ind w:right="-78"/>
              <w:contextualSpacing/>
              <w:rPr>
                <w:rFonts w:ascii="Times New Roman" w:eastAsia="Times New Roman" w:hAnsi="Times New Roman"/>
                <w:i/>
                <w:color w:val="000000"/>
                <w:sz w:val="20"/>
                <w:szCs w:val="20"/>
              </w:rPr>
            </w:pPr>
            <w:r w:rsidRPr="00734A5B">
              <w:rPr>
                <w:rFonts w:ascii="Times New Roman" w:eastAsia="Times New Roman" w:hAnsi="Times New Roman"/>
                <w:i/>
                <w:color w:val="000000"/>
                <w:sz w:val="20"/>
                <w:szCs w:val="20"/>
              </w:rPr>
              <w:t>RDISX</w:t>
            </w:r>
          </w:p>
        </w:tc>
        <w:tc>
          <w:tcPr>
            <w:tcW w:w="233" w:type="pct"/>
            <w:tcBorders>
              <w:top w:val="nil"/>
              <w:left w:val="nil"/>
              <w:bottom w:val="nil"/>
              <w:right w:val="nil"/>
            </w:tcBorders>
            <w:shd w:val="clear" w:color="auto" w:fill="auto"/>
            <w:noWrap/>
            <w:vAlign w:val="bottom"/>
            <w:hideMark/>
          </w:tcPr>
          <w:p w14:paraId="00ED2A2E" w14:textId="77777777" w:rsidR="001A3E25" w:rsidRPr="00734A5B" w:rsidRDefault="001A3E25" w:rsidP="001A3E25">
            <w:pPr>
              <w:spacing w:line="240" w:lineRule="auto"/>
              <w:contextualSpacing/>
              <w:rPr>
                <w:rFonts w:ascii="Times New Roman" w:hAnsi="Times New Roman"/>
                <w:color w:val="000000"/>
                <w:sz w:val="20"/>
                <w:szCs w:val="20"/>
              </w:rPr>
            </w:pPr>
            <w:r w:rsidRPr="00734A5B">
              <w:rPr>
                <w:rFonts w:ascii="Times New Roman" w:hAnsi="Times New Roman"/>
                <w:color w:val="000000"/>
                <w:sz w:val="20"/>
                <w:szCs w:val="20"/>
              </w:rPr>
              <w:t>527</w:t>
            </w:r>
          </w:p>
        </w:tc>
        <w:tc>
          <w:tcPr>
            <w:tcW w:w="395" w:type="pct"/>
            <w:tcBorders>
              <w:top w:val="nil"/>
              <w:left w:val="nil"/>
              <w:bottom w:val="nil"/>
              <w:right w:val="nil"/>
            </w:tcBorders>
            <w:shd w:val="clear" w:color="auto" w:fill="auto"/>
            <w:hideMark/>
          </w:tcPr>
          <w:p w14:paraId="2577DCA9" w14:textId="77777777" w:rsidR="001A3E25" w:rsidRPr="00734A5B" w:rsidRDefault="001A3E25" w:rsidP="00993726">
            <w:pPr>
              <w:spacing w:line="240" w:lineRule="auto"/>
              <w:ind w:right="-140"/>
              <w:contextualSpacing/>
              <w:rPr>
                <w:rFonts w:ascii="Times New Roman" w:hAnsi="Times New Roman"/>
                <w:color w:val="000000"/>
                <w:sz w:val="20"/>
                <w:szCs w:val="20"/>
              </w:rPr>
            </w:pPr>
            <w:r w:rsidRPr="00734A5B">
              <w:rPr>
                <w:rFonts w:ascii="Times New Roman" w:hAnsi="Times New Roman"/>
                <w:color w:val="000000"/>
                <w:sz w:val="20"/>
                <w:szCs w:val="20"/>
              </w:rPr>
              <w:t>0.193</w:t>
            </w:r>
          </w:p>
        </w:tc>
        <w:tc>
          <w:tcPr>
            <w:tcW w:w="416" w:type="pct"/>
            <w:tcBorders>
              <w:top w:val="nil"/>
              <w:left w:val="nil"/>
              <w:bottom w:val="nil"/>
              <w:right w:val="nil"/>
            </w:tcBorders>
            <w:shd w:val="clear" w:color="auto" w:fill="auto"/>
            <w:hideMark/>
          </w:tcPr>
          <w:p w14:paraId="025910D9" w14:textId="77777777" w:rsidR="001A3E25" w:rsidRPr="00734A5B" w:rsidRDefault="001A3E25" w:rsidP="00993726">
            <w:pPr>
              <w:spacing w:line="240" w:lineRule="auto"/>
              <w:ind w:right="-131"/>
              <w:contextualSpacing/>
              <w:rPr>
                <w:rFonts w:ascii="Times New Roman" w:hAnsi="Times New Roman"/>
                <w:color w:val="000000"/>
                <w:sz w:val="20"/>
                <w:szCs w:val="20"/>
              </w:rPr>
            </w:pPr>
            <w:r w:rsidRPr="00734A5B">
              <w:rPr>
                <w:rFonts w:ascii="Times New Roman" w:hAnsi="Times New Roman"/>
                <w:color w:val="000000"/>
                <w:sz w:val="20"/>
                <w:szCs w:val="20"/>
              </w:rPr>
              <w:t>0.112</w:t>
            </w:r>
          </w:p>
        </w:tc>
        <w:tc>
          <w:tcPr>
            <w:tcW w:w="416" w:type="pct"/>
            <w:tcBorders>
              <w:top w:val="nil"/>
              <w:left w:val="nil"/>
              <w:bottom w:val="nil"/>
              <w:right w:val="single" w:sz="4" w:space="0" w:color="auto"/>
            </w:tcBorders>
            <w:shd w:val="clear" w:color="auto" w:fill="auto"/>
            <w:hideMark/>
          </w:tcPr>
          <w:p w14:paraId="2DE7FE75" w14:textId="77777777" w:rsidR="001A3E25" w:rsidRPr="00734A5B" w:rsidRDefault="001A3E25" w:rsidP="00993726">
            <w:pPr>
              <w:spacing w:line="240" w:lineRule="auto"/>
              <w:ind w:right="-108"/>
              <w:contextualSpacing/>
              <w:rPr>
                <w:rFonts w:ascii="Times New Roman" w:hAnsi="Times New Roman"/>
                <w:color w:val="000000"/>
                <w:sz w:val="20"/>
                <w:szCs w:val="20"/>
              </w:rPr>
            </w:pPr>
            <w:r w:rsidRPr="00734A5B">
              <w:rPr>
                <w:rFonts w:ascii="Times New Roman" w:hAnsi="Times New Roman"/>
                <w:color w:val="000000"/>
                <w:sz w:val="20"/>
                <w:szCs w:val="20"/>
              </w:rPr>
              <w:t>0.278</w:t>
            </w:r>
          </w:p>
        </w:tc>
        <w:tc>
          <w:tcPr>
            <w:tcW w:w="289" w:type="pct"/>
            <w:tcBorders>
              <w:top w:val="nil"/>
              <w:left w:val="single" w:sz="4" w:space="0" w:color="auto"/>
              <w:bottom w:val="nil"/>
              <w:right w:val="nil"/>
            </w:tcBorders>
            <w:shd w:val="clear" w:color="auto" w:fill="auto"/>
            <w:vAlign w:val="bottom"/>
          </w:tcPr>
          <w:p w14:paraId="540C7223" w14:textId="16306BAE" w:rsidR="001A3E25" w:rsidRPr="00734A5B" w:rsidRDefault="001A3E25" w:rsidP="00993726">
            <w:pPr>
              <w:spacing w:line="240" w:lineRule="auto"/>
              <w:ind w:left="-100" w:right="-76"/>
              <w:contextualSpacing/>
              <w:rPr>
                <w:rFonts w:ascii="Times New Roman" w:hAnsi="Times New Roman"/>
                <w:color w:val="000000"/>
                <w:sz w:val="20"/>
                <w:szCs w:val="20"/>
              </w:rPr>
            </w:pPr>
            <w:r w:rsidRPr="00B44239">
              <w:rPr>
                <w:rFonts w:ascii="Times New Roman" w:hAnsi="Times New Roman"/>
                <w:color w:val="000000"/>
                <w:sz w:val="20"/>
                <w:szCs w:val="20"/>
              </w:rPr>
              <w:t>6,601</w:t>
            </w:r>
          </w:p>
        </w:tc>
        <w:tc>
          <w:tcPr>
            <w:tcW w:w="395" w:type="pct"/>
            <w:tcBorders>
              <w:top w:val="nil"/>
              <w:left w:val="nil"/>
              <w:bottom w:val="nil"/>
              <w:right w:val="nil"/>
            </w:tcBorders>
            <w:shd w:val="clear" w:color="auto" w:fill="auto"/>
          </w:tcPr>
          <w:p w14:paraId="7C839A01" w14:textId="5A9FC109" w:rsidR="001A3E25" w:rsidRPr="00734A5B" w:rsidRDefault="001A3E25" w:rsidP="00993726">
            <w:pPr>
              <w:spacing w:line="240" w:lineRule="auto"/>
              <w:ind w:left="-55" w:right="-28"/>
              <w:contextualSpacing/>
              <w:rPr>
                <w:rFonts w:ascii="Times New Roman" w:hAnsi="Times New Roman"/>
                <w:color w:val="000000"/>
                <w:sz w:val="20"/>
                <w:szCs w:val="20"/>
              </w:rPr>
            </w:pPr>
            <w:r w:rsidRPr="00B44239">
              <w:rPr>
                <w:rFonts w:ascii="Times New Roman" w:hAnsi="Times New Roman"/>
                <w:color w:val="000000"/>
                <w:sz w:val="20"/>
                <w:szCs w:val="20"/>
              </w:rPr>
              <w:t>0.044</w:t>
            </w:r>
          </w:p>
        </w:tc>
        <w:tc>
          <w:tcPr>
            <w:tcW w:w="339" w:type="pct"/>
            <w:tcBorders>
              <w:top w:val="nil"/>
              <w:left w:val="nil"/>
              <w:bottom w:val="nil"/>
              <w:right w:val="nil"/>
            </w:tcBorders>
            <w:shd w:val="clear" w:color="auto" w:fill="auto"/>
          </w:tcPr>
          <w:p w14:paraId="5FB80AC7" w14:textId="3DBD5368" w:rsidR="001A3E25" w:rsidRPr="00734A5B" w:rsidRDefault="001A3E25" w:rsidP="00993726">
            <w:pPr>
              <w:spacing w:line="240" w:lineRule="auto"/>
              <w:ind w:left="-103" w:right="-136"/>
              <w:contextualSpacing/>
              <w:rPr>
                <w:rFonts w:ascii="Times New Roman" w:hAnsi="Times New Roman"/>
                <w:color w:val="000000"/>
                <w:sz w:val="20"/>
                <w:szCs w:val="20"/>
              </w:rPr>
            </w:pPr>
            <w:r w:rsidRPr="00B44239">
              <w:rPr>
                <w:rFonts w:ascii="Times New Roman" w:hAnsi="Times New Roman"/>
                <w:color w:val="000000"/>
                <w:sz w:val="20"/>
                <w:szCs w:val="20"/>
              </w:rPr>
              <w:t>0.034</w:t>
            </w:r>
          </w:p>
        </w:tc>
        <w:tc>
          <w:tcPr>
            <w:tcW w:w="405" w:type="pct"/>
            <w:tcBorders>
              <w:top w:val="nil"/>
              <w:left w:val="nil"/>
              <w:bottom w:val="nil"/>
              <w:right w:val="single" w:sz="4" w:space="0" w:color="auto"/>
            </w:tcBorders>
            <w:shd w:val="clear" w:color="auto" w:fill="auto"/>
          </w:tcPr>
          <w:p w14:paraId="32825C38" w14:textId="23358E28" w:rsidR="001A3E25" w:rsidRPr="00734A5B" w:rsidRDefault="001A3E25" w:rsidP="00993726">
            <w:pPr>
              <w:spacing w:line="240" w:lineRule="auto"/>
              <w:ind w:left="-85" w:right="-74"/>
              <w:contextualSpacing/>
              <w:rPr>
                <w:rFonts w:ascii="Times New Roman" w:hAnsi="Times New Roman"/>
                <w:color w:val="000000"/>
                <w:sz w:val="20"/>
                <w:szCs w:val="20"/>
              </w:rPr>
            </w:pPr>
            <w:r w:rsidRPr="00B44239">
              <w:rPr>
                <w:rFonts w:ascii="Times New Roman" w:hAnsi="Times New Roman"/>
                <w:color w:val="000000"/>
                <w:sz w:val="20"/>
                <w:szCs w:val="20"/>
              </w:rPr>
              <w:t>0.238</w:t>
            </w:r>
          </w:p>
        </w:tc>
        <w:tc>
          <w:tcPr>
            <w:tcW w:w="331" w:type="pct"/>
            <w:tcBorders>
              <w:top w:val="nil"/>
              <w:left w:val="single" w:sz="4" w:space="0" w:color="auto"/>
              <w:bottom w:val="nil"/>
              <w:right w:val="nil"/>
            </w:tcBorders>
            <w:shd w:val="clear" w:color="auto" w:fill="auto"/>
            <w:vAlign w:val="bottom"/>
          </w:tcPr>
          <w:p w14:paraId="27B089C7" w14:textId="61D4D6F8" w:rsidR="001A3E25" w:rsidRPr="00734A5B" w:rsidRDefault="001A3E25" w:rsidP="00993726">
            <w:pPr>
              <w:spacing w:line="240" w:lineRule="auto"/>
              <w:ind w:left="-95" w:right="-156"/>
              <w:contextualSpacing/>
              <w:rPr>
                <w:rFonts w:ascii="Times New Roman" w:hAnsi="Times New Roman"/>
                <w:color w:val="000000"/>
                <w:sz w:val="20"/>
                <w:szCs w:val="20"/>
              </w:rPr>
            </w:pPr>
            <w:r w:rsidRPr="00B44239">
              <w:rPr>
                <w:rFonts w:ascii="Times New Roman" w:hAnsi="Times New Roman"/>
                <w:color w:val="000000"/>
                <w:sz w:val="20"/>
                <w:szCs w:val="20"/>
              </w:rPr>
              <w:t>0.149</w:t>
            </w:r>
          </w:p>
        </w:tc>
        <w:tc>
          <w:tcPr>
            <w:tcW w:w="277" w:type="pct"/>
            <w:tcBorders>
              <w:top w:val="nil"/>
              <w:left w:val="nil"/>
              <w:bottom w:val="nil"/>
              <w:right w:val="nil"/>
            </w:tcBorders>
            <w:shd w:val="clear" w:color="auto" w:fill="auto"/>
            <w:vAlign w:val="bottom"/>
          </w:tcPr>
          <w:p w14:paraId="3AA26778" w14:textId="3D47D497" w:rsidR="001A3E25" w:rsidRPr="00734A5B" w:rsidRDefault="001A3E25" w:rsidP="00993726">
            <w:pPr>
              <w:spacing w:line="240" w:lineRule="auto"/>
              <w:ind w:left="-52" w:right="-97"/>
              <w:contextualSpacing/>
              <w:rPr>
                <w:rFonts w:ascii="Times New Roman" w:hAnsi="Times New Roman"/>
                <w:color w:val="000000"/>
                <w:sz w:val="20"/>
                <w:szCs w:val="20"/>
              </w:rPr>
            </w:pPr>
            <w:r w:rsidRPr="00B44239">
              <w:rPr>
                <w:rFonts w:ascii="Times New Roman" w:hAnsi="Times New Roman"/>
                <w:color w:val="000000"/>
                <w:sz w:val="20"/>
                <w:szCs w:val="20"/>
              </w:rPr>
              <w:t>0.078</w:t>
            </w:r>
          </w:p>
        </w:tc>
        <w:tc>
          <w:tcPr>
            <w:tcW w:w="395" w:type="pct"/>
            <w:tcBorders>
              <w:top w:val="nil"/>
              <w:left w:val="nil"/>
              <w:bottom w:val="nil"/>
              <w:right w:val="nil"/>
            </w:tcBorders>
            <w:shd w:val="clear" w:color="auto" w:fill="auto"/>
            <w:vAlign w:val="bottom"/>
          </w:tcPr>
          <w:p w14:paraId="036827B6" w14:textId="07B37F4C" w:rsidR="001A3E25" w:rsidRPr="00734A5B" w:rsidRDefault="001A3E25" w:rsidP="00993726">
            <w:pPr>
              <w:spacing w:line="240" w:lineRule="auto"/>
              <w:ind w:right="-117"/>
              <w:contextualSpacing/>
              <w:rPr>
                <w:rFonts w:ascii="Times New Roman" w:hAnsi="Times New Roman"/>
                <w:color w:val="000000"/>
                <w:sz w:val="20"/>
                <w:szCs w:val="20"/>
              </w:rPr>
            </w:pPr>
            <w:r w:rsidRPr="00B44239">
              <w:rPr>
                <w:rFonts w:ascii="Times New Roman" w:hAnsi="Times New Roman"/>
                <w:color w:val="000000"/>
                <w:sz w:val="20"/>
                <w:szCs w:val="20"/>
              </w:rPr>
              <w:t>11.93***</w:t>
            </w:r>
          </w:p>
        </w:tc>
        <w:tc>
          <w:tcPr>
            <w:tcW w:w="547" w:type="pct"/>
            <w:tcBorders>
              <w:top w:val="nil"/>
              <w:left w:val="nil"/>
              <w:bottom w:val="nil"/>
              <w:right w:val="nil"/>
            </w:tcBorders>
            <w:shd w:val="clear" w:color="auto" w:fill="auto"/>
            <w:vAlign w:val="bottom"/>
          </w:tcPr>
          <w:p w14:paraId="4DC81EAC" w14:textId="0C27434E" w:rsidR="001A3E25" w:rsidRPr="00734A5B" w:rsidRDefault="001A3E25" w:rsidP="00993726">
            <w:pPr>
              <w:spacing w:line="240" w:lineRule="auto"/>
              <w:ind w:right="-467"/>
              <w:contextualSpacing/>
              <w:rPr>
                <w:rFonts w:ascii="Times New Roman" w:hAnsi="Times New Roman"/>
                <w:color w:val="000000"/>
                <w:sz w:val="20"/>
                <w:szCs w:val="20"/>
              </w:rPr>
            </w:pPr>
            <w:r w:rsidRPr="00B44239">
              <w:rPr>
                <w:rFonts w:ascii="Times New Roman" w:hAnsi="Times New Roman"/>
                <w:color w:val="000000"/>
                <w:sz w:val="20"/>
                <w:szCs w:val="20"/>
              </w:rPr>
              <w:t>14.09***</w:t>
            </w:r>
          </w:p>
        </w:tc>
      </w:tr>
      <w:tr w:rsidR="002D5AAC" w:rsidRPr="00734A5B" w14:paraId="0E6E918A" w14:textId="114D971C" w:rsidTr="00F7612D">
        <w:trPr>
          <w:trHeight w:val="20"/>
        </w:trPr>
        <w:tc>
          <w:tcPr>
            <w:tcW w:w="562" w:type="pct"/>
            <w:tcBorders>
              <w:top w:val="nil"/>
              <w:left w:val="nil"/>
              <w:bottom w:val="nil"/>
              <w:right w:val="nil"/>
            </w:tcBorders>
            <w:shd w:val="clear" w:color="auto" w:fill="auto"/>
            <w:hideMark/>
          </w:tcPr>
          <w:p w14:paraId="47EB1848" w14:textId="77777777" w:rsidR="001A3E25" w:rsidRPr="00734A5B" w:rsidRDefault="001A3E25" w:rsidP="00993726">
            <w:pPr>
              <w:spacing w:after="0" w:line="240" w:lineRule="auto"/>
              <w:ind w:right="-78"/>
              <w:contextualSpacing/>
              <w:rPr>
                <w:rFonts w:ascii="Times New Roman" w:eastAsia="Times New Roman" w:hAnsi="Times New Roman"/>
                <w:i/>
                <w:color w:val="000000"/>
                <w:sz w:val="20"/>
                <w:szCs w:val="20"/>
              </w:rPr>
            </w:pPr>
            <w:r w:rsidRPr="00734A5B">
              <w:rPr>
                <w:rFonts w:ascii="Times New Roman" w:eastAsia="Times New Roman" w:hAnsi="Times New Roman"/>
                <w:i/>
                <w:color w:val="000000"/>
                <w:sz w:val="20"/>
                <w:szCs w:val="20"/>
              </w:rPr>
              <w:t>RPROD</w:t>
            </w:r>
          </w:p>
        </w:tc>
        <w:tc>
          <w:tcPr>
            <w:tcW w:w="233" w:type="pct"/>
            <w:tcBorders>
              <w:top w:val="nil"/>
              <w:left w:val="nil"/>
              <w:bottom w:val="nil"/>
              <w:right w:val="nil"/>
            </w:tcBorders>
            <w:shd w:val="clear" w:color="auto" w:fill="auto"/>
            <w:noWrap/>
            <w:vAlign w:val="bottom"/>
            <w:hideMark/>
          </w:tcPr>
          <w:p w14:paraId="210F62D1" w14:textId="77777777" w:rsidR="001A3E25" w:rsidRPr="00734A5B" w:rsidRDefault="001A3E25" w:rsidP="001A3E25">
            <w:pPr>
              <w:spacing w:line="240" w:lineRule="auto"/>
              <w:contextualSpacing/>
              <w:rPr>
                <w:rFonts w:ascii="Times New Roman" w:hAnsi="Times New Roman"/>
                <w:color w:val="000000"/>
                <w:sz w:val="20"/>
                <w:szCs w:val="20"/>
              </w:rPr>
            </w:pPr>
            <w:r w:rsidRPr="00734A5B">
              <w:rPr>
                <w:rFonts w:ascii="Times New Roman" w:hAnsi="Times New Roman"/>
                <w:color w:val="000000"/>
                <w:sz w:val="20"/>
                <w:szCs w:val="20"/>
              </w:rPr>
              <w:t>594</w:t>
            </w:r>
          </w:p>
        </w:tc>
        <w:tc>
          <w:tcPr>
            <w:tcW w:w="395" w:type="pct"/>
            <w:tcBorders>
              <w:top w:val="nil"/>
              <w:left w:val="nil"/>
              <w:bottom w:val="nil"/>
              <w:right w:val="nil"/>
            </w:tcBorders>
            <w:shd w:val="clear" w:color="auto" w:fill="auto"/>
            <w:hideMark/>
          </w:tcPr>
          <w:p w14:paraId="664EAB8A" w14:textId="77777777" w:rsidR="001A3E25" w:rsidRPr="00734A5B" w:rsidRDefault="001A3E25" w:rsidP="00993726">
            <w:pPr>
              <w:spacing w:line="240" w:lineRule="auto"/>
              <w:ind w:right="-140"/>
              <w:contextualSpacing/>
              <w:rPr>
                <w:rFonts w:ascii="Times New Roman" w:hAnsi="Times New Roman"/>
                <w:color w:val="000000"/>
                <w:sz w:val="20"/>
                <w:szCs w:val="20"/>
              </w:rPr>
            </w:pPr>
            <w:r w:rsidRPr="00734A5B">
              <w:rPr>
                <w:rFonts w:ascii="Times New Roman" w:hAnsi="Times New Roman"/>
                <w:color w:val="000000"/>
                <w:sz w:val="20"/>
                <w:szCs w:val="20"/>
              </w:rPr>
              <w:t>0.063</w:t>
            </w:r>
          </w:p>
        </w:tc>
        <w:tc>
          <w:tcPr>
            <w:tcW w:w="416" w:type="pct"/>
            <w:tcBorders>
              <w:top w:val="nil"/>
              <w:left w:val="nil"/>
              <w:bottom w:val="nil"/>
              <w:right w:val="nil"/>
            </w:tcBorders>
            <w:shd w:val="clear" w:color="auto" w:fill="auto"/>
            <w:hideMark/>
          </w:tcPr>
          <w:p w14:paraId="7317AF23" w14:textId="77777777" w:rsidR="001A3E25" w:rsidRPr="00734A5B" w:rsidRDefault="001A3E25" w:rsidP="00993726">
            <w:pPr>
              <w:spacing w:line="240" w:lineRule="auto"/>
              <w:ind w:right="-131"/>
              <w:contextualSpacing/>
              <w:rPr>
                <w:rFonts w:ascii="Times New Roman" w:hAnsi="Times New Roman"/>
                <w:color w:val="000000"/>
                <w:sz w:val="20"/>
                <w:szCs w:val="20"/>
              </w:rPr>
            </w:pPr>
            <w:r w:rsidRPr="00734A5B">
              <w:rPr>
                <w:rFonts w:ascii="Times New Roman" w:hAnsi="Times New Roman"/>
                <w:color w:val="000000"/>
                <w:sz w:val="20"/>
                <w:szCs w:val="20"/>
              </w:rPr>
              <w:t>-0.001</w:t>
            </w:r>
          </w:p>
        </w:tc>
        <w:tc>
          <w:tcPr>
            <w:tcW w:w="416" w:type="pct"/>
            <w:tcBorders>
              <w:top w:val="nil"/>
              <w:left w:val="nil"/>
              <w:bottom w:val="nil"/>
              <w:right w:val="single" w:sz="4" w:space="0" w:color="auto"/>
            </w:tcBorders>
            <w:shd w:val="clear" w:color="auto" w:fill="auto"/>
            <w:hideMark/>
          </w:tcPr>
          <w:p w14:paraId="6EA6C208" w14:textId="77777777" w:rsidR="001A3E25" w:rsidRPr="00734A5B" w:rsidRDefault="001A3E25" w:rsidP="00993726">
            <w:pPr>
              <w:spacing w:line="240" w:lineRule="auto"/>
              <w:ind w:right="-108"/>
              <w:contextualSpacing/>
              <w:rPr>
                <w:rFonts w:ascii="Times New Roman" w:hAnsi="Times New Roman"/>
                <w:color w:val="000000"/>
                <w:sz w:val="20"/>
                <w:szCs w:val="20"/>
              </w:rPr>
            </w:pPr>
            <w:r w:rsidRPr="00734A5B">
              <w:rPr>
                <w:rFonts w:ascii="Times New Roman" w:hAnsi="Times New Roman"/>
                <w:color w:val="000000"/>
                <w:sz w:val="20"/>
                <w:szCs w:val="20"/>
              </w:rPr>
              <w:t>0.237</w:t>
            </w:r>
          </w:p>
        </w:tc>
        <w:tc>
          <w:tcPr>
            <w:tcW w:w="289" w:type="pct"/>
            <w:tcBorders>
              <w:top w:val="nil"/>
              <w:left w:val="single" w:sz="4" w:space="0" w:color="auto"/>
              <w:bottom w:val="nil"/>
              <w:right w:val="nil"/>
            </w:tcBorders>
            <w:shd w:val="clear" w:color="auto" w:fill="auto"/>
            <w:vAlign w:val="bottom"/>
          </w:tcPr>
          <w:p w14:paraId="22E6C304" w14:textId="589B520C" w:rsidR="001A3E25" w:rsidRPr="00734A5B" w:rsidRDefault="001A3E25" w:rsidP="00993726">
            <w:pPr>
              <w:spacing w:line="240" w:lineRule="auto"/>
              <w:ind w:left="-100" w:right="-76"/>
              <w:contextualSpacing/>
              <w:rPr>
                <w:rFonts w:ascii="Times New Roman" w:hAnsi="Times New Roman"/>
                <w:color w:val="000000"/>
                <w:sz w:val="20"/>
                <w:szCs w:val="20"/>
              </w:rPr>
            </w:pPr>
            <w:r w:rsidRPr="00B44239">
              <w:rPr>
                <w:rFonts w:ascii="Times New Roman" w:hAnsi="Times New Roman"/>
                <w:color w:val="000000"/>
                <w:sz w:val="20"/>
                <w:szCs w:val="20"/>
              </w:rPr>
              <w:t>7,151</w:t>
            </w:r>
          </w:p>
        </w:tc>
        <w:tc>
          <w:tcPr>
            <w:tcW w:w="395" w:type="pct"/>
            <w:tcBorders>
              <w:top w:val="nil"/>
              <w:left w:val="nil"/>
              <w:bottom w:val="nil"/>
              <w:right w:val="nil"/>
            </w:tcBorders>
            <w:shd w:val="clear" w:color="auto" w:fill="auto"/>
          </w:tcPr>
          <w:p w14:paraId="09D43863" w14:textId="59A77511" w:rsidR="001A3E25" w:rsidRPr="00734A5B" w:rsidRDefault="001A3E25" w:rsidP="00993726">
            <w:pPr>
              <w:spacing w:line="240" w:lineRule="auto"/>
              <w:ind w:left="-55" w:right="-28"/>
              <w:contextualSpacing/>
              <w:rPr>
                <w:rFonts w:ascii="Times New Roman" w:hAnsi="Times New Roman"/>
                <w:color w:val="000000"/>
                <w:sz w:val="20"/>
                <w:szCs w:val="20"/>
              </w:rPr>
            </w:pPr>
            <w:r w:rsidRPr="00B44239">
              <w:rPr>
                <w:rFonts w:ascii="Times New Roman" w:hAnsi="Times New Roman"/>
                <w:color w:val="000000"/>
                <w:sz w:val="20"/>
                <w:szCs w:val="20"/>
              </w:rPr>
              <w:t>-0.004</w:t>
            </w:r>
          </w:p>
        </w:tc>
        <w:tc>
          <w:tcPr>
            <w:tcW w:w="339" w:type="pct"/>
            <w:tcBorders>
              <w:top w:val="nil"/>
              <w:left w:val="nil"/>
              <w:bottom w:val="nil"/>
              <w:right w:val="nil"/>
            </w:tcBorders>
            <w:shd w:val="clear" w:color="auto" w:fill="auto"/>
          </w:tcPr>
          <w:p w14:paraId="2D83EFD4" w14:textId="0842FDCC" w:rsidR="001A3E25" w:rsidRPr="00734A5B" w:rsidRDefault="001A3E25" w:rsidP="00993726">
            <w:pPr>
              <w:spacing w:line="240" w:lineRule="auto"/>
              <w:ind w:left="-103" w:right="-136"/>
              <w:contextualSpacing/>
              <w:rPr>
                <w:rFonts w:ascii="Times New Roman" w:hAnsi="Times New Roman"/>
                <w:color w:val="000000"/>
                <w:sz w:val="20"/>
                <w:szCs w:val="20"/>
              </w:rPr>
            </w:pPr>
            <w:r w:rsidRPr="00B44239">
              <w:rPr>
                <w:rFonts w:ascii="Times New Roman" w:hAnsi="Times New Roman"/>
                <w:color w:val="000000"/>
                <w:sz w:val="20"/>
                <w:szCs w:val="20"/>
              </w:rPr>
              <w:t>-0.015</w:t>
            </w:r>
          </w:p>
        </w:tc>
        <w:tc>
          <w:tcPr>
            <w:tcW w:w="405" w:type="pct"/>
            <w:tcBorders>
              <w:top w:val="nil"/>
              <w:left w:val="nil"/>
              <w:bottom w:val="nil"/>
              <w:right w:val="single" w:sz="4" w:space="0" w:color="auto"/>
            </w:tcBorders>
            <w:shd w:val="clear" w:color="auto" w:fill="auto"/>
          </w:tcPr>
          <w:p w14:paraId="399464E5" w14:textId="0D0F2ED0" w:rsidR="001A3E25" w:rsidRPr="00734A5B" w:rsidRDefault="001A3E25" w:rsidP="00993726">
            <w:pPr>
              <w:spacing w:line="240" w:lineRule="auto"/>
              <w:ind w:left="-85" w:right="-74"/>
              <w:contextualSpacing/>
              <w:rPr>
                <w:rFonts w:ascii="Times New Roman" w:hAnsi="Times New Roman"/>
                <w:color w:val="000000"/>
                <w:sz w:val="20"/>
                <w:szCs w:val="20"/>
              </w:rPr>
            </w:pPr>
            <w:r w:rsidRPr="00B44239">
              <w:rPr>
                <w:rFonts w:ascii="Times New Roman" w:hAnsi="Times New Roman"/>
                <w:color w:val="000000"/>
                <w:sz w:val="20"/>
                <w:szCs w:val="20"/>
              </w:rPr>
              <w:t>0.173</w:t>
            </w:r>
          </w:p>
        </w:tc>
        <w:tc>
          <w:tcPr>
            <w:tcW w:w="331" w:type="pct"/>
            <w:tcBorders>
              <w:top w:val="nil"/>
              <w:left w:val="single" w:sz="4" w:space="0" w:color="auto"/>
              <w:bottom w:val="nil"/>
              <w:right w:val="nil"/>
            </w:tcBorders>
            <w:shd w:val="clear" w:color="auto" w:fill="auto"/>
            <w:vAlign w:val="bottom"/>
          </w:tcPr>
          <w:p w14:paraId="68AAD2DA" w14:textId="594DBFC1" w:rsidR="001A3E25" w:rsidRPr="00734A5B" w:rsidRDefault="001A3E25" w:rsidP="00993726">
            <w:pPr>
              <w:spacing w:line="240" w:lineRule="auto"/>
              <w:ind w:left="-95" w:right="-156"/>
              <w:contextualSpacing/>
              <w:rPr>
                <w:rFonts w:ascii="Times New Roman" w:hAnsi="Times New Roman"/>
                <w:color w:val="000000"/>
                <w:sz w:val="20"/>
                <w:szCs w:val="20"/>
              </w:rPr>
            </w:pPr>
            <w:r w:rsidRPr="00B44239">
              <w:rPr>
                <w:rFonts w:ascii="Times New Roman" w:hAnsi="Times New Roman"/>
                <w:color w:val="000000"/>
                <w:sz w:val="20"/>
                <w:szCs w:val="20"/>
              </w:rPr>
              <w:t>0.067</w:t>
            </w:r>
          </w:p>
        </w:tc>
        <w:tc>
          <w:tcPr>
            <w:tcW w:w="277" w:type="pct"/>
            <w:tcBorders>
              <w:top w:val="nil"/>
              <w:left w:val="nil"/>
              <w:bottom w:val="nil"/>
              <w:right w:val="nil"/>
            </w:tcBorders>
            <w:shd w:val="clear" w:color="auto" w:fill="auto"/>
            <w:vAlign w:val="bottom"/>
          </w:tcPr>
          <w:p w14:paraId="7C67F28C" w14:textId="16C246B4" w:rsidR="001A3E25" w:rsidRPr="00734A5B" w:rsidRDefault="001A3E25" w:rsidP="00993726">
            <w:pPr>
              <w:spacing w:line="240" w:lineRule="auto"/>
              <w:ind w:left="-52" w:right="-97"/>
              <w:contextualSpacing/>
              <w:rPr>
                <w:rFonts w:ascii="Times New Roman" w:hAnsi="Times New Roman"/>
                <w:color w:val="000000"/>
                <w:sz w:val="20"/>
                <w:szCs w:val="20"/>
              </w:rPr>
            </w:pPr>
            <w:r w:rsidRPr="00B44239">
              <w:rPr>
                <w:rFonts w:ascii="Times New Roman" w:hAnsi="Times New Roman"/>
                <w:color w:val="000000"/>
                <w:sz w:val="20"/>
                <w:szCs w:val="20"/>
              </w:rPr>
              <w:t>0.014</w:t>
            </w:r>
          </w:p>
        </w:tc>
        <w:tc>
          <w:tcPr>
            <w:tcW w:w="395" w:type="pct"/>
            <w:tcBorders>
              <w:top w:val="nil"/>
              <w:left w:val="nil"/>
              <w:bottom w:val="nil"/>
              <w:right w:val="nil"/>
            </w:tcBorders>
            <w:shd w:val="clear" w:color="auto" w:fill="auto"/>
            <w:vAlign w:val="bottom"/>
          </w:tcPr>
          <w:p w14:paraId="3AD0E0A4" w14:textId="361F16F9" w:rsidR="001A3E25" w:rsidRPr="00734A5B" w:rsidRDefault="001A3E25" w:rsidP="00993726">
            <w:pPr>
              <w:spacing w:line="240" w:lineRule="auto"/>
              <w:ind w:right="-117"/>
              <w:contextualSpacing/>
              <w:rPr>
                <w:rFonts w:ascii="Times New Roman" w:hAnsi="Times New Roman"/>
                <w:color w:val="000000"/>
                <w:sz w:val="20"/>
                <w:szCs w:val="20"/>
              </w:rPr>
            </w:pPr>
            <w:r w:rsidRPr="00B44239">
              <w:rPr>
                <w:rFonts w:ascii="Times New Roman" w:hAnsi="Times New Roman"/>
                <w:color w:val="000000"/>
                <w:sz w:val="20"/>
                <w:szCs w:val="20"/>
              </w:rPr>
              <w:t>6.78***</w:t>
            </w:r>
          </w:p>
        </w:tc>
        <w:tc>
          <w:tcPr>
            <w:tcW w:w="547" w:type="pct"/>
            <w:tcBorders>
              <w:top w:val="nil"/>
              <w:left w:val="nil"/>
              <w:bottom w:val="nil"/>
              <w:right w:val="nil"/>
            </w:tcBorders>
            <w:shd w:val="clear" w:color="auto" w:fill="auto"/>
            <w:vAlign w:val="bottom"/>
          </w:tcPr>
          <w:p w14:paraId="7A46D01D" w14:textId="61C10F0B" w:rsidR="001A3E25" w:rsidRPr="00734A5B" w:rsidRDefault="001A3E25" w:rsidP="00993726">
            <w:pPr>
              <w:spacing w:line="240" w:lineRule="auto"/>
              <w:ind w:right="-467"/>
              <w:contextualSpacing/>
              <w:rPr>
                <w:rFonts w:ascii="Times New Roman" w:hAnsi="Times New Roman"/>
                <w:color w:val="000000"/>
                <w:sz w:val="20"/>
                <w:szCs w:val="20"/>
              </w:rPr>
            </w:pPr>
            <w:r w:rsidRPr="00B44239">
              <w:rPr>
                <w:rFonts w:ascii="Times New Roman" w:hAnsi="Times New Roman"/>
                <w:color w:val="000000"/>
                <w:sz w:val="20"/>
                <w:szCs w:val="20"/>
              </w:rPr>
              <w:t>6.79***</w:t>
            </w:r>
          </w:p>
        </w:tc>
      </w:tr>
      <w:tr w:rsidR="002D5AAC" w:rsidRPr="00734A5B" w14:paraId="1B66BA0C" w14:textId="09AACEE4" w:rsidTr="00F7612D">
        <w:trPr>
          <w:trHeight w:val="20"/>
        </w:trPr>
        <w:tc>
          <w:tcPr>
            <w:tcW w:w="562" w:type="pct"/>
            <w:tcBorders>
              <w:top w:val="nil"/>
              <w:left w:val="nil"/>
              <w:bottom w:val="nil"/>
              <w:right w:val="nil"/>
            </w:tcBorders>
            <w:shd w:val="clear" w:color="auto" w:fill="auto"/>
            <w:hideMark/>
          </w:tcPr>
          <w:p w14:paraId="42D20C83" w14:textId="77777777" w:rsidR="001A3E25" w:rsidRPr="00734A5B" w:rsidRDefault="001A3E25" w:rsidP="00993726">
            <w:pPr>
              <w:spacing w:after="0" w:line="240" w:lineRule="auto"/>
              <w:ind w:right="-78"/>
              <w:contextualSpacing/>
              <w:rPr>
                <w:rFonts w:ascii="Times New Roman" w:eastAsia="Times New Roman" w:hAnsi="Times New Roman"/>
                <w:i/>
                <w:color w:val="000000"/>
                <w:sz w:val="20"/>
                <w:szCs w:val="20"/>
              </w:rPr>
            </w:pPr>
            <w:r w:rsidRPr="00734A5B">
              <w:rPr>
                <w:rFonts w:ascii="Times New Roman" w:eastAsia="Times New Roman" w:hAnsi="Times New Roman"/>
                <w:i/>
                <w:color w:val="000000"/>
                <w:sz w:val="20"/>
                <w:szCs w:val="20"/>
              </w:rPr>
              <w:t>RCFO</w:t>
            </w:r>
          </w:p>
        </w:tc>
        <w:tc>
          <w:tcPr>
            <w:tcW w:w="233" w:type="pct"/>
            <w:tcBorders>
              <w:top w:val="nil"/>
              <w:left w:val="nil"/>
              <w:bottom w:val="nil"/>
              <w:right w:val="nil"/>
            </w:tcBorders>
            <w:shd w:val="clear" w:color="auto" w:fill="auto"/>
            <w:noWrap/>
            <w:vAlign w:val="bottom"/>
            <w:hideMark/>
          </w:tcPr>
          <w:p w14:paraId="0F36CBF8" w14:textId="77777777" w:rsidR="001A3E25" w:rsidRPr="00734A5B" w:rsidRDefault="001A3E25" w:rsidP="001A3E25">
            <w:pPr>
              <w:spacing w:line="240" w:lineRule="auto"/>
              <w:contextualSpacing/>
              <w:rPr>
                <w:rFonts w:ascii="Times New Roman" w:hAnsi="Times New Roman"/>
                <w:color w:val="000000"/>
                <w:sz w:val="20"/>
                <w:szCs w:val="20"/>
              </w:rPr>
            </w:pPr>
            <w:r w:rsidRPr="00734A5B">
              <w:rPr>
                <w:rFonts w:ascii="Times New Roman" w:hAnsi="Times New Roman"/>
                <w:color w:val="000000"/>
                <w:sz w:val="20"/>
                <w:szCs w:val="20"/>
              </w:rPr>
              <w:t>645</w:t>
            </w:r>
          </w:p>
        </w:tc>
        <w:tc>
          <w:tcPr>
            <w:tcW w:w="395" w:type="pct"/>
            <w:tcBorders>
              <w:top w:val="nil"/>
              <w:left w:val="nil"/>
              <w:bottom w:val="nil"/>
              <w:right w:val="nil"/>
            </w:tcBorders>
            <w:shd w:val="clear" w:color="auto" w:fill="auto"/>
            <w:hideMark/>
          </w:tcPr>
          <w:p w14:paraId="443B9C6B" w14:textId="77777777" w:rsidR="001A3E25" w:rsidRPr="00734A5B" w:rsidRDefault="001A3E25" w:rsidP="00993726">
            <w:pPr>
              <w:spacing w:line="240" w:lineRule="auto"/>
              <w:ind w:right="-140"/>
              <w:contextualSpacing/>
              <w:rPr>
                <w:rFonts w:ascii="Times New Roman" w:hAnsi="Times New Roman"/>
                <w:color w:val="000000"/>
                <w:sz w:val="20"/>
                <w:szCs w:val="20"/>
              </w:rPr>
            </w:pPr>
            <w:r w:rsidRPr="00734A5B">
              <w:rPr>
                <w:rFonts w:ascii="Times New Roman" w:hAnsi="Times New Roman"/>
                <w:color w:val="000000"/>
                <w:sz w:val="20"/>
                <w:szCs w:val="20"/>
              </w:rPr>
              <w:t>-0.064</w:t>
            </w:r>
          </w:p>
        </w:tc>
        <w:tc>
          <w:tcPr>
            <w:tcW w:w="416" w:type="pct"/>
            <w:tcBorders>
              <w:top w:val="nil"/>
              <w:left w:val="nil"/>
              <w:bottom w:val="nil"/>
              <w:right w:val="nil"/>
            </w:tcBorders>
            <w:shd w:val="clear" w:color="auto" w:fill="auto"/>
            <w:hideMark/>
          </w:tcPr>
          <w:p w14:paraId="3DEC9EF8" w14:textId="77777777" w:rsidR="001A3E25" w:rsidRPr="00734A5B" w:rsidRDefault="001A3E25" w:rsidP="00993726">
            <w:pPr>
              <w:spacing w:line="240" w:lineRule="auto"/>
              <w:ind w:right="-131"/>
              <w:contextualSpacing/>
              <w:rPr>
                <w:rFonts w:ascii="Times New Roman" w:hAnsi="Times New Roman"/>
                <w:color w:val="000000"/>
                <w:sz w:val="20"/>
                <w:szCs w:val="20"/>
              </w:rPr>
            </w:pPr>
            <w:r w:rsidRPr="00734A5B">
              <w:rPr>
                <w:rFonts w:ascii="Times New Roman" w:hAnsi="Times New Roman"/>
                <w:color w:val="000000"/>
                <w:sz w:val="20"/>
                <w:szCs w:val="20"/>
              </w:rPr>
              <w:t>-0.055</w:t>
            </w:r>
          </w:p>
        </w:tc>
        <w:tc>
          <w:tcPr>
            <w:tcW w:w="416" w:type="pct"/>
            <w:tcBorders>
              <w:top w:val="nil"/>
              <w:left w:val="nil"/>
              <w:bottom w:val="nil"/>
              <w:right w:val="single" w:sz="4" w:space="0" w:color="auto"/>
            </w:tcBorders>
            <w:shd w:val="clear" w:color="auto" w:fill="auto"/>
            <w:hideMark/>
          </w:tcPr>
          <w:p w14:paraId="399B71BA" w14:textId="77777777" w:rsidR="001A3E25" w:rsidRPr="00734A5B" w:rsidRDefault="001A3E25" w:rsidP="00993726">
            <w:pPr>
              <w:spacing w:line="240" w:lineRule="auto"/>
              <w:ind w:right="-108"/>
              <w:contextualSpacing/>
              <w:rPr>
                <w:rFonts w:ascii="Times New Roman" w:hAnsi="Times New Roman"/>
                <w:color w:val="000000"/>
                <w:sz w:val="20"/>
                <w:szCs w:val="20"/>
              </w:rPr>
            </w:pPr>
            <w:r w:rsidRPr="00734A5B">
              <w:rPr>
                <w:rFonts w:ascii="Times New Roman" w:hAnsi="Times New Roman"/>
                <w:color w:val="000000"/>
                <w:sz w:val="20"/>
                <w:szCs w:val="20"/>
              </w:rPr>
              <w:t>0.192</w:t>
            </w:r>
          </w:p>
        </w:tc>
        <w:tc>
          <w:tcPr>
            <w:tcW w:w="289" w:type="pct"/>
            <w:tcBorders>
              <w:top w:val="nil"/>
              <w:left w:val="single" w:sz="4" w:space="0" w:color="auto"/>
              <w:bottom w:val="nil"/>
              <w:right w:val="nil"/>
            </w:tcBorders>
            <w:shd w:val="clear" w:color="auto" w:fill="auto"/>
            <w:vAlign w:val="bottom"/>
          </w:tcPr>
          <w:p w14:paraId="574011BD" w14:textId="1A83A1C7" w:rsidR="001A3E25" w:rsidRPr="00734A5B" w:rsidRDefault="001A3E25" w:rsidP="00993726">
            <w:pPr>
              <w:spacing w:line="240" w:lineRule="auto"/>
              <w:ind w:left="-100" w:right="-76"/>
              <w:contextualSpacing/>
              <w:rPr>
                <w:rFonts w:ascii="Times New Roman" w:hAnsi="Times New Roman"/>
                <w:color w:val="000000"/>
                <w:sz w:val="20"/>
                <w:szCs w:val="20"/>
              </w:rPr>
            </w:pPr>
            <w:r w:rsidRPr="00B44239">
              <w:rPr>
                <w:rFonts w:ascii="Times New Roman" w:hAnsi="Times New Roman"/>
                <w:color w:val="000000"/>
                <w:sz w:val="20"/>
                <w:szCs w:val="20"/>
              </w:rPr>
              <w:t>7,458</w:t>
            </w:r>
          </w:p>
        </w:tc>
        <w:tc>
          <w:tcPr>
            <w:tcW w:w="395" w:type="pct"/>
            <w:tcBorders>
              <w:top w:val="nil"/>
              <w:left w:val="nil"/>
              <w:bottom w:val="nil"/>
              <w:right w:val="nil"/>
            </w:tcBorders>
            <w:shd w:val="clear" w:color="auto" w:fill="auto"/>
          </w:tcPr>
          <w:p w14:paraId="4FF559CC" w14:textId="46E21C52" w:rsidR="001A3E25" w:rsidRPr="00734A5B" w:rsidRDefault="001A3E25" w:rsidP="00993726">
            <w:pPr>
              <w:spacing w:line="240" w:lineRule="auto"/>
              <w:ind w:left="-55" w:right="-28"/>
              <w:contextualSpacing/>
              <w:rPr>
                <w:rFonts w:ascii="Times New Roman" w:hAnsi="Times New Roman"/>
                <w:color w:val="000000"/>
                <w:sz w:val="20"/>
                <w:szCs w:val="20"/>
              </w:rPr>
            </w:pPr>
            <w:r w:rsidRPr="00B44239">
              <w:rPr>
                <w:rFonts w:ascii="Times New Roman" w:hAnsi="Times New Roman"/>
                <w:color w:val="000000"/>
                <w:sz w:val="20"/>
                <w:szCs w:val="20"/>
              </w:rPr>
              <w:t>-0.031</w:t>
            </w:r>
          </w:p>
        </w:tc>
        <w:tc>
          <w:tcPr>
            <w:tcW w:w="339" w:type="pct"/>
            <w:tcBorders>
              <w:top w:val="nil"/>
              <w:left w:val="nil"/>
              <w:bottom w:val="nil"/>
              <w:right w:val="nil"/>
            </w:tcBorders>
            <w:shd w:val="clear" w:color="auto" w:fill="auto"/>
          </w:tcPr>
          <w:p w14:paraId="1282D4A8" w14:textId="6B654523" w:rsidR="001A3E25" w:rsidRPr="00734A5B" w:rsidRDefault="001A3E25" w:rsidP="00993726">
            <w:pPr>
              <w:spacing w:line="240" w:lineRule="auto"/>
              <w:ind w:left="-103" w:right="-136"/>
              <w:contextualSpacing/>
              <w:rPr>
                <w:rFonts w:ascii="Times New Roman" w:hAnsi="Times New Roman"/>
                <w:color w:val="000000"/>
                <w:sz w:val="20"/>
                <w:szCs w:val="20"/>
              </w:rPr>
            </w:pPr>
            <w:r w:rsidRPr="00B44239">
              <w:rPr>
                <w:rFonts w:ascii="Times New Roman" w:hAnsi="Times New Roman"/>
                <w:color w:val="000000"/>
                <w:sz w:val="20"/>
                <w:szCs w:val="20"/>
              </w:rPr>
              <w:t>-0.031</w:t>
            </w:r>
          </w:p>
        </w:tc>
        <w:tc>
          <w:tcPr>
            <w:tcW w:w="405" w:type="pct"/>
            <w:tcBorders>
              <w:top w:val="nil"/>
              <w:left w:val="nil"/>
              <w:bottom w:val="nil"/>
              <w:right w:val="single" w:sz="4" w:space="0" w:color="auto"/>
            </w:tcBorders>
            <w:shd w:val="clear" w:color="auto" w:fill="auto"/>
          </w:tcPr>
          <w:p w14:paraId="4024F9F0" w14:textId="271A3745" w:rsidR="001A3E25" w:rsidRPr="00734A5B" w:rsidRDefault="001A3E25" w:rsidP="00993726">
            <w:pPr>
              <w:spacing w:line="240" w:lineRule="auto"/>
              <w:ind w:left="-85" w:right="-74"/>
              <w:contextualSpacing/>
              <w:rPr>
                <w:rFonts w:ascii="Times New Roman" w:hAnsi="Times New Roman"/>
                <w:color w:val="000000"/>
                <w:sz w:val="20"/>
                <w:szCs w:val="20"/>
              </w:rPr>
            </w:pPr>
            <w:r w:rsidRPr="00B44239">
              <w:rPr>
                <w:rFonts w:ascii="Times New Roman" w:hAnsi="Times New Roman"/>
                <w:color w:val="000000"/>
                <w:sz w:val="20"/>
                <w:szCs w:val="20"/>
              </w:rPr>
              <w:t>0.189</w:t>
            </w:r>
          </w:p>
        </w:tc>
        <w:tc>
          <w:tcPr>
            <w:tcW w:w="331" w:type="pct"/>
            <w:tcBorders>
              <w:top w:val="nil"/>
              <w:left w:val="single" w:sz="4" w:space="0" w:color="auto"/>
              <w:bottom w:val="nil"/>
              <w:right w:val="nil"/>
            </w:tcBorders>
            <w:shd w:val="clear" w:color="auto" w:fill="auto"/>
            <w:vAlign w:val="bottom"/>
          </w:tcPr>
          <w:p w14:paraId="78CFB919" w14:textId="466B08DD" w:rsidR="001A3E25" w:rsidRPr="00734A5B" w:rsidRDefault="001A3E25" w:rsidP="00993726">
            <w:pPr>
              <w:spacing w:line="240" w:lineRule="auto"/>
              <w:ind w:left="-95" w:right="-156"/>
              <w:contextualSpacing/>
              <w:rPr>
                <w:rFonts w:ascii="Times New Roman" w:hAnsi="Times New Roman"/>
                <w:color w:val="000000"/>
                <w:sz w:val="20"/>
                <w:szCs w:val="20"/>
              </w:rPr>
            </w:pPr>
            <w:r w:rsidRPr="00B44239">
              <w:rPr>
                <w:rFonts w:ascii="Times New Roman" w:hAnsi="Times New Roman"/>
                <w:color w:val="000000"/>
                <w:sz w:val="20"/>
                <w:szCs w:val="20"/>
              </w:rPr>
              <w:t>-0.032</w:t>
            </w:r>
          </w:p>
        </w:tc>
        <w:tc>
          <w:tcPr>
            <w:tcW w:w="277" w:type="pct"/>
            <w:tcBorders>
              <w:top w:val="nil"/>
              <w:left w:val="nil"/>
              <w:bottom w:val="nil"/>
              <w:right w:val="nil"/>
            </w:tcBorders>
            <w:shd w:val="clear" w:color="auto" w:fill="auto"/>
            <w:vAlign w:val="bottom"/>
          </w:tcPr>
          <w:p w14:paraId="53FCDDBB" w14:textId="133FE765" w:rsidR="001A3E25" w:rsidRPr="00734A5B" w:rsidRDefault="001A3E25" w:rsidP="00993726">
            <w:pPr>
              <w:spacing w:line="240" w:lineRule="auto"/>
              <w:ind w:left="-52" w:right="-97"/>
              <w:contextualSpacing/>
              <w:rPr>
                <w:rFonts w:ascii="Times New Roman" w:hAnsi="Times New Roman"/>
                <w:color w:val="000000"/>
                <w:sz w:val="20"/>
                <w:szCs w:val="20"/>
              </w:rPr>
            </w:pPr>
            <w:r w:rsidRPr="00B44239">
              <w:rPr>
                <w:rFonts w:ascii="Times New Roman" w:hAnsi="Times New Roman"/>
                <w:color w:val="000000"/>
                <w:sz w:val="20"/>
                <w:szCs w:val="20"/>
              </w:rPr>
              <w:t>-0.024</w:t>
            </w:r>
          </w:p>
        </w:tc>
        <w:tc>
          <w:tcPr>
            <w:tcW w:w="395" w:type="pct"/>
            <w:tcBorders>
              <w:top w:val="nil"/>
              <w:left w:val="nil"/>
              <w:bottom w:val="nil"/>
              <w:right w:val="nil"/>
            </w:tcBorders>
            <w:shd w:val="clear" w:color="auto" w:fill="auto"/>
            <w:vAlign w:val="bottom"/>
          </w:tcPr>
          <w:p w14:paraId="26D32D45" w14:textId="159CD0C1" w:rsidR="001A3E25" w:rsidRPr="00734A5B" w:rsidRDefault="001A3E25" w:rsidP="00993726">
            <w:pPr>
              <w:spacing w:line="240" w:lineRule="auto"/>
              <w:ind w:right="-117"/>
              <w:contextualSpacing/>
              <w:rPr>
                <w:rFonts w:ascii="Times New Roman" w:hAnsi="Times New Roman"/>
                <w:color w:val="000000"/>
                <w:sz w:val="20"/>
                <w:szCs w:val="20"/>
              </w:rPr>
            </w:pPr>
            <w:r w:rsidRPr="00B44239">
              <w:rPr>
                <w:rFonts w:ascii="Times New Roman" w:hAnsi="Times New Roman"/>
                <w:color w:val="000000"/>
                <w:sz w:val="20"/>
                <w:szCs w:val="20"/>
              </w:rPr>
              <w:t>-4.13***</w:t>
            </w:r>
          </w:p>
        </w:tc>
        <w:tc>
          <w:tcPr>
            <w:tcW w:w="547" w:type="pct"/>
            <w:tcBorders>
              <w:top w:val="nil"/>
              <w:left w:val="nil"/>
              <w:bottom w:val="nil"/>
              <w:right w:val="nil"/>
            </w:tcBorders>
            <w:shd w:val="clear" w:color="auto" w:fill="auto"/>
            <w:vAlign w:val="bottom"/>
          </w:tcPr>
          <w:p w14:paraId="0E7C7DD8" w14:textId="3C014565" w:rsidR="001A3E25" w:rsidRPr="00734A5B" w:rsidRDefault="001A3E25" w:rsidP="00993726">
            <w:pPr>
              <w:spacing w:line="240" w:lineRule="auto"/>
              <w:ind w:right="-467"/>
              <w:contextualSpacing/>
              <w:rPr>
                <w:rFonts w:ascii="Times New Roman" w:hAnsi="Times New Roman"/>
                <w:color w:val="000000"/>
                <w:sz w:val="20"/>
                <w:szCs w:val="20"/>
              </w:rPr>
            </w:pPr>
            <w:r w:rsidRPr="00B44239">
              <w:rPr>
                <w:rFonts w:ascii="Times New Roman" w:hAnsi="Times New Roman"/>
                <w:color w:val="000000"/>
                <w:sz w:val="20"/>
                <w:szCs w:val="20"/>
              </w:rPr>
              <w:t>-4.81***</w:t>
            </w:r>
          </w:p>
        </w:tc>
      </w:tr>
      <w:tr w:rsidR="002D5AAC" w:rsidRPr="00734A5B" w14:paraId="46449ED5" w14:textId="58F48FC6" w:rsidTr="00F7612D">
        <w:trPr>
          <w:trHeight w:val="20"/>
        </w:trPr>
        <w:tc>
          <w:tcPr>
            <w:tcW w:w="562" w:type="pct"/>
            <w:tcBorders>
              <w:top w:val="nil"/>
              <w:left w:val="nil"/>
              <w:bottom w:val="nil"/>
              <w:right w:val="nil"/>
            </w:tcBorders>
            <w:shd w:val="clear" w:color="auto" w:fill="auto"/>
            <w:hideMark/>
          </w:tcPr>
          <w:p w14:paraId="4EFC3128" w14:textId="77777777" w:rsidR="001A3E25" w:rsidRPr="00734A5B" w:rsidRDefault="001A3E25" w:rsidP="00993726">
            <w:pPr>
              <w:spacing w:after="0" w:line="240" w:lineRule="auto"/>
              <w:ind w:right="-78"/>
              <w:contextualSpacing/>
              <w:rPr>
                <w:rFonts w:ascii="Times New Roman" w:eastAsia="Times New Roman" w:hAnsi="Times New Roman"/>
                <w:i/>
                <w:color w:val="000000"/>
                <w:sz w:val="20"/>
                <w:szCs w:val="20"/>
              </w:rPr>
            </w:pPr>
            <w:r w:rsidRPr="00734A5B">
              <w:rPr>
                <w:rFonts w:ascii="Times New Roman" w:eastAsia="Times New Roman" w:hAnsi="Times New Roman"/>
                <w:i/>
                <w:color w:val="000000"/>
                <w:sz w:val="20"/>
                <w:szCs w:val="20"/>
              </w:rPr>
              <w:t>RM1</w:t>
            </w:r>
          </w:p>
        </w:tc>
        <w:tc>
          <w:tcPr>
            <w:tcW w:w="233" w:type="pct"/>
            <w:tcBorders>
              <w:top w:val="nil"/>
              <w:left w:val="nil"/>
              <w:bottom w:val="nil"/>
              <w:right w:val="nil"/>
            </w:tcBorders>
            <w:shd w:val="clear" w:color="auto" w:fill="auto"/>
            <w:noWrap/>
            <w:vAlign w:val="bottom"/>
            <w:hideMark/>
          </w:tcPr>
          <w:p w14:paraId="3BF69A5B" w14:textId="77777777" w:rsidR="001A3E25" w:rsidRPr="00734A5B" w:rsidRDefault="001A3E25" w:rsidP="001A3E25">
            <w:pPr>
              <w:spacing w:line="240" w:lineRule="auto"/>
              <w:contextualSpacing/>
              <w:rPr>
                <w:rFonts w:ascii="Times New Roman" w:hAnsi="Times New Roman"/>
                <w:color w:val="000000"/>
                <w:sz w:val="20"/>
                <w:szCs w:val="20"/>
              </w:rPr>
            </w:pPr>
            <w:r w:rsidRPr="00734A5B">
              <w:rPr>
                <w:rFonts w:ascii="Times New Roman" w:hAnsi="Times New Roman"/>
                <w:color w:val="000000"/>
                <w:sz w:val="20"/>
                <w:szCs w:val="20"/>
              </w:rPr>
              <w:t>501</w:t>
            </w:r>
          </w:p>
        </w:tc>
        <w:tc>
          <w:tcPr>
            <w:tcW w:w="395" w:type="pct"/>
            <w:tcBorders>
              <w:top w:val="nil"/>
              <w:left w:val="nil"/>
              <w:bottom w:val="nil"/>
              <w:right w:val="nil"/>
            </w:tcBorders>
            <w:shd w:val="clear" w:color="auto" w:fill="auto"/>
            <w:hideMark/>
          </w:tcPr>
          <w:p w14:paraId="7E8C7231" w14:textId="77777777" w:rsidR="001A3E25" w:rsidRPr="00734A5B" w:rsidRDefault="001A3E25" w:rsidP="00993726">
            <w:pPr>
              <w:spacing w:line="240" w:lineRule="auto"/>
              <w:ind w:right="-140"/>
              <w:contextualSpacing/>
              <w:rPr>
                <w:rFonts w:ascii="Times New Roman" w:hAnsi="Times New Roman"/>
                <w:color w:val="000000"/>
                <w:sz w:val="20"/>
                <w:szCs w:val="20"/>
              </w:rPr>
            </w:pPr>
            <w:r w:rsidRPr="00734A5B">
              <w:rPr>
                <w:rFonts w:ascii="Times New Roman" w:hAnsi="Times New Roman"/>
                <w:color w:val="000000"/>
                <w:sz w:val="20"/>
                <w:szCs w:val="20"/>
              </w:rPr>
              <w:t>0.274</w:t>
            </w:r>
          </w:p>
        </w:tc>
        <w:tc>
          <w:tcPr>
            <w:tcW w:w="416" w:type="pct"/>
            <w:tcBorders>
              <w:top w:val="nil"/>
              <w:left w:val="nil"/>
              <w:bottom w:val="nil"/>
              <w:right w:val="nil"/>
            </w:tcBorders>
            <w:shd w:val="clear" w:color="auto" w:fill="auto"/>
            <w:hideMark/>
          </w:tcPr>
          <w:p w14:paraId="6D05B989" w14:textId="77777777" w:rsidR="001A3E25" w:rsidRPr="00734A5B" w:rsidRDefault="001A3E25" w:rsidP="00993726">
            <w:pPr>
              <w:spacing w:line="240" w:lineRule="auto"/>
              <w:ind w:right="-131"/>
              <w:contextualSpacing/>
              <w:rPr>
                <w:rFonts w:ascii="Times New Roman" w:hAnsi="Times New Roman"/>
                <w:color w:val="000000"/>
                <w:sz w:val="20"/>
                <w:szCs w:val="20"/>
              </w:rPr>
            </w:pPr>
            <w:r w:rsidRPr="00734A5B">
              <w:rPr>
                <w:rFonts w:ascii="Times New Roman" w:hAnsi="Times New Roman"/>
                <w:color w:val="000000"/>
                <w:sz w:val="20"/>
                <w:szCs w:val="20"/>
              </w:rPr>
              <w:t>0.173</w:t>
            </w:r>
          </w:p>
        </w:tc>
        <w:tc>
          <w:tcPr>
            <w:tcW w:w="416" w:type="pct"/>
            <w:tcBorders>
              <w:top w:val="nil"/>
              <w:left w:val="nil"/>
              <w:bottom w:val="nil"/>
              <w:right w:val="single" w:sz="4" w:space="0" w:color="auto"/>
            </w:tcBorders>
            <w:shd w:val="clear" w:color="auto" w:fill="auto"/>
            <w:hideMark/>
          </w:tcPr>
          <w:p w14:paraId="0FABA0CD" w14:textId="77777777" w:rsidR="001A3E25" w:rsidRPr="00734A5B" w:rsidRDefault="001A3E25" w:rsidP="00993726">
            <w:pPr>
              <w:spacing w:line="240" w:lineRule="auto"/>
              <w:ind w:right="-108"/>
              <w:contextualSpacing/>
              <w:rPr>
                <w:rFonts w:ascii="Times New Roman" w:hAnsi="Times New Roman"/>
                <w:color w:val="000000"/>
                <w:sz w:val="20"/>
                <w:szCs w:val="20"/>
              </w:rPr>
            </w:pPr>
            <w:r w:rsidRPr="00734A5B">
              <w:rPr>
                <w:rFonts w:ascii="Times New Roman" w:hAnsi="Times New Roman"/>
                <w:color w:val="000000"/>
                <w:sz w:val="20"/>
                <w:szCs w:val="20"/>
              </w:rPr>
              <w:t>0.415</w:t>
            </w:r>
          </w:p>
        </w:tc>
        <w:tc>
          <w:tcPr>
            <w:tcW w:w="289" w:type="pct"/>
            <w:tcBorders>
              <w:top w:val="nil"/>
              <w:left w:val="single" w:sz="4" w:space="0" w:color="auto"/>
              <w:bottom w:val="nil"/>
              <w:right w:val="nil"/>
            </w:tcBorders>
            <w:shd w:val="clear" w:color="auto" w:fill="auto"/>
            <w:vAlign w:val="bottom"/>
          </w:tcPr>
          <w:p w14:paraId="29283DAD" w14:textId="33C706BE" w:rsidR="001A3E25" w:rsidRPr="00734A5B" w:rsidRDefault="001A3E25" w:rsidP="00993726">
            <w:pPr>
              <w:spacing w:line="240" w:lineRule="auto"/>
              <w:ind w:left="-100" w:right="-76"/>
              <w:contextualSpacing/>
              <w:rPr>
                <w:rFonts w:ascii="Times New Roman" w:hAnsi="Times New Roman"/>
                <w:color w:val="000000"/>
                <w:sz w:val="20"/>
                <w:szCs w:val="20"/>
              </w:rPr>
            </w:pPr>
            <w:r w:rsidRPr="00B44239">
              <w:rPr>
                <w:rFonts w:ascii="Times New Roman" w:hAnsi="Times New Roman"/>
                <w:color w:val="000000"/>
                <w:sz w:val="20"/>
                <w:szCs w:val="20"/>
              </w:rPr>
              <w:t>6,441</w:t>
            </w:r>
          </w:p>
        </w:tc>
        <w:tc>
          <w:tcPr>
            <w:tcW w:w="395" w:type="pct"/>
            <w:tcBorders>
              <w:top w:val="nil"/>
              <w:left w:val="nil"/>
              <w:bottom w:val="nil"/>
              <w:right w:val="nil"/>
            </w:tcBorders>
            <w:shd w:val="clear" w:color="auto" w:fill="auto"/>
          </w:tcPr>
          <w:p w14:paraId="07D2DC22" w14:textId="755A7519" w:rsidR="001A3E25" w:rsidRPr="00734A5B" w:rsidRDefault="001A3E25" w:rsidP="00993726">
            <w:pPr>
              <w:spacing w:line="240" w:lineRule="auto"/>
              <w:ind w:left="-55" w:right="-28"/>
              <w:contextualSpacing/>
              <w:rPr>
                <w:rFonts w:ascii="Times New Roman" w:hAnsi="Times New Roman"/>
                <w:color w:val="000000"/>
                <w:sz w:val="20"/>
                <w:szCs w:val="20"/>
              </w:rPr>
            </w:pPr>
            <w:r w:rsidRPr="00B44239">
              <w:rPr>
                <w:rFonts w:ascii="Times New Roman" w:hAnsi="Times New Roman"/>
                <w:color w:val="000000"/>
                <w:sz w:val="20"/>
                <w:szCs w:val="20"/>
              </w:rPr>
              <w:t>0.037</w:t>
            </w:r>
          </w:p>
        </w:tc>
        <w:tc>
          <w:tcPr>
            <w:tcW w:w="339" w:type="pct"/>
            <w:tcBorders>
              <w:top w:val="nil"/>
              <w:left w:val="nil"/>
              <w:bottom w:val="nil"/>
              <w:right w:val="nil"/>
            </w:tcBorders>
            <w:shd w:val="clear" w:color="auto" w:fill="auto"/>
          </w:tcPr>
          <w:p w14:paraId="3F53C65D" w14:textId="2A4B2443" w:rsidR="001A3E25" w:rsidRPr="00734A5B" w:rsidRDefault="001A3E25" w:rsidP="00993726">
            <w:pPr>
              <w:spacing w:line="240" w:lineRule="auto"/>
              <w:ind w:left="-103" w:right="-136"/>
              <w:contextualSpacing/>
              <w:rPr>
                <w:rFonts w:ascii="Times New Roman" w:hAnsi="Times New Roman"/>
                <w:color w:val="000000"/>
                <w:sz w:val="20"/>
                <w:szCs w:val="20"/>
              </w:rPr>
            </w:pPr>
            <w:r w:rsidRPr="00B44239">
              <w:rPr>
                <w:rFonts w:ascii="Times New Roman" w:hAnsi="Times New Roman"/>
                <w:color w:val="000000"/>
                <w:sz w:val="20"/>
                <w:szCs w:val="20"/>
              </w:rPr>
              <w:t>0.015</w:t>
            </w:r>
          </w:p>
        </w:tc>
        <w:tc>
          <w:tcPr>
            <w:tcW w:w="405" w:type="pct"/>
            <w:tcBorders>
              <w:top w:val="nil"/>
              <w:left w:val="nil"/>
              <w:bottom w:val="nil"/>
              <w:right w:val="single" w:sz="4" w:space="0" w:color="auto"/>
            </w:tcBorders>
            <w:shd w:val="clear" w:color="auto" w:fill="auto"/>
          </w:tcPr>
          <w:p w14:paraId="0BEDB89A" w14:textId="1FBAF2A3" w:rsidR="001A3E25" w:rsidRPr="00734A5B" w:rsidRDefault="001A3E25" w:rsidP="00993726">
            <w:pPr>
              <w:spacing w:line="240" w:lineRule="auto"/>
              <w:ind w:left="-85" w:right="-74"/>
              <w:contextualSpacing/>
              <w:rPr>
                <w:rFonts w:ascii="Times New Roman" w:hAnsi="Times New Roman"/>
                <w:color w:val="000000"/>
                <w:sz w:val="20"/>
                <w:szCs w:val="20"/>
              </w:rPr>
            </w:pPr>
            <w:r w:rsidRPr="00B44239">
              <w:rPr>
                <w:rFonts w:ascii="Times New Roman" w:hAnsi="Times New Roman"/>
                <w:color w:val="000000"/>
                <w:sz w:val="20"/>
                <w:szCs w:val="20"/>
              </w:rPr>
              <w:t>0.299</w:t>
            </w:r>
          </w:p>
        </w:tc>
        <w:tc>
          <w:tcPr>
            <w:tcW w:w="331" w:type="pct"/>
            <w:tcBorders>
              <w:top w:val="nil"/>
              <w:left w:val="single" w:sz="4" w:space="0" w:color="auto"/>
              <w:bottom w:val="nil"/>
              <w:right w:val="nil"/>
            </w:tcBorders>
            <w:shd w:val="clear" w:color="auto" w:fill="auto"/>
            <w:vAlign w:val="bottom"/>
          </w:tcPr>
          <w:p w14:paraId="393C83A2" w14:textId="17CFFFE5" w:rsidR="001A3E25" w:rsidRPr="00734A5B" w:rsidRDefault="001A3E25" w:rsidP="00993726">
            <w:pPr>
              <w:spacing w:line="240" w:lineRule="auto"/>
              <w:ind w:left="-95" w:right="-156"/>
              <w:contextualSpacing/>
              <w:rPr>
                <w:rFonts w:ascii="Times New Roman" w:hAnsi="Times New Roman"/>
                <w:color w:val="000000"/>
                <w:sz w:val="20"/>
                <w:szCs w:val="20"/>
              </w:rPr>
            </w:pPr>
            <w:r w:rsidRPr="00B44239">
              <w:rPr>
                <w:rFonts w:ascii="Times New Roman" w:hAnsi="Times New Roman"/>
                <w:color w:val="000000"/>
                <w:sz w:val="20"/>
                <w:szCs w:val="20"/>
              </w:rPr>
              <w:t>0.237</w:t>
            </w:r>
          </w:p>
        </w:tc>
        <w:tc>
          <w:tcPr>
            <w:tcW w:w="277" w:type="pct"/>
            <w:tcBorders>
              <w:top w:val="nil"/>
              <w:left w:val="nil"/>
              <w:bottom w:val="nil"/>
              <w:right w:val="nil"/>
            </w:tcBorders>
            <w:shd w:val="clear" w:color="auto" w:fill="auto"/>
            <w:vAlign w:val="bottom"/>
          </w:tcPr>
          <w:p w14:paraId="6192BC7C" w14:textId="2198C39E" w:rsidR="001A3E25" w:rsidRPr="00734A5B" w:rsidRDefault="001A3E25" w:rsidP="00993726">
            <w:pPr>
              <w:spacing w:line="240" w:lineRule="auto"/>
              <w:ind w:left="-52" w:right="-97"/>
              <w:contextualSpacing/>
              <w:rPr>
                <w:rFonts w:ascii="Times New Roman" w:hAnsi="Times New Roman"/>
                <w:color w:val="000000"/>
                <w:sz w:val="20"/>
                <w:szCs w:val="20"/>
              </w:rPr>
            </w:pPr>
            <w:r w:rsidRPr="00B44239">
              <w:rPr>
                <w:rFonts w:ascii="Times New Roman" w:hAnsi="Times New Roman"/>
                <w:color w:val="000000"/>
                <w:sz w:val="20"/>
                <w:szCs w:val="20"/>
              </w:rPr>
              <w:t>0.157</w:t>
            </w:r>
          </w:p>
        </w:tc>
        <w:tc>
          <w:tcPr>
            <w:tcW w:w="395" w:type="pct"/>
            <w:tcBorders>
              <w:top w:val="nil"/>
              <w:left w:val="nil"/>
              <w:bottom w:val="nil"/>
              <w:right w:val="nil"/>
            </w:tcBorders>
            <w:shd w:val="clear" w:color="auto" w:fill="auto"/>
            <w:vAlign w:val="bottom"/>
          </w:tcPr>
          <w:p w14:paraId="5555CAB2" w14:textId="7C954C8D" w:rsidR="001A3E25" w:rsidRPr="00734A5B" w:rsidRDefault="001A3E25" w:rsidP="00993726">
            <w:pPr>
              <w:spacing w:line="240" w:lineRule="auto"/>
              <w:ind w:right="-117"/>
              <w:contextualSpacing/>
              <w:rPr>
                <w:rFonts w:ascii="Times New Roman" w:hAnsi="Times New Roman"/>
                <w:color w:val="000000"/>
                <w:sz w:val="20"/>
                <w:szCs w:val="20"/>
              </w:rPr>
            </w:pPr>
            <w:r w:rsidRPr="00B44239">
              <w:rPr>
                <w:rFonts w:ascii="Times New Roman" w:hAnsi="Times New Roman"/>
                <w:color w:val="000000"/>
                <w:sz w:val="20"/>
                <w:szCs w:val="20"/>
              </w:rPr>
              <w:t>12.54***</w:t>
            </w:r>
          </w:p>
        </w:tc>
        <w:tc>
          <w:tcPr>
            <w:tcW w:w="547" w:type="pct"/>
            <w:tcBorders>
              <w:top w:val="nil"/>
              <w:left w:val="nil"/>
              <w:bottom w:val="nil"/>
              <w:right w:val="nil"/>
            </w:tcBorders>
            <w:shd w:val="clear" w:color="auto" w:fill="auto"/>
            <w:vAlign w:val="bottom"/>
          </w:tcPr>
          <w:p w14:paraId="574DECD9" w14:textId="06A6BA5B" w:rsidR="001A3E25" w:rsidRPr="00734A5B" w:rsidRDefault="001A3E25" w:rsidP="00993726">
            <w:pPr>
              <w:spacing w:line="240" w:lineRule="auto"/>
              <w:ind w:right="-467"/>
              <w:contextualSpacing/>
              <w:rPr>
                <w:rFonts w:ascii="Times New Roman" w:hAnsi="Times New Roman"/>
                <w:color w:val="000000"/>
                <w:sz w:val="20"/>
                <w:szCs w:val="20"/>
              </w:rPr>
            </w:pPr>
            <w:r w:rsidRPr="00B44239">
              <w:rPr>
                <w:rFonts w:ascii="Times New Roman" w:hAnsi="Times New Roman"/>
                <w:color w:val="000000"/>
                <w:sz w:val="20"/>
                <w:szCs w:val="20"/>
              </w:rPr>
              <w:t>13.08***</w:t>
            </w:r>
          </w:p>
        </w:tc>
      </w:tr>
      <w:tr w:rsidR="002D5AAC" w:rsidRPr="00734A5B" w14:paraId="3BE649E6" w14:textId="63842708" w:rsidTr="00F7612D">
        <w:trPr>
          <w:trHeight w:val="20"/>
        </w:trPr>
        <w:tc>
          <w:tcPr>
            <w:tcW w:w="562" w:type="pct"/>
            <w:tcBorders>
              <w:top w:val="nil"/>
              <w:left w:val="nil"/>
              <w:bottom w:val="nil"/>
              <w:right w:val="nil"/>
            </w:tcBorders>
            <w:shd w:val="clear" w:color="auto" w:fill="auto"/>
            <w:hideMark/>
          </w:tcPr>
          <w:p w14:paraId="518E1A5C" w14:textId="77777777" w:rsidR="001A3E25" w:rsidRPr="00734A5B" w:rsidRDefault="001A3E25" w:rsidP="00993726">
            <w:pPr>
              <w:spacing w:after="0" w:line="240" w:lineRule="auto"/>
              <w:ind w:right="-78"/>
              <w:contextualSpacing/>
              <w:rPr>
                <w:rFonts w:ascii="Times New Roman" w:eastAsia="Times New Roman" w:hAnsi="Times New Roman"/>
                <w:i/>
                <w:color w:val="000000"/>
                <w:sz w:val="20"/>
                <w:szCs w:val="20"/>
              </w:rPr>
            </w:pPr>
            <w:r w:rsidRPr="00734A5B">
              <w:rPr>
                <w:rFonts w:ascii="Times New Roman" w:eastAsia="Times New Roman" w:hAnsi="Times New Roman"/>
                <w:i/>
                <w:color w:val="000000"/>
                <w:sz w:val="20"/>
                <w:szCs w:val="20"/>
              </w:rPr>
              <w:t>RM2</w:t>
            </w:r>
          </w:p>
        </w:tc>
        <w:tc>
          <w:tcPr>
            <w:tcW w:w="233" w:type="pct"/>
            <w:tcBorders>
              <w:top w:val="nil"/>
              <w:left w:val="nil"/>
              <w:bottom w:val="nil"/>
              <w:right w:val="nil"/>
            </w:tcBorders>
            <w:shd w:val="clear" w:color="auto" w:fill="auto"/>
            <w:noWrap/>
            <w:vAlign w:val="bottom"/>
            <w:hideMark/>
          </w:tcPr>
          <w:p w14:paraId="5396121D" w14:textId="77777777" w:rsidR="001A3E25" w:rsidRPr="00734A5B" w:rsidRDefault="001A3E25" w:rsidP="001A3E25">
            <w:pPr>
              <w:spacing w:line="240" w:lineRule="auto"/>
              <w:contextualSpacing/>
              <w:rPr>
                <w:rFonts w:ascii="Times New Roman" w:hAnsi="Times New Roman"/>
                <w:color w:val="000000"/>
                <w:sz w:val="20"/>
                <w:szCs w:val="20"/>
              </w:rPr>
            </w:pPr>
            <w:r w:rsidRPr="00734A5B">
              <w:rPr>
                <w:rFonts w:ascii="Times New Roman" w:hAnsi="Times New Roman"/>
                <w:color w:val="000000"/>
                <w:sz w:val="20"/>
                <w:szCs w:val="20"/>
              </w:rPr>
              <w:t>501</w:t>
            </w:r>
          </w:p>
        </w:tc>
        <w:tc>
          <w:tcPr>
            <w:tcW w:w="395" w:type="pct"/>
            <w:tcBorders>
              <w:top w:val="nil"/>
              <w:left w:val="nil"/>
              <w:bottom w:val="nil"/>
              <w:right w:val="nil"/>
            </w:tcBorders>
            <w:shd w:val="clear" w:color="auto" w:fill="auto"/>
            <w:hideMark/>
          </w:tcPr>
          <w:p w14:paraId="3F41C272" w14:textId="77777777" w:rsidR="001A3E25" w:rsidRPr="00734A5B" w:rsidRDefault="001A3E25" w:rsidP="00993726">
            <w:pPr>
              <w:spacing w:line="240" w:lineRule="auto"/>
              <w:ind w:right="-140"/>
              <w:contextualSpacing/>
              <w:rPr>
                <w:rFonts w:ascii="Times New Roman" w:hAnsi="Times New Roman"/>
                <w:color w:val="000000"/>
                <w:sz w:val="20"/>
                <w:szCs w:val="20"/>
              </w:rPr>
            </w:pPr>
            <w:r w:rsidRPr="00734A5B">
              <w:rPr>
                <w:rFonts w:ascii="Times New Roman" w:hAnsi="Times New Roman"/>
                <w:color w:val="000000"/>
                <w:sz w:val="20"/>
                <w:szCs w:val="20"/>
              </w:rPr>
              <w:t>0.208</w:t>
            </w:r>
          </w:p>
        </w:tc>
        <w:tc>
          <w:tcPr>
            <w:tcW w:w="416" w:type="pct"/>
            <w:tcBorders>
              <w:top w:val="nil"/>
              <w:left w:val="nil"/>
              <w:bottom w:val="nil"/>
              <w:right w:val="nil"/>
            </w:tcBorders>
            <w:shd w:val="clear" w:color="auto" w:fill="auto"/>
            <w:hideMark/>
          </w:tcPr>
          <w:p w14:paraId="58CD5612" w14:textId="77777777" w:rsidR="001A3E25" w:rsidRPr="00734A5B" w:rsidRDefault="001A3E25" w:rsidP="00993726">
            <w:pPr>
              <w:spacing w:line="240" w:lineRule="auto"/>
              <w:ind w:right="-131"/>
              <w:contextualSpacing/>
              <w:rPr>
                <w:rFonts w:ascii="Times New Roman" w:hAnsi="Times New Roman"/>
                <w:color w:val="000000"/>
                <w:sz w:val="20"/>
                <w:szCs w:val="20"/>
              </w:rPr>
            </w:pPr>
            <w:r w:rsidRPr="00734A5B">
              <w:rPr>
                <w:rFonts w:ascii="Times New Roman" w:hAnsi="Times New Roman"/>
                <w:color w:val="000000"/>
                <w:sz w:val="20"/>
                <w:szCs w:val="20"/>
              </w:rPr>
              <w:t>0.142</w:t>
            </w:r>
          </w:p>
        </w:tc>
        <w:tc>
          <w:tcPr>
            <w:tcW w:w="416" w:type="pct"/>
            <w:tcBorders>
              <w:top w:val="nil"/>
              <w:left w:val="nil"/>
              <w:bottom w:val="nil"/>
              <w:right w:val="single" w:sz="4" w:space="0" w:color="auto"/>
            </w:tcBorders>
            <w:shd w:val="clear" w:color="auto" w:fill="auto"/>
            <w:hideMark/>
          </w:tcPr>
          <w:p w14:paraId="586BD564" w14:textId="77777777" w:rsidR="001A3E25" w:rsidRPr="00734A5B" w:rsidRDefault="001A3E25" w:rsidP="00993726">
            <w:pPr>
              <w:spacing w:line="240" w:lineRule="auto"/>
              <w:ind w:right="-108"/>
              <w:contextualSpacing/>
              <w:rPr>
                <w:rFonts w:ascii="Times New Roman" w:hAnsi="Times New Roman"/>
                <w:color w:val="000000"/>
                <w:sz w:val="20"/>
                <w:szCs w:val="20"/>
              </w:rPr>
            </w:pPr>
            <w:r w:rsidRPr="00734A5B">
              <w:rPr>
                <w:rFonts w:ascii="Times New Roman" w:hAnsi="Times New Roman"/>
                <w:color w:val="000000"/>
                <w:sz w:val="20"/>
                <w:szCs w:val="20"/>
              </w:rPr>
              <w:t>0.432</w:t>
            </w:r>
          </w:p>
        </w:tc>
        <w:tc>
          <w:tcPr>
            <w:tcW w:w="289" w:type="pct"/>
            <w:tcBorders>
              <w:top w:val="nil"/>
              <w:left w:val="single" w:sz="4" w:space="0" w:color="auto"/>
              <w:bottom w:val="nil"/>
              <w:right w:val="nil"/>
            </w:tcBorders>
            <w:shd w:val="clear" w:color="auto" w:fill="auto"/>
            <w:vAlign w:val="bottom"/>
          </w:tcPr>
          <w:p w14:paraId="6DFE3A13" w14:textId="61FB17F3" w:rsidR="001A3E25" w:rsidRPr="00734A5B" w:rsidRDefault="001A3E25" w:rsidP="00993726">
            <w:pPr>
              <w:spacing w:line="240" w:lineRule="auto"/>
              <w:ind w:left="-100" w:right="-76"/>
              <w:contextualSpacing/>
              <w:rPr>
                <w:rFonts w:ascii="Times New Roman" w:hAnsi="Times New Roman"/>
                <w:color w:val="000000"/>
                <w:sz w:val="20"/>
                <w:szCs w:val="20"/>
              </w:rPr>
            </w:pPr>
            <w:r w:rsidRPr="00B44239">
              <w:rPr>
                <w:rFonts w:ascii="Times New Roman" w:hAnsi="Times New Roman"/>
                <w:color w:val="000000"/>
                <w:sz w:val="20"/>
                <w:szCs w:val="20"/>
              </w:rPr>
              <w:t>6,377</w:t>
            </w:r>
          </w:p>
        </w:tc>
        <w:tc>
          <w:tcPr>
            <w:tcW w:w="395" w:type="pct"/>
            <w:tcBorders>
              <w:top w:val="nil"/>
              <w:left w:val="nil"/>
              <w:bottom w:val="nil"/>
              <w:right w:val="nil"/>
            </w:tcBorders>
            <w:shd w:val="clear" w:color="auto" w:fill="auto"/>
          </w:tcPr>
          <w:p w14:paraId="4D06E45C" w14:textId="78D2C314" w:rsidR="001A3E25" w:rsidRPr="00734A5B" w:rsidRDefault="001A3E25" w:rsidP="00993726">
            <w:pPr>
              <w:spacing w:line="240" w:lineRule="auto"/>
              <w:ind w:left="-55" w:right="-28"/>
              <w:contextualSpacing/>
              <w:rPr>
                <w:rFonts w:ascii="Times New Roman" w:hAnsi="Times New Roman"/>
                <w:color w:val="000000"/>
                <w:sz w:val="20"/>
                <w:szCs w:val="20"/>
              </w:rPr>
            </w:pPr>
            <w:r w:rsidRPr="00B44239">
              <w:rPr>
                <w:rFonts w:ascii="Times New Roman" w:hAnsi="Times New Roman"/>
                <w:color w:val="000000"/>
                <w:sz w:val="20"/>
                <w:szCs w:val="20"/>
              </w:rPr>
              <w:t>0.004</w:t>
            </w:r>
          </w:p>
        </w:tc>
        <w:tc>
          <w:tcPr>
            <w:tcW w:w="339" w:type="pct"/>
            <w:tcBorders>
              <w:top w:val="nil"/>
              <w:left w:val="nil"/>
              <w:bottom w:val="nil"/>
              <w:right w:val="nil"/>
            </w:tcBorders>
            <w:shd w:val="clear" w:color="auto" w:fill="auto"/>
          </w:tcPr>
          <w:p w14:paraId="1C738832" w14:textId="4892D57E" w:rsidR="001A3E25" w:rsidRPr="00734A5B" w:rsidRDefault="001A3E25" w:rsidP="00993726">
            <w:pPr>
              <w:spacing w:line="240" w:lineRule="auto"/>
              <w:ind w:left="-103" w:right="-136"/>
              <w:contextualSpacing/>
              <w:rPr>
                <w:rFonts w:ascii="Times New Roman" w:hAnsi="Times New Roman"/>
                <w:color w:val="000000"/>
                <w:sz w:val="20"/>
                <w:szCs w:val="20"/>
              </w:rPr>
            </w:pPr>
            <w:r w:rsidRPr="00B44239">
              <w:rPr>
                <w:rFonts w:ascii="Times New Roman" w:hAnsi="Times New Roman"/>
                <w:color w:val="000000"/>
                <w:sz w:val="20"/>
                <w:szCs w:val="20"/>
              </w:rPr>
              <w:t>-0.004</w:t>
            </w:r>
          </w:p>
        </w:tc>
        <w:tc>
          <w:tcPr>
            <w:tcW w:w="405" w:type="pct"/>
            <w:tcBorders>
              <w:top w:val="nil"/>
              <w:left w:val="nil"/>
              <w:bottom w:val="nil"/>
              <w:right w:val="single" w:sz="4" w:space="0" w:color="auto"/>
            </w:tcBorders>
            <w:shd w:val="clear" w:color="auto" w:fill="auto"/>
          </w:tcPr>
          <w:p w14:paraId="173CB9C9" w14:textId="44152D19" w:rsidR="001A3E25" w:rsidRPr="00734A5B" w:rsidRDefault="001A3E25" w:rsidP="00993726">
            <w:pPr>
              <w:spacing w:line="240" w:lineRule="auto"/>
              <w:ind w:left="-85" w:right="-74"/>
              <w:contextualSpacing/>
              <w:rPr>
                <w:rFonts w:ascii="Times New Roman" w:hAnsi="Times New Roman"/>
                <w:color w:val="000000"/>
                <w:sz w:val="20"/>
                <w:szCs w:val="20"/>
              </w:rPr>
            </w:pPr>
            <w:r w:rsidRPr="00B44239">
              <w:rPr>
                <w:rFonts w:ascii="Times New Roman" w:hAnsi="Times New Roman"/>
                <w:color w:val="000000"/>
                <w:sz w:val="20"/>
                <w:szCs w:val="20"/>
              </w:rPr>
              <w:t>0.321</w:t>
            </w:r>
          </w:p>
        </w:tc>
        <w:tc>
          <w:tcPr>
            <w:tcW w:w="331" w:type="pct"/>
            <w:tcBorders>
              <w:top w:val="nil"/>
              <w:left w:val="single" w:sz="4" w:space="0" w:color="auto"/>
              <w:bottom w:val="nil"/>
              <w:right w:val="nil"/>
            </w:tcBorders>
            <w:shd w:val="clear" w:color="auto" w:fill="auto"/>
            <w:vAlign w:val="bottom"/>
          </w:tcPr>
          <w:p w14:paraId="5FDA54D1" w14:textId="4547F5B9" w:rsidR="001A3E25" w:rsidRPr="00734A5B" w:rsidRDefault="001A3E25" w:rsidP="00993726">
            <w:pPr>
              <w:spacing w:line="240" w:lineRule="auto"/>
              <w:ind w:left="-95" w:right="-156"/>
              <w:contextualSpacing/>
              <w:rPr>
                <w:rFonts w:ascii="Times New Roman" w:hAnsi="Times New Roman"/>
                <w:color w:val="000000"/>
                <w:sz w:val="20"/>
                <w:szCs w:val="20"/>
              </w:rPr>
            </w:pPr>
            <w:r w:rsidRPr="00B44239">
              <w:rPr>
                <w:rFonts w:ascii="Times New Roman" w:hAnsi="Times New Roman"/>
                <w:color w:val="000000"/>
                <w:sz w:val="20"/>
                <w:szCs w:val="20"/>
              </w:rPr>
              <w:t>0.204</w:t>
            </w:r>
          </w:p>
        </w:tc>
        <w:tc>
          <w:tcPr>
            <w:tcW w:w="277" w:type="pct"/>
            <w:tcBorders>
              <w:top w:val="nil"/>
              <w:left w:val="nil"/>
              <w:bottom w:val="nil"/>
              <w:right w:val="nil"/>
            </w:tcBorders>
            <w:shd w:val="clear" w:color="auto" w:fill="auto"/>
            <w:vAlign w:val="bottom"/>
          </w:tcPr>
          <w:p w14:paraId="55F4B9E1" w14:textId="74AA8AAD" w:rsidR="001A3E25" w:rsidRPr="00734A5B" w:rsidRDefault="001A3E25" w:rsidP="00993726">
            <w:pPr>
              <w:spacing w:line="240" w:lineRule="auto"/>
              <w:ind w:left="-52" w:right="-97"/>
              <w:contextualSpacing/>
              <w:rPr>
                <w:rFonts w:ascii="Times New Roman" w:hAnsi="Times New Roman"/>
                <w:color w:val="000000"/>
                <w:sz w:val="20"/>
                <w:szCs w:val="20"/>
              </w:rPr>
            </w:pPr>
            <w:r w:rsidRPr="00B44239">
              <w:rPr>
                <w:rFonts w:ascii="Times New Roman" w:hAnsi="Times New Roman"/>
                <w:color w:val="000000"/>
                <w:sz w:val="20"/>
                <w:szCs w:val="20"/>
              </w:rPr>
              <w:t>0.146</w:t>
            </w:r>
          </w:p>
        </w:tc>
        <w:tc>
          <w:tcPr>
            <w:tcW w:w="395" w:type="pct"/>
            <w:tcBorders>
              <w:top w:val="nil"/>
              <w:left w:val="nil"/>
              <w:bottom w:val="nil"/>
              <w:right w:val="nil"/>
            </w:tcBorders>
            <w:shd w:val="clear" w:color="auto" w:fill="auto"/>
            <w:vAlign w:val="bottom"/>
          </w:tcPr>
          <w:p w14:paraId="288BD26B" w14:textId="4D971232" w:rsidR="001A3E25" w:rsidRPr="00734A5B" w:rsidRDefault="001A3E25" w:rsidP="00993726">
            <w:pPr>
              <w:spacing w:line="240" w:lineRule="auto"/>
              <w:ind w:right="-117"/>
              <w:contextualSpacing/>
              <w:rPr>
                <w:rFonts w:ascii="Times New Roman" w:hAnsi="Times New Roman"/>
                <w:color w:val="000000"/>
                <w:sz w:val="20"/>
                <w:szCs w:val="20"/>
              </w:rPr>
            </w:pPr>
            <w:r w:rsidRPr="00B44239">
              <w:rPr>
                <w:rFonts w:ascii="Times New Roman" w:hAnsi="Times New Roman"/>
                <w:color w:val="000000"/>
                <w:sz w:val="20"/>
                <w:szCs w:val="20"/>
              </w:rPr>
              <w:t>10.33***</w:t>
            </w:r>
          </w:p>
        </w:tc>
        <w:tc>
          <w:tcPr>
            <w:tcW w:w="547" w:type="pct"/>
            <w:tcBorders>
              <w:top w:val="nil"/>
              <w:left w:val="nil"/>
              <w:bottom w:val="nil"/>
              <w:right w:val="nil"/>
            </w:tcBorders>
            <w:shd w:val="clear" w:color="auto" w:fill="auto"/>
            <w:vAlign w:val="bottom"/>
          </w:tcPr>
          <w:p w14:paraId="17141902" w14:textId="37A1F20A" w:rsidR="001A3E25" w:rsidRPr="00734A5B" w:rsidRDefault="001A3E25" w:rsidP="00993726">
            <w:pPr>
              <w:spacing w:line="240" w:lineRule="auto"/>
              <w:ind w:right="-467"/>
              <w:contextualSpacing/>
              <w:rPr>
                <w:rFonts w:ascii="Times New Roman" w:hAnsi="Times New Roman"/>
                <w:color w:val="000000"/>
                <w:sz w:val="20"/>
                <w:szCs w:val="20"/>
              </w:rPr>
            </w:pPr>
            <w:r w:rsidRPr="00B44239">
              <w:rPr>
                <w:rFonts w:ascii="Times New Roman" w:hAnsi="Times New Roman"/>
                <w:color w:val="000000"/>
                <w:sz w:val="20"/>
                <w:szCs w:val="20"/>
              </w:rPr>
              <w:t>10.41***</w:t>
            </w:r>
          </w:p>
        </w:tc>
      </w:tr>
      <w:tr w:rsidR="002D5AAC" w:rsidRPr="00734A5B" w14:paraId="31BC020F" w14:textId="791015CC" w:rsidTr="00F7612D">
        <w:trPr>
          <w:trHeight w:val="20"/>
        </w:trPr>
        <w:tc>
          <w:tcPr>
            <w:tcW w:w="562" w:type="pct"/>
            <w:tcBorders>
              <w:top w:val="nil"/>
              <w:left w:val="nil"/>
              <w:bottom w:val="nil"/>
              <w:right w:val="nil"/>
            </w:tcBorders>
            <w:shd w:val="clear" w:color="auto" w:fill="auto"/>
            <w:hideMark/>
          </w:tcPr>
          <w:p w14:paraId="0CADDDF7" w14:textId="77777777" w:rsidR="001A3E25" w:rsidRPr="00734A5B" w:rsidRDefault="001A3E25" w:rsidP="00993726">
            <w:pPr>
              <w:spacing w:after="0" w:line="240" w:lineRule="auto"/>
              <w:ind w:right="-78"/>
              <w:contextualSpacing/>
              <w:rPr>
                <w:rFonts w:ascii="Times New Roman" w:eastAsia="Times New Roman" w:hAnsi="Times New Roman"/>
                <w:i/>
                <w:color w:val="000000"/>
                <w:sz w:val="20"/>
                <w:szCs w:val="20"/>
              </w:rPr>
            </w:pPr>
            <w:r w:rsidRPr="00734A5B">
              <w:rPr>
                <w:rFonts w:ascii="Times New Roman" w:eastAsia="Times New Roman" w:hAnsi="Times New Roman"/>
                <w:i/>
                <w:color w:val="000000"/>
                <w:sz w:val="20"/>
                <w:szCs w:val="20"/>
              </w:rPr>
              <w:t>Assets</w:t>
            </w:r>
          </w:p>
        </w:tc>
        <w:tc>
          <w:tcPr>
            <w:tcW w:w="233" w:type="pct"/>
            <w:tcBorders>
              <w:top w:val="nil"/>
              <w:left w:val="nil"/>
              <w:bottom w:val="nil"/>
              <w:right w:val="nil"/>
            </w:tcBorders>
            <w:shd w:val="clear" w:color="auto" w:fill="auto"/>
            <w:noWrap/>
            <w:vAlign w:val="bottom"/>
            <w:hideMark/>
          </w:tcPr>
          <w:p w14:paraId="0529054E" w14:textId="77777777" w:rsidR="001A3E25" w:rsidRPr="00734A5B" w:rsidRDefault="001A3E25" w:rsidP="001A3E25">
            <w:pPr>
              <w:spacing w:line="240" w:lineRule="auto"/>
              <w:contextualSpacing/>
              <w:rPr>
                <w:rFonts w:ascii="Times New Roman" w:hAnsi="Times New Roman"/>
                <w:color w:val="000000"/>
                <w:sz w:val="20"/>
                <w:szCs w:val="20"/>
              </w:rPr>
            </w:pPr>
            <w:r w:rsidRPr="00734A5B">
              <w:rPr>
                <w:rFonts w:ascii="Times New Roman" w:hAnsi="Times New Roman"/>
                <w:color w:val="000000"/>
                <w:sz w:val="20"/>
                <w:szCs w:val="20"/>
              </w:rPr>
              <w:t>645</w:t>
            </w:r>
          </w:p>
        </w:tc>
        <w:tc>
          <w:tcPr>
            <w:tcW w:w="395" w:type="pct"/>
            <w:tcBorders>
              <w:top w:val="nil"/>
              <w:left w:val="nil"/>
              <w:bottom w:val="nil"/>
              <w:right w:val="nil"/>
            </w:tcBorders>
            <w:shd w:val="clear" w:color="auto" w:fill="auto"/>
            <w:hideMark/>
          </w:tcPr>
          <w:p w14:paraId="11BD3A22" w14:textId="06BD3345" w:rsidR="001A3E25" w:rsidRPr="00734A5B" w:rsidRDefault="001A3E25" w:rsidP="00993726">
            <w:pPr>
              <w:spacing w:line="240" w:lineRule="auto"/>
              <w:ind w:right="-140"/>
              <w:contextualSpacing/>
              <w:rPr>
                <w:rFonts w:ascii="Times New Roman" w:hAnsi="Times New Roman"/>
                <w:color w:val="000000"/>
                <w:sz w:val="20"/>
                <w:szCs w:val="20"/>
              </w:rPr>
            </w:pPr>
            <w:r w:rsidRPr="00734A5B">
              <w:rPr>
                <w:rFonts w:ascii="Times New Roman" w:hAnsi="Times New Roman"/>
                <w:color w:val="000000"/>
                <w:sz w:val="20"/>
                <w:szCs w:val="20"/>
              </w:rPr>
              <w:t>3,821.73</w:t>
            </w:r>
          </w:p>
        </w:tc>
        <w:tc>
          <w:tcPr>
            <w:tcW w:w="416" w:type="pct"/>
            <w:tcBorders>
              <w:top w:val="nil"/>
              <w:left w:val="nil"/>
              <w:bottom w:val="nil"/>
              <w:right w:val="nil"/>
            </w:tcBorders>
            <w:shd w:val="clear" w:color="auto" w:fill="auto"/>
            <w:hideMark/>
          </w:tcPr>
          <w:p w14:paraId="236BF80E" w14:textId="2364A0D4" w:rsidR="001A3E25" w:rsidRPr="00734A5B" w:rsidRDefault="001A3E25" w:rsidP="00993726">
            <w:pPr>
              <w:spacing w:line="240" w:lineRule="auto"/>
              <w:ind w:right="-131"/>
              <w:contextualSpacing/>
              <w:rPr>
                <w:rFonts w:ascii="Times New Roman" w:hAnsi="Times New Roman"/>
                <w:color w:val="000000"/>
                <w:sz w:val="20"/>
                <w:szCs w:val="20"/>
              </w:rPr>
            </w:pPr>
            <w:r w:rsidRPr="00734A5B">
              <w:rPr>
                <w:rFonts w:ascii="Times New Roman" w:hAnsi="Times New Roman"/>
                <w:color w:val="000000"/>
                <w:sz w:val="20"/>
                <w:szCs w:val="20"/>
              </w:rPr>
              <w:t>1,380.47</w:t>
            </w:r>
          </w:p>
        </w:tc>
        <w:tc>
          <w:tcPr>
            <w:tcW w:w="416" w:type="pct"/>
            <w:tcBorders>
              <w:top w:val="nil"/>
              <w:left w:val="nil"/>
              <w:bottom w:val="nil"/>
              <w:right w:val="single" w:sz="4" w:space="0" w:color="auto"/>
            </w:tcBorders>
            <w:shd w:val="clear" w:color="auto" w:fill="auto"/>
            <w:hideMark/>
          </w:tcPr>
          <w:p w14:paraId="0017F26D" w14:textId="667AB8C9" w:rsidR="001A3E25" w:rsidRPr="00734A5B" w:rsidRDefault="001A3E25" w:rsidP="00993726">
            <w:pPr>
              <w:spacing w:line="240" w:lineRule="auto"/>
              <w:ind w:right="-108"/>
              <w:contextualSpacing/>
              <w:rPr>
                <w:rFonts w:ascii="Times New Roman" w:hAnsi="Times New Roman"/>
                <w:color w:val="000000"/>
                <w:sz w:val="20"/>
                <w:szCs w:val="20"/>
              </w:rPr>
            </w:pPr>
            <w:r w:rsidRPr="00734A5B">
              <w:rPr>
                <w:rFonts w:ascii="Times New Roman" w:hAnsi="Times New Roman"/>
                <w:color w:val="000000"/>
                <w:sz w:val="20"/>
                <w:szCs w:val="20"/>
              </w:rPr>
              <w:t>8,039.94</w:t>
            </w:r>
          </w:p>
        </w:tc>
        <w:tc>
          <w:tcPr>
            <w:tcW w:w="289" w:type="pct"/>
            <w:tcBorders>
              <w:top w:val="nil"/>
              <w:left w:val="single" w:sz="4" w:space="0" w:color="auto"/>
              <w:bottom w:val="nil"/>
              <w:right w:val="nil"/>
            </w:tcBorders>
            <w:shd w:val="clear" w:color="auto" w:fill="auto"/>
            <w:vAlign w:val="bottom"/>
          </w:tcPr>
          <w:p w14:paraId="7332B5BB" w14:textId="7B6FE841" w:rsidR="001A3E25" w:rsidRPr="00734A5B" w:rsidRDefault="001A3E25" w:rsidP="00993726">
            <w:pPr>
              <w:spacing w:line="240" w:lineRule="auto"/>
              <w:ind w:left="-100" w:right="-76"/>
              <w:contextualSpacing/>
              <w:rPr>
                <w:rFonts w:ascii="Times New Roman" w:hAnsi="Times New Roman"/>
                <w:color w:val="000000"/>
                <w:sz w:val="20"/>
                <w:szCs w:val="20"/>
              </w:rPr>
            </w:pPr>
            <w:r w:rsidRPr="00B44239">
              <w:rPr>
                <w:rFonts w:ascii="Times New Roman" w:hAnsi="Times New Roman"/>
                <w:color w:val="000000"/>
                <w:sz w:val="20"/>
                <w:szCs w:val="20"/>
              </w:rPr>
              <w:t>7,532</w:t>
            </w:r>
          </w:p>
        </w:tc>
        <w:tc>
          <w:tcPr>
            <w:tcW w:w="395" w:type="pct"/>
            <w:tcBorders>
              <w:top w:val="nil"/>
              <w:left w:val="nil"/>
              <w:bottom w:val="nil"/>
              <w:right w:val="nil"/>
            </w:tcBorders>
            <w:shd w:val="clear" w:color="auto" w:fill="auto"/>
          </w:tcPr>
          <w:p w14:paraId="7B72C2C9" w14:textId="43DB4F25" w:rsidR="001A3E25" w:rsidRPr="00734A5B" w:rsidRDefault="001A3E25" w:rsidP="00993726">
            <w:pPr>
              <w:spacing w:line="240" w:lineRule="auto"/>
              <w:ind w:left="-55" w:right="-28"/>
              <w:contextualSpacing/>
              <w:rPr>
                <w:rFonts w:ascii="Times New Roman" w:hAnsi="Times New Roman"/>
                <w:color w:val="000000"/>
                <w:sz w:val="20"/>
                <w:szCs w:val="20"/>
              </w:rPr>
            </w:pPr>
            <w:r w:rsidRPr="00B44239">
              <w:rPr>
                <w:rFonts w:ascii="Times New Roman" w:hAnsi="Times New Roman"/>
                <w:color w:val="000000"/>
                <w:sz w:val="20"/>
                <w:szCs w:val="20"/>
              </w:rPr>
              <w:t>8,251.77</w:t>
            </w:r>
          </w:p>
        </w:tc>
        <w:tc>
          <w:tcPr>
            <w:tcW w:w="339" w:type="pct"/>
            <w:tcBorders>
              <w:top w:val="nil"/>
              <w:left w:val="nil"/>
              <w:bottom w:val="nil"/>
              <w:right w:val="nil"/>
            </w:tcBorders>
            <w:shd w:val="clear" w:color="auto" w:fill="auto"/>
          </w:tcPr>
          <w:p w14:paraId="7CA7A2F6" w14:textId="37780A23" w:rsidR="001A3E25" w:rsidRPr="00734A5B" w:rsidRDefault="001A3E25" w:rsidP="00993726">
            <w:pPr>
              <w:spacing w:line="240" w:lineRule="auto"/>
              <w:ind w:left="-103" w:right="-136"/>
              <w:contextualSpacing/>
              <w:rPr>
                <w:rFonts w:ascii="Times New Roman" w:hAnsi="Times New Roman"/>
                <w:color w:val="000000"/>
                <w:sz w:val="20"/>
                <w:szCs w:val="20"/>
              </w:rPr>
            </w:pPr>
            <w:r w:rsidRPr="00B44239">
              <w:rPr>
                <w:rFonts w:ascii="Times New Roman" w:hAnsi="Times New Roman"/>
                <w:color w:val="000000"/>
                <w:sz w:val="20"/>
                <w:szCs w:val="20"/>
              </w:rPr>
              <w:t>904.66</w:t>
            </w:r>
          </w:p>
        </w:tc>
        <w:tc>
          <w:tcPr>
            <w:tcW w:w="405" w:type="pct"/>
            <w:tcBorders>
              <w:top w:val="nil"/>
              <w:left w:val="nil"/>
              <w:bottom w:val="nil"/>
              <w:right w:val="single" w:sz="4" w:space="0" w:color="auto"/>
            </w:tcBorders>
            <w:shd w:val="clear" w:color="auto" w:fill="auto"/>
          </w:tcPr>
          <w:p w14:paraId="4623A0A4" w14:textId="2E5F1DE3" w:rsidR="001A3E25" w:rsidRPr="00734A5B" w:rsidRDefault="001A3E25" w:rsidP="00993726">
            <w:pPr>
              <w:spacing w:line="240" w:lineRule="auto"/>
              <w:ind w:left="-85" w:right="-74"/>
              <w:contextualSpacing/>
              <w:rPr>
                <w:rFonts w:ascii="Times New Roman" w:hAnsi="Times New Roman"/>
                <w:color w:val="000000"/>
                <w:sz w:val="20"/>
                <w:szCs w:val="20"/>
              </w:rPr>
            </w:pPr>
            <w:r w:rsidRPr="00B44239">
              <w:rPr>
                <w:rFonts w:ascii="Times New Roman" w:hAnsi="Times New Roman"/>
                <w:color w:val="000000"/>
                <w:sz w:val="20"/>
                <w:szCs w:val="20"/>
              </w:rPr>
              <w:t>29,914.67</w:t>
            </w:r>
          </w:p>
        </w:tc>
        <w:tc>
          <w:tcPr>
            <w:tcW w:w="331" w:type="pct"/>
            <w:tcBorders>
              <w:top w:val="nil"/>
              <w:left w:val="single" w:sz="4" w:space="0" w:color="auto"/>
              <w:bottom w:val="nil"/>
              <w:right w:val="nil"/>
            </w:tcBorders>
            <w:shd w:val="clear" w:color="auto" w:fill="auto"/>
            <w:vAlign w:val="bottom"/>
          </w:tcPr>
          <w:p w14:paraId="79213C86" w14:textId="5A6BAFCD" w:rsidR="001A3E25" w:rsidRPr="00734A5B" w:rsidRDefault="001A3E25" w:rsidP="00993726">
            <w:pPr>
              <w:spacing w:line="240" w:lineRule="auto"/>
              <w:ind w:left="-95" w:right="-156"/>
              <w:contextualSpacing/>
              <w:rPr>
                <w:rFonts w:ascii="Times New Roman" w:hAnsi="Times New Roman"/>
                <w:color w:val="000000"/>
                <w:sz w:val="20"/>
                <w:szCs w:val="20"/>
              </w:rPr>
            </w:pPr>
            <w:r w:rsidRPr="00B44239">
              <w:rPr>
                <w:rFonts w:ascii="Times New Roman" w:hAnsi="Times New Roman"/>
                <w:color w:val="000000"/>
                <w:sz w:val="20"/>
                <w:szCs w:val="20"/>
              </w:rPr>
              <w:t>-4,430.04</w:t>
            </w:r>
          </w:p>
        </w:tc>
        <w:tc>
          <w:tcPr>
            <w:tcW w:w="277" w:type="pct"/>
            <w:tcBorders>
              <w:top w:val="nil"/>
              <w:left w:val="nil"/>
              <w:bottom w:val="nil"/>
              <w:right w:val="nil"/>
            </w:tcBorders>
            <w:shd w:val="clear" w:color="auto" w:fill="auto"/>
            <w:vAlign w:val="bottom"/>
          </w:tcPr>
          <w:p w14:paraId="0B1BE5FB" w14:textId="7E99707C" w:rsidR="001A3E25" w:rsidRPr="00734A5B" w:rsidRDefault="001A3E25" w:rsidP="00993726">
            <w:pPr>
              <w:spacing w:line="240" w:lineRule="auto"/>
              <w:ind w:left="-52" w:right="-97"/>
              <w:contextualSpacing/>
              <w:rPr>
                <w:rFonts w:ascii="Times New Roman" w:hAnsi="Times New Roman"/>
                <w:color w:val="000000"/>
                <w:sz w:val="20"/>
                <w:szCs w:val="20"/>
              </w:rPr>
            </w:pPr>
            <w:r w:rsidRPr="00B44239">
              <w:rPr>
                <w:rFonts w:ascii="Times New Roman" w:hAnsi="Times New Roman"/>
                <w:color w:val="000000"/>
                <w:sz w:val="20"/>
                <w:szCs w:val="20"/>
              </w:rPr>
              <w:t>475.81</w:t>
            </w:r>
          </w:p>
        </w:tc>
        <w:tc>
          <w:tcPr>
            <w:tcW w:w="395" w:type="pct"/>
            <w:tcBorders>
              <w:top w:val="nil"/>
              <w:left w:val="nil"/>
              <w:bottom w:val="nil"/>
              <w:right w:val="nil"/>
            </w:tcBorders>
            <w:shd w:val="clear" w:color="auto" w:fill="auto"/>
            <w:vAlign w:val="bottom"/>
          </w:tcPr>
          <w:p w14:paraId="4852870E" w14:textId="79857902" w:rsidR="001A3E25" w:rsidRPr="00734A5B" w:rsidRDefault="001A3E25" w:rsidP="00993726">
            <w:pPr>
              <w:spacing w:line="240" w:lineRule="auto"/>
              <w:ind w:right="-117"/>
              <w:contextualSpacing/>
              <w:rPr>
                <w:rFonts w:ascii="Times New Roman" w:hAnsi="Times New Roman"/>
                <w:color w:val="000000"/>
                <w:sz w:val="20"/>
                <w:szCs w:val="20"/>
              </w:rPr>
            </w:pPr>
            <w:r w:rsidRPr="00B44239">
              <w:rPr>
                <w:rFonts w:ascii="Times New Roman" w:hAnsi="Times New Roman"/>
                <w:color w:val="000000"/>
                <w:sz w:val="20"/>
                <w:szCs w:val="20"/>
              </w:rPr>
              <w:t>-9.47***</w:t>
            </w:r>
          </w:p>
        </w:tc>
        <w:tc>
          <w:tcPr>
            <w:tcW w:w="547" w:type="pct"/>
            <w:tcBorders>
              <w:top w:val="nil"/>
              <w:left w:val="nil"/>
              <w:bottom w:val="nil"/>
              <w:right w:val="nil"/>
            </w:tcBorders>
            <w:shd w:val="clear" w:color="auto" w:fill="auto"/>
            <w:vAlign w:val="bottom"/>
          </w:tcPr>
          <w:p w14:paraId="2113F8C2" w14:textId="1080417C" w:rsidR="001A3E25" w:rsidRPr="00734A5B" w:rsidRDefault="001A3E25" w:rsidP="00993726">
            <w:pPr>
              <w:spacing w:line="240" w:lineRule="auto"/>
              <w:ind w:right="-467"/>
              <w:contextualSpacing/>
              <w:rPr>
                <w:rFonts w:ascii="Times New Roman" w:hAnsi="Times New Roman"/>
                <w:color w:val="000000"/>
                <w:sz w:val="20"/>
                <w:szCs w:val="20"/>
              </w:rPr>
            </w:pPr>
            <w:r w:rsidRPr="00B44239">
              <w:rPr>
                <w:rFonts w:ascii="Times New Roman" w:hAnsi="Times New Roman"/>
                <w:color w:val="000000"/>
                <w:sz w:val="20"/>
                <w:szCs w:val="20"/>
              </w:rPr>
              <w:t>5.88***</w:t>
            </w:r>
          </w:p>
        </w:tc>
      </w:tr>
      <w:tr w:rsidR="002D5AAC" w:rsidRPr="00734A5B" w14:paraId="081E5106" w14:textId="163AE7B2" w:rsidTr="00F7612D">
        <w:trPr>
          <w:trHeight w:val="20"/>
        </w:trPr>
        <w:tc>
          <w:tcPr>
            <w:tcW w:w="562" w:type="pct"/>
            <w:tcBorders>
              <w:top w:val="nil"/>
              <w:left w:val="nil"/>
              <w:bottom w:val="nil"/>
              <w:right w:val="nil"/>
            </w:tcBorders>
            <w:shd w:val="clear" w:color="auto" w:fill="auto"/>
            <w:hideMark/>
          </w:tcPr>
          <w:p w14:paraId="14A7D7B7" w14:textId="77777777" w:rsidR="001A3E25" w:rsidRPr="00734A5B" w:rsidRDefault="001A3E25" w:rsidP="00993726">
            <w:pPr>
              <w:spacing w:after="0" w:line="240" w:lineRule="auto"/>
              <w:ind w:right="-78"/>
              <w:contextualSpacing/>
              <w:rPr>
                <w:rFonts w:ascii="Times New Roman" w:eastAsia="Times New Roman" w:hAnsi="Times New Roman"/>
                <w:i/>
                <w:color w:val="000000"/>
                <w:sz w:val="20"/>
                <w:szCs w:val="20"/>
              </w:rPr>
            </w:pPr>
            <w:r w:rsidRPr="00734A5B">
              <w:rPr>
                <w:rFonts w:ascii="Times New Roman" w:eastAsia="Times New Roman" w:hAnsi="Times New Roman"/>
                <w:i/>
                <w:color w:val="000000"/>
                <w:sz w:val="20"/>
                <w:szCs w:val="20"/>
              </w:rPr>
              <w:t>MKCAP</w:t>
            </w:r>
          </w:p>
        </w:tc>
        <w:tc>
          <w:tcPr>
            <w:tcW w:w="233" w:type="pct"/>
            <w:tcBorders>
              <w:top w:val="nil"/>
              <w:left w:val="nil"/>
              <w:bottom w:val="nil"/>
              <w:right w:val="nil"/>
            </w:tcBorders>
            <w:shd w:val="clear" w:color="auto" w:fill="auto"/>
            <w:noWrap/>
            <w:vAlign w:val="bottom"/>
            <w:hideMark/>
          </w:tcPr>
          <w:p w14:paraId="060B3591" w14:textId="77777777" w:rsidR="001A3E25" w:rsidRPr="00734A5B" w:rsidRDefault="001A3E25" w:rsidP="001A3E25">
            <w:pPr>
              <w:spacing w:line="240" w:lineRule="auto"/>
              <w:contextualSpacing/>
              <w:rPr>
                <w:rFonts w:ascii="Times New Roman" w:hAnsi="Times New Roman"/>
                <w:color w:val="000000"/>
                <w:sz w:val="20"/>
                <w:szCs w:val="20"/>
              </w:rPr>
            </w:pPr>
            <w:r w:rsidRPr="00734A5B">
              <w:rPr>
                <w:rFonts w:ascii="Times New Roman" w:hAnsi="Times New Roman"/>
                <w:color w:val="000000"/>
                <w:sz w:val="20"/>
                <w:szCs w:val="20"/>
              </w:rPr>
              <w:t>642</w:t>
            </w:r>
          </w:p>
        </w:tc>
        <w:tc>
          <w:tcPr>
            <w:tcW w:w="395" w:type="pct"/>
            <w:tcBorders>
              <w:top w:val="nil"/>
              <w:left w:val="nil"/>
              <w:bottom w:val="nil"/>
              <w:right w:val="nil"/>
            </w:tcBorders>
            <w:shd w:val="clear" w:color="auto" w:fill="auto"/>
            <w:hideMark/>
          </w:tcPr>
          <w:p w14:paraId="7712A3FC" w14:textId="0D0FD3B6" w:rsidR="001A3E25" w:rsidRPr="00734A5B" w:rsidRDefault="001A3E25" w:rsidP="00993726">
            <w:pPr>
              <w:spacing w:line="240" w:lineRule="auto"/>
              <w:ind w:right="-140"/>
              <w:contextualSpacing/>
              <w:rPr>
                <w:rFonts w:ascii="Times New Roman" w:hAnsi="Times New Roman"/>
                <w:color w:val="000000"/>
                <w:sz w:val="20"/>
                <w:szCs w:val="20"/>
              </w:rPr>
            </w:pPr>
            <w:r w:rsidRPr="00734A5B">
              <w:rPr>
                <w:rFonts w:ascii="Times New Roman" w:hAnsi="Times New Roman"/>
                <w:color w:val="000000"/>
                <w:sz w:val="20"/>
                <w:szCs w:val="20"/>
              </w:rPr>
              <w:t>3,009.92</w:t>
            </w:r>
          </w:p>
        </w:tc>
        <w:tc>
          <w:tcPr>
            <w:tcW w:w="416" w:type="pct"/>
            <w:tcBorders>
              <w:top w:val="nil"/>
              <w:left w:val="nil"/>
              <w:bottom w:val="nil"/>
              <w:right w:val="nil"/>
            </w:tcBorders>
            <w:shd w:val="clear" w:color="auto" w:fill="auto"/>
            <w:hideMark/>
          </w:tcPr>
          <w:p w14:paraId="2129F01D" w14:textId="333994AE" w:rsidR="001A3E25" w:rsidRPr="00734A5B" w:rsidRDefault="001A3E25" w:rsidP="00993726">
            <w:pPr>
              <w:spacing w:line="240" w:lineRule="auto"/>
              <w:ind w:right="-131"/>
              <w:contextualSpacing/>
              <w:rPr>
                <w:rFonts w:ascii="Times New Roman" w:hAnsi="Times New Roman"/>
                <w:color w:val="000000"/>
                <w:sz w:val="20"/>
                <w:szCs w:val="20"/>
              </w:rPr>
            </w:pPr>
            <w:r w:rsidRPr="00734A5B">
              <w:rPr>
                <w:rFonts w:ascii="Times New Roman" w:hAnsi="Times New Roman"/>
                <w:color w:val="000000"/>
                <w:sz w:val="20"/>
                <w:szCs w:val="20"/>
              </w:rPr>
              <w:t>1,152.98</w:t>
            </w:r>
          </w:p>
        </w:tc>
        <w:tc>
          <w:tcPr>
            <w:tcW w:w="416" w:type="pct"/>
            <w:tcBorders>
              <w:top w:val="nil"/>
              <w:left w:val="nil"/>
              <w:bottom w:val="nil"/>
              <w:right w:val="single" w:sz="4" w:space="0" w:color="auto"/>
            </w:tcBorders>
            <w:shd w:val="clear" w:color="auto" w:fill="auto"/>
            <w:hideMark/>
          </w:tcPr>
          <w:p w14:paraId="60ED3BDC" w14:textId="4309AD74" w:rsidR="001A3E25" w:rsidRPr="00734A5B" w:rsidRDefault="001A3E25" w:rsidP="00993726">
            <w:pPr>
              <w:spacing w:line="240" w:lineRule="auto"/>
              <w:ind w:right="-108"/>
              <w:contextualSpacing/>
              <w:rPr>
                <w:rFonts w:ascii="Times New Roman" w:hAnsi="Times New Roman"/>
                <w:color w:val="000000"/>
                <w:sz w:val="20"/>
                <w:szCs w:val="20"/>
              </w:rPr>
            </w:pPr>
            <w:r w:rsidRPr="00734A5B">
              <w:rPr>
                <w:rFonts w:ascii="Times New Roman" w:hAnsi="Times New Roman"/>
                <w:color w:val="000000"/>
                <w:sz w:val="20"/>
                <w:szCs w:val="20"/>
              </w:rPr>
              <w:t>6,066.67</w:t>
            </w:r>
          </w:p>
        </w:tc>
        <w:tc>
          <w:tcPr>
            <w:tcW w:w="289" w:type="pct"/>
            <w:tcBorders>
              <w:top w:val="nil"/>
              <w:left w:val="single" w:sz="4" w:space="0" w:color="auto"/>
              <w:bottom w:val="nil"/>
              <w:right w:val="nil"/>
            </w:tcBorders>
            <w:shd w:val="clear" w:color="auto" w:fill="auto"/>
            <w:vAlign w:val="bottom"/>
          </w:tcPr>
          <w:p w14:paraId="462CC5D6" w14:textId="5BC8A7A9" w:rsidR="001A3E25" w:rsidRPr="00734A5B" w:rsidRDefault="001A3E25" w:rsidP="00993726">
            <w:pPr>
              <w:spacing w:line="240" w:lineRule="auto"/>
              <w:ind w:left="-100" w:right="-76"/>
              <w:contextualSpacing/>
              <w:rPr>
                <w:rFonts w:ascii="Times New Roman" w:hAnsi="Times New Roman"/>
                <w:color w:val="000000"/>
                <w:sz w:val="20"/>
                <w:szCs w:val="20"/>
              </w:rPr>
            </w:pPr>
            <w:r w:rsidRPr="00B44239">
              <w:rPr>
                <w:rFonts w:ascii="Times New Roman" w:hAnsi="Times New Roman"/>
                <w:color w:val="000000"/>
                <w:sz w:val="20"/>
                <w:szCs w:val="20"/>
              </w:rPr>
              <w:t>7,507</w:t>
            </w:r>
          </w:p>
        </w:tc>
        <w:tc>
          <w:tcPr>
            <w:tcW w:w="395" w:type="pct"/>
            <w:tcBorders>
              <w:top w:val="nil"/>
              <w:left w:val="nil"/>
              <w:bottom w:val="nil"/>
              <w:right w:val="nil"/>
            </w:tcBorders>
            <w:shd w:val="clear" w:color="auto" w:fill="auto"/>
          </w:tcPr>
          <w:p w14:paraId="3EAE6D4C" w14:textId="76280B01" w:rsidR="001A3E25" w:rsidRPr="00734A5B" w:rsidRDefault="001A3E25" w:rsidP="00993726">
            <w:pPr>
              <w:spacing w:line="240" w:lineRule="auto"/>
              <w:ind w:left="-55" w:right="-28"/>
              <w:contextualSpacing/>
              <w:rPr>
                <w:rFonts w:ascii="Times New Roman" w:hAnsi="Times New Roman"/>
                <w:color w:val="000000"/>
                <w:sz w:val="20"/>
                <w:szCs w:val="20"/>
              </w:rPr>
            </w:pPr>
            <w:r w:rsidRPr="00B44239">
              <w:rPr>
                <w:rFonts w:ascii="Times New Roman" w:hAnsi="Times New Roman"/>
                <w:color w:val="000000"/>
                <w:sz w:val="20"/>
                <w:szCs w:val="20"/>
              </w:rPr>
              <w:t>7,028.22</w:t>
            </w:r>
          </w:p>
        </w:tc>
        <w:tc>
          <w:tcPr>
            <w:tcW w:w="339" w:type="pct"/>
            <w:tcBorders>
              <w:top w:val="nil"/>
              <w:left w:val="nil"/>
              <w:bottom w:val="nil"/>
              <w:right w:val="nil"/>
            </w:tcBorders>
            <w:shd w:val="clear" w:color="auto" w:fill="auto"/>
          </w:tcPr>
          <w:p w14:paraId="44A3CC2F" w14:textId="4597D025" w:rsidR="001A3E25" w:rsidRPr="00734A5B" w:rsidRDefault="001A3E25" w:rsidP="00993726">
            <w:pPr>
              <w:spacing w:line="240" w:lineRule="auto"/>
              <w:ind w:left="-103" w:right="-136"/>
              <w:contextualSpacing/>
              <w:rPr>
                <w:rFonts w:ascii="Times New Roman" w:hAnsi="Times New Roman"/>
                <w:color w:val="000000"/>
                <w:sz w:val="20"/>
                <w:szCs w:val="20"/>
              </w:rPr>
            </w:pPr>
            <w:r w:rsidRPr="00B44239">
              <w:rPr>
                <w:rFonts w:ascii="Times New Roman" w:hAnsi="Times New Roman"/>
                <w:color w:val="000000"/>
                <w:sz w:val="20"/>
                <w:szCs w:val="20"/>
              </w:rPr>
              <w:t>606.65</w:t>
            </w:r>
          </w:p>
        </w:tc>
        <w:tc>
          <w:tcPr>
            <w:tcW w:w="405" w:type="pct"/>
            <w:tcBorders>
              <w:top w:val="nil"/>
              <w:left w:val="nil"/>
              <w:bottom w:val="nil"/>
              <w:right w:val="single" w:sz="4" w:space="0" w:color="auto"/>
            </w:tcBorders>
            <w:shd w:val="clear" w:color="auto" w:fill="auto"/>
          </w:tcPr>
          <w:p w14:paraId="5ADCFD2A" w14:textId="52176D80" w:rsidR="001A3E25" w:rsidRPr="00734A5B" w:rsidRDefault="001A3E25" w:rsidP="00993726">
            <w:pPr>
              <w:spacing w:line="240" w:lineRule="auto"/>
              <w:ind w:left="-85" w:right="-74"/>
              <w:contextualSpacing/>
              <w:rPr>
                <w:rFonts w:ascii="Times New Roman" w:hAnsi="Times New Roman"/>
                <w:color w:val="000000"/>
                <w:sz w:val="20"/>
                <w:szCs w:val="20"/>
              </w:rPr>
            </w:pPr>
            <w:r w:rsidRPr="00B44239">
              <w:rPr>
                <w:rFonts w:ascii="Times New Roman" w:hAnsi="Times New Roman"/>
                <w:color w:val="000000"/>
                <w:sz w:val="20"/>
                <w:szCs w:val="20"/>
              </w:rPr>
              <w:t>27,423.04</w:t>
            </w:r>
          </w:p>
        </w:tc>
        <w:tc>
          <w:tcPr>
            <w:tcW w:w="331" w:type="pct"/>
            <w:tcBorders>
              <w:top w:val="nil"/>
              <w:left w:val="single" w:sz="4" w:space="0" w:color="auto"/>
              <w:bottom w:val="nil"/>
              <w:right w:val="nil"/>
            </w:tcBorders>
            <w:shd w:val="clear" w:color="auto" w:fill="auto"/>
            <w:vAlign w:val="bottom"/>
          </w:tcPr>
          <w:p w14:paraId="6CD75A7F" w14:textId="096CFDFA" w:rsidR="001A3E25" w:rsidRPr="00734A5B" w:rsidRDefault="001A3E25" w:rsidP="00993726">
            <w:pPr>
              <w:spacing w:line="240" w:lineRule="auto"/>
              <w:ind w:left="-95" w:right="-156"/>
              <w:contextualSpacing/>
              <w:rPr>
                <w:rFonts w:ascii="Times New Roman" w:hAnsi="Times New Roman"/>
                <w:color w:val="000000"/>
                <w:sz w:val="20"/>
                <w:szCs w:val="20"/>
              </w:rPr>
            </w:pPr>
            <w:r w:rsidRPr="00B44239">
              <w:rPr>
                <w:rFonts w:ascii="Times New Roman" w:hAnsi="Times New Roman"/>
                <w:color w:val="000000"/>
                <w:sz w:val="20"/>
                <w:szCs w:val="20"/>
              </w:rPr>
              <w:t>-4,018.30</w:t>
            </w:r>
          </w:p>
        </w:tc>
        <w:tc>
          <w:tcPr>
            <w:tcW w:w="277" w:type="pct"/>
            <w:tcBorders>
              <w:top w:val="nil"/>
              <w:left w:val="nil"/>
              <w:bottom w:val="nil"/>
              <w:right w:val="nil"/>
            </w:tcBorders>
            <w:shd w:val="clear" w:color="auto" w:fill="auto"/>
            <w:vAlign w:val="bottom"/>
          </w:tcPr>
          <w:p w14:paraId="1CB7BB3E" w14:textId="3320D4F1" w:rsidR="001A3E25" w:rsidRPr="00734A5B" w:rsidRDefault="001A3E25" w:rsidP="00993726">
            <w:pPr>
              <w:spacing w:line="240" w:lineRule="auto"/>
              <w:ind w:left="-52" w:right="-97"/>
              <w:contextualSpacing/>
              <w:rPr>
                <w:rFonts w:ascii="Times New Roman" w:hAnsi="Times New Roman"/>
                <w:color w:val="000000"/>
                <w:sz w:val="20"/>
                <w:szCs w:val="20"/>
              </w:rPr>
            </w:pPr>
            <w:r w:rsidRPr="00B44239">
              <w:rPr>
                <w:rFonts w:ascii="Times New Roman" w:hAnsi="Times New Roman"/>
                <w:color w:val="000000"/>
                <w:sz w:val="20"/>
                <w:szCs w:val="20"/>
              </w:rPr>
              <w:t>546.3</w:t>
            </w:r>
            <w:r>
              <w:rPr>
                <w:rFonts w:ascii="Times New Roman" w:hAnsi="Times New Roman"/>
                <w:color w:val="000000"/>
                <w:sz w:val="20"/>
                <w:szCs w:val="20"/>
              </w:rPr>
              <w:t>4</w:t>
            </w:r>
          </w:p>
        </w:tc>
        <w:tc>
          <w:tcPr>
            <w:tcW w:w="395" w:type="pct"/>
            <w:tcBorders>
              <w:top w:val="nil"/>
              <w:left w:val="nil"/>
              <w:bottom w:val="nil"/>
              <w:right w:val="nil"/>
            </w:tcBorders>
            <w:shd w:val="clear" w:color="auto" w:fill="auto"/>
            <w:vAlign w:val="bottom"/>
          </w:tcPr>
          <w:p w14:paraId="4F96EBCD" w14:textId="35D6FDEC" w:rsidR="001A3E25" w:rsidRPr="00734A5B" w:rsidRDefault="001A3E25" w:rsidP="00993726">
            <w:pPr>
              <w:spacing w:line="240" w:lineRule="auto"/>
              <w:ind w:right="-117"/>
              <w:contextualSpacing/>
              <w:rPr>
                <w:rFonts w:ascii="Times New Roman" w:hAnsi="Times New Roman"/>
                <w:color w:val="000000"/>
                <w:sz w:val="20"/>
                <w:szCs w:val="20"/>
              </w:rPr>
            </w:pPr>
            <w:r w:rsidRPr="00B44239">
              <w:rPr>
                <w:rFonts w:ascii="Times New Roman" w:hAnsi="Times New Roman"/>
                <w:color w:val="000000"/>
                <w:sz w:val="20"/>
                <w:szCs w:val="20"/>
              </w:rPr>
              <w:t>-10.13***</w:t>
            </w:r>
          </w:p>
        </w:tc>
        <w:tc>
          <w:tcPr>
            <w:tcW w:w="547" w:type="pct"/>
            <w:tcBorders>
              <w:top w:val="nil"/>
              <w:left w:val="nil"/>
              <w:bottom w:val="nil"/>
              <w:right w:val="nil"/>
            </w:tcBorders>
            <w:shd w:val="clear" w:color="auto" w:fill="auto"/>
            <w:vAlign w:val="bottom"/>
          </w:tcPr>
          <w:p w14:paraId="6BE0ECBD" w14:textId="13D827FF" w:rsidR="001A3E25" w:rsidRPr="00734A5B" w:rsidRDefault="001A3E25" w:rsidP="00993726">
            <w:pPr>
              <w:spacing w:line="240" w:lineRule="auto"/>
              <w:ind w:right="-467"/>
              <w:contextualSpacing/>
              <w:rPr>
                <w:rFonts w:ascii="Times New Roman" w:hAnsi="Times New Roman"/>
                <w:color w:val="000000"/>
                <w:sz w:val="20"/>
                <w:szCs w:val="20"/>
              </w:rPr>
            </w:pPr>
            <w:r w:rsidRPr="00B44239">
              <w:rPr>
                <w:rFonts w:ascii="Times New Roman" w:hAnsi="Times New Roman"/>
                <w:color w:val="000000"/>
                <w:sz w:val="20"/>
                <w:szCs w:val="20"/>
              </w:rPr>
              <w:t>8.5***</w:t>
            </w:r>
          </w:p>
        </w:tc>
      </w:tr>
      <w:tr w:rsidR="002D5AAC" w:rsidRPr="00734A5B" w14:paraId="694BACCE" w14:textId="2EE703A0" w:rsidTr="00F7612D">
        <w:trPr>
          <w:trHeight w:val="20"/>
        </w:trPr>
        <w:tc>
          <w:tcPr>
            <w:tcW w:w="562" w:type="pct"/>
            <w:tcBorders>
              <w:top w:val="nil"/>
              <w:left w:val="nil"/>
              <w:bottom w:val="nil"/>
              <w:right w:val="nil"/>
            </w:tcBorders>
            <w:shd w:val="clear" w:color="auto" w:fill="auto"/>
            <w:hideMark/>
          </w:tcPr>
          <w:p w14:paraId="0E170E74" w14:textId="77777777" w:rsidR="001A3E25" w:rsidRPr="00734A5B" w:rsidRDefault="001A3E25" w:rsidP="00993726">
            <w:pPr>
              <w:spacing w:after="0" w:line="240" w:lineRule="auto"/>
              <w:ind w:right="-78"/>
              <w:contextualSpacing/>
              <w:rPr>
                <w:rFonts w:ascii="Times New Roman" w:eastAsia="Times New Roman" w:hAnsi="Times New Roman"/>
                <w:i/>
                <w:color w:val="000000"/>
                <w:sz w:val="20"/>
                <w:szCs w:val="20"/>
              </w:rPr>
            </w:pPr>
            <w:r w:rsidRPr="00734A5B">
              <w:rPr>
                <w:rFonts w:ascii="Times New Roman" w:eastAsia="Times New Roman" w:hAnsi="Times New Roman"/>
                <w:i/>
                <w:color w:val="000000"/>
                <w:sz w:val="20"/>
                <w:szCs w:val="20"/>
              </w:rPr>
              <w:t>MKTSHARE</w:t>
            </w:r>
          </w:p>
        </w:tc>
        <w:tc>
          <w:tcPr>
            <w:tcW w:w="233" w:type="pct"/>
            <w:tcBorders>
              <w:top w:val="nil"/>
              <w:left w:val="nil"/>
              <w:bottom w:val="nil"/>
              <w:right w:val="nil"/>
            </w:tcBorders>
            <w:shd w:val="clear" w:color="auto" w:fill="auto"/>
            <w:noWrap/>
            <w:vAlign w:val="bottom"/>
            <w:hideMark/>
          </w:tcPr>
          <w:p w14:paraId="25921F41" w14:textId="77777777" w:rsidR="001A3E25" w:rsidRPr="00734A5B" w:rsidRDefault="001A3E25" w:rsidP="001A3E25">
            <w:pPr>
              <w:spacing w:line="240" w:lineRule="auto"/>
              <w:contextualSpacing/>
              <w:rPr>
                <w:rFonts w:ascii="Times New Roman" w:hAnsi="Times New Roman"/>
                <w:color w:val="000000"/>
                <w:sz w:val="20"/>
                <w:szCs w:val="20"/>
              </w:rPr>
            </w:pPr>
            <w:r w:rsidRPr="00734A5B">
              <w:rPr>
                <w:rFonts w:ascii="Times New Roman" w:hAnsi="Times New Roman"/>
                <w:color w:val="000000"/>
                <w:sz w:val="20"/>
                <w:szCs w:val="20"/>
              </w:rPr>
              <w:t>645</w:t>
            </w:r>
          </w:p>
        </w:tc>
        <w:tc>
          <w:tcPr>
            <w:tcW w:w="395" w:type="pct"/>
            <w:tcBorders>
              <w:top w:val="nil"/>
              <w:left w:val="nil"/>
              <w:bottom w:val="nil"/>
              <w:right w:val="nil"/>
            </w:tcBorders>
            <w:shd w:val="clear" w:color="auto" w:fill="auto"/>
            <w:hideMark/>
          </w:tcPr>
          <w:p w14:paraId="71C5D368" w14:textId="77777777" w:rsidR="001A3E25" w:rsidRPr="00734A5B" w:rsidRDefault="001A3E25" w:rsidP="00993726">
            <w:pPr>
              <w:spacing w:line="240" w:lineRule="auto"/>
              <w:ind w:right="-140"/>
              <w:contextualSpacing/>
              <w:rPr>
                <w:rFonts w:ascii="Times New Roman" w:hAnsi="Times New Roman"/>
                <w:color w:val="000000"/>
                <w:sz w:val="20"/>
                <w:szCs w:val="20"/>
              </w:rPr>
            </w:pPr>
            <w:r w:rsidRPr="00734A5B">
              <w:rPr>
                <w:rFonts w:ascii="Times New Roman" w:hAnsi="Times New Roman"/>
                <w:color w:val="000000"/>
                <w:sz w:val="20"/>
                <w:szCs w:val="20"/>
              </w:rPr>
              <w:t>0.001</w:t>
            </w:r>
          </w:p>
        </w:tc>
        <w:tc>
          <w:tcPr>
            <w:tcW w:w="416" w:type="pct"/>
            <w:tcBorders>
              <w:top w:val="nil"/>
              <w:left w:val="nil"/>
              <w:bottom w:val="nil"/>
              <w:right w:val="nil"/>
            </w:tcBorders>
            <w:shd w:val="clear" w:color="auto" w:fill="auto"/>
            <w:hideMark/>
          </w:tcPr>
          <w:p w14:paraId="4D4C31F8" w14:textId="77777777" w:rsidR="001A3E25" w:rsidRPr="00734A5B" w:rsidRDefault="001A3E25" w:rsidP="00993726">
            <w:pPr>
              <w:spacing w:line="240" w:lineRule="auto"/>
              <w:ind w:right="-131"/>
              <w:contextualSpacing/>
              <w:rPr>
                <w:rFonts w:ascii="Times New Roman" w:hAnsi="Times New Roman"/>
                <w:color w:val="000000"/>
                <w:sz w:val="20"/>
                <w:szCs w:val="20"/>
              </w:rPr>
            </w:pPr>
            <w:r w:rsidRPr="00734A5B">
              <w:rPr>
                <w:rFonts w:ascii="Times New Roman" w:hAnsi="Times New Roman"/>
                <w:color w:val="000000"/>
                <w:sz w:val="20"/>
                <w:szCs w:val="20"/>
              </w:rPr>
              <w:t>0.000</w:t>
            </w:r>
          </w:p>
        </w:tc>
        <w:tc>
          <w:tcPr>
            <w:tcW w:w="416" w:type="pct"/>
            <w:tcBorders>
              <w:top w:val="nil"/>
              <w:left w:val="nil"/>
              <w:bottom w:val="nil"/>
              <w:right w:val="single" w:sz="4" w:space="0" w:color="auto"/>
            </w:tcBorders>
            <w:shd w:val="clear" w:color="auto" w:fill="auto"/>
            <w:hideMark/>
          </w:tcPr>
          <w:p w14:paraId="7F25D43A" w14:textId="77777777" w:rsidR="001A3E25" w:rsidRPr="00734A5B" w:rsidRDefault="001A3E25" w:rsidP="00993726">
            <w:pPr>
              <w:spacing w:line="240" w:lineRule="auto"/>
              <w:ind w:right="-108"/>
              <w:contextualSpacing/>
              <w:rPr>
                <w:rFonts w:ascii="Times New Roman" w:hAnsi="Times New Roman"/>
                <w:color w:val="000000"/>
                <w:sz w:val="20"/>
                <w:szCs w:val="20"/>
              </w:rPr>
            </w:pPr>
            <w:r w:rsidRPr="00734A5B">
              <w:rPr>
                <w:rFonts w:ascii="Times New Roman" w:hAnsi="Times New Roman"/>
                <w:color w:val="000000"/>
                <w:sz w:val="20"/>
                <w:szCs w:val="20"/>
              </w:rPr>
              <w:t>0.003</w:t>
            </w:r>
          </w:p>
        </w:tc>
        <w:tc>
          <w:tcPr>
            <w:tcW w:w="289" w:type="pct"/>
            <w:tcBorders>
              <w:top w:val="nil"/>
              <w:left w:val="single" w:sz="4" w:space="0" w:color="auto"/>
              <w:bottom w:val="nil"/>
              <w:right w:val="nil"/>
            </w:tcBorders>
            <w:shd w:val="clear" w:color="auto" w:fill="auto"/>
            <w:vAlign w:val="bottom"/>
          </w:tcPr>
          <w:p w14:paraId="0DDC5812" w14:textId="4EF7476D" w:rsidR="001A3E25" w:rsidRPr="00734A5B" w:rsidRDefault="001A3E25" w:rsidP="00993726">
            <w:pPr>
              <w:spacing w:line="240" w:lineRule="auto"/>
              <w:ind w:left="-100" w:right="-76"/>
              <w:contextualSpacing/>
              <w:rPr>
                <w:rFonts w:ascii="Times New Roman" w:hAnsi="Times New Roman"/>
                <w:color w:val="000000"/>
                <w:sz w:val="20"/>
                <w:szCs w:val="20"/>
              </w:rPr>
            </w:pPr>
            <w:r w:rsidRPr="00B44239">
              <w:rPr>
                <w:rFonts w:ascii="Times New Roman" w:hAnsi="Times New Roman"/>
                <w:color w:val="000000"/>
                <w:sz w:val="20"/>
                <w:szCs w:val="20"/>
              </w:rPr>
              <w:t>7,532</w:t>
            </w:r>
          </w:p>
        </w:tc>
        <w:tc>
          <w:tcPr>
            <w:tcW w:w="395" w:type="pct"/>
            <w:tcBorders>
              <w:top w:val="nil"/>
              <w:left w:val="nil"/>
              <w:bottom w:val="nil"/>
              <w:right w:val="nil"/>
            </w:tcBorders>
            <w:shd w:val="clear" w:color="auto" w:fill="auto"/>
          </w:tcPr>
          <w:p w14:paraId="592B661B" w14:textId="7F7C0765" w:rsidR="001A3E25" w:rsidRPr="00734A5B" w:rsidRDefault="001A3E25" w:rsidP="00993726">
            <w:pPr>
              <w:spacing w:line="240" w:lineRule="auto"/>
              <w:ind w:left="-55" w:right="-28"/>
              <w:contextualSpacing/>
              <w:rPr>
                <w:rFonts w:ascii="Times New Roman" w:hAnsi="Times New Roman"/>
                <w:color w:val="000000"/>
                <w:sz w:val="20"/>
                <w:szCs w:val="20"/>
              </w:rPr>
            </w:pPr>
            <w:r w:rsidRPr="00B44239">
              <w:rPr>
                <w:rFonts w:ascii="Times New Roman" w:hAnsi="Times New Roman"/>
                <w:color w:val="000000"/>
                <w:sz w:val="20"/>
                <w:szCs w:val="20"/>
              </w:rPr>
              <w:t>0.003</w:t>
            </w:r>
          </w:p>
        </w:tc>
        <w:tc>
          <w:tcPr>
            <w:tcW w:w="339" w:type="pct"/>
            <w:tcBorders>
              <w:top w:val="nil"/>
              <w:left w:val="nil"/>
              <w:bottom w:val="nil"/>
              <w:right w:val="nil"/>
            </w:tcBorders>
            <w:shd w:val="clear" w:color="auto" w:fill="auto"/>
          </w:tcPr>
          <w:p w14:paraId="70F90328" w14:textId="5434B5FC" w:rsidR="001A3E25" w:rsidRPr="00734A5B" w:rsidRDefault="001A3E25" w:rsidP="00993726">
            <w:pPr>
              <w:spacing w:line="240" w:lineRule="auto"/>
              <w:ind w:left="-103" w:right="-136"/>
              <w:contextualSpacing/>
              <w:rPr>
                <w:rFonts w:ascii="Times New Roman" w:hAnsi="Times New Roman"/>
                <w:color w:val="000000"/>
                <w:sz w:val="20"/>
                <w:szCs w:val="20"/>
              </w:rPr>
            </w:pPr>
            <w:r w:rsidRPr="00B44239">
              <w:rPr>
                <w:rFonts w:ascii="Times New Roman" w:hAnsi="Times New Roman"/>
                <w:color w:val="000000"/>
                <w:sz w:val="20"/>
                <w:szCs w:val="20"/>
              </w:rPr>
              <w:t>0.000</w:t>
            </w:r>
          </w:p>
        </w:tc>
        <w:tc>
          <w:tcPr>
            <w:tcW w:w="405" w:type="pct"/>
            <w:tcBorders>
              <w:top w:val="nil"/>
              <w:left w:val="nil"/>
              <w:bottom w:val="nil"/>
              <w:right w:val="single" w:sz="4" w:space="0" w:color="auto"/>
            </w:tcBorders>
            <w:shd w:val="clear" w:color="auto" w:fill="auto"/>
          </w:tcPr>
          <w:p w14:paraId="1BFAFE35" w14:textId="05366DFA" w:rsidR="001A3E25" w:rsidRPr="00734A5B" w:rsidRDefault="001A3E25" w:rsidP="00993726">
            <w:pPr>
              <w:spacing w:line="240" w:lineRule="auto"/>
              <w:ind w:left="-85" w:right="-74"/>
              <w:contextualSpacing/>
              <w:rPr>
                <w:rFonts w:ascii="Times New Roman" w:hAnsi="Times New Roman"/>
                <w:color w:val="000000"/>
                <w:sz w:val="20"/>
                <w:szCs w:val="20"/>
              </w:rPr>
            </w:pPr>
            <w:r w:rsidRPr="00B44239">
              <w:rPr>
                <w:rFonts w:ascii="Times New Roman" w:hAnsi="Times New Roman"/>
                <w:color w:val="000000"/>
                <w:sz w:val="20"/>
                <w:szCs w:val="20"/>
              </w:rPr>
              <w:t>0.011</w:t>
            </w:r>
          </w:p>
        </w:tc>
        <w:tc>
          <w:tcPr>
            <w:tcW w:w="331" w:type="pct"/>
            <w:tcBorders>
              <w:top w:val="nil"/>
              <w:left w:val="single" w:sz="4" w:space="0" w:color="auto"/>
              <w:bottom w:val="nil"/>
              <w:right w:val="nil"/>
            </w:tcBorders>
            <w:shd w:val="clear" w:color="auto" w:fill="auto"/>
            <w:vAlign w:val="bottom"/>
          </w:tcPr>
          <w:p w14:paraId="6F82D96E" w14:textId="66830C45" w:rsidR="001A3E25" w:rsidRPr="00734A5B" w:rsidRDefault="001A3E25" w:rsidP="00993726">
            <w:pPr>
              <w:spacing w:line="240" w:lineRule="auto"/>
              <w:ind w:left="-95" w:right="-156"/>
              <w:contextualSpacing/>
              <w:rPr>
                <w:rFonts w:ascii="Times New Roman" w:hAnsi="Times New Roman"/>
                <w:color w:val="000000"/>
                <w:sz w:val="20"/>
                <w:szCs w:val="20"/>
              </w:rPr>
            </w:pPr>
            <w:r w:rsidRPr="00B44239">
              <w:rPr>
                <w:rFonts w:ascii="Times New Roman" w:hAnsi="Times New Roman"/>
                <w:color w:val="000000"/>
                <w:sz w:val="20"/>
                <w:szCs w:val="20"/>
              </w:rPr>
              <w:t>-0.002</w:t>
            </w:r>
          </w:p>
        </w:tc>
        <w:tc>
          <w:tcPr>
            <w:tcW w:w="277" w:type="pct"/>
            <w:tcBorders>
              <w:top w:val="nil"/>
              <w:left w:val="nil"/>
              <w:bottom w:val="nil"/>
              <w:right w:val="nil"/>
            </w:tcBorders>
            <w:shd w:val="clear" w:color="auto" w:fill="auto"/>
            <w:vAlign w:val="bottom"/>
          </w:tcPr>
          <w:p w14:paraId="09DC35AB" w14:textId="4C7A9A78" w:rsidR="001A3E25" w:rsidRPr="00734A5B" w:rsidRDefault="001A3E25" w:rsidP="00993726">
            <w:pPr>
              <w:spacing w:line="240" w:lineRule="auto"/>
              <w:ind w:left="-52" w:right="-97"/>
              <w:contextualSpacing/>
              <w:rPr>
                <w:rFonts w:ascii="Times New Roman" w:hAnsi="Times New Roman"/>
                <w:color w:val="000000"/>
                <w:sz w:val="20"/>
                <w:szCs w:val="20"/>
              </w:rPr>
            </w:pPr>
            <w:r w:rsidRPr="00B44239">
              <w:rPr>
                <w:rFonts w:ascii="Times New Roman" w:hAnsi="Times New Roman"/>
                <w:color w:val="000000"/>
                <w:sz w:val="20"/>
                <w:szCs w:val="20"/>
              </w:rPr>
              <w:t>0.000</w:t>
            </w:r>
          </w:p>
        </w:tc>
        <w:tc>
          <w:tcPr>
            <w:tcW w:w="395" w:type="pct"/>
            <w:tcBorders>
              <w:top w:val="nil"/>
              <w:left w:val="nil"/>
              <w:bottom w:val="nil"/>
              <w:right w:val="nil"/>
            </w:tcBorders>
            <w:shd w:val="clear" w:color="auto" w:fill="auto"/>
            <w:vAlign w:val="bottom"/>
          </w:tcPr>
          <w:p w14:paraId="60039964" w14:textId="1684BA8C" w:rsidR="001A3E25" w:rsidRPr="00734A5B" w:rsidRDefault="001A3E25" w:rsidP="00993726">
            <w:pPr>
              <w:spacing w:line="240" w:lineRule="auto"/>
              <w:ind w:right="-117"/>
              <w:contextualSpacing/>
              <w:rPr>
                <w:rFonts w:ascii="Times New Roman" w:hAnsi="Times New Roman"/>
                <w:color w:val="000000"/>
                <w:sz w:val="20"/>
                <w:szCs w:val="20"/>
              </w:rPr>
            </w:pPr>
            <w:r w:rsidRPr="00B44239">
              <w:rPr>
                <w:rFonts w:ascii="Times New Roman" w:hAnsi="Times New Roman"/>
                <w:color w:val="000000"/>
                <w:sz w:val="20"/>
                <w:szCs w:val="20"/>
              </w:rPr>
              <w:t>-0.81</w:t>
            </w:r>
          </w:p>
        </w:tc>
        <w:tc>
          <w:tcPr>
            <w:tcW w:w="547" w:type="pct"/>
            <w:tcBorders>
              <w:top w:val="nil"/>
              <w:left w:val="nil"/>
              <w:bottom w:val="nil"/>
              <w:right w:val="nil"/>
            </w:tcBorders>
            <w:shd w:val="clear" w:color="auto" w:fill="auto"/>
            <w:vAlign w:val="bottom"/>
          </w:tcPr>
          <w:p w14:paraId="05207AFB" w14:textId="7CF5553D" w:rsidR="001A3E25" w:rsidRPr="00734A5B" w:rsidRDefault="001A3E25" w:rsidP="00993726">
            <w:pPr>
              <w:spacing w:line="240" w:lineRule="auto"/>
              <w:ind w:right="-467"/>
              <w:contextualSpacing/>
              <w:rPr>
                <w:rFonts w:ascii="Times New Roman" w:hAnsi="Times New Roman"/>
                <w:color w:val="000000"/>
                <w:sz w:val="20"/>
                <w:szCs w:val="20"/>
              </w:rPr>
            </w:pPr>
            <w:r w:rsidRPr="00B44239">
              <w:rPr>
                <w:rFonts w:ascii="Times New Roman" w:hAnsi="Times New Roman"/>
                <w:color w:val="000000"/>
                <w:sz w:val="20"/>
                <w:szCs w:val="20"/>
              </w:rPr>
              <w:t>0.8</w:t>
            </w:r>
          </w:p>
        </w:tc>
      </w:tr>
      <w:tr w:rsidR="002D5AAC" w:rsidRPr="00734A5B" w14:paraId="29825072" w14:textId="4A1AA701" w:rsidTr="00F7612D">
        <w:trPr>
          <w:trHeight w:val="20"/>
        </w:trPr>
        <w:tc>
          <w:tcPr>
            <w:tcW w:w="562" w:type="pct"/>
            <w:tcBorders>
              <w:top w:val="nil"/>
              <w:left w:val="nil"/>
              <w:bottom w:val="nil"/>
              <w:right w:val="nil"/>
            </w:tcBorders>
            <w:shd w:val="clear" w:color="auto" w:fill="auto"/>
            <w:hideMark/>
          </w:tcPr>
          <w:p w14:paraId="17313EDE" w14:textId="77777777" w:rsidR="001A3E25" w:rsidRPr="00734A5B" w:rsidRDefault="001A3E25" w:rsidP="00993726">
            <w:pPr>
              <w:spacing w:after="0" w:line="240" w:lineRule="auto"/>
              <w:ind w:right="-78"/>
              <w:contextualSpacing/>
              <w:rPr>
                <w:rFonts w:ascii="Times New Roman" w:eastAsia="Times New Roman" w:hAnsi="Times New Roman"/>
                <w:i/>
                <w:color w:val="000000"/>
                <w:sz w:val="20"/>
                <w:szCs w:val="20"/>
              </w:rPr>
            </w:pPr>
            <w:r w:rsidRPr="00734A5B">
              <w:rPr>
                <w:rFonts w:ascii="Times New Roman" w:eastAsia="Times New Roman" w:hAnsi="Times New Roman"/>
                <w:i/>
                <w:color w:val="000000"/>
                <w:sz w:val="20"/>
                <w:szCs w:val="20"/>
              </w:rPr>
              <w:t>DEBT</w:t>
            </w:r>
          </w:p>
        </w:tc>
        <w:tc>
          <w:tcPr>
            <w:tcW w:w="233" w:type="pct"/>
            <w:tcBorders>
              <w:top w:val="nil"/>
              <w:left w:val="nil"/>
              <w:bottom w:val="nil"/>
              <w:right w:val="nil"/>
            </w:tcBorders>
            <w:shd w:val="clear" w:color="auto" w:fill="auto"/>
            <w:noWrap/>
            <w:vAlign w:val="bottom"/>
            <w:hideMark/>
          </w:tcPr>
          <w:p w14:paraId="574590EE" w14:textId="77777777" w:rsidR="001A3E25" w:rsidRPr="00734A5B" w:rsidRDefault="001A3E25" w:rsidP="001A3E25">
            <w:pPr>
              <w:spacing w:line="240" w:lineRule="auto"/>
              <w:contextualSpacing/>
              <w:rPr>
                <w:rFonts w:ascii="Times New Roman" w:hAnsi="Times New Roman"/>
                <w:color w:val="000000"/>
                <w:sz w:val="20"/>
                <w:szCs w:val="20"/>
              </w:rPr>
            </w:pPr>
            <w:r w:rsidRPr="00734A5B">
              <w:rPr>
                <w:rFonts w:ascii="Times New Roman" w:hAnsi="Times New Roman"/>
                <w:color w:val="000000"/>
                <w:sz w:val="20"/>
                <w:szCs w:val="20"/>
              </w:rPr>
              <w:t>645</w:t>
            </w:r>
          </w:p>
        </w:tc>
        <w:tc>
          <w:tcPr>
            <w:tcW w:w="395" w:type="pct"/>
            <w:tcBorders>
              <w:top w:val="nil"/>
              <w:left w:val="nil"/>
              <w:bottom w:val="nil"/>
              <w:right w:val="nil"/>
            </w:tcBorders>
            <w:shd w:val="clear" w:color="auto" w:fill="auto"/>
            <w:hideMark/>
          </w:tcPr>
          <w:p w14:paraId="22D5E2D7" w14:textId="77777777" w:rsidR="001A3E25" w:rsidRPr="00734A5B" w:rsidRDefault="001A3E25" w:rsidP="00993726">
            <w:pPr>
              <w:spacing w:line="240" w:lineRule="auto"/>
              <w:ind w:right="-140"/>
              <w:contextualSpacing/>
              <w:rPr>
                <w:rFonts w:ascii="Times New Roman" w:hAnsi="Times New Roman"/>
                <w:color w:val="000000"/>
                <w:sz w:val="20"/>
                <w:szCs w:val="20"/>
              </w:rPr>
            </w:pPr>
            <w:r w:rsidRPr="00734A5B">
              <w:rPr>
                <w:rFonts w:ascii="Times New Roman" w:hAnsi="Times New Roman"/>
                <w:color w:val="000000"/>
                <w:sz w:val="20"/>
                <w:szCs w:val="20"/>
              </w:rPr>
              <w:t>0.581</w:t>
            </w:r>
          </w:p>
        </w:tc>
        <w:tc>
          <w:tcPr>
            <w:tcW w:w="416" w:type="pct"/>
            <w:tcBorders>
              <w:top w:val="nil"/>
              <w:left w:val="nil"/>
              <w:bottom w:val="nil"/>
              <w:right w:val="nil"/>
            </w:tcBorders>
            <w:shd w:val="clear" w:color="auto" w:fill="auto"/>
            <w:hideMark/>
          </w:tcPr>
          <w:p w14:paraId="026C068F" w14:textId="77777777" w:rsidR="001A3E25" w:rsidRPr="00734A5B" w:rsidRDefault="001A3E25" w:rsidP="00993726">
            <w:pPr>
              <w:spacing w:line="240" w:lineRule="auto"/>
              <w:ind w:right="-131"/>
              <w:contextualSpacing/>
              <w:rPr>
                <w:rFonts w:ascii="Times New Roman" w:hAnsi="Times New Roman"/>
                <w:color w:val="000000"/>
                <w:sz w:val="20"/>
                <w:szCs w:val="20"/>
              </w:rPr>
            </w:pPr>
            <w:r w:rsidRPr="00734A5B">
              <w:rPr>
                <w:rFonts w:ascii="Times New Roman" w:hAnsi="Times New Roman"/>
                <w:color w:val="000000"/>
                <w:sz w:val="20"/>
                <w:szCs w:val="20"/>
              </w:rPr>
              <w:t>0.598</w:t>
            </w:r>
          </w:p>
        </w:tc>
        <w:tc>
          <w:tcPr>
            <w:tcW w:w="416" w:type="pct"/>
            <w:tcBorders>
              <w:top w:val="nil"/>
              <w:left w:val="nil"/>
              <w:bottom w:val="nil"/>
              <w:right w:val="single" w:sz="4" w:space="0" w:color="auto"/>
            </w:tcBorders>
            <w:shd w:val="clear" w:color="auto" w:fill="auto"/>
            <w:hideMark/>
          </w:tcPr>
          <w:p w14:paraId="05445520" w14:textId="77777777" w:rsidR="001A3E25" w:rsidRPr="00734A5B" w:rsidRDefault="001A3E25" w:rsidP="00993726">
            <w:pPr>
              <w:spacing w:line="240" w:lineRule="auto"/>
              <w:ind w:right="-108"/>
              <w:contextualSpacing/>
              <w:rPr>
                <w:rFonts w:ascii="Times New Roman" w:hAnsi="Times New Roman"/>
                <w:color w:val="000000"/>
                <w:sz w:val="20"/>
                <w:szCs w:val="20"/>
              </w:rPr>
            </w:pPr>
            <w:r w:rsidRPr="00734A5B">
              <w:rPr>
                <w:rFonts w:ascii="Times New Roman" w:hAnsi="Times New Roman"/>
                <w:color w:val="000000"/>
                <w:sz w:val="20"/>
                <w:szCs w:val="20"/>
              </w:rPr>
              <w:t>0.229</w:t>
            </w:r>
          </w:p>
        </w:tc>
        <w:tc>
          <w:tcPr>
            <w:tcW w:w="289" w:type="pct"/>
            <w:tcBorders>
              <w:top w:val="nil"/>
              <w:left w:val="single" w:sz="4" w:space="0" w:color="auto"/>
              <w:bottom w:val="nil"/>
              <w:right w:val="nil"/>
            </w:tcBorders>
            <w:shd w:val="clear" w:color="auto" w:fill="auto"/>
            <w:vAlign w:val="bottom"/>
          </w:tcPr>
          <w:p w14:paraId="4DED67AF" w14:textId="1425B2BD" w:rsidR="001A3E25" w:rsidRPr="00734A5B" w:rsidRDefault="001A3E25" w:rsidP="00993726">
            <w:pPr>
              <w:spacing w:line="240" w:lineRule="auto"/>
              <w:ind w:left="-100" w:right="-76"/>
              <w:contextualSpacing/>
              <w:rPr>
                <w:rFonts w:ascii="Times New Roman" w:hAnsi="Times New Roman"/>
                <w:color w:val="000000"/>
                <w:sz w:val="20"/>
                <w:szCs w:val="20"/>
              </w:rPr>
            </w:pPr>
            <w:r w:rsidRPr="00B44239">
              <w:rPr>
                <w:rFonts w:ascii="Times New Roman" w:hAnsi="Times New Roman"/>
                <w:color w:val="000000"/>
                <w:sz w:val="20"/>
                <w:szCs w:val="20"/>
              </w:rPr>
              <w:t>7,531</w:t>
            </w:r>
          </w:p>
        </w:tc>
        <w:tc>
          <w:tcPr>
            <w:tcW w:w="395" w:type="pct"/>
            <w:tcBorders>
              <w:top w:val="nil"/>
              <w:left w:val="nil"/>
              <w:bottom w:val="nil"/>
              <w:right w:val="nil"/>
            </w:tcBorders>
            <w:shd w:val="clear" w:color="auto" w:fill="auto"/>
          </w:tcPr>
          <w:p w14:paraId="27AF927F" w14:textId="0546C8DE" w:rsidR="001A3E25" w:rsidRPr="00734A5B" w:rsidRDefault="001A3E25" w:rsidP="00993726">
            <w:pPr>
              <w:spacing w:line="240" w:lineRule="auto"/>
              <w:ind w:left="-55" w:right="-28"/>
              <w:contextualSpacing/>
              <w:rPr>
                <w:rFonts w:ascii="Times New Roman" w:hAnsi="Times New Roman"/>
                <w:color w:val="000000"/>
                <w:sz w:val="20"/>
                <w:szCs w:val="20"/>
              </w:rPr>
            </w:pPr>
            <w:r w:rsidRPr="00B44239">
              <w:rPr>
                <w:rFonts w:ascii="Times New Roman" w:hAnsi="Times New Roman"/>
                <w:color w:val="000000"/>
                <w:sz w:val="20"/>
                <w:szCs w:val="20"/>
              </w:rPr>
              <w:t>0.539</w:t>
            </w:r>
          </w:p>
        </w:tc>
        <w:tc>
          <w:tcPr>
            <w:tcW w:w="339" w:type="pct"/>
            <w:tcBorders>
              <w:top w:val="nil"/>
              <w:left w:val="nil"/>
              <w:bottom w:val="nil"/>
              <w:right w:val="nil"/>
            </w:tcBorders>
            <w:shd w:val="clear" w:color="auto" w:fill="auto"/>
          </w:tcPr>
          <w:p w14:paraId="1593D786" w14:textId="079495B7" w:rsidR="001A3E25" w:rsidRPr="00734A5B" w:rsidRDefault="001A3E25" w:rsidP="00993726">
            <w:pPr>
              <w:spacing w:line="240" w:lineRule="auto"/>
              <w:ind w:left="-103" w:right="-136"/>
              <w:contextualSpacing/>
              <w:rPr>
                <w:rFonts w:ascii="Times New Roman" w:hAnsi="Times New Roman"/>
                <w:color w:val="000000"/>
                <w:sz w:val="20"/>
                <w:szCs w:val="20"/>
              </w:rPr>
            </w:pPr>
            <w:r w:rsidRPr="00B44239">
              <w:rPr>
                <w:rFonts w:ascii="Times New Roman" w:hAnsi="Times New Roman"/>
                <w:color w:val="000000"/>
                <w:sz w:val="20"/>
                <w:szCs w:val="20"/>
              </w:rPr>
              <w:t>0.545</w:t>
            </w:r>
          </w:p>
        </w:tc>
        <w:tc>
          <w:tcPr>
            <w:tcW w:w="405" w:type="pct"/>
            <w:tcBorders>
              <w:top w:val="nil"/>
              <w:left w:val="nil"/>
              <w:bottom w:val="nil"/>
              <w:right w:val="single" w:sz="4" w:space="0" w:color="auto"/>
            </w:tcBorders>
            <w:shd w:val="clear" w:color="auto" w:fill="auto"/>
          </w:tcPr>
          <w:p w14:paraId="63BFEACC" w14:textId="6A402F45" w:rsidR="001A3E25" w:rsidRPr="00734A5B" w:rsidRDefault="001A3E25" w:rsidP="00993726">
            <w:pPr>
              <w:spacing w:line="240" w:lineRule="auto"/>
              <w:ind w:left="-85" w:right="-74"/>
              <w:contextualSpacing/>
              <w:rPr>
                <w:rFonts w:ascii="Times New Roman" w:hAnsi="Times New Roman"/>
                <w:color w:val="000000"/>
                <w:sz w:val="20"/>
                <w:szCs w:val="20"/>
              </w:rPr>
            </w:pPr>
            <w:r w:rsidRPr="00B44239">
              <w:rPr>
                <w:rFonts w:ascii="Times New Roman" w:hAnsi="Times New Roman"/>
                <w:color w:val="000000"/>
                <w:sz w:val="20"/>
                <w:szCs w:val="20"/>
              </w:rPr>
              <w:t>0.244</w:t>
            </w:r>
          </w:p>
        </w:tc>
        <w:tc>
          <w:tcPr>
            <w:tcW w:w="331" w:type="pct"/>
            <w:tcBorders>
              <w:top w:val="nil"/>
              <w:left w:val="single" w:sz="4" w:space="0" w:color="auto"/>
              <w:bottom w:val="nil"/>
              <w:right w:val="nil"/>
            </w:tcBorders>
            <w:shd w:val="clear" w:color="auto" w:fill="auto"/>
            <w:vAlign w:val="bottom"/>
          </w:tcPr>
          <w:p w14:paraId="7B85B790" w14:textId="6AD3F0D4" w:rsidR="001A3E25" w:rsidRPr="00734A5B" w:rsidRDefault="001A3E25" w:rsidP="00993726">
            <w:pPr>
              <w:spacing w:line="240" w:lineRule="auto"/>
              <w:ind w:left="-95" w:right="-156"/>
              <w:contextualSpacing/>
              <w:rPr>
                <w:rFonts w:ascii="Times New Roman" w:hAnsi="Times New Roman"/>
                <w:color w:val="000000"/>
                <w:sz w:val="20"/>
                <w:szCs w:val="20"/>
              </w:rPr>
            </w:pPr>
            <w:r w:rsidRPr="00B44239">
              <w:rPr>
                <w:rFonts w:ascii="Times New Roman" w:hAnsi="Times New Roman"/>
                <w:color w:val="000000"/>
                <w:sz w:val="20"/>
                <w:szCs w:val="20"/>
              </w:rPr>
              <w:t>0.042</w:t>
            </w:r>
          </w:p>
        </w:tc>
        <w:tc>
          <w:tcPr>
            <w:tcW w:w="277" w:type="pct"/>
            <w:tcBorders>
              <w:top w:val="nil"/>
              <w:left w:val="nil"/>
              <w:bottom w:val="nil"/>
              <w:right w:val="nil"/>
            </w:tcBorders>
            <w:shd w:val="clear" w:color="auto" w:fill="auto"/>
            <w:vAlign w:val="bottom"/>
          </w:tcPr>
          <w:p w14:paraId="53E00639" w14:textId="5FCAF5F7" w:rsidR="001A3E25" w:rsidRPr="00734A5B" w:rsidRDefault="001A3E25" w:rsidP="00993726">
            <w:pPr>
              <w:spacing w:line="240" w:lineRule="auto"/>
              <w:ind w:left="-52" w:right="-97"/>
              <w:contextualSpacing/>
              <w:rPr>
                <w:rFonts w:ascii="Times New Roman" w:hAnsi="Times New Roman"/>
                <w:color w:val="000000"/>
                <w:sz w:val="20"/>
                <w:szCs w:val="20"/>
              </w:rPr>
            </w:pPr>
            <w:r w:rsidRPr="00B44239">
              <w:rPr>
                <w:rFonts w:ascii="Times New Roman" w:hAnsi="Times New Roman"/>
                <w:color w:val="000000"/>
                <w:sz w:val="20"/>
                <w:szCs w:val="20"/>
              </w:rPr>
              <w:t>0.053</w:t>
            </w:r>
          </w:p>
        </w:tc>
        <w:tc>
          <w:tcPr>
            <w:tcW w:w="395" w:type="pct"/>
            <w:tcBorders>
              <w:top w:val="nil"/>
              <w:left w:val="nil"/>
              <w:bottom w:val="nil"/>
              <w:right w:val="nil"/>
            </w:tcBorders>
            <w:shd w:val="clear" w:color="auto" w:fill="auto"/>
            <w:vAlign w:val="bottom"/>
          </w:tcPr>
          <w:p w14:paraId="545B9CBC" w14:textId="084AF5CD" w:rsidR="001A3E25" w:rsidRPr="00734A5B" w:rsidRDefault="001A3E25" w:rsidP="00993726">
            <w:pPr>
              <w:spacing w:line="240" w:lineRule="auto"/>
              <w:ind w:right="-117"/>
              <w:contextualSpacing/>
              <w:rPr>
                <w:rFonts w:ascii="Times New Roman" w:hAnsi="Times New Roman"/>
                <w:color w:val="000000"/>
                <w:sz w:val="20"/>
                <w:szCs w:val="20"/>
              </w:rPr>
            </w:pPr>
            <w:r w:rsidRPr="00B44239">
              <w:rPr>
                <w:rFonts w:ascii="Times New Roman" w:hAnsi="Times New Roman"/>
                <w:color w:val="000000"/>
                <w:sz w:val="20"/>
                <w:szCs w:val="20"/>
              </w:rPr>
              <w:t>4.43***</w:t>
            </w:r>
          </w:p>
        </w:tc>
        <w:tc>
          <w:tcPr>
            <w:tcW w:w="547" w:type="pct"/>
            <w:tcBorders>
              <w:top w:val="nil"/>
              <w:left w:val="nil"/>
              <w:bottom w:val="nil"/>
              <w:right w:val="nil"/>
            </w:tcBorders>
            <w:shd w:val="clear" w:color="auto" w:fill="auto"/>
            <w:vAlign w:val="bottom"/>
          </w:tcPr>
          <w:p w14:paraId="5998C4F1" w14:textId="3EC4709F" w:rsidR="001A3E25" w:rsidRPr="00734A5B" w:rsidRDefault="001A3E25" w:rsidP="00993726">
            <w:pPr>
              <w:spacing w:line="240" w:lineRule="auto"/>
              <w:ind w:right="-467"/>
              <w:contextualSpacing/>
              <w:rPr>
                <w:rFonts w:ascii="Times New Roman" w:hAnsi="Times New Roman"/>
                <w:color w:val="000000"/>
                <w:sz w:val="20"/>
                <w:szCs w:val="20"/>
              </w:rPr>
            </w:pPr>
            <w:r w:rsidRPr="00B44239">
              <w:rPr>
                <w:rFonts w:ascii="Times New Roman" w:hAnsi="Times New Roman"/>
                <w:color w:val="000000"/>
                <w:sz w:val="20"/>
                <w:szCs w:val="20"/>
              </w:rPr>
              <w:t>5.75***</w:t>
            </w:r>
          </w:p>
        </w:tc>
      </w:tr>
      <w:tr w:rsidR="002D5AAC" w:rsidRPr="00734A5B" w14:paraId="12C72E07" w14:textId="54C839ED" w:rsidTr="00F7612D">
        <w:trPr>
          <w:trHeight w:val="20"/>
        </w:trPr>
        <w:tc>
          <w:tcPr>
            <w:tcW w:w="562" w:type="pct"/>
            <w:tcBorders>
              <w:top w:val="nil"/>
              <w:left w:val="nil"/>
              <w:bottom w:val="nil"/>
              <w:right w:val="nil"/>
            </w:tcBorders>
            <w:shd w:val="clear" w:color="auto" w:fill="auto"/>
            <w:hideMark/>
          </w:tcPr>
          <w:p w14:paraId="0754E925" w14:textId="77777777" w:rsidR="001A3E25" w:rsidRPr="00734A5B" w:rsidRDefault="001A3E25" w:rsidP="00993726">
            <w:pPr>
              <w:spacing w:after="0" w:line="240" w:lineRule="auto"/>
              <w:ind w:right="-78"/>
              <w:contextualSpacing/>
              <w:rPr>
                <w:rFonts w:ascii="Times New Roman" w:eastAsia="Times New Roman" w:hAnsi="Times New Roman"/>
                <w:i/>
                <w:color w:val="000000"/>
                <w:sz w:val="20"/>
                <w:szCs w:val="20"/>
              </w:rPr>
            </w:pPr>
            <w:r w:rsidRPr="00734A5B">
              <w:rPr>
                <w:rFonts w:ascii="Times New Roman" w:eastAsia="Times New Roman" w:hAnsi="Times New Roman"/>
                <w:i/>
                <w:color w:val="000000"/>
                <w:sz w:val="20"/>
                <w:szCs w:val="20"/>
              </w:rPr>
              <w:t>NOA</w:t>
            </w:r>
          </w:p>
        </w:tc>
        <w:tc>
          <w:tcPr>
            <w:tcW w:w="233" w:type="pct"/>
            <w:tcBorders>
              <w:top w:val="nil"/>
              <w:left w:val="nil"/>
              <w:bottom w:val="nil"/>
              <w:right w:val="nil"/>
            </w:tcBorders>
            <w:shd w:val="clear" w:color="auto" w:fill="auto"/>
            <w:noWrap/>
            <w:vAlign w:val="bottom"/>
            <w:hideMark/>
          </w:tcPr>
          <w:p w14:paraId="5F80DC76" w14:textId="77777777" w:rsidR="001A3E25" w:rsidRPr="00734A5B" w:rsidRDefault="001A3E25" w:rsidP="001A3E25">
            <w:pPr>
              <w:spacing w:line="240" w:lineRule="auto"/>
              <w:contextualSpacing/>
              <w:rPr>
                <w:rFonts w:ascii="Times New Roman" w:hAnsi="Times New Roman"/>
                <w:color w:val="000000"/>
                <w:sz w:val="20"/>
                <w:szCs w:val="20"/>
              </w:rPr>
            </w:pPr>
            <w:r w:rsidRPr="00734A5B">
              <w:rPr>
                <w:rFonts w:ascii="Times New Roman" w:hAnsi="Times New Roman"/>
                <w:color w:val="000000"/>
                <w:sz w:val="20"/>
                <w:szCs w:val="20"/>
              </w:rPr>
              <w:t>645</w:t>
            </w:r>
          </w:p>
        </w:tc>
        <w:tc>
          <w:tcPr>
            <w:tcW w:w="395" w:type="pct"/>
            <w:tcBorders>
              <w:top w:val="nil"/>
              <w:left w:val="nil"/>
              <w:bottom w:val="nil"/>
              <w:right w:val="nil"/>
            </w:tcBorders>
            <w:shd w:val="clear" w:color="auto" w:fill="auto"/>
            <w:hideMark/>
          </w:tcPr>
          <w:p w14:paraId="6D967CE9" w14:textId="77777777" w:rsidR="001A3E25" w:rsidRPr="00734A5B" w:rsidRDefault="001A3E25" w:rsidP="00993726">
            <w:pPr>
              <w:spacing w:line="240" w:lineRule="auto"/>
              <w:ind w:right="-140"/>
              <w:contextualSpacing/>
              <w:rPr>
                <w:rFonts w:ascii="Times New Roman" w:hAnsi="Times New Roman"/>
                <w:color w:val="000000"/>
                <w:sz w:val="20"/>
                <w:szCs w:val="20"/>
              </w:rPr>
            </w:pPr>
            <w:r w:rsidRPr="00734A5B">
              <w:rPr>
                <w:rFonts w:ascii="Times New Roman" w:hAnsi="Times New Roman"/>
                <w:color w:val="000000"/>
                <w:sz w:val="20"/>
                <w:szCs w:val="20"/>
              </w:rPr>
              <w:t>0.959</w:t>
            </w:r>
          </w:p>
        </w:tc>
        <w:tc>
          <w:tcPr>
            <w:tcW w:w="416" w:type="pct"/>
            <w:tcBorders>
              <w:top w:val="nil"/>
              <w:left w:val="nil"/>
              <w:bottom w:val="nil"/>
              <w:right w:val="nil"/>
            </w:tcBorders>
            <w:shd w:val="clear" w:color="auto" w:fill="auto"/>
            <w:hideMark/>
          </w:tcPr>
          <w:p w14:paraId="4142D74D" w14:textId="77777777" w:rsidR="001A3E25" w:rsidRPr="00734A5B" w:rsidRDefault="001A3E25" w:rsidP="00993726">
            <w:pPr>
              <w:spacing w:line="240" w:lineRule="auto"/>
              <w:ind w:right="-131"/>
              <w:contextualSpacing/>
              <w:rPr>
                <w:rFonts w:ascii="Times New Roman" w:hAnsi="Times New Roman"/>
                <w:color w:val="000000"/>
                <w:sz w:val="20"/>
                <w:szCs w:val="20"/>
              </w:rPr>
            </w:pPr>
            <w:r w:rsidRPr="00734A5B">
              <w:rPr>
                <w:rFonts w:ascii="Times New Roman" w:hAnsi="Times New Roman"/>
                <w:color w:val="000000"/>
                <w:sz w:val="20"/>
                <w:szCs w:val="20"/>
              </w:rPr>
              <w:t>0.988</w:t>
            </w:r>
          </w:p>
        </w:tc>
        <w:tc>
          <w:tcPr>
            <w:tcW w:w="416" w:type="pct"/>
            <w:tcBorders>
              <w:top w:val="nil"/>
              <w:left w:val="nil"/>
              <w:bottom w:val="nil"/>
              <w:right w:val="single" w:sz="4" w:space="0" w:color="auto"/>
            </w:tcBorders>
            <w:shd w:val="clear" w:color="auto" w:fill="auto"/>
            <w:hideMark/>
          </w:tcPr>
          <w:p w14:paraId="3C4A8B1A" w14:textId="77777777" w:rsidR="001A3E25" w:rsidRPr="00734A5B" w:rsidRDefault="001A3E25" w:rsidP="00993726">
            <w:pPr>
              <w:spacing w:line="240" w:lineRule="auto"/>
              <w:ind w:right="-108"/>
              <w:contextualSpacing/>
              <w:rPr>
                <w:rFonts w:ascii="Times New Roman" w:hAnsi="Times New Roman"/>
                <w:color w:val="000000"/>
                <w:sz w:val="20"/>
                <w:szCs w:val="20"/>
              </w:rPr>
            </w:pPr>
            <w:r w:rsidRPr="00734A5B">
              <w:rPr>
                <w:rFonts w:ascii="Times New Roman" w:hAnsi="Times New Roman"/>
                <w:color w:val="000000"/>
                <w:sz w:val="20"/>
                <w:szCs w:val="20"/>
              </w:rPr>
              <w:t>0.078</w:t>
            </w:r>
          </w:p>
        </w:tc>
        <w:tc>
          <w:tcPr>
            <w:tcW w:w="289" w:type="pct"/>
            <w:tcBorders>
              <w:top w:val="nil"/>
              <w:left w:val="single" w:sz="4" w:space="0" w:color="auto"/>
              <w:bottom w:val="nil"/>
              <w:right w:val="nil"/>
            </w:tcBorders>
            <w:shd w:val="clear" w:color="auto" w:fill="auto"/>
            <w:vAlign w:val="bottom"/>
          </w:tcPr>
          <w:p w14:paraId="0518A022" w14:textId="3B626732" w:rsidR="001A3E25" w:rsidRPr="00734A5B" w:rsidRDefault="001A3E25" w:rsidP="00993726">
            <w:pPr>
              <w:spacing w:line="240" w:lineRule="auto"/>
              <w:ind w:left="-100" w:right="-76"/>
              <w:contextualSpacing/>
              <w:rPr>
                <w:rFonts w:ascii="Times New Roman" w:hAnsi="Times New Roman"/>
                <w:color w:val="000000"/>
                <w:sz w:val="20"/>
                <w:szCs w:val="20"/>
              </w:rPr>
            </w:pPr>
            <w:r w:rsidRPr="00B44239">
              <w:rPr>
                <w:rFonts w:ascii="Times New Roman" w:hAnsi="Times New Roman"/>
                <w:color w:val="000000"/>
                <w:sz w:val="20"/>
                <w:szCs w:val="20"/>
              </w:rPr>
              <w:t>7,531</w:t>
            </w:r>
          </w:p>
        </w:tc>
        <w:tc>
          <w:tcPr>
            <w:tcW w:w="395" w:type="pct"/>
            <w:tcBorders>
              <w:top w:val="nil"/>
              <w:left w:val="nil"/>
              <w:bottom w:val="nil"/>
              <w:right w:val="nil"/>
            </w:tcBorders>
            <w:shd w:val="clear" w:color="auto" w:fill="auto"/>
          </w:tcPr>
          <w:p w14:paraId="1CC3E011" w14:textId="491DD00A" w:rsidR="001A3E25" w:rsidRPr="00734A5B" w:rsidRDefault="001A3E25" w:rsidP="00993726">
            <w:pPr>
              <w:spacing w:line="240" w:lineRule="auto"/>
              <w:ind w:left="-55" w:right="-28"/>
              <w:contextualSpacing/>
              <w:rPr>
                <w:rFonts w:ascii="Times New Roman" w:hAnsi="Times New Roman"/>
                <w:color w:val="000000"/>
                <w:sz w:val="20"/>
                <w:szCs w:val="20"/>
              </w:rPr>
            </w:pPr>
            <w:r w:rsidRPr="00B44239">
              <w:rPr>
                <w:rFonts w:ascii="Times New Roman" w:hAnsi="Times New Roman"/>
                <w:color w:val="000000"/>
                <w:sz w:val="20"/>
                <w:szCs w:val="20"/>
              </w:rPr>
              <w:t>0.918</w:t>
            </w:r>
          </w:p>
        </w:tc>
        <w:tc>
          <w:tcPr>
            <w:tcW w:w="339" w:type="pct"/>
            <w:tcBorders>
              <w:top w:val="nil"/>
              <w:left w:val="nil"/>
              <w:bottom w:val="nil"/>
              <w:right w:val="nil"/>
            </w:tcBorders>
            <w:shd w:val="clear" w:color="auto" w:fill="auto"/>
          </w:tcPr>
          <w:p w14:paraId="2177A9FE" w14:textId="17C2F889" w:rsidR="001A3E25" w:rsidRPr="00734A5B" w:rsidRDefault="001A3E25" w:rsidP="00993726">
            <w:pPr>
              <w:spacing w:line="240" w:lineRule="auto"/>
              <w:ind w:left="-103" w:right="-136"/>
              <w:contextualSpacing/>
              <w:rPr>
                <w:rFonts w:ascii="Times New Roman" w:hAnsi="Times New Roman"/>
                <w:color w:val="000000"/>
                <w:sz w:val="20"/>
                <w:szCs w:val="20"/>
              </w:rPr>
            </w:pPr>
            <w:r w:rsidRPr="00B44239">
              <w:rPr>
                <w:rFonts w:ascii="Times New Roman" w:hAnsi="Times New Roman"/>
                <w:color w:val="000000"/>
                <w:sz w:val="20"/>
                <w:szCs w:val="20"/>
              </w:rPr>
              <w:t>0.960</w:t>
            </w:r>
          </w:p>
        </w:tc>
        <w:tc>
          <w:tcPr>
            <w:tcW w:w="405" w:type="pct"/>
            <w:tcBorders>
              <w:top w:val="nil"/>
              <w:left w:val="nil"/>
              <w:bottom w:val="nil"/>
              <w:right w:val="single" w:sz="4" w:space="0" w:color="auto"/>
            </w:tcBorders>
            <w:shd w:val="clear" w:color="auto" w:fill="auto"/>
          </w:tcPr>
          <w:p w14:paraId="06C1497F" w14:textId="2DC55EA3" w:rsidR="001A3E25" w:rsidRPr="00734A5B" w:rsidRDefault="001A3E25" w:rsidP="00993726">
            <w:pPr>
              <w:spacing w:line="240" w:lineRule="auto"/>
              <w:ind w:left="-85" w:right="-74"/>
              <w:contextualSpacing/>
              <w:rPr>
                <w:rFonts w:ascii="Times New Roman" w:hAnsi="Times New Roman"/>
                <w:color w:val="000000"/>
                <w:sz w:val="20"/>
                <w:szCs w:val="20"/>
              </w:rPr>
            </w:pPr>
            <w:r w:rsidRPr="00B44239">
              <w:rPr>
                <w:rFonts w:ascii="Times New Roman" w:hAnsi="Times New Roman"/>
                <w:color w:val="000000"/>
                <w:sz w:val="20"/>
                <w:szCs w:val="20"/>
              </w:rPr>
              <w:t>0.120</w:t>
            </w:r>
          </w:p>
        </w:tc>
        <w:tc>
          <w:tcPr>
            <w:tcW w:w="331" w:type="pct"/>
            <w:tcBorders>
              <w:top w:val="nil"/>
              <w:left w:val="single" w:sz="4" w:space="0" w:color="auto"/>
              <w:bottom w:val="nil"/>
              <w:right w:val="nil"/>
            </w:tcBorders>
            <w:shd w:val="clear" w:color="auto" w:fill="auto"/>
            <w:vAlign w:val="bottom"/>
          </w:tcPr>
          <w:p w14:paraId="206313EA" w14:textId="1121519E" w:rsidR="001A3E25" w:rsidRPr="00734A5B" w:rsidRDefault="001A3E25" w:rsidP="00993726">
            <w:pPr>
              <w:spacing w:line="240" w:lineRule="auto"/>
              <w:ind w:left="-95" w:right="-156"/>
              <w:contextualSpacing/>
              <w:rPr>
                <w:rFonts w:ascii="Times New Roman" w:hAnsi="Times New Roman"/>
                <w:color w:val="000000"/>
                <w:sz w:val="20"/>
                <w:szCs w:val="20"/>
              </w:rPr>
            </w:pPr>
            <w:r w:rsidRPr="00B44239">
              <w:rPr>
                <w:rFonts w:ascii="Times New Roman" w:hAnsi="Times New Roman"/>
                <w:color w:val="000000"/>
                <w:sz w:val="20"/>
                <w:szCs w:val="20"/>
              </w:rPr>
              <w:t>0.041</w:t>
            </w:r>
          </w:p>
        </w:tc>
        <w:tc>
          <w:tcPr>
            <w:tcW w:w="277" w:type="pct"/>
            <w:tcBorders>
              <w:top w:val="nil"/>
              <w:left w:val="nil"/>
              <w:bottom w:val="nil"/>
              <w:right w:val="nil"/>
            </w:tcBorders>
            <w:shd w:val="clear" w:color="auto" w:fill="auto"/>
            <w:vAlign w:val="bottom"/>
          </w:tcPr>
          <w:p w14:paraId="13FFB12E" w14:textId="4644C34F" w:rsidR="001A3E25" w:rsidRPr="00734A5B" w:rsidRDefault="001A3E25" w:rsidP="00993726">
            <w:pPr>
              <w:spacing w:line="240" w:lineRule="auto"/>
              <w:ind w:left="-52" w:right="-97"/>
              <w:contextualSpacing/>
              <w:rPr>
                <w:rFonts w:ascii="Times New Roman" w:hAnsi="Times New Roman"/>
                <w:color w:val="000000"/>
                <w:sz w:val="20"/>
                <w:szCs w:val="20"/>
              </w:rPr>
            </w:pPr>
            <w:r w:rsidRPr="00B44239">
              <w:rPr>
                <w:rFonts w:ascii="Times New Roman" w:hAnsi="Times New Roman"/>
                <w:color w:val="000000"/>
                <w:sz w:val="20"/>
                <w:szCs w:val="20"/>
              </w:rPr>
              <w:t>0.028</w:t>
            </w:r>
          </w:p>
        </w:tc>
        <w:tc>
          <w:tcPr>
            <w:tcW w:w="395" w:type="pct"/>
            <w:tcBorders>
              <w:top w:val="nil"/>
              <w:left w:val="nil"/>
              <w:bottom w:val="nil"/>
              <w:right w:val="nil"/>
            </w:tcBorders>
            <w:shd w:val="clear" w:color="auto" w:fill="auto"/>
            <w:vAlign w:val="bottom"/>
          </w:tcPr>
          <w:p w14:paraId="533CFBE4" w14:textId="57058E48" w:rsidR="001A3E25" w:rsidRPr="00734A5B" w:rsidRDefault="001A3E25" w:rsidP="00993726">
            <w:pPr>
              <w:spacing w:line="240" w:lineRule="auto"/>
              <w:ind w:right="-117"/>
              <w:contextualSpacing/>
              <w:rPr>
                <w:rFonts w:ascii="Times New Roman" w:hAnsi="Times New Roman"/>
                <w:color w:val="000000"/>
                <w:sz w:val="20"/>
                <w:szCs w:val="20"/>
              </w:rPr>
            </w:pPr>
            <w:r w:rsidRPr="00B44239">
              <w:rPr>
                <w:rFonts w:ascii="Times New Roman" w:hAnsi="Times New Roman"/>
                <w:color w:val="000000"/>
                <w:sz w:val="20"/>
                <w:szCs w:val="20"/>
              </w:rPr>
              <w:t>12.31***</w:t>
            </w:r>
          </w:p>
        </w:tc>
        <w:tc>
          <w:tcPr>
            <w:tcW w:w="547" w:type="pct"/>
            <w:tcBorders>
              <w:top w:val="nil"/>
              <w:left w:val="nil"/>
              <w:bottom w:val="nil"/>
              <w:right w:val="nil"/>
            </w:tcBorders>
            <w:shd w:val="clear" w:color="auto" w:fill="auto"/>
            <w:vAlign w:val="bottom"/>
          </w:tcPr>
          <w:p w14:paraId="65982CEC" w14:textId="0B303F2B" w:rsidR="001A3E25" w:rsidRPr="00734A5B" w:rsidRDefault="001A3E25" w:rsidP="00993726">
            <w:pPr>
              <w:spacing w:line="240" w:lineRule="auto"/>
              <w:ind w:right="-467"/>
              <w:contextualSpacing/>
              <w:rPr>
                <w:rFonts w:ascii="Times New Roman" w:hAnsi="Times New Roman"/>
                <w:color w:val="000000"/>
                <w:sz w:val="20"/>
                <w:szCs w:val="20"/>
              </w:rPr>
            </w:pPr>
            <w:r w:rsidRPr="00B44239">
              <w:rPr>
                <w:rFonts w:ascii="Times New Roman" w:hAnsi="Times New Roman"/>
                <w:color w:val="000000"/>
                <w:sz w:val="20"/>
                <w:szCs w:val="20"/>
              </w:rPr>
              <w:t>14.44***</w:t>
            </w:r>
          </w:p>
        </w:tc>
      </w:tr>
      <w:tr w:rsidR="002D5AAC" w:rsidRPr="00734A5B" w14:paraId="17398BDC" w14:textId="1A00446F" w:rsidTr="00F7612D">
        <w:trPr>
          <w:trHeight w:val="20"/>
        </w:trPr>
        <w:tc>
          <w:tcPr>
            <w:tcW w:w="562" w:type="pct"/>
            <w:tcBorders>
              <w:top w:val="nil"/>
              <w:left w:val="nil"/>
              <w:bottom w:val="nil"/>
              <w:right w:val="nil"/>
            </w:tcBorders>
            <w:shd w:val="clear" w:color="auto" w:fill="auto"/>
            <w:hideMark/>
          </w:tcPr>
          <w:p w14:paraId="7E3D8440" w14:textId="77777777" w:rsidR="001A3E25" w:rsidRPr="00734A5B" w:rsidRDefault="001A3E25" w:rsidP="00993726">
            <w:pPr>
              <w:spacing w:after="0" w:line="240" w:lineRule="auto"/>
              <w:ind w:right="-78"/>
              <w:contextualSpacing/>
              <w:rPr>
                <w:rFonts w:ascii="Times New Roman" w:eastAsia="Times New Roman" w:hAnsi="Times New Roman"/>
                <w:i/>
                <w:color w:val="000000"/>
                <w:sz w:val="20"/>
                <w:szCs w:val="20"/>
              </w:rPr>
            </w:pPr>
            <w:r w:rsidRPr="00734A5B">
              <w:rPr>
                <w:rFonts w:ascii="Times New Roman" w:eastAsia="Times New Roman" w:hAnsi="Times New Roman"/>
                <w:i/>
                <w:color w:val="000000"/>
                <w:sz w:val="20"/>
                <w:szCs w:val="20"/>
              </w:rPr>
              <w:t>OPERCYCLE</w:t>
            </w:r>
          </w:p>
        </w:tc>
        <w:tc>
          <w:tcPr>
            <w:tcW w:w="233" w:type="pct"/>
            <w:tcBorders>
              <w:top w:val="nil"/>
              <w:left w:val="nil"/>
              <w:bottom w:val="nil"/>
              <w:right w:val="nil"/>
            </w:tcBorders>
            <w:shd w:val="clear" w:color="auto" w:fill="auto"/>
            <w:noWrap/>
            <w:vAlign w:val="bottom"/>
            <w:hideMark/>
          </w:tcPr>
          <w:p w14:paraId="190796EB" w14:textId="77777777" w:rsidR="001A3E25" w:rsidRPr="00734A5B" w:rsidRDefault="001A3E25" w:rsidP="001A3E25">
            <w:pPr>
              <w:spacing w:line="240" w:lineRule="auto"/>
              <w:contextualSpacing/>
              <w:rPr>
                <w:rFonts w:ascii="Times New Roman" w:hAnsi="Times New Roman"/>
                <w:color w:val="000000"/>
                <w:sz w:val="20"/>
                <w:szCs w:val="20"/>
              </w:rPr>
            </w:pPr>
            <w:r w:rsidRPr="00734A5B">
              <w:rPr>
                <w:rFonts w:ascii="Times New Roman" w:hAnsi="Times New Roman"/>
                <w:color w:val="000000"/>
                <w:sz w:val="20"/>
                <w:szCs w:val="20"/>
              </w:rPr>
              <w:t>592</w:t>
            </w:r>
          </w:p>
        </w:tc>
        <w:tc>
          <w:tcPr>
            <w:tcW w:w="395" w:type="pct"/>
            <w:tcBorders>
              <w:top w:val="nil"/>
              <w:left w:val="nil"/>
              <w:bottom w:val="nil"/>
              <w:right w:val="nil"/>
            </w:tcBorders>
            <w:shd w:val="clear" w:color="auto" w:fill="auto"/>
            <w:hideMark/>
          </w:tcPr>
          <w:p w14:paraId="53357F06" w14:textId="77777777" w:rsidR="001A3E25" w:rsidRPr="00734A5B" w:rsidRDefault="001A3E25" w:rsidP="00993726">
            <w:pPr>
              <w:spacing w:line="240" w:lineRule="auto"/>
              <w:ind w:right="-140"/>
              <w:contextualSpacing/>
              <w:rPr>
                <w:rFonts w:ascii="Times New Roman" w:hAnsi="Times New Roman"/>
                <w:color w:val="000000"/>
                <w:sz w:val="20"/>
                <w:szCs w:val="20"/>
              </w:rPr>
            </w:pPr>
            <w:r w:rsidRPr="00734A5B">
              <w:rPr>
                <w:rFonts w:ascii="Times New Roman" w:hAnsi="Times New Roman"/>
                <w:color w:val="000000"/>
                <w:sz w:val="20"/>
                <w:szCs w:val="20"/>
              </w:rPr>
              <w:t>11.482</w:t>
            </w:r>
          </w:p>
        </w:tc>
        <w:tc>
          <w:tcPr>
            <w:tcW w:w="416" w:type="pct"/>
            <w:tcBorders>
              <w:top w:val="nil"/>
              <w:left w:val="nil"/>
              <w:bottom w:val="nil"/>
              <w:right w:val="nil"/>
            </w:tcBorders>
            <w:shd w:val="clear" w:color="auto" w:fill="auto"/>
            <w:hideMark/>
          </w:tcPr>
          <w:p w14:paraId="4656F839" w14:textId="77777777" w:rsidR="001A3E25" w:rsidRPr="00734A5B" w:rsidRDefault="001A3E25" w:rsidP="00993726">
            <w:pPr>
              <w:spacing w:line="240" w:lineRule="auto"/>
              <w:ind w:right="-131"/>
              <w:contextualSpacing/>
              <w:rPr>
                <w:rFonts w:ascii="Times New Roman" w:hAnsi="Times New Roman"/>
                <w:color w:val="000000"/>
                <w:sz w:val="20"/>
                <w:szCs w:val="20"/>
              </w:rPr>
            </w:pPr>
            <w:r w:rsidRPr="00734A5B">
              <w:rPr>
                <w:rFonts w:ascii="Times New Roman" w:hAnsi="Times New Roman"/>
                <w:color w:val="000000"/>
                <w:sz w:val="20"/>
                <w:szCs w:val="20"/>
              </w:rPr>
              <w:t>16.187</w:t>
            </w:r>
          </w:p>
        </w:tc>
        <w:tc>
          <w:tcPr>
            <w:tcW w:w="416" w:type="pct"/>
            <w:tcBorders>
              <w:top w:val="nil"/>
              <w:left w:val="nil"/>
              <w:bottom w:val="nil"/>
              <w:right w:val="single" w:sz="4" w:space="0" w:color="auto"/>
            </w:tcBorders>
            <w:shd w:val="clear" w:color="auto" w:fill="auto"/>
            <w:hideMark/>
          </w:tcPr>
          <w:p w14:paraId="117D83E4" w14:textId="77777777" w:rsidR="001A3E25" w:rsidRPr="00734A5B" w:rsidRDefault="001A3E25" w:rsidP="00993726">
            <w:pPr>
              <w:spacing w:line="240" w:lineRule="auto"/>
              <w:ind w:right="-108"/>
              <w:contextualSpacing/>
              <w:rPr>
                <w:rFonts w:ascii="Times New Roman" w:hAnsi="Times New Roman"/>
                <w:color w:val="000000"/>
                <w:sz w:val="20"/>
                <w:szCs w:val="20"/>
              </w:rPr>
            </w:pPr>
            <w:r w:rsidRPr="00734A5B">
              <w:rPr>
                <w:rFonts w:ascii="Times New Roman" w:hAnsi="Times New Roman"/>
                <w:color w:val="000000"/>
                <w:sz w:val="20"/>
                <w:szCs w:val="20"/>
              </w:rPr>
              <w:t>53.447</w:t>
            </w:r>
          </w:p>
        </w:tc>
        <w:tc>
          <w:tcPr>
            <w:tcW w:w="289" w:type="pct"/>
            <w:tcBorders>
              <w:top w:val="nil"/>
              <w:left w:val="single" w:sz="4" w:space="0" w:color="auto"/>
              <w:bottom w:val="nil"/>
              <w:right w:val="nil"/>
            </w:tcBorders>
            <w:shd w:val="clear" w:color="auto" w:fill="auto"/>
            <w:vAlign w:val="bottom"/>
          </w:tcPr>
          <w:p w14:paraId="24060DD8" w14:textId="07CC55E8" w:rsidR="001A3E25" w:rsidRPr="00734A5B" w:rsidRDefault="001A3E25" w:rsidP="00993726">
            <w:pPr>
              <w:spacing w:line="240" w:lineRule="auto"/>
              <w:ind w:left="-100" w:right="-76"/>
              <w:contextualSpacing/>
              <w:rPr>
                <w:rFonts w:ascii="Times New Roman" w:hAnsi="Times New Roman"/>
                <w:color w:val="000000"/>
                <w:sz w:val="20"/>
                <w:szCs w:val="20"/>
              </w:rPr>
            </w:pPr>
            <w:r w:rsidRPr="00B44239">
              <w:rPr>
                <w:rFonts w:ascii="Times New Roman" w:hAnsi="Times New Roman"/>
                <w:color w:val="000000"/>
                <w:sz w:val="20"/>
                <w:szCs w:val="20"/>
              </w:rPr>
              <w:t>7,119</w:t>
            </w:r>
          </w:p>
        </w:tc>
        <w:tc>
          <w:tcPr>
            <w:tcW w:w="395" w:type="pct"/>
            <w:tcBorders>
              <w:top w:val="nil"/>
              <w:left w:val="nil"/>
              <w:bottom w:val="nil"/>
              <w:right w:val="nil"/>
            </w:tcBorders>
            <w:shd w:val="clear" w:color="auto" w:fill="auto"/>
          </w:tcPr>
          <w:p w14:paraId="174DEFF6" w14:textId="45084BB8" w:rsidR="001A3E25" w:rsidRPr="00734A5B" w:rsidRDefault="001A3E25" w:rsidP="00993726">
            <w:pPr>
              <w:spacing w:line="240" w:lineRule="auto"/>
              <w:ind w:left="-55" w:right="-28"/>
              <w:contextualSpacing/>
              <w:rPr>
                <w:rFonts w:ascii="Times New Roman" w:hAnsi="Times New Roman"/>
                <w:color w:val="000000"/>
                <w:sz w:val="20"/>
                <w:szCs w:val="20"/>
              </w:rPr>
            </w:pPr>
            <w:r w:rsidRPr="00B44239">
              <w:rPr>
                <w:rFonts w:ascii="Times New Roman" w:hAnsi="Times New Roman"/>
                <w:color w:val="000000"/>
                <w:sz w:val="20"/>
                <w:szCs w:val="20"/>
              </w:rPr>
              <w:t>-13.411</w:t>
            </w:r>
          </w:p>
        </w:tc>
        <w:tc>
          <w:tcPr>
            <w:tcW w:w="339" w:type="pct"/>
            <w:tcBorders>
              <w:top w:val="nil"/>
              <w:left w:val="nil"/>
              <w:bottom w:val="nil"/>
              <w:right w:val="nil"/>
            </w:tcBorders>
            <w:shd w:val="clear" w:color="auto" w:fill="auto"/>
          </w:tcPr>
          <w:p w14:paraId="23FB77B3" w14:textId="6A4DB2A6" w:rsidR="001A3E25" w:rsidRPr="00734A5B" w:rsidRDefault="001A3E25" w:rsidP="00993726">
            <w:pPr>
              <w:spacing w:line="240" w:lineRule="auto"/>
              <w:ind w:left="-103" w:right="-136"/>
              <w:contextualSpacing/>
              <w:rPr>
                <w:rFonts w:ascii="Times New Roman" w:hAnsi="Times New Roman"/>
                <w:color w:val="000000"/>
                <w:sz w:val="20"/>
                <w:szCs w:val="20"/>
              </w:rPr>
            </w:pPr>
            <w:r w:rsidRPr="00B44239">
              <w:rPr>
                <w:rFonts w:ascii="Times New Roman" w:hAnsi="Times New Roman"/>
                <w:color w:val="000000"/>
                <w:sz w:val="20"/>
                <w:szCs w:val="20"/>
              </w:rPr>
              <w:t>16.879</w:t>
            </w:r>
          </w:p>
        </w:tc>
        <w:tc>
          <w:tcPr>
            <w:tcW w:w="405" w:type="pct"/>
            <w:tcBorders>
              <w:top w:val="nil"/>
              <w:left w:val="nil"/>
              <w:bottom w:val="nil"/>
              <w:right w:val="single" w:sz="4" w:space="0" w:color="auto"/>
            </w:tcBorders>
            <w:shd w:val="clear" w:color="auto" w:fill="auto"/>
          </w:tcPr>
          <w:p w14:paraId="012BE4E0" w14:textId="41CB7E38" w:rsidR="001A3E25" w:rsidRPr="00734A5B" w:rsidRDefault="001A3E25" w:rsidP="00993726">
            <w:pPr>
              <w:spacing w:line="240" w:lineRule="auto"/>
              <w:ind w:left="-85" w:right="-74"/>
              <w:contextualSpacing/>
              <w:rPr>
                <w:rFonts w:ascii="Times New Roman" w:hAnsi="Times New Roman"/>
                <w:color w:val="000000"/>
                <w:sz w:val="20"/>
                <w:szCs w:val="20"/>
              </w:rPr>
            </w:pPr>
            <w:r w:rsidRPr="00B44239">
              <w:rPr>
                <w:rFonts w:ascii="Times New Roman" w:hAnsi="Times New Roman"/>
                <w:color w:val="000000"/>
                <w:sz w:val="20"/>
                <w:szCs w:val="20"/>
              </w:rPr>
              <w:t>2,147.530</w:t>
            </w:r>
          </w:p>
        </w:tc>
        <w:tc>
          <w:tcPr>
            <w:tcW w:w="331" w:type="pct"/>
            <w:tcBorders>
              <w:top w:val="nil"/>
              <w:left w:val="single" w:sz="4" w:space="0" w:color="auto"/>
              <w:bottom w:val="nil"/>
              <w:right w:val="nil"/>
            </w:tcBorders>
            <w:shd w:val="clear" w:color="auto" w:fill="auto"/>
            <w:vAlign w:val="bottom"/>
          </w:tcPr>
          <w:p w14:paraId="174E22FB" w14:textId="54F41462" w:rsidR="001A3E25" w:rsidRPr="00734A5B" w:rsidRDefault="001A3E25" w:rsidP="00993726">
            <w:pPr>
              <w:spacing w:line="240" w:lineRule="auto"/>
              <w:ind w:left="-95" w:right="-156"/>
              <w:contextualSpacing/>
              <w:rPr>
                <w:rFonts w:ascii="Times New Roman" w:hAnsi="Times New Roman"/>
                <w:color w:val="000000"/>
                <w:sz w:val="20"/>
                <w:szCs w:val="20"/>
              </w:rPr>
            </w:pPr>
            <w:r w:rsidRPr="00B44239">
              <w:rPr>
                <w:rFonts w:ascii="Times New Roman" w:hAnsi="Times New Roman"/>
                <w:color w:val="000000"/>
                <w:sz w:val="20"/>
                <w:szCs w:val="20"/>
              </w:rPr>
              <w:t>24.893</w:t>
            </w:r>
          </w:p>
        </w:tc>
        <w:tc>
          <w:tcPr>
            <w:tcW w:w="277" w:type="pct"/>
            <w:tcBorders>
              <w:top w:val="nil"/>
              <w:left w:val="nil"/>
              <w:bottom w:val="nil"/>
              <w:right w:val="nil"/>
            </w:tcBorders>
            <w:shd w:val="clear" w:color="auto" w:fill="auto"/>
            <w:vAlign w:val="bottom"/>
          </w:tcPr>
          <w:p w14:paraId="2BA0A3B1" w14:textId="32BEE38C" w:rsidR="001A3E25" w:rsidRPr="00734A5B" w:rsidRDefault="001A3E25" w:rsidP="00993726">
            <w:pPr>
              <w:spacing w:line="240" w:lineRule="auto"/>
              <w:ind w:left="-52" w:right="-97"/>
              <w:contextualSpacing/>
              <w:rPr>
                <w:rFonts w:ascii="Times New Roman" w:hAnsi="Times New Roman"/>
                <w:color w:val="000000"/>
                <w:sz w:val="20"/>
                <w:szCs w:val="20"/>
              </w:rPr>
            </w:pPr>
            <w:r w:rsidRPr="00B44239">
              <w:rPr>
                <w:rFonts w:ascii="Times New Roman" w:hAnsi="Times New Roman"/>
                <w:color w:val="000000"/>
                <w:sz w:val="20"/>
                <w:szCs w:val="20"/>
              </w:rPr>
              <w:t>-0.692</w:t>
            </w:r>
          </w:p>
        </w:tc>
        <w:tc>
          <w:tcPr>
            <w:tcW w:w="395" w:type="pct"/>
            <w:tcBorders>
              <w:top w:val="nil"/>
              <w:left w:val="nil"/>
              <w:bottom w:val="nil"/>
              <w:right w:val="nil"/>
            </w:tcBorders>
            <w:shd w:val="clear" w:color="auto" w:fill="auto"/>
            <w:vAlign w:val="bottom"/>
          </w:tcPr>
          <w:p w14:paraId="4CB49318" w14:textId="602C3392" w:rsidR="001A3E25" w:rsidRPr="00734A5B" w:rsidRDefault="001A3E25" w:rsidP="00993726">
            <w:pPr>
              <w:spacing w:line="240" w:lineRule="auto"/>
              <w:ind w:right="-117"/>
              <w:contextualSpacing/>
              <w:rPr>
                <w:rFonts w:ascii="Times New Roman" w:hAnsi="Times New Roman"/>
                <w:color w:val="000000"/>
                <w:sz w:val="20"/>
                <w:szCs w:val="20"/>
              </w:rPr>
            </w:pPr>
            <w:r w:rsidRPr="00B44239">
              <w:rPr>
                <w:rFonts w:ascii="Times New Roman" w:hAnsi="Times New Roman"/>
                <w:color w:val="000000"/>
                <w:sz w:val="20"/>
                <w:szCs w:val="20"/>
              </w:rPr>
              <w:t>0.97</w:t>
            </w:r>
          </w:p>
        </w:tc>
        <w:tc>
          <w:tcPr>
            <w:tcW w:w="547" w:type="pct"/>
            <w:tcBorders>
              <w:top w:val="nil"/>
              <w:left w:val="nil"/>
              <w:bottom w:val="nil"/>
              <w:right w:val="nil"/>
            </w:tcBorders>
            <w:shd w:val="clear" w:color="auto" w:fill="auto"/>
            <w:vAlign w:val="bottom"/>
          </w:tcPr>
          <w:p w14:paraId="467BD8BC" w14:textId="1AC34D58" w:rsidR="001A3E25" w:rsidRPr="00734A5B" w:rsidRDefault="001A3E25" w:rsidP="00993726">
            <w:pPr>
              <w:spacing w:line="240" w:lineRule="auto"/>
              <w:ind w:right="-467"/>
              <w:contextualSpacing/>
              <w:rPr>
                <w:rFonts w:ascii="Times New Roman" w:hAnsi="Times New Roman"/>
                <w:color w:val="000000"/>
                <w:sz w:val="20"/>
                <w:szCs w:val="20"/>
              </w:rPr>
            </w:pPr>
            <w:r w:rsidRPr="00B44239">
              <w:rPr>
                <w:rFonts w:ascii="Times New Roman" w:hAnsi="Times New Roman"/>
                <w:color w:val="000000"/>
                <w:sz w:val="20"/>
                <w:szCs w:val="20"/>
              </w:rPr>
              <w:t>-0.29</w:t>
            </w:r>
          </w:p>
        </w:tc>
      </w:tr>
      <w:tr w:rsidR="002D5AAC" w:rsidRPr="00734A5B" w14:paraId="70AACB5A" w14:textId="1836760C" w:rsidTr="00F7612D">
        <w:trPr>
          <w:trHeight w:val="20"/>
        </w:trPr>
        <w:tc>
          <w:tcPr>
            <w:tcW w:w="562" w:type="pct"/>
            <w:tcBorders>
              <w:top w:val="nil"/>
              <w:left w:val="nil"/>
              <w:bottom w:val="nil"/>
              <w:right w:val="nil"/>
            </w:tcBorders>
            <w:shd w:val="clear" w:color="auto" w:fill="auto"/>
            <w:hideMark/>
          </w:tcPr>
          <w:p w14:paraId="15B73C15" w14:textId="77777777" w:rsidR="001A3E25" w:rsidRPr="00734A5B" w:rsidRDefault="001A3E25" w:rsidP="00993726">
            <w:pPr>
              <w:spacing w:after="0" w:line="240" w:lineRule="auto"/>
              <w:ind w:right="-78"/>
              <w:contextualSpacing/>
              <w:rPr>
                <w:rFonts w:ascii="Times New Roman" w:eastAsia="Times New Roman" w:hAnsi="Times New Roman"/>
                <w:i/>
                <w:color w:val="000000"/>
                <w:sz w:val="20"/>
                <w:szCs w:val="20"/>
              </w:rPr>
            </w:pPr>
            <w:r w:rsidRPr="00734A5B">
              <w:rPr>
                <w:rFonts w:ascii="Times New Roman" w:eastAsia="Times New Roman" w:hAnsi="Times New Roman"/>
                <w:i/>
                <w:color w:val="000000"/>
                <w:sz w:val="20"/>
                <w:szCs w:val="20"/>
              </w:rPr>
              <w:t>ROA</w:t>
            </w:r>
          </w:p>
        </w:tc>
        <w:tc>
          <w:tcPr>
            <w:tcW w:w="233" w:type="pct"/>
            <w:tcBorders>
              <w:top w:val="nil"/>
              <w:left w:val="nil"/>
              <w:bottom w:val="nil"/>
              <w:right w:val="nil"/>
            </w:tcBorders>
            <w:shd w:val="clear" w:color="auto" w:fill="auto"/>
            <w:noWrap/>
            <w:vAlign w:val="bottom"/>
            <w:hideMark/>
          </w:tcPr>
          <w:p w14:paraId="3188BE35" w14:textId="77777777" w:rsidR="001A3E25" w:rsidRPr="00734A5B" w:rsidRDefault="001A3E25" w:rsidP="001A3E25">
            <w:pPr>
              <w:spacing w:line="240" w:lineRule="auto"/>
              <w:contextualSpacing/>
              <w:rPr>
                <w:rFonts w:ascii="Times New Roman" w:hAnsi="Times New Roman"/>
                <w:color w:val="000000"/>
                <w:sz w:val="20"/>
                <w:szCs w:val="20"/>
              </w:rPr>
            </w:pPr>
            <w:r w:rsidRPr="00734A5B">
              <w:rPr>
                <w:rFonts w:ascii="Times New Roman" w:hAnsi="Times New Roman"/>
                <w:color w:val="000000"/>
                <w:sz w:val="20"/>
                <w:szCs w:val="20"/>
              </w:rPr>
              <w:t>645</w:t>
            </w:r>
          </w:p>
        </w:tc>
        <w:tc>
          <w:tcPr>
            <w:tcW w:w="395" w:type="pct"/>
            <w:tcBorders>
              <w:top w:val="nil"/>
              <w:left w:val="nil"/>
              <w:bottom w:val="nil"/>
              <w:right w:val="nil"/>
            </w:tcBorders>
            <w:shd w:val="clear" w:color="auto" w:fill="auto"/>
            <w:hideMark/>
          </w:tcPr>
          <w:p w14:paraId="65F5C327" w14:textId="77777777" w:rsidR="001A3E25" w:rsidRPr="00734A5B" w:rsidRDefault="001A3E25" w:rsidP="00993726">
            <w:pPr>
              <w:spacing w:line="240" w:lineRule="auto"/>
              <w:ind w:right="-140"/>
              <w:contextualSpacing/>
              <w:rPr>
                <w:rFonts w:ascii="Times New Roman" w:hAnsi="Times New Roman"/>
                <w:color w:val="000000"/>
                <w:sz w:val="20"/>
                <w:szCs w:val="20"/>
              </w:rPr>
            </w:pPr>
            <w:r w:rsidRPr="00734A5B">
              <w:rPr>
                <w:rFonts w:ascii="Times New Roman" w:hAnsi="Times New Roman"/>
                <w:color w:val="000000"/>
                <w:sz w:val="20"/>
                <w:szCs w:val="20"/>
              </w:rPr>
              <w:t>0.046</w:t>
            </w:r>
          </w:p>
        </w:tc>
        <w:tc>
          <w:tcPr>
            <w:tcW w:w="416" w:type="pct"/>
            <w:tcBorders>
              <w:top w:val="nil"/>
              <w:left w:val="nil"/>
              <w:bottom w:val="nil"/>
              <w:right w:val="nil"/>
            </w:tcBorders>
            <w:shd w:val="clear" w:color="auto" w:fill="auto"/>
            <w:hideMark/>
          </w:tcPr>
          <w:p w14:paraId="204CAF73" w14:textId="77777777" w:rsidR="001A3E25" w:rsidRPr="00734A5B" w:rsidRDefault="001A3E25" w:rsidP="00993726">
            <w:pPr>
              <w:spacing w:line="240" w:lineRule="auto"/>
              <w:ind w:right="-131"/>
              <w:contextualSpacing/>
              <w:rPr>
                <w:rFonts w:ascii="Times New Roman" w:hAnsi="Times New Roman"/>
                <w:color w:val="000000"/>
                <w:sz w:val="20"/>
                <w:szCs w:val="20"/>
              </w:rPr>
            </w:pPr>
            <w:r w:rsidRPr="00734A5B">
              <w:rPr>
                <w:rFonts w:ascii="Times New Roman" w:hAnsi="Times New Roman"/>
                <w:color w:val="000000"/>
                <w:sz w:val="20"/>
                <w:szCs w:val="20"/>
              </w:rPr>
              <w:t>0.041</w:t>
            </w:r>
          </w:p>
        </w:tc>
        <w:tc>
          <w:tcPr>
            <w:tcW w:w="416" w:type="pct"/>
            <w:tcBorders>
              <w:top w:val="nil"/>
              <w:left w:val="nil"/>
              <w:bottom w:val="nil"/>
              <w:right w:val="single" w:sz="4" w:space="0" w:color="auto"/>
            </w:tcBorders>
            <w:shd w:val="clear" w:color="auto" w:fill="auto"/>
            <w:hideMark/>
          </w:tcPr>
          <w:p w14:paraId="38F3810E" w14:textId="77777777" w:rsidR="001A3E25" w:rsidRPr="00734A5B" w:rsidRDefault="001A3E25" w:rsidP="00993726">
            <w:pPr>
              <w:spacing w:line="240" w:lineRule="auto"/>
              <w:ind w:right="-108"/>
              <w:contextualSpacing/>
              <w:rPr>
                <w:rFonts w:ascii="Times New Roman" w:hAnsi="Times New Roman"/>
                <w:color w:val="000000"/>
                <w:sz w:val="20"/>
                <w:szCs w:val="20"/>
              </w:rPr>
            </w:pPr>
            <w:r w:rsidRPr="00734A5B">
              <w:rPr>
                <w:rFonts w:ascii="Times New Roman" w:hAnsi="Times New Roman"/>
                <w:color w:val="000000"/>
                <w:sz w:val="20"/>
                <w:szCs w:val="20"/>
              </w:rPr>
              <w:t>0.097</w:t>
            </w:r>
          </w:p>
        </w:tc>
        <w:tc>
          <w:tcPr>
            <w:tcW w:w="289" w:type="pct"/>
            <w:tcBorders>
              <w:top w:val="nil"/>
              <w:left w:val="single" w:sz="4" w:space="0" w:color="auto"/>
              <w:bottom w:val="nil"/>
              <w:right w:val="nil"/>
            </w:tcBorders>
            <w:shd w:val="clear" w:color="auto" w:fill="auto"/>
            <w:vAlign w:val="bottom"/>
          </w:tcPr>
          <w:p w14:paraId="451DF48E" w14:textId="36B6041C" w:rsidR="001A3E25" w:rsidRPr="00734A5B" w:rsidRDefault="001A3E25" w:rsidP="00993726">
            <w:pPr>
              <w:spacing w:line="240" w:lineRule="auto"/>
              <w:ind w:left="-100" w:right="-76"/>
              <w:contextualSpacing/>
              <w:rPr>
                <w:rFonts w:ascii="Times New Roman" w:hAnsi="Times New Roman"/>
                <w:color w:val="000000"/>
                <w:sz w:val="20"/>
                <w:szCs w:val="20"/>
              </w:rPr>
            </w:pPr>
            <w:r w:rsidRPr="00B44239">
              <w:rPr>
                <w:rFonts w:ascii="Times New Roman" w:hAnsi="Times New Roman"/>
                <w:color w:val="000000"/>
                <w:sz w:val="20"/>
                <w:szCs w:val="20"/>
              </w:rPr>
              <w:t>7,532</w:t>
            </w:r>
          </w:p>
        </w:tc>
        <w:tc>
          <w:tcPr>
            <w:tcW w:w="395" w:type="pct"/>
            <w:tcBorders>
              <w:top w:val="nil"/>
              <w:left w:val="nil"/>
              <w:bottom w:val="nil"/>
              <w:right w:val="nil"/>
            </w:tcBorders>
            <w:shd w:val="clear" w:color="auto" w:fill="auto"/>
          </w:tcPr>
          <w:p w14:paraId="293BB654" w14:textId="7FC870DF" w:rsidR="001A3E25" w:rsidRPr="00734A5B" w:rsidRDefault="001A3E25" w:rsidP="00993726">
            <w:pPr>
              <w:spacing w:line="240" w:lineRule="auto"/>
              <w:ind w:left="-55" w:right="-28"/>
              <w:contextualSpacing/>
              <w:rPr>
                <w:rFonts w:ascii="Times New Roman" w:hAnsi="Times New Roman"/>
                <w:color w:val="000000"/>
                <w:sz w:val="20"/>
                <w:szCs w:val="20"/>
              </w:rPr>
            </w:pPr>
            <w:r w:rsidRPr="00B44239">
              <w:rPr>
                <w:rFonts w:ascii="Times New Roman" w:hAnsi="Times New Roman"/>
                <w:color w:val="000000"/>
                <w:sz w:val="20"/>
                <w:szCs w:val="20"/>
              </w:rPr>
              <w:t>-0.019</w:t>
            </w:r>
          </w:p>
        </w:tc>
        <w:tc>
          <w:tcPr>
            <w:tcW w:w="339" w:type="pct"/>
            <w:tcBorders>
              <w:top w:val="nil"/>
              <w:left w:val="nil"/>
              <w:bottom w:val="nil"/>
              <w:right w:val="nil"/>
            </w:tcBorders>
            <w:shd w:val="clear" w:color="auto" w:fill="auto"/>
          </w:tcPr>
          <w:p w14:paraId="72CE824A" w14:textId="479F1EE3" w:rsidR="001A3E25" w:rsidRPr="00734A5B" w:rsidRDefault="001A3E25" w:rsidP="00993726">
            <w:pPr>
              <w:spacing w:line="240" w:lineRule="auto"/>
              <w:ind w:left="-103" w:right="-136"/>
              <w:contextualSpacing/>
              <w:rPr>
                <w:rFonts w:ascii="Times New Roman" w:hAnsi="Times New Roman"/>
                <w:color w:val="000000"/>
                <w:sz w:val="20"/>
                <w:szCs w:val="20"/>
              </w:rPr>
            </w:pPr>
            <w:r w:rsidRPr="00B44239">
              <w:rPr>
                <w:rFonts w:ascii="Times New Roman" w:hAnsi="Times New Roman"/>
                <w:color w:val="000000"/>
                <w:sz w:val="20"/>
                <w:szCs w:val="20"/>
              </w:rPr>
              <w:t>0.031</w:t>
            </w:r>
          </w:p>
        </w:tc>
        <w:tc>
          <w:tcPr>
            <w:tcW w:w="405" w:type="pct"/>
            <w:tcBorders>
              <w:top w:val="nil"/>
              <w:left w:val="nil"/>
              <w:bottom w:val="nil"/>
              <w:right w:val="single" w:sz="4" w:space="0" w:color="auto"/>
            </w:tcBorders>
            <w:shd w:val="clear" w:color="auto" w:fill="auto"/>
          </w:tcPr>
          <w:p w14:paraId="77693F8D" w14:textId="3E70B851" w:rsidR="001A3E25" w:rsidRPr="00734A5B" w:rsidRDefault="001A3E25" w:rsidP="00993726">
            <w:pPr>
              <w:spacing w:line="240" w:lineRule="auto"/>
              <w:ind w:left="-85" w:right="-74"/>
              <w:contextualSpacing/>
              <w:rPr>
                <w:rFonts w:ascii="Times New Roman" w:hAnsi="Times New Roman"/>
                <w:color w:val="000000"/>
                <w:sz w:val="20"/>
                <w:szCs w:val="20"/>
              </w:rPr>
            </w:pPr>
            <w:r w:rsidRPr="00B44239">
              <w:rPr>
                <w:rFonts w:ascii="Times New Roman" w:hAnsi="Times New Roman"/>
                <w:color w:val="000000"/>
                <w:sz w:val="20"/>
                <w:szCs w:val="20"/>
              </w:rPr>
              <w:t>0.255</w:t>
            </w:r>
          </w:p>
        </w:tc>
        <w:tc>
          <w:tcPr>
            <w:tcW w:w="331" w:type="pct"/>
            <w:tcBorders>
              <w:top w:val="nil"/>
              <w:left w:val="single" w:sz="4" w:space="0" w:color="auto"/>
              <w:bottom w:val="nil"/>
              <w:right w:val="nil"/>
            </w:tcBorders>
            <w:shd w:val="clear" w:color="auto" w:fill="auto"/>
            <w:vAlign w:val="bottom"/>
          </w:tcPr>
          <w:p w14:paraId="7C5B645A" w14:textId="517AF29F" w:rsidR="001A3E25" w:rsidRPr="00734A5B" w:rsidRDefault="001A3E25" w:rsidP="00993726">
            <w:pPr>
              <w:spacing w:line="240" w:lineRule="auto"/>
              <w:ind w:left="-95" w:right="-156"/>
              <w:contextualSpacing/>
              <w:rPr>
                <w:rFonts w:ascii="Times New Roman" w:hAnsi="Times New Roman"/>
                <w:color w:val="000000"/>
                <w:sz w:val="20"/>
                <w:szCs w:val="20"/>
              </w:rPr>
            </w:pPr>
            <w:r w:rsidRPr="00B44239">
              <w:rPr>
                <w:rFonts w:ascii="Times New Roman" w:hAnsi="Times New Roman"/>
                <w:color w:val="000000"/>
                <w:sz w:val="20"/>
                <w:szCs w:val="20"/>
              </w:rPr>
              <w:t>0.065</w:t>
            </w:r>
          </w:p>
        </w:tc>
        <w:tc>
          <w:tcPr>
            <w:tcW w:w="277" w:type="pct"/>
            <w:tcBorders>
              <w:top w:val="nil"/>
              <w:left w:val="nil"/>
              <w:bottom w:val="nil"/>
              <w:right w:val="nil"/>
            </w:tcBorders>
            <w:shd w:val="clear" w:color="auto" w:fill="auto"/>
            <w:vAlign w:val="bottom"/>
          </w:tcPr>
          <w:p w14:paraId="5925C129" w14:textId="74BAACCD" w:rsidR="001A3E25" w:rsidRPr="00734A5B" w:rsidRDefault="001A3E25" w:rsidP="00993726">
            <w:pPr>
              <w:spacing w:line="240" w:lineRule="auto"/>
              <w:ind w:left="-52" w:right="-97"/>
              <w:contextualSpacing/>
              <w:rPr>
                <w:rFonts w:ascii="Times New Roman" w:hAnsi="Times New Roman"/>
                <w:color w:val="000000"/>
                <w:sz w:val="20"/>
                <w:szCs w:val="20"/>
              </w:rPr>
            </w:pPr>
            <w:r w:rsidRPr="00B44239">
              <w:rPr>
                <w:rFonts w:ascii="Times New Roman" w:hAnsi="Times New Roman"/>
                <w:color w:val="000000"/>
                <w:sz w:val="20"/>
                <w:szCs w:val="20"/>
              </w:rPr>
              <w:t>0.010</w:t>
            </w:r>
          </w:p>
        </w:tc>
        <w:tc>
          <w:tcPr>
            <w:tcW w:w="395" w:type="pct"/>
            <w:tcBorders>
              <w:top w:val="nil"/>
              <w:left w:val="nil"/>
              <w:bottom w:val="nil"/>
              <w:right w:val="nil"/>
            </w:tcBorders>
            <w:shd w:val="clear" w:color="auto" w:fill="auto"/>
            <w:vAlign w:val="bottom"/>
          </w:tcPr>
          <w:p w14:paraId="18703476" w14:textId="38843C05" w:rsidR="001A3E25" w:rsidRPr="00734A5B" w:rsidRDefault="001A3E25" w:rsidP="00993726">
            <w:pPr>
              <w:spacing w:line="240" w:lineRule="auto"/>
              <w:ind w:right="-117"/>
              <w:contextualSpacing/>
              <w:rPr>
                <w:rFonts w:ascii="Times New Roman" w:hAnsi="Times New Roman"/>
                <w:color w:val="000000"/>
                <w:sz w:val="20"/>
                <w:szCs w:val="20"/>
              </w:rPr>
            </w:pPr>
            <w:r w:rsidRPr="00B44239">
              <w:rPr>
                <w:rFonts w:ascii="Times New Roman" w:hAnsi="Times New Roman"/>
                <w:color w:val="000000"/>
                <w:sz w:val="20"/>
                <w:szCs w:val="20"/>
              </w:rPr>
              <w:t>13.49***</w:t>
            </w:r>
          </w:p>
        </w:tc>
        <w:tc>
          <w:tcPr>
            <w:tcW w:w="547" w:type="pct"/>
            <w:tcBorders>
              <w:top w:val="nil"/>
              <w:left w:val="nil"/>
              <w:bottom w:val="nil"/>
              <w:right w:val="nil"/>
            </w:tcBorders>
            <w:shd w:val="clear" w:color="auto" w:fill="auto"/>
            <w:vAlign w:val="bottom"/>
          </w:tcPr>
          <w:p w14:paraId="2399624B" w14:textId="43FF55EC" w:rsidR="001A3E25" w:rsidRPr="00734A5B" w:rsidRDefault="001A3E25" w:rsidP="00993726">
            <w:pPr>
              <w:spacing w:line="240" w:lineRule="auto"/>
              <w:ind w:right="-467"/>
              <w:contextualSpacing/>
              <w:rPr>
                <w:rFonts w:ascii="Times New Roman" w:hAnsi="Times New Roman"/>
                <w:color w:val="000000"/>
                <w:sz w:val="20"/>
                <w:szCs w:val="20"/>
              </w:rPr>
            </w:pPr>
            <w:r w:rsidRPr="00B44239">
              <w:rPr>
                <w:rFonts w:ascii="Times New Roman" w:hAnsi="Times New Roman"/>
                <w:color w:val="000000"/>
                <w:sz w:val="20"/>
                <w:szCs w:val="20"/>
              </w:rPr>
              <w:t>6.72***</w:t>
            </w:r>
          </w:p>
        </w:tc>
      </w:tr>
      <w:tr w:rsidR="002D5AAC" w:rsidRPr="00734A5B" w14:paraId="0A41F457" w14:textId="4E5C9F67" w:rsidTr="00F7612D">
        <w:trPr>
          <w:trHeight w:val="20"/>
        </w:trPr>
        <w:tc>
          <w:tcPr>
            <w:tcW w:w="562" w:type="pct"/>
            <w:tcBorders>
              <w:top w:val="nil"/>
              <w:left w:val="nil"/>
              <w:bottom w:val="nil"/>
              <w:right w:val="nil"/>
            </w:tcBorders>
            <w:shd w:val="clear" w:color="auto" w:fill="auto"/>
            <w:hideMark/>
          </w:tcPr>
          <w:p w14:paraId="634830A8" w14:textId="77777777" w:rsidR="001A3E25" w:rsidRPr="00734A5B" w:rsidRDefault="001A3E25" w:rsidP="00993726">
            <w:pPr>
              <w:spacing w:after="0" w:line="240" w:lineRule="auto"/>
              <w:ind w:right="-78"/>
              <w:contextualSpacing/>
              <w:rPr>
                <w:rFonts w:ascii="Times New Roman" w:eastAsia="Times New Roman" w:hAnsi="Times New Roman"/>
                <w:i/>
                <w:color w:val="000000"/>
                <w:sz w:val="20"/>
                <w:szCs w:val="20"/>
              </w:rPr>
            </w:pPr>
            <w:r w:rsidRPr="00734A5B">
              <w:rPr>
                <w:rFonts w:ascii="Times New Roman" w:eastAsia="Times New Roman" w:hAnsi="Times New Roman"/>
                <w:i/>
                <w:color w:val="000000"/>
                <w:sz w:val="20"/>
                <w:szCs w:val="20"/>
              </w:rPr>
              <w:t>MKBK</w:t>
            </w:r>
          </w:p>
        </w:tc>
        <w:tc>
          <w:tcPr>
            <w:tcW w:w="233" w:type="pct"/>
            <w:tcBorders>
              <w:top w:val="nil"/>
              <w:left w:val="nil"/>
              <w:bottom w:val="nil"/>
              <w:right w:val="nil"/>
            </w:tcBorders>
            <w:shd w:val="clear" w:color="auto" w:fill="auto"/>
            <w:noWrap/>
            <w:vAlign w:val="bottom"/>
            <w:hideMark/>
          </w:tcPr>
          <w:p w14:paraId="637F8BB3" w14:textId="77777777" w:rsidR="001A3E25" w:rsidRPr="00734A5B" w:rsidRDefault="001A3E25" w:rsidP="001A3E25">
            <w:pPr>
              <w:spacing w:line="240" w:lineRule="auto"/>
              <w:contextualSpacing/>
              <w:rPr>
                <w:rFonts w:ascii="Times New Roman" w:hAnsi="Times New Roman"/>
                <w:color w:val="000000"/>
                <w:sz w:val="20"/>
                <w:szCs w:val="20"/>
              </w:rPr>
            </w:pPr>
            <w:r w:rsidRPr="00734A5B">
              <w:rPr>
                <w:rFonts w:ascii="Times New Roman" w:hAnsi="Times New Roman"/>
                <w:color w:val="000000"/>
                <w:sz w:val="20"/>
                <w:szCs w:val="20"/>
              </w:rPr>
              <w:t>632</w:t>
            </w:r>
          </w:p>
        </w:tc>
        <w:tc>
          <w:tcPr>
            <w:tcW w:w="395" w:type="pct"/>
            <w:tcBorders>
              <w:top w:val="nil"/>
              <w:left w:val="nil"/>
              <w:bottom w:val="nil"/>
              <w:right w:val="nil"/>
            </w:tcBorders>
            <w:shd w:val="clear" w:color="auto" w:fill="auto"/>
            <w:hideMark/>
          </w:tcPr>
          <w:p w14:paraId="2F1F36BB" w14:textId="77777777" w:rsidR="001A3E25" w:rsidRPr="00734A5B" w:rsidRDefault="001A3E25" w:rsidP="00993726">
            <w:pPr>
              <w:spacing w:line="240" w:lineRule="auto"/>
              <w:ind w:right="-140"/>
              <w:contextualSpacing/>
              <w:rPr>
                <w:rFonts w:ascii="Times New Roman" w:hAnsi="Times New Roman"/>
                <w:color w:val="000000"/>
                <w:sz w:val="20"/>
                <w:szCs w:val="20"/>
              </w:rPr>
            </w:pPr>
            <w:r w:rsidRPr="00734A5B">
              <w:rPr>
                <w:rFonts w:ascii="Times New Roman" w:hAnsi="Times New Roman"/>
                <w:color w:val="000000"/>
                <w:sz w:val="20"/>
                <w:szCs w:val="20"/>
              </w:rPr>
              <w:t>3.352</w:t>
            </w:r>
          </w:p>
        </w:tc>
        <w:tc>
          <w:tcPr>
            <w:tcW w:w="416" w:type="pct"/>
            <w:tcBorders>
              <w:top w:val="nil"/>
              <w:left w:val="nil"/>
              <w:bottom w:val="nil"/>
              <w:right w:val="nil"/>
            </w:tcBorders>
            <w:shd w:val="clear" w:color="auto" w:fill="auto"/>
            <w:hideMark/>
          </w:tcPr>
          <w:p w14:paraId="5B838291" w14:textId="77777777" w:rsidR="001A3E25" w:rsidRPr="00734A5B" w:rsidRDefault="001A3E25" w:rsidP="00993726">
            <w:pPr>
              <w:spacing w:line="240" w:lineRule="auto"/>
              <w:ind w:right="-131"/>
              <w:contextualSpacing/>
              <w:rPr>
                <w:rFonts w:ascii="Times New Roman" w:hAnsi="Times New Roman"/>
                <w:color w:val="000000"/>
                <w:sz w:val="20"/>
                <w:szCs w:val="20"/>
              </w:rPr>
            </w:pPr>
            <w:r w:rsidRPr="00734A5B">
              <w:rPr>
                <w:rFonts w:ascii="Times New Roman" w:hAnsi="Times New Roman"/>
                <w:color w:val="000000"/>
                <w:sz w:val="20"/>
                <w:szCs w:val="20"/>
              </w:rPr>
              <w:t>2.192</w:t>
            </w:r>
          </w:p>
        </w:tc>
        <w:tc>
          <w:tcPr>
            <w:tcW w:w="416" w:type="pct"/>
            <w:tcBorders>
              <w:top w:val="nil"/>
              <w:left w:val="nil"/>
              <w:bottom w:val="nil"/>
              <w:right w:val="single" w:sz="4" w:space="0" w:color="auto"/>
            </w:tcBorders>
            <w:shd w:val="clear" w:color="auto" w:fill="auto"/>
            <w:hideMark/>
          </w:tcPr>
          <w:p w14:paraId="5F34DE53" w14:textId="77777777" w:rsidR="001A3E25" w:rsidRPr="00734A5B" w:rsidRDefault="001A3E25" w:rsidP="00993726">
            <w:pPr>
              <w:spacing w:line="240" w:lineRule="auto"/>
              <w:ind w:right="-108"/>
              <w:contextualSpacing/>
              <w:rPr>
                <w:rFonts w:ascii="Times New Roman" w:hAnsi="Times New Roman"/>
                <w:color w:val="000000"/>
                <w:sz w:val="20"/>
                <w:szCs w:val="20"/>
              </w:rPr>
            </w:pPr>
            <w:r w:rsidRPr="00734A5B">
              <w:rPr>
                <w:rFonts w:ascii="Times New Roman" w:hAnsi="Times New Roman"/>
                <w:color w:val="000000"/>
                <w:sz w:val="20"/>
                <w:szCs w:val="20"/>
              </w:rPr>
              <w:t>5.862</w:t>
            </w:r>
          </w:p>
        </w:tc>
        <w:tc>
          <w:tcPr>
            <w:tcW w:w="289" w:type="pct"/>
            <w:tcBorders>
              <w:top w:val="nil"/>
              <w:left w:val="single" w:sz="4" w:space="0" w:color="auto"/>
              <w:bottom w:val="nil"/>
              <w:right w:val="nil"/>
            </w:tcBorders>
            <w:shd w:val="clear" w:color="auto" w:fill="auto"/>
            <w:vAlign w:val="bottom"/>
          </w:tcPr>
          <w:p w14:paraId="79728AAD" w14:textId="055BCAB4" w:rsidR="001A3E25" w:rsidRPr="00734A5B" w:rsidRDefault="001A3E25" w:rsidP="00993726">
            <w:pPr>
              <w:spacing w:line="240" w:lineRule="auto"/>
              <w:ind w:left="-100" w:right="-76"/>
              <w:contextualSpacing/>
              <w:rPr>
                <w:rFonts w:ascii="Times New Roman" w:hAnsi="Times New Roman"/>
                <w:color w:val="000000"/>
                <w:sz w:val="20"/>
                <w:szCs w:val="20"/>
              </w:rPr>
            </w:pPr>
            <w:r w:rsidRPr="00B44239">
              <w:rPr>
                <w:rFonts w:ascii="Times New Roman" w:hAnsi="Times New Roman"/>
                <w:color w:val="000000"/>
                <w:sz w:val="20"/>
                <w:szCs w:val="20"/>
              </w:rPr>
              <w:t>7,492</w:t>
            </w:r>
          </w:p>
        </w:tc>
        <w:tc>
          <w:tcPr>
            <w:tcW w:w="395" w:type="pct"/>
            <w:tcBorders>
              <w:top w:val="nil"/>
              <w:left w:val="nil"/>
              <w:bottom w:val="nil"/>
              <w:right w:val="nil"/>
            </w:tcBorders>
            <w:shd w:val="clear" w:color="auto" w:fill="auto"/>
          </w:tcPr>
          <w:p w14:paraId="3A3EFB58" w14:textId="2D7C159D" w:rsidR="001A3E25" w:rsidRPr="00734A5B" w:rsidRDefault="001A3E25" w:rsidP="00993726">
            <w:pPr>
              <w:spacing w:line="240" w:lineRule="auto"/>
              <w:ind w:left="-55" w:right="-28"/>
              <w:contextualSpacing/>
              <w:rPr>
                <w:rFonts w:ascii="Times New Roman" w:hAnsi="Times New Roman"/>
                <w:color w:val="000000"/>
                <w:sz w:val="20"/>
                <w:szCs w:val="20"/>
              </w:rPr>
            </w:pPr>
            <w:r w:rsidRPr="00B44239">
              <w:rPr>
                <w:rFonts w:ascii="Times New Roman" w:hAnsi="Times New Roman"/>
                <w:color w:val="000000"/>
                <w:sz w:val="20"/>
                <w:szCs w:val="20"/>
              </w:rPr>
              <w:t>2.210</w:t>
            </w:r>
          </w:p>
        </w:tc>
        <w:tc>
          <w:tcPr>
            <w:tcW w:w="339" w:type="pct"/>
            <w:tcBorders>
              <w:top w:val="nil"/>
              <w:left w:val="nil"/>
              <w:bottom w:val="nil"/>
              <w:right w:val="nil"/>
            </w:tcBorders>
            <w:shd w:val="clear" w:color="auto" w:fill="auto"/>
          </w:tcPr>
          <w:p w14:paraId="1D3D3969" w14:textId="0C55E0AF" w:rsidR="001A3E25" w:rsidRPr="00734A5B" w:rsidRDefault="001A3E25" w:rsidP="00993726">
            <w:pPr>
              <w:spacing w:line="240" w:lineRule="auto"/>
              <w:ind w:left="-103" w:right="-136"/>
              <w:contextualSpacing/>
              <w:rPr>
                <w:rFonts w:ascii="Times New Roman" w:hAnsi="Times New Roman"/>
                <w:color w:val="000000"/>
                <w:sz w:val="20"/>
                <w:szCs w:val="20"/>
              </w:rPr>
            </w:pPr>
            <w:r w:rsidRPr="00B44239">
              <w:rPr>
                <w:rFonts w:ascii="Times New Roman" w:hAnsi="Times New Roman"/>
                <w:color w:val="000000"/>
                <w:sz w:val="20"/>
                <w:szCs w:val="20"/>
              </w:rPr>
              <w:t>1.723</w:t>
            </w:r>
          </w:p>
        </w:tc>
        <w:tc>
          <w:tcPr>
            <w:tcW w:w="405" w:type="pct"/>
            <w:tcBorders>
              <w:top w:val="nil"/>
              <w:left w:val="nil"/>
              <w:bottom w:val="nil"/>
              <w:right w:val="single" w:sz="4" w:space="0" w:color="auto"/>
            </w:tcBorders>
            <w:shd w:val="clear" w:color="auto" w:fill="auto"/>
          </w:tcPr>
          <w:p w14:paraId="50D02DD6" w14:textId="55995956" w:rsidR="001A3E25" w:rsidRPr="00734A5B" w:rsidRDefault="001A3E25" w:rsidP="00993726">
            <w:pPr>
              <w:spacing w:line="240" w:lineRule="auto"/>
              <w:ind w:left="-85" w:right="-74"/>
              <w:contextualSpacing/>
              <w:rPr>
                <w:rFonts w:ascii="Times New Roman" w:hAnsi="Times New Roman"/>
                <w:color w:val="000000"/>
                <w:sz w:val="20"/>
                <w:szCs w:val="20"/>
              </w:rPr>
            </w:pPr>
            <w:r w:rsidRPr="00B44239">
              <w:rPr>
                <w:rFonts w:ascii="Times New Roman" w:hAnsi="Times New Roman"/>
                <w:color w:val="000000"/>
                <w:sz w:val="20"/>
                <w:szCs w:val="20"/>
              </w:rPr>
              <w:t>3.034</w:t>
            </w:r>
          </w:p>
        </w:tc>
        <w:tc>
          <w:tcPr>
            <w:tcW w:w="331" w:type="pct"/>
            <w:tcBorders>
              <w:top w:val="nil"/>
              <w:left w:val="single" w:sz="4" w:space="0" w:color="auto"/>
              <w:bottom w:val="nil"/>
              <w:right w:val="nil"/>
            </w:tcBorders>
            <w:shd w:val="clear" w:color="auto" w:fill="auto"/>
            <w:vAlign w:val="bottom"/>
          </w:tcPr>
          <w:p w14:paraId="525C092F" w14:textId="35900ADD" w:rsidR="001A3E25" w:rsidRPr="00734A5B" w:rsidRDefault="001A3E25" w:rsidP="00993726">
            <w:pPr>
              <w:spacing w:line="240" w:lineRule="auto"/>
              <w:ind w:left="-95" w:right="-156"/>
              <w:contextualSpacing/>
              <w:rPr>
                <w:rFonts w:ascii="Times New Roman" w:hAnsi="Times New Roman"/>
                <w:color w:val="000000"/>
                <w:sz w:val="20"/>
                <w:szCs w:val="20"/>
              </w:rPr>
            </w:pPr>
            <w:r w:rsidRPr="00B44239">
              <w:rPr>
                <w:rFonts w:ascii="Times New Roman" w:hAnsi="Times New Roman"/>
                <w:color w:val="000000"/>
                <w:sz w:val="20"/>
                <w:szCs w:val="20"/>
              </w:rPr>
              <w:t>1.142</w:t>
            </w:r>
          </w:p>
        </w:tc>
        <w:tc>
          <w:tcPr>
            <w:tcW w:w="277" w:type="pct"/>
            <w:tcBorders>
              <w:top w:val="nil"/>
              <w:left w:val="nil"/>
              <w:bottom w:val="nil"/>
              <w:right w:val="nil"/>
            </w:tcBorders>
            <w:shd w:val="clear" w:color="auto" w:fill="auto"/>
            <w:vAlign w:val="bottom"/>
          </w:tcPr>
          <w:p w14:paraId="2FD936F4" w14:textId="71FD88BD" w:rsidR="001A3E25" w:rsidRPr="00734A5B" w:rsidRDefault="001A3E25" w:rsidP="00993726">
            <w:pPr>
              <w:spacing w:line="240" w:lineRule="auto"/>
              <w:ind w:left="-52" w:right="-97"/>
              <w:contextualSpacing/>
              <w:rPr>
                <w:rFonts w:ascii="Times New Roman" w:hAnsi="Times New Roman"/>
                <w:color w:val="000000"/>
                <w:sz w:val="20"/>
                <w:szCs w:val="20"/>
              </w:rPr>
            </w:pPr>
            <w:r w:rsidRPr="00B44239">
              <w:rPr>
                <w:rFonts w:ascii="Times New Roman" w:hAnsi="Times New Roman"/>
                <w:color w:val="000000"/>
                <w:sz w:val="20"/>
                <w:szCs w:val="20"/>
              </w:rPr>
              <w:t>0.469</w:t>
            </w:r>
          </w:p>
        </w:tc>
        <w:tc>
          <w:tcPr>
            <w:tcW w:w="395" w:type="pct"/>
            <w:tcBorders>
              <w:top w:val="nil"/>
              <w:left w:val="nil"/>
              <w:bottom w:val="nil"/>
              <w:right w:val="nil"/>
            </w:tcBorders>
            <w:shd w:val="clear" w:color="auto" w:fill="auto"/>
            <w:vAlign w:val="bottom"/>
          </w:tcPr>
          <w:p w14:paraId="3B1DF12D" w14:textId="2673AD4D" w:rsidR="001A3E25" w:rsidRPr="00734A5B" w:rsidRDefault="001A3E25" w:rsidP="00993726">
            <w:pPr>
              <w:spacing w:line="240" w:lineRule="auto"/>
              <w:ind w:right="-117"/>
              <w:contextualSpacing/>
              <w:rPr>
                <w:rFonts w:ascii="Times New Roman" w:hAnsi="Times New Roman"/>
                <w:color w:val="000000"/>
                <w:sz w:val="20"/>
                <w:szCs w:val="20"/>
              </w:rPr>
            </w:pPr>
            <w:r w:rsidRPr="00B44239">
              <w:rPr>
                <w:rFonts w:ascii="Times New Roman" w:hAnsi="Times New Roman"/>
                <w:color w:val="000000"/>
                <w:sz w:val="20"/>
                <w:szCs w:val="20"/>
              </w:rPr>
              <w:t>4.84***</w:t>
            </w:r>
          </w:p>
        </w:tc>
        <w:tc>
          <w:tcPr>
            <w:tcW w:w="547" w:type="pct"/>
            <w:tcBorders>
              <w:top w:val="nil"/>
              <w:left w:val="nil"/>
              <w:bottom w:val="nil"/>
              <w:right w:val="nil"/>
            </w:tcBorders>
            <w:shd w:val="clear" w:color="auto" w:fill="auto"/>
            <w:vAlign w:val="bottom"/>
          </w:tcPr>
          <w:p w14:paraId="06BA3094" w14:textId="3ECC3984" w:rsidR="001A3E25" w:rsidRPr="00734A5B" w:rsidRDefault="001A3E25" w:rsidP="00993726">
            <w:pPr>
              <w:spacing w:line="240" w:lineRule="auto"/>
              <w:ind w:right="-467"/>
              <w:contextualSpacing/>
              <w:rPr>
                <w:rFonts w:ascii="Times New Roman" w:hAnsi="Times New Roman"/>
                <w:color w:val="000000"/>
                <w:sz w:val="20"/>
                <w:szCs w:val="20"/>
              </w:rPr>
            </w:pPr>
            <w:r w:rsidRPr="00B44239">
              <w:rPr>
                <w:rFonts w:ascii="Times New Roman" w:hAnsi="Times New Roman"/>
                <w:color w:val="000000"/>
                <w:sz w:val="20"/>
                <w:szCs w:val="20"/>
              </w:rPr>
              <w:t>8.37***</w:t>
            </w:r>
          </w:p>
        </w:tc>
      </w:tr>
      <w:tr w:rsidR="002D5AAC" w:rsidRPr="00734A5B" w14:paraId="38EB7803" w14:textId="2FE66074" w:rsidTr="00F7612D">
        <w:trPr>
          <w:trHeight w:val="20"/>
        </w:trPr>
        <w:tc>
          <w:tcPr>
            <w:tcW w:w="562" w:type="pct"/>
            <w:tcBorders>
              <w:top w:val="nil"/>
              <w:left w:val="nil"/>
              <w:bottom w:val="nil"/>
              <w:right w:val="nil"/>
            </w:tcBorders>
            <w:shd w:val="clear" w:color="auto" w:fill="auto"/>
          </w:tcPr>
          <w:p w14:paraId="1F476D72" w14:textId="77777777" w:rsidR="001A3E25" w:rsidRPr="00734A5B" w:rsidRDefault="001A3E25" w:rsidP="00993726">
            <w:pPr>
              <w:spacing w:after="0" w:line="240" w:lineRule="auto"/>
              <w:ind w:right="-78"/>
              <w:contextualSpacing/>
              <w:rPr>
                <w:rFonts w:ascii="Times New Roman" w:eastAsia="Times New Roman" w:hAnsi="Times New Roman"/>
                <w:i/>
                <w:color w:val="000000"/>
                <w:sz w:val="20"/>
                <w:szCs w:val="20"/>
              </w:rPr>
            </w:pPr>
            <w:r w:rsidRPr="00734A5B">
              <w:rPr>
                <w:rFonts w:ascii="Times New Roman" w:eastAsia="Times New Roman" w:hAnsi="Times New Roman"/>
                <w:i/>
                <w:color w:val="000000"/>
                <w:sz w:val="20"/>
                <w:szCs w:val="20"/>
              </w:rPr>
              <w:t>LIQUIDITY</w:t>
            </w:r>
          </w:p>
        </w:tc>
        <w:tc>
          <w:tcPr>
            <w:tcW w:w="233" w:type="pct"/>
            <w:tcBorders>
              <w:top w:val="nil"/>
              <w:left w:val="nil"/>
              <w:bottom w:val="nil"/>
              <w:right w:val="nil"/>
            </w:tcBorders>
            <w:shd w:val="clear" w:color="auto" w:fill="auto"/>
            <w:noWrap/>
            <w:vAlign w:val="bottom"/>
          </w:tcPr>
          <w:p w14:paraId="123E7EF7" w14:textId="77777777" w:rsidR="001A3E25" w:rsidRPr="00734A5B" w:rsidRDefault="001A3E25" w:rsidP="001A3E25">
            <w:pPr>
              <w:spacing w:line="240" w:lineRule="auto"/>
              <w:contextualSpacing/>
              <w:rPr>
                <w:rFonts w:ascii="Times New Roman" w:hAnsi="Times New Roman"/>
                <w:color w:val="000000"/>
                <w:sz w:val="20"/>
                <w:szCs w:val="20"/>
              </w:rPr>
            </w:pPr>
            <w:r w:rsidRPr="00734A5B">
              <w:rPr>
                <w:rFonts w:ascii="Times New Roman" w:hAnsi="Times New Roman"/>
                <w:color w:val="000000"/>
                <w:sz w:val="20"/>
                <w:szCs w:val="20"/>
              </w:rPr>
              <w:t>645</w:t>
            </w:r>
          </w:p>
        </w:tc>
        <w:tc>
          <w:tcPr>
            <w:tcW w:w="395" w:type="pct"/>
            <w:tcBorders>
              <w:top w:val="nil"/>
              <w:left w:val="nil"/>
              <w:bottom w:val="nil"/>
              <w:right w:val="nil"/>
            </w:tcBorders>
            <w:shd w:val="clear" w:color="auto" w:fill="auto"/>
          </w:tcPr>
          <w:p w14:paraId="02998753" w14:textId="77777777" w:rsidR="001A3E25" w:rsidRPr="00734A5B" w:rsidRDefault="001A3E25" w:rsidP="00993726">
            <w:pPr>
              <w:spacing w:line="240" w:lineRule="auto"/>
              <w:ind w:right="-140"/>
              <w:contextualSpacing/>
              <w:rPr>
                <w:rFonts w:ascii="Times New Roman" w:hAnsi="Times New Roman"/>
                <w:color w:val="000000"/>
                <w:sz w:val="20"/>
                <w:szCs w:val="20"/>
              </w:rPr>
            </w:pPr>
            <w:r w:rsidRPr="00734A5B">
              <w:rPr>
                <w:rFonts w:ascii="Times New Roman" w:hAnsi="Times New Roman"/>
                <w:color w:val="000000"/>
                <w:sz w:val="20"/>
                <w:szCs w:val="20"/>
              </w:rPr>
              <w:t>0.075</w:t>
            </w:r>
          </w:p>
        </w:tc>
        <w:tc>
          <w:tcPr>
            <w:tcW w:w="416" w:type="pct"/>
            <w:tcBorders>
              <w:top w:val="nil"/>
              <w:left w:val="nil"/>
              <w:bottom w:val="nil"/>
              <w:right w:val="nil"/>
            </w:tcBorders>
            <w:shd w:val="clear" w:color="auto" w:fill="auto"/>
          </w:tcPr>
          <w:p w14:paraId="56E93A77" w14:textId="77777777" w:rsidR="001A3E25" w:rsidRPr="00734A5B" w:rsidRDefault="001A3E25" w:rsidP="00993726">
            <w:pPr>
              <w:spacing w:line="240" w:lineRule="auto"/>
              <w:ind w:right="-131"/>
              <w:contextualSpacing/>
              <w:rPr>
                <w:rFonts w:ascii="Times New Roman" w:hAnsi="Times New Roman"/>
                <w:color w:val="000000"/>
                <w:sz w:val="20"/>
                <w:szCs w:val="20"/>
              </w:rPr>
            </w:pPr>
            <w:r w:rsidRPr="00734A5B">
              <w:rPr>
                <w:rFonts w:ascii="Times New Roman" w:hAnsi="Times New Roman"/>
                <w:color w:val="000000"/>
                <w:sz w:val="20"/>
                <w:szCs w:val="20"/>
              </w:rPr>
              <w:t>0.057</w:t>
            </w:r>
          </w:p>
        </w:tc>
        <w:tc>
          <w:tcPr>
            <w:tcW w:w="416" w:type="pct"/>
            <w:tcBorders>
              <w:top w:val="nil"/>
              <w:left w:val="nil"/>
              <w:bottom w:val="nil"/>
              <w:right w:val="single" w:sz="4" w:space="0" w:color="auto"/>
            </w:tcBorders>
            <w:shd w:val="clear" w:color="auto" w:fill="auto"/>
          </w:tcPr>
          <w:p w14:paraId="4C74D3BB" w14:textId="77777777" w:rsidR="001A3E25" w:rsidRPr="00734A5B" w:rsidRDefault="001A3E25" w:rsidP="00993726">
            <w:pPr>
              <w:spacing w:line="240" w:lineRule="auto"/>
              <w:ind w:right="-108"/>
              <w:contextualSpacing/>
              <w:rPr>
                <w:rFonts w:ascii="Times New Roman" w:hAnsi="Times New Roman"/>
                <w:color w:val="000000"/>
                <w:sz w:val="20"/>
                <w:szCs w:val="20"/>
              </w:rPr>
            </w:pPr>
            <w:r w:rsidRPr="00734A5B">
              <w:rPr>
                <w:rFonts w:ascii="Times New Roman" w:hAnsi="Times New Roman"/>
                <w:color w:val="000000"/>
                <w:sz w:val="20"/>
                <w:szCs w:val="20"/>
              </w:rPr>
              <w:t>0.064</w:t>
            </w:r>
          </w:p>
        </w:tc>
        <w:tc>
          <w:tcPr>
            <w:tcW w:w="289" w:type="pct"/>
            <w:tcBorders>
              <w:top w:val="nil"/>
              <w:left w:val="single" w:sz="4" w:space="0" w:color="auto"/>
              <w:bottom w:val="nil"/>
              <w:right w:val="nil"/>
            </w:tcBorders>
            <w:shd w:val="clear" w:color="auto" w:fill="auto"/>
            <w:vAlign w:val="bottom"/>
          </w:tcPr>
          <w:p w14:paraId="5DC09144" w14:textId="7705282F" w:rsidR="001A3E25" w:rsidRPr="00734A5B" w:rsidRDefault="001A3E25" w:rsidP="00993726">
            <w:pPr>
              <w:spacing w:line="240" w:lineRule="auto"/>
              <w:ind w:left="-100" w:right="-76"/>
              <w:contextualSpacing/>
              <w:rPr>
                <w:rFonts w:ascii="Times New Roman" w:hAnsi="Times New Roman"/>
                <w:color w:val="000000"/>
                <w:sz w:val="20"/>
                <w:szCs w:val="20"/>
              </w:rPr>
            </w:pPr>
            <w:r w:rsidRPr="00B44239">
              <w:rPr>
                <w:rFonts w:ascii="Times New Roman" w:hAnsi="Times New Roman"/>
                <w:color w:val="000000"/>
                <w:sz w:val="20"/>
                <w:szCs w:val="20"/>
              </w:rPr>
              <w:t>7,532</w:t>
            </w:r>
          </w:p>
        </w:tc>
        <w:tc>
          <w:tcPr>
            <w:tcW w:w="395" w:type="pct"/>
            <w:tcBorders>
              <w:top w:val="nil"/>
              <w:left w:val="nil"/>
              <w:bottom w:val="nil"/>
              <w:right w:val="nil"/>
            </w:tcBorders>
            <w:shd w:val="clear" w:color="auto" w:fill="auto"/>
          </w:tcPr>
          <w:p w14:paraId="3F91B3A5" w14:textId="1BE37B27" w:rsidR="001A3E25" w:rsidRPr="00734A5B" w:rsidRDefault="001A3E25" w:rsidP="00993726">
            <w:pPr>
              <w:spacing w:line="240" w:lineRule="auto"/>
              <w:ind w:left="-55" w:right="-28"/>
              <w:contextualSpacing/>
              <w:rPr>
                <w:rFonts w:ascii="Times New Roman" w:hAnsi="Times New Roman"/>
                <w:color w:val="000000"/>
                <w:sz w:val="20"/>
                <w:szCs w:val="20"/>
              </w:rPr>
            </w:pPr>
            <w:r w:rsidRPr="00B44239">
              <w:rPr>
                <w:rFonts w:ascii="Times New Roman" w:hAnsi="Times New Roman"/>
                <w:color w:val="000000"/>
                <w:sz w:val="20"/>
                <w:szCs w:val="20"/>
              </w:rPr>
              <w:t>0.173</w:t>
            </w:r>
          </w:p>
        </w:tc>
        <w:tc>
          <w:tcPr>
            <w:tcW w:w="339" w:type="pct"/>
            <w:tcBorders>
              <w:top w:val="nil"/>
              <w:left w:val="nil"/>
              <w:bottom w:val="nil"/>
              <w:right w:val="nil"/>
            </w:tcBorders>
            <w:shd w:val="clear" w:color="auto" w:fill="auto"/>
          </w:tcPr>
          <w:p w14:paraId="53A5A7E4" w14:textId="00F84630" w:rsidR="001A3E25" w:rsidRPr="00734A5B" w:rsidRDefault="001A3E25" w:rsidP="00993726">
            <w:pPr>
              <w:spacing w:line="240" w:lineRule="auto"/>
              <w:ind w:left="-103" w:right="-136"/>
              <w:contextualSpacing/>
              <w:rPr>
                <w:rFonts w:ascii="Times New Roman" w:hAnsi="Times New Roman"/>
                <w:color w:val="000000"/>
                <w:sz w:val="20"/>
                <w:szCs w:val="20"/>
              </w:rPr>
            </w:pPr>
            <w:r w:rsidRPr="00B44239">
              <w:rPr>
                <w:rFonts w:ascii="Times New Roman" w:hAnsi="Times New Roman"/>
                <w:color w:val="000000"/>
                <w:sz w:val="20"/>
                <w:szCs w:val="20"/>
              </w:rPr>
              <w:t>0.083</w:t>
            </w:r>
          </w:p>
        </w:tc>
        <w:tc>
          <w:tcPr>
            <w:tcW w:w="405" w:type="pct"/>
            <w:tcBorders>
              <w:top w:val="nil"/>
              <w:left w:val="nil"/>
              <w:bottom w:val="nil"/>
              <w:right w:val="single" w:sz="4" w:space="0" w:color="auto"/>
            </w:tcBorders>
            <w:shd w:val="clear" w:color="auto" w:fill="auto"/>
          </w:tcPr>
          <w:p w14:paraId="1526C5B3" w14:textId="4FA949B2" w:rsidR="001A3E25" w:rsidRPr="00734A5B" w:rsidRDefault="001A3E25" w:rsidP="00993726">
            <w:pPr>
              <w:spacing w:line="240" w:lineRule="auto"/>
              <w:ind w:left="-85" w:right="-74"/>
              <w:contextualSpacing/>
              <w:rPr>
                <w:rFonts w:ascii="Times New Roman" w:hAnsi="Times New Roman"/>
                <w:color w:val="000000"/>
                <w:sz w:val="20"/>
                <w:szCs w:val="20"/>
              </w:rPr>
            </w:pPr>
            <w:r w:rsidRPr="00B44239">
              <w:rPr>
                <w:rFonts w:ascii="Times New Roman" w:hAnsi="Times New Roman"/>
                <w:color w:val="000000"/>
                <w:sz w:val="20"/>
                <w:szCs w:val="20"/>
              </w:rPr>
              <w:t>2.143</w:t>
            </w:r>
          </w:p>
        </w:tc>
        <w:tc>
          <w:tcPr>
            <w:tcW w:w="331" w:type="pct"/>
            <w:tcBorders>
              <w:top w:val="nil"/>
              <w:left w:val="single" w:sz="4" w:space="0" w:color="auto"/>
              <w:bottom w:val="nil"/>
              <w:right w:val="nil"/>
            </w:tcBorders>
            <w:shd w:val="clear" w:color="auto" w:fill="auto"/>
            <w:vAlign w:val="bottom"/>
          </w:tcPr>
          <w:p w14:paraId="340F0EF1" w14:textId="3BC74EED" w:rsidR="001A3E25" w:rsidRPr="00734A5B" w:rsidRDefault="001A3E25" w:rsidP="00993726">
            <w:pPr>
              <w:spacing w:line="240" w:lineRule="auto"/>
              <w:ind w:left="-95" w:right="-156"/>
              <w:contextualSpacing/>
              <w:rPr>
                <w:rFonts w:ascii="Times New Roman" w:hAnsi="Times New Roman"/>
                <w:color w:val="000000"/>
                <w:sz w:val="20"/>
                <w:szCs w:val="20"/>
              </w:rPr>
            </w:pPr>
            <w:r w:rsidRPr="00B44239">
              <w:rPr>
                <w:rFonts w:ascii="Times New Roman" w:hAnsi="Times New Roman"/>
                <w:color w:val="000000"/>
                <w:sz w:val="20"/>
                <w:szCs w:val="20"/>
              </w:rPr>
              <w:t>-0.098</w:t>
            </w:r>
          </w:p>
        </w:tc>
        <w:tc>
          <w:tcPr>
            <w:tcW w:w="277" w:type="pct"/>
            <w:tcBorders>
              <w:top w:val="nil"/>
              <w:left w:val="nil"/>
              <w:bottom w:val="nil"/>
              <w:right w:val="nil"/>
            </w:tcBorders>
            <w:shd w:val="clear" w:color="auto" w:fill="auto"/>
            <w:vAlign w:val="bottom"/>
          </w:tcPr>
          <w:p w14:paraId="40BD145C" w14:textId="682BA8FF" w:rsidR="001A3E25" w:rsidRPr="00734A5B" w:rsidRDefault="001A3E25" w:rsidP="00993726">
            <w:pPr>
              <w:spacing w:line="240" w:lineRule="auto"/>
              <w:ind w:left="-52" w:right="-97"/>
              <w:contextualSpacing/>
              <w:rPr>
                <w:rFonts w:ascii="Times New Roman" w:hAnsi="Times New Roman"/>
                <w:color w:val="000000"/>
                <w:sz w:val="20"/>
                <w:szCs w:val="20"/>
              </w:rPr>
            </w:pPr>
            <w:r w:rsidRPr="00B44239">
              <w:rPr>
                <w:rFonts w:ascii="Times New Roman" w:hAnsi="Times New Roman"/>
                <w:color w:val="000000"/>
                <w:sz w:val="20"/>
                <w:szCs w:val="20"/>
              </w:rPr>
              <w:t>-0.026</w:t>
            </w:r>
          </w:p>
        </w:tc>
        <w:tc>
          <w:tcPr>
            <w:tcW w:w="395" w:type="pct"/>
            <w:tcBorders>
              <w:top w:val="nil"/>
              <w:left w:val="nil"/>
              <w:bottom w:val="nil"/>
              <w:right w:val="nil"/>
            </w:tcBorders>
            <w:shd w:val="clear" w:color="auto" w:fill="auto"/>
            <w:vAlign w:val="bottom"/>
          </w:tcPr>
          <w:p w14:paraId="30C2DAF9" w14:textId="6DFF22BD" w:rsidR="001A3E25" w:rsidRPr="00734A5B" w:rsidRDefault="001A3E25" w:rsidP="00993726">
            <w:pPr>
              <w:spacing w:line="240" w:lineRule="auto"/>
              <w:ind w:right="-117"/>
              <w:contextualSpacing/>
              <w:rPr>
                <w:rFonts w:ascii="Times New Roman" w:hAnsi="Times New Roman"/>
                <w:color w:val="000000"/>
                <w:sz w:val="20"/>
                <w:szCs w:val="20"/>
              </w:rPr>
            </w:pPr>
            <w:r w:rsidRPr="00B44239">
              <w:rPr>
                <w:rFonts w:ascii="Times New Roman" w:hAnsi="Times New Roman"/>
                <w:color w:val="000000"/>
                <w:sz w:val="20"/>
                <w:szCs w:val="20"/>
              </w:rPr>
              <w:t>-3.81***</w:t>
            </w:r>
          </w:p>
        </w:tc>
        <w:tc>
          <w:tcPr>
            <w:tcW w:w="547" w:type="pct"/>
            <w:tcBorders>
              <w:top w:val="nil"/>
              <w:left w:val="nil"/>
              <w:bottom w:val="nil"/>
              <w:right w:val="nil"/>
            </w:tcBorders>
            <w:shd w:val="clear" w:color="auto" w:fill="auto"/>
            <w:vAlign w:val="bottom"/>
          </w:tcPr>
          <w:p w14:paraId="3E575C39" w14:textId="6FE4A046" w:rsidR="001A3E25" w:rsidRPr="00734A5B" w:rsidRDefault="001A3E25" w:rsidP="00993726">
            <w:pPr>
              <w:spacing w:line="240" w:lineRule="auto"/>
              <w:ind w:right="-467"/>
              <w:contextualSpacing/>
              <w:rPr>
                <w:rFonts w:ascii="Times New Roman" w:hAnsi="Times New Roman"/>
                <w:color w:val="000000"/>
                <w:sz w:val="20"/>
                <w:szCs w:val="20"/>
              </w:rPr>
            </w:pPr>
            <w:r w:rsidRPr="00B44239">
              <w:rPr>
                <w:rFonts w:ascii="Times New Roman" w:hAnsi="Times New Roman"/>
                <w:color w:val="000000"/>
                <w:sz w:val="20"/>
                <w:szCs w:val="20"/>
              </w:rPr>
              <w:t>-3.28***</w:t>
            </w:r>
          </w:p>
        </w:tc>
      </w:tr>
      <w:tr w:rsidR="002D5AAC" w:rsidRPr="00734A5B" w14:paraId="1C809D0C" w14:textId="3879C169" w:rsidTr="00F7612D">
        <w:trPr>
          <w:trHeight w:val="20"/>
        </w:trPr>
        <w:tc>
          <w:tcPr>
            <w:tcW w:w="562" w:type="pct"/>
            <w:tcBorders>
              <w:top w:val="nil"/>
              <w:left w:val="nil"/>
              <w:bottom w:val="nil"/>
              <w:right w:val="nil"/>
            </w:tcBorders>
            <w:shd w:val="clear" w:color="auto" w:fill="auto"/>
          </w:tcPr>
          <w:p w14:paraId="3C67E514" w14:textId="77777777" w:rsidR="001A3E25" w:rsidRPr="00734A5B" w:rsidRDefault="001A3E25" w:rsidP="00993726">
            <w:pPr>
              <w:spacing w:after="0" w:line="240" w:lineRule="auto"/>
              <w:ind w:right="-78"/>
              <w:contextualSpacing/>
              <w:rPr>
                <w:rFonts w:ascii="Times New Roman" w:eastAsia="Times New Roman" w:hAnsi="Times New Roman"/>
                <w:i/>
                <w:color w:val="000000"/>
                <w:sz w:val="20"/>
                <w:szCs w:val="20"/>
              </w:rPr>
            </w:pPr>
            <w:r w:rsidRPr="00734A5B">
              <w:rPr>
                <w:rFonts w:ascii="Times New Roman" w:eastAsia="Times New Roman" w:hAnsi="Times New Roman"/>
                <w:i/>
                <w:color w:val="000000"/>
                <w:sz w:val="20"/>
                <w:szCs w:val="20"/>
              </w:rPr>
              <w:t>STOCKISSUE</w:t>
            </w:r>
          </w:p>
        </w:tc>
        <w:tc>
          <w:tcPr>
            <w:tcW w:w="233" w:type="pct"/>
            <w:tcBorders>
              <w:top w:val="nil"/>
              <w:left w:val="nil"/>
              <w:bottom w:val="nil"/>
              <w:right w:val="nil"/>
            </w:tcBorders>
            <w:shd w:val="clear" w:color="auto" w:fill="auto"/>
            <w:noWrap/>
            <w:vAlign w:val="bottom"/>
          </w:tcPr>
          <w:p w14:paraId="78CC0FDF" w14:textId="77777777" w:rsidR="001A3E25" w:rsidRPr="00734A5B" w:rsidRDefault="001A3E25" w:rsidP="001A3E25">
            <w:pPr>
              <w:spacing w:line="240" w:lineRule="auto"/>
              <w:contextualSpacing/>
              <w:rPr>
                <w:rFonts w:ascii="Times New Roman" w:hAnsi="Times New Roman"/>
                <w:color w:val="000000"/>
                <w:sz w:val="20"/>
                <w:szCs w:val="20"/>
              </w:rPr>
            </w:pPr>
            <w:r w:rsidRPr="00734A5B">
              <w:rPr>
                <w:rFonts w:ascii="Times New Roman" w:hAnsi="Times New Roman"/>
                <w:color w:val="000000"/>
                <w:sz w:val="20"/>
                <w:szCs w:val="20"/>
              </w:rPr>
              <w:t>645</w:t>
            </w:r>
          </w:p>
        </w:tc>
        <w:tc>
          <w:tcPr>
            <w:tcW w:w="395" w:type="pct"/>
            <w:tcBorders>
              <w:top w:val="nil"/>
              <w:left w:val="nil"/>
              <w:bottom w:val="nil"/>
              <w:right w:val="nil"/>
            </w:tcBorders>
            <w:shd w:val="clear" w:color="auto" w:fill="auto"/>
          </w:tcPr>
          <w:p w14:paraId="4789D586" w14:textId="77777777" w:rsidR="001A3E25" w:rsidRPr="00734A5B" w:rsidRDefault="001A3E25" w:rsidP="00993726">
            <w:pPr>
              <w:spacing w:line="240" w:lineRule="auto"/>
              <w:ind w:right="-140"/>
              <w:contextualSpacing/>
              <w:rPr>
                <w:rFonts w:ascii="Times New Roman" w:hAnsi="Times New Roman"/>
                <w:color w:val="000000"/>
                <w:sz w:val="20"/>
                <w:szCs w:val="20"/>
              </w:rPr>
            </w:pPr>
            <w:r w:rsidRPr="00734A5B">
              <w:rPr>
                <w:rFonts w:ascii="Times New Roman" w:hAnsi="Times New Roman"/>
                <w:color w:val="000000"/>
                <w:sz w:val="20"/>
                <w:szCs w:val="20"/>
              </w:rPr>
              <w:t>0.127</w:t>
            </w:r>
          </w:p>
        </w:tc>
        <w:tc>
          <w:tcPr>
            <w:tcW w:w="416" w:type="pct"/>
            <w:tcBorders>
              <w:top w:val="nil"/>
              <w:left w:val="nil"/>
              <w:bottom w:val="nil"/>
              <w:right w:val="nil"/>
            </w:tcBorders>
            <w:shd w:val="clear" w:color="auto" w:fill="auto"/>
          </w:tcPr>
          <w:p w14:paraId="0DD144BC" w14:textId="77777777" w:rsidR="001A3E25" w:rsidRPr="00734A5B" w:rsidRDefault="001A3E25" w:rsidP="00993726">
            <w:pPr>
              <w:spacing w:line="240" w:lineRule="auto"/>
              <w:ind w:right="-131"/>
              <w:contextualSpacing/>
              <w:rPr>
                <w:rFonts w:ascii="Times New Roman" w:hAnsi="Times New Roman"/>
                <w:color w:val="000000"/>
                <w:sz w:val="20"/>
                <w:szCs w:val="20"/>
              </w:rPr>
            </w:pPr>
            <w:r w:rsidRPr="00734A5B">
              <w:rPr>
                <w:rFonts w:ascii="Times New Roman" w:hAnsi="Times New Roman"/>
                <w:color w:val="000000"/>
                <w:sz w:val="20"/>
                <w:szCs w:val="20"/>
              </w:rPr>
              <w:t>0.043</w:t>
            </w:r>
          </w:p>
        </w:tc>
        <w:tc>
          <w:tcPr>
            <w:tcW w:w="416" w:type="pct"/>
            <w:tcBorders>
              <w:top w:val="nil"/>
              <w:left w:val="nil"/>
              <w:bottom w:val="nil"/>
              <w:right w:val="single" w:sz="4" w:space="0" w:color="auto"/>
            </w:tcBorders>
            <w:shd w:val="clear" w:color="auto" w:fill="auto"/>
          </w:tcPr>
          <w:p w14:paraId="3046859D" w14:textId="77777777" w:rsidR="001A3E25" w:rsidRPr="00734A5B" w:rsidRDefault="001A3E25" w:rsidP="00993726">
            <w:pPr>
              <w:spacing w:line="240" w:lineRule="auto"/>
              <w:ind w:right="-108"/>
              <w:contextualSpacing/>
              <w:rPr>
                <w:rFonts w:ascii="Times New Roman" w:hAnsi="Times New Roman"/>
                <w:color w:val="000000"/>
                <w:sz w:val="20"/>
                <w:szCs w:val="20"/>
              </w:rPr>
            </w:pPr>
            <w:r w:rsidRPr="00734A5B">
              <w:rPr>
                <w:rFonts w:ascii="Times New Roman" w:hAnsi="Times New Roman"/>
                <w:color w:val="000000"/>
                <w:sz w:val="20"/>
                <w:szCs w:val="20"/>
              </w:rPr>
              <w:t>0.372</w:t>
            </w:r>
          </w:p>
        </w:tc>
        <w:tc>
          <w:tcPr>
            <w:tcW w:w="289" w:type="pct"/>
            <w:tcBorders>
              <w:top w:val="nil"/>
              <w:left w:val="single" w:sz="4" w:space="0" w:color="auto"/>
              <w:bottom w:val="nil"/>
              <w:right w:val="nil"/>
            </w:tcBorders>
            <w:shd w:val="clear" w:color="auto" w:fill="auto"/>
            <w:vAlign w:val="bottom"/>
          </w:tcPr>
          <w:p w14:paraId="0D5854FE" w14:textId="2C7D1C97" w:rsidR="001A3E25" w:rsidRPr="00734A5B" w:rsidRDefault="001A3E25" w:rsidP="00993726">
            <w:pPr>
              <w:spacing w:line="240" w:lineRule="auto"/>
              <w:ind w:left="-100" w:right="-76"/>
              <w:contextualSpacing/>
              <w:rPr>
                <w:rFonts w:ascii="Times New Roman" w:hAnsi="Times New Roman"/>
                <w:color w:val="000000"/>
                <w:sz w:val="20"/>
                <w:szCs w:val="20"/>
              </w:rPr>
            </w:pPr>
            <w:r w:rsidRPr="00B44239">
              <w:rPr>
                <w:rFonts w:ascii="Times New Roman" w:hAnsi="Times New Roman"/>
                <w:color w:val="000000"/>
                <w:sz w:val="20"/>
                <w:szCs w:val="20"/>
              </w:rPr>
              <w:t>7,532</w:t>
            </w:r>
          </w:p>
        </w:tc>
        <w:tc>
          <w:tcPr>
            <w:tcW w:w="395" w:type="pct"/>
            <w:tcBorders>
              <w:top w:val="nil"/>
              <w:left w:val="nil"/>
              <w:bottom w:val="nil"/>
              <w:right w:val="nil"/>
            </w:tcBorders>
            <w:shd w:val="clear" w:color="auto" w:fill="auto"/>
          </w:tcPr>
          <w:p w14:paraId="10C15D8E" w14:textId="56BE9383" w:rsidR="001A3E25" w:rsidRPr="00734A5B" w:rsidRDefault="001A3E25" w:rsidP="00993726">
            <w:pPr>
              <w:spacing w:line="240" w:lineRule="auto"/>
              <w:ind w:left="-55" w:right="-28"/>
              <w:contextualSpacing/>
              <w:rPr>
                <w:rFonts w:ascii="Times New Roman" w:hAnsi="Times New Roman"/>
                <w:color w:val="000000"/>
                <w:sz w:val="20"/>
                <w:szCs w:val="20"/>
              </w:rPr>
            </w:pPr>
            <w:r w:rsidRPr="00B44239">
              <w:rPr>
                <w:rFonts w:ascii="Times New Roman" w:hAnsi="Times New Roman"/>
                <w:color w:val="000000"/>
                <w:sz w:val="20"/>
                <w:szCs w:val="20"/>
              </w:rPr>
              <w:t>0.071</w:t>
            </w:r>
          </w:p>
        </w:tc>
        <w:tc>
          <w:tcPr>
            <w:tcW w:w="339" w:type="pct"/>
            <w:tcBorders>
              <w:top w:val="nil"/>
              <w:left w:val="nil"/>
              <w:bottom w:val="nil"/>
              <w:right w:val="nil"/>
            </w:tcBorders>
            <w:shd w:val="clear" w:color="auto" w:fill="auto"/>
          </w:tcPr>
          <w:p w14:paraId="652EDCC9" w14:textId="682DED71" w:rsidR="001A3E25" w:rsidRPr="00734A5B" w:rsidRDefault="001A3E25" w:rsidP="00993726">
            <w:pPr>
              <w:spacing w:line="240" w:lineRule="auto"/>
              <w:ind w:left="-103" w:right="-136"/>
              <w:contextualSpacing/>
              <w:rPr>
                <w:rFonts w:ascii="Times New Roman" w:hAnsi="Times New Roman"/>
                <w:color w:val="000000"/>
                <w:sz w:val="20"/>
                <w:szCs w:val="20"/>
              </w:rPr>
            </w:pPr>
            <w:r w:rsidRPr="00B44239">
              <w:rPr>
                <w:rFonts w:ascii="Times New Roman" w:hAnsi="Times New Roman"/>
                <w:color w:val="000000"/>
                <w:sz w:val="20"/>
                <w:szCs w:val="20"/>
              </w:rPr>
              <w:t>0.003</w:t>
            </w:r>
          </w:p>
        </w:tc>
        <w:tc>
          <w:tcPr>
            <w:tcW w:w="405" w:type="pct"/>
            <w:tcBorders>
              <w:top w:val="nil"/>
              <w:left w:val="nil"/>
              <w:bottom w:val="nil"/>
              <w:right w:val="single" w:sz="4" w:space="0" w:color="auto"/>
            </w:tcBorders>
            <w:shd w:val="clear" w:color="auto" w:fill="auto"/>
          </w:tcPr>
          <w:p w14:paraId="51D900CE" w14:textId="44FAF49F" w:rsidR="001A3E25" w:rsidRPr="00734A5B" w:rsidRDefault="001A3E25" w:rsidP="00993726">
            <w:pPr>
              <w:spacing w:line="240" w:lineRule="auto"/>
              <w:ind w:left="-85" w:right="-74"/>
              <w:contextualSpacing/>
              <w:rPr>
                <w:rFonts w:ascii="Times New Roman" w:hAnsi="Times New Roman"/>
                <w:color w:val="000000"/>
                <w:sz w:val="20"/>
                <w:szCs w:val="20"/>
              </w:rPr>
            </w:pPr>
            <w:r w:rsidRPr="00B44239">
              <w:rPr>
                <w:rFonts w:ascii="Times New Roman" w:hAnsi="Times New Roman"/>
                <w:color w:val="000000"/>
                <w:sz w:val="20"/>
                <w:szCs w:val="20"/>
              </w:rPr>
              <w:t>0.331</w:t>
            </w:r>
          </w:p>
        </w:tc>
        <w:tc>
          <w:tcPr>
            <w:tcW w:w="331" w:type="pct"/>
            <w:tcBorders>
              <w:top w:val="nil"/>
              <w:left w:val="single" w:sz="4" w:space="0" w:color="auto"/>
              <w:bottom w:val="nil"/>
              <w:right w:val="nil"/>
            </w:tcBorders>
            <w:shd w:val="clear" w:color="auto" w:fill="auto"/>
            <w:vAlign w:val="bottom"/>
          </w:tcPr>
          <w:p w14:paraId="31FDB6A8" w14:textId="30E581C3" w:rsidR="001A3E25" w:rsidRPr="00734A5B" w:rsidRDefault="001A3E25" w:rsidP="00993726">
            <w:pPr>
              <w:spacing w:line="240" w:lineRule="auto"/>
              <w:ind w:left="-95" w:right="-156"/>
              <w:contextualSpacing/>
              <w:rPr>
                <w:rFonts w:ascii="Times New Roman" w:hAnsi="Times New Roman"/>
                <w:color w:val="000000"/>
                <w:sz w:val="20"/>
                <w:szCs w:val="20"/>
              </w:rPr>
            </w:pPr>
            <w:r w:rsidRPr="00B44239">
              <w:rPr>
                <w:rFonts w:ascii="Times New Roman" w:hAnsi="Times New Roman"/>
                <w:color w:val="000000"/>
                <w:sz w:val="20"/>
                <w:szCs w:val="20"/>
              </w:rPr>
              <w:t>0.056</w:t>
            </w:r>
          </w:p>
        </w:tc>
        <w:tc>
          <w:tcPr>
            <w:tcW w:w="277" w:type="pct"/>
            <w:tcBorders>
              <w:top w:val="nil"/>
              <w:left w:val="nil"/>
              <w:bottom w:val="nil"/>
              <w:right w:val="nil"/>
            </w:tcBorders>
            <w:shd w:val="clear" w:color="auto" w:fill="auto"/>
            <w:vAlign w:val="bottom"/>
          </w:tcPr>
          <w:p w14:paraId="6D5518E1" w14:textId="6FAFD1B4" w:rsidR="001A3E25" w:rsidRPr="00734A5B" w:rsidRDefault="001A3E25" w:rsidP="00993726">
            <w:pPr>
              <w:spacing w:line="240" w:lineRule="auto"/>
              <w:ind w:left="-52" w:right="-97"/>
              <w:contextualSpacing/>
              <w:rPr>
                <w:rFonts w:ascii="Times New Roman" w:hAnsi="Times New Roman"/>
                <w:color w:val="000000"/>
                <w:sz w:val="20"/>
                <w:szCs w:val="20"/>
              </w:rPr>
            </w:pPr>
            <w:r w:rsidRPr="00B44239">
              <w:rPr>
                <w:rFonts w:ascii="Times New Roman" w:hAnsi="Times New Roman"/>
                <w:color w:val="000000"/>
                <w:sz w:val="20"/>
                <w:szCs w:val="20"/>
              </w:rPr>
              <w:t>0.040</w:t>
            </w:r>
          </w:p>
        </w:tc>
        <w:tc>
          <w:tcPr>
            <w:tcW w:w="395" w:type="pct"/>
            <w:tcBorders>
              <w:top w:val="nil"/>
              <w:left w:val="nil"/>
              <w:bottom w:val="nil"/>
              <w:right w:val="nil"/>
            </w:tcBorders>
            <w:shd w:val="clear" w:color="auto" w:fill="auto"/>
            <w:vAlign w:val="bottom"/>
          </w:tcPr>
          <w:p w14:paraId="74A8655F" w14:textId="470CEB9D" w:rsidR="001A3E25" w:rsidRPr="00734A5B" w:rsidRDefault="001A3E25" w:rsidP="00993726">
            <w:pPr>
              <w:spacing w:line="240" w:lineRule="auto"/>
              <w:ind w:right="-117"/>
              <w:contextualSpacing/>
              <w:rPr>
                <w:rFonts w:ascii="Times New Roman" w:hAnsi="Times New Roman"/>
                <w:color w:val="000000"/>
                <w:sz w:val="20"/>
                <w:szCs w:val="20"/>
              </w:rPr>
            </w:pPr>
            <w:r w:rsidRPr="00B44239">
              <w:rPr>
                <w:rFonts w:ascii="Times New Roman" w:hAnsi="Times New Roman"/>
                <w:color w:val="000000"/>
                <w:sz w:val="20"/>
                <w:szCs w:val="20"/>
              </w:rPr>
              <w:t>3.70***</w:t>
            </w:r>
          </w:p>
        </w:tc>
        <w:tc>
          <w:tcPr>
            <w:tcW w:w="547" w:type="pct"/>
            <w:tcBorders>
              <w:top w:val="nil"/>
              <w:left w:val="nil"/>
              <w:bottom w:val="nil"/>
              <w:right w:val="nil"/>
            </w:tcBorders>
            <w:shd w:val="clear" w:color="auto" w:fill="auto"/>
            <w:vAlign w:val="bottom"/>
          </w:tcPr>
          <w:p w14:paraId="7B45F49B" w14:textId="55B7BE60" w:rsidR="001A3E25" w:rsidRPr="00734A5B" w:rsidRDefault="001A3E25" w:rsidP="00993726">
            <w:pPr>
              <w:spacing w:line="240" w:lineRule="auto"/>
              <w:ind w:right="-467"/>
              <w:contextualSpacing/>
              <w:rPr>
                <w:rFonts w:ascii="Times New Roman" w:hAnsi="Times New Roman"/>
                <w:color w:val="000000"/>
                <w:sz w:val="20"/>
                <w:szCs w:val="20"/>
              </w:rPr>
            </w:pPr>
            <w:r w:rsidRPr="00B44239">
              <w:rPr>
                <w:rFonts w:ascii="Times New Roman" w:hAnsi="Times New Roman"/>
                <w:color w:val="000000"/>
                <w:sz w:val="20"/>
                <w:szCs w:val="20"/>
              </w:rPr>
              <w:t>5.34***</w:t>
            </w:r>
          </w:p>
        </w:tc>
      </w:tr>
      <w:tr w:rsidR="002D5AAC" w:rsidRPr="00734A5B" w14:paraId="45C49C0D" w14:textId="45C5CB54" w:rsidTr="00F7612D">
        <w:trPr>
          <w:trHeight w:val="20"/>
        </w:trPr>
        <w:tc>
          <w:tcPr>
            <w:tcW w:w="562" w:type="pct"/>
            <w:tcBorders>
              <w:top w:val="nil"/>
              <w:left w:val="nil"/>
              <w:bottom w:val="nil"/>
              <w:right w:val="nil"/>
            </w:tcBorders>
            <w:shd w:val="clear" w:color="auto" w:fill="auto"/>
          </w:tcPr>
          <w:p w14:paraId="0D159401" w14:textId="77777777" w:rsidR="001A3E25" w:rsidRPr="00734A5B" w:rsidRDefault="001A3E25" w:rsidP="00993726">
            <w:pPr>
              <w:spacing w:after="0" w:line="240" w:lineRule="auto"/>
              <w:ind w:right="-78"/>
              <w:contextualSpacing/>
              <w:rPr>
                <w:rFonts w:ascii="Times New Roman" w:eastAsia="Times New Roman" w:hAnsi="Times New Roman"/>
                <w:i/>
                <w:color w:val="000000"/>
                <w:sz w:val="20"/>
                <w:szCs w:val="20"/>
              </w:rPr>
            </w:pPr>
            <w:r w:rsidRPr="00734A5B">
              <w:rPr>
                <w:rFonts w:ascii="Times New Roman" w:eastAsia="Times New Roman" w:hAnsi="Times New Roman"/>
                <w:i/>
                <w:color w:val="000000"/>
                <w:sz w:val="20"/>
                <w:szCs w:val="20"/>
              </w:rPr>
              <w:t>DEBTISSUE</w:t>
            </w:r>
          </w:p>
        </w:tc>
        <w:tc>
          <w:tcPr>
            <w:tcW w:w="233" w:type="pct"/>
            <w:tcBorders>
              <w:top w:val="nil"/>
              <w:left w:val="nil"/>
              <w:bottom w:val="nil"/>
              <w:right w:val="nil"/>
            </w:tcBorders>
            <w:shd w:val="clear" w:color="auto" w:fill="auto"/>
            <w:noWrap/>
            <w:vAlign w:val="bottom"/>
          </w:tcPr>
          <w:p w14:paraId="0FDB9826" w14:textId="77777777" w:rsidR="001A3E25" w:rsidRPr="00734A5B" w:rsidRDefault="001A3E25" w:rsidP="001A3E25">
            <w:pPr>
              <w:spacing w:line="240" w:lineRule="auto"/>
              <w:contextualSpacing/>
              <w:rPr>
                <w:rFonts w:ascii="Times New Roman" w:hAnsi="Times New Roman"/>
                <w:color w:val="000000"/>
                <w:sz w:val="20"/>
                <w:szCs w:val="20"/>
              </w:rPr>
            </w:pPr>
            <w:r w:rsidRPr="00734A5B">
              <w:rPr>
                <w:rFonts w:ascii="Times New Roman" w:hAnsi="Times New Roman"/>
                <w:color w:val="000000"/>
                <w:sz w:val="20"/>
                <w:szCs w:val="20"/>
              </w:rPr>
              <w:t>645</w:t>
            </w:r>
          </w:p>
        </w:tc>
        <w:tc>
          <w:tcPr>
            <w:tcW w:w="395" w:type="pct"/>
            <w:tcBorders>
              <w:top w:val="nil"/>
              <w:left w:val="nil"/>
              <w:bottom w:val="nil"/>
              <w:right w:val="nil"/>
            </w:tcBorders>
            <w:shd w:val="clear" w:color="auto" w:fill="auto"/>
          </w:tcPr>
          <w:p w14:paraId="76689C9A" w14:textId="77777777" w:rsidR="001A3E25" w:rsidRPr="00734A5B" w:rsidRDefault="001A3E25" w:rsidP="00993726">
            <w:pPr>
              <w:spacing w:line="240" w:lineRule="auto"/>
              <w:ind w:right="-140"/>
              <w:contextualSpacing/>
              <w:rPr>
                <w:rFonts w:ascii="Times New Roman" w:hAnsi="Times New Roman"/>
                <w:color w:val="000000"/>
                <w:sz w:val="20"/>
                <w:szCs w:val="20"/>
              </w:rPr>
            </w:pPr>
            <w:r w:rsidRPr="00734A5B">
              <w:rPr>
                <w:rFonts w:ascii="Times New Roman" w:hAnsi="Times New Roman"/>
                <w:color w:val="000000"/>
                <w:sz w:val="20"/>
                <w:szCs w:val="20"/>
              </w:rPr>
              <w:t>0.290</w:t>
            </w:r>
          </w:p>
        </w:tc>
        <w:tc>
          <w:tcPr>
            <w:tcW w:w="416" w:type="pct"/>
            <w:tcBorders>
              <w:top w:val="nil"/>
              <w:left w:val="nil"/>
              <w:bottom w:val="nil"/>
              <w:right w:val="nil"/>
            </w:tcBorders>
            <w:shd w:val="clear" w:color="auto" w:fill="auto"/>
          </w:tcPr>
          <w:p w14:paraId="264CC5FE" w14:textId="77777777" w:rsidR="001A3E25" w:rsidRPr="00734A5B" w:rsidRDefault="001A3E25" w:rsidP="00993726">
            <w:pPr>
              <w:spacing w:line="240" w:lineRule="auto"/>
              <w:ind w:right="-131"/>
              <w:contextualSpacing/>
              <w:rPr>
                <w:rFonts w:ascii="Times New Roman" w:hAnsi="Times New Roman"/>
                <w:color w:val="000000"/>
                <w:sz w:val="20"/>
                <w:szCs w:val="20"/>
              </w:rPr>
            </w:pPr>
            <w:r w:rsidRPr="00734A5B">
              <w:rPr>
                <w:rFonts w:ascii="Times New Roman" w:hAnsi="Times New Roman"/>
                <w:color w:val="000000"/>
                <w:sz w:val="20"/>
                <w:szCs w:val="20"/>
              </w:rPr>
              <w:t>0.207</w:t>
            </w:r>
          </w:p>
        </w:tc>
        <w:tc>
          <w:tcPr>
            <w:tcW w:w="416" w:type="pct"/>
            <w:tcBorders>
              <w:top w:val="nil"/>
              <w:left w:val="nil"/>
              <w:bottom w:val="nil"/>
              <w:right w:val="single" w:sz="4" w:space="0" w:color="auto"/>
            </w:tcBorders>
            <w:shd w:val="clear" w:color="auto" w:fill="auto"/>
          </w:tcPr>
          <w:p w14:paraId="6A547976" w14:textId="77777777" w:rsidR="001A3E25" w:rsidRPr="00734A5B" w:rsidRDefault="001A3E25" w:rsidP="00993726">
            <w:pPr>
              <w:spacing w:line="240" w:lineRule="auto"/>
              <w:ind w:right="-108"/>
              <w:contextualSpacing/>
              <w:rPr>
                <w:rFonts w:ascii="Times New Roman" w:hAnsi="Times New Roman"/>
                <w:color w:val="000000"/>
                <w:sz w:val="20"/>
                <w:szCs w:val="20"/>
              </w:rPr>
            </w:pPr>
            <w:r w:rsidRPr="00734A5B">
              <w:rPr>
                <w:rFonts w:ascii="Times New Roman" w:hAnsi="Times New Roman"/>
                <w:color w:val="000000"/>
                <w:sz w:val="20"/>
                <w:szCs w:val="20"/>
              </w:rPr>
              <w:t>0.308</w:t>
            </w:r>
          </w:p>
        </w:tc>
        <w:tc>
          <w:tcPr>
            <w:tcW w:w="289" w:type="pct"/>
            <w:tcBorders>
              <w:top w:val="nil"/>
              <w:left w:val="single" w:sz="4" w:space="0" w:color="auto"/>
              <w:bottom w:val="nil"/>
              <w:right w:val="nil"/>
            </w:tcBorders>
            <w:shd w:val="clear" w:color="auto" w:fill="auto"/>
            <w:vAlign w:val="bottom"/>
          </w:tcPr>
          <w:p w14:paraId="72D2F2D3" w14:textId="6A87592B" w:rsidR="001A3E25" w:rsidRPr="00734A5B" w:rsidRDefault="001A3E25" w:rsidP="00993726">
            <w:pPr>
              <w:spacing w:line="240" w:lineRule="auto"/>
              <w:ind w:left="-100" w:right="-76"/>
              <w:contextualSpacing/>
              <w:rPr>
                <w:rFonts w:ascii="Times New Roman" w:hAnsi="Times New Roman"/>
                <w:color w:val="000000"/>
                <w:sz w:val="20"/>
                <w:szCs w:val="20"/>
              </w:rPr>
            </w:pPr>
            <w:r w:rsidRPr="00B44239">
              <w:rPr>
                <w:rFonts w:ascii="Times New Roman" w:hAnsi="Times New Roman"/>
                <w:color w:val="000000"/>
                <w:sz w:val="20"/>
                <w:szCs w:val="20"/>
              </w:rPr>
              <w:t>7,532</w:t>
            </w:r>
          </w:p>
        </w:tc>
        <w:tc>
          <w:tcPr>
            <w:tcW w:w="395" w:type="pct"/>
            <w:tcBorders>
              <w:top w:val="nil"/>
              <w:left w:val="nil"/>
              <w:bottom w:val="nil"/>
              <w:right w:val="nil"/>
            </w:tcBorders>
            <w:shd w:val="clear" w:color="auto" w:fill="auto"/>
          </w:tcPr>
          <w:p w14:paraId="21BA6F88" w14:textId="6574A58E" w:rsidR="001A3E25" w:rsidRPr="00734A5B" w:rsidRDefault="001A3E25" w:rsidP="00993726">
            <w:pPr>
              <w:spacing w:line="240" w:lineRule="auto"/>
              <w:ind w:left="-55" w:right="-28"/>
              <w:contextualSpacing/>
              <w:rPr>
                <w:rFonts w:ascii="Times New Roman" w:hAnsi="Times New Roman"/>
                <w:color w:val="000000"/>
                <w:sz w:val="20"/>
                <w:szCs w:val="20"/>
              </w:rPr>
            </w:pPr>
            <w:r w:rsidRPr="00B44239">
              <w:rPr>
                <w:rFonts w:ascii="Times New Roman" w:hAnsi="Times New Roman"/>
                <w:color w:val="000000"/>
                <w:sz w:val="20"/>
                <w:szCs w:val="20"/>
              </w:rPr>
              <w:t>0.154</w:t>
            </w:r>
          </w:p>
        </w:tc>
        <w:tc>
          <w:tcPr>
            <w:tcW w:w="339" w:type="pct"/>
            <w:tcBorders>
              <w:top w:val="nil"/>
              <w:left w:val="nil"/>
              <w:bottom w:val="nil"/>
              <w:right w:val="nil"/>
            </w:tcBorders>
            <w:shd w:val="clear" w:color="auto" w:fill="auto"/>
          </w:tcPr>
          <w:p w14:paraId="08557705" w14:textId="470017BF" w:rsidR="001A3E25" w:rsidRPr="00734A5B" w:rsidRDefault="001A3E25" w:rsidP="00993726">
            <w:pPr>
              <w:spacing w:line="240" w:lineRule="auto"/>
              <w:ind w:left="-103" w:right="-136"/>
              <w:contextualSpacing/>
              <w:rPr>
                <w:rFonts w:ascii="Times New Roman" w:hAnsi="Times New Roman"/>
                <w:color w:val="000000"/>
                <w:sz w:val="20"/>
                <w:szCs w:val="20"/>
              </w:rPr>
            </w:pPr>
            <w:r w:rsidRPr="00B44239">
              <w:rPr>
                <w:rFonts w:ascii="Times New Roman" w:hAnsi="Times New Roman"/>
                <w:color w:val="000000"/>
                <w:sz w:val="20"/>
                <w:szCs w:val="20"/>
              </w:rPr>
              <w:t>0.065</w:t>
            </w:r>
          </w:p>
        </w:tc>
        <w:tc>
          <w:tcPr>
            <w:tcW w:w="405" w:type="pct"/>
            <w:tcBorders>
              <w:top w:val="nil"/>
              <w:left w:val="nil"/>
              <w:bottom w:val="nil"/>
              <w:right w:val="single" w:sz="4" w:space="0" w:color="auto"/>
            </w:tcBorders>
            <w:shd w:val="clear" w:color="auto" w:fill="auto"/>
          </w:tcPr>
          <w:p w14:paraId="51C3C0A6" w14:textId="699BC816" w:rsidR="001A3E25" w:rsidRPr="00734A5B" w:rsidRDefault="001A3E25" w:rsidP="00993726">
            <w:pPr>
              <w:spacing w:line="240" w:lineRule="auto"/>
              <w:ind w:left="-85" w:right="-74"/>
              <w:contextualSpacing/>
              <w:rPr>
                <w:rFonts w:ascii="Times New Roman" w:hAnsi="Times New Roman"/>
                <w:color w:val="000000"/>
                <w:sz w:val="20"/>
                <w:szCs w:val="20"/>
              </w:rPr>
            </w:pPr>
            <w:r w:rsidRPr="00B44239">
              <w:rPr>
                <w:rFonts w:ascii="Times New Roman" w:hAnsi="Times New Roman"/>
                <w:color w:val="000000"/>
                <w:sz w:val="20"/>
                <w:szCs w:val="20"/>
              </w:rPr>
              <w:t>0.252</w:t>
            </w:r>
          </w:p>
        </w:tc>
        <w:tc>
          <w:tcPr>
            <w:tcW w:w="331" w:type="pct"/>
            <w:tcBorders>
              <w:top w:val="nil"/>
              <w:left w:val="single" w:sz="4" w:space="0" w:color="auto"/>
              <w:bottom w:val="nil"/>
              <w:right w:val="nil"/>
            </w:tcBorders>
            <w:shd w:val="clear" w:color="auto" w:fill="auto"/>
            <w:vAlign w:val="bottom"/>
          </w:tcPr>
          <w:p w14:paraId="50163A72" w14:textId="050F48A3" w:rsidR="001A3E25" w:rsidRPr="00734A5B" w:rsidRDefault="001A3E25" w:rsidP="00993726">
            <w:pPr>
              <w:spacing w:line="240" w:lineRule="auto"/>
              <w:ind w:left="-95" w:right="-156"/>
              <w:contextualSpacing/>
              <w:rPr>
                <w:rFonts w:ascii="Times New Roman" w:hAnsi="Times New Roman"/>
                <w:color w:val="000000"/>
                <w:sz w:val="20"/>
                <w:szCs w:val="20"/>
              </w:rPr>
            </w:pPr>
            <w:r w:rsidRPr="00B44239">
              <w:rPr>
                <w:rFonts w:ascii="Times New Roman" w:hAnsi="Times New Roman"/>
                <w:color w:val="000000"/>
                <w:sz w:val="20"/>
                <w:szCs w:val="20"/>
              </w:rPr>
              <w:t>0.136</w:t>
            </w:r>
          </w:p>
        </w:tc>
        <w:tc>
          <w:tcPr>
            <w:tcW w:w="277" w:type="pct"/>
            <w:tcBorders>
              <w:top w:val="nil"/>
              <w:left w:val="nil"/>
              <w:bottom w:val="nil"/>
              <w:right w:val="nil"/>
            </w:tcBorders>
            <w:shd w:val="clear" w:color="auto" w:fill="auto"/>
            <w:vAlign w:val="bottom"/>
          </w:tcPr>
          <w:p w14:paraId="7FCCF496" w14:textId="36624DF0" w:rsidR="001A3E25" w:rsidRPr="00734A5B" w:rsidRDefault="001A3E25" w:rsidP="00993726">
            <w:pPr>
              <w:spacing w:line="240" w:lineRule="auto"/>
              <w:ind w:left="-52" w:right="-97"/>
              <w:contextualSpacing/>
              <w:rPr>
                <w:rFonts w:ascii="Times New Roman" w:hAnsi="Times New Roman"/>
                <w:color w:val="000000"/>
                <w:sz w:val="20"/>
                <w:szCs w:val="20"/>
              </w:rPr>
            </w:pPr>
            <w:r w:rsidRPr="00B44239">
              <w:rPr>
                <w:rFonts w:ascii="Times New Roman" w:hAnsi="Times New Roman"/>
                <w:color w:val="000000"/>
                <w:sz w:val="20"/>
                <w:szCs w:val="20"/>
              </w:rPr>
              <w:t>0.142</w:t>
            </w:r>
          </w:p>
        </w:tc>
        <w:tc>
          <w:tcPr>
            <w:tcW w:w="395" w:type="pct"/>
            <w:tcBorders>
              <w:top w:val="nil"/>
              <w:left w:val="nil"/>
              <w:bottom w:val="nil"/>
              <w:right w:val="nil"/>
            </w:tcBorders>
            <w:shd w:val="clear" w:color="auto" w:fill="auto"/>
            <w:vAlign w:val="bottom"/>
          </w:tcPr>
          <w:p w14:paraId="74D02223" w14:textId="7454B6EB" w:rsidR="001A3E25" w:rsidRPr="00734A5B" w:rsidRDefault="001A3E25" w:rsidP="00993726">
            <w:pPr>
              <w:spacing w:line="240" w:lineRule="auto"/>
              <w:ind w:right="-117"/>
              <w:contextualSpacing/>
              <w:rPr>
                <w:rFonts w:ascii="Times New Roman" w:hAnsi="Times New Roman"/>
                <w:color w:val="000000"/>
                <w:sz w:val="20"/>
                <w:szCs w:val="20"/>
              </w:rPr>
            </w:pPr>
            <w:r w:rsidRPr="00B44239">
              <w:rPr>
                <w:rFonts w:ascii="Times New Roman" w:hAnsi="Times New Roman"/>
                <w:color w:val="000000"/>
                <w:sz w:val="20"/>
                <w:szCs w:val="20"/>
              </w:rPr>
              <w:t>10.91***</w:t>
            </w:r>
          </w:p>
        </w:tc>
        <w:tc>
          <w:tcPr>
            <w:tcW w:w="547" w:type="pct"/>
            <w:tcBorders>
              <w:top w:val="nil"/>
              <w:left w:val="nil"/>
              <w:bottom w:val="nil"/>
              <w:right w:val="nil"/>
            </w:tcBorders>
            <w:shd w:val="clear" w:color="auto" w:fill="auto"/>
            <w:vAlign w:val="bottom"/>
          </w:tcPr>
          <w:p w14:paraId="6FBA9E76" w14:textId="70FA4131" w:rsidR="001A3E25" w:rsidRPr="00734A5B" w:rsidRDefault="001A3E25" w:rsidP="00993726">
            <w:pPr>
              <w:spacing w:line="240" w:lineRule="auto"/>
              <w:ind w:right="-467"/>
              <w:contextualSpacing/>
              <w:rPr>
                <w:rFonts w:ascii="Times New Roman" w:hAnsi="Times New Roman"/>
                <w:color w:val="000000"/>
                <w:sz w:val="20"/>
                <w:szCs w:val="20"/>
              </w:rPr>
            </w:pPr>
            <w:r w:rsidRPr="00B44239">
              <w:rPr>
                <w:rFonts w:ascii="Times New Roman" w:hAnsi="Times New Roman"/>
                <w:color w:val="000000"/>
                <w:sz w:val="20"/>
                <w:szCs w:val="20"/>
              </w:rPr>
              <w:t>12.98***</w:t>
            </w:r>
          </w:p>
        </w:tc>
      </w:tr>
      <w:tr w:rsidR="002D5AAC" w:rsidRPr="00734A5B" w14:paraId="5349C75E" w14:textId="655DF78C" w:rsidTr="00F7612D">
        <w:trPr>
          <w:trHeight w:val="20"/>
        </w:trPr>
        <w:tc>
          <w:tcPr>
            <w:tcW w:w="562" w:type="pct"/>
            <w:tcBorders>
              <w:top w:val="nil"/>
              <w:left w:val="nil"/>
              <w:bottom w:val="nil"/>
              <w:right w:val="nil"/>
            </w:tcBorders>
            <w:shd w:val="clear" w:color="auto" w:fill="auto"/>
            <w:hideMark/>
          </w:tcPr>
          <w:p w14:paraId="22A3860D" w14:textId="77777777" w:rsidR="001A3E25" w:rsidRPr="00734A5B" w:rsidRDefault="001A3E25" w:rsidP="00993726">
            <w:pPr>
              <w:spacing w:after="0" w:line="240" w:lineRule="auto"/>
              <w:ind w:right="-78"/>
              <w:contextualSpacing/>
              <w:rPr>
                <w:rFonts w:ascii="Times New Roman" w:eastAsia="Times New Roman" w:hAnsi="Times New Roman"/>
                <w:i/>
                <w:color w:val="000000"/>
                <w:sz w:val="20"/>
                <w:szCs w:val="20"/>
              </w:rPr>
            </w:pPr>
            <w:r w:rsidRPr="00734A5B">
              <w:rPr>
                <w:rFonts w:ascii="Times New Roman" w:eastAsia="Times New Roman" w:hAnsi="Times New Roman"/>
                <w:i/>
                <w:color w:val="000000"/>
                <w:sz w:val="20"/>
                <w:szCs w:val="20"/>
              </w:rPr>
              <w:t>BIG8</w:t>
            </w:r>
          </w:p>
        </w:tc>
        <w:tc>
          <w:tcPr>
            <w:tcW w:w="233" w:type="pct"/>
            <w:tcBorders>
              <w:top w:val="nil"/>
              <w:left w:val="nil"/>
              <w:bottom w:val="nil"/>
              <w:right w:val="nil"/>
            </w:tcBorders>
            <w:shd w:val="clear" w:color="auto" w:fill="auto"/>
            <w:noWrap/>
            <w:vAlign w:val="bottom"/>
            <w:hideMark/>
          </w:tcPr>
          <w:p w14:paraId="765A66B4" w14:textId="77777777" w:rsidR="001A3E25" w:rsidRPr="00734A5B" w:rsidRDefault="001A3E25" w:rsidP="001A3E25">
            <w:pPr>
              <w:spacing w:line="240" w:lineRule="auto"/>
              <w:contextualSpacing/>
              <w:rPr>
                <w:rFonts w:ascii="Times New Roman" w:hAnsi="Times New Roman"/>
                <w:color w:val="000000"/>
                <w:sz w:val="20"/>
                <w:szCs w:val="20"/>
              </w:rPr>
            </w:pPr>
            <w:r w:rsidRPr="00734A5B">
              <w:rPr>
                <w:rFonts w:ascii="Times New Roman" w:hAnsi="Times New Roman"/>
                <w:color w:val="000000"/>
                <w:sz w:val="20"/>
                <w:szCs w:val="20"/>
              </w:rPr>
              <w:t>645</w:t>
            </w:r>
          </w:p>
        </w:tc>
        <w:tc>
          <w:tcPr>
            <w:tcW w:w="395" w:type="pct"/>
            <w:tcBorders>
              <w:top w:val="nil"/>
              <w:left w:val="nil"/>
              <w:bottom w:val="nil"/>
              <w:right w:val="nil"/>
            </w:tcBorders>
            <w:shd w:val="clear" w:color="auto" w:fill="auto"/>
            <w:hideMark/>
          </w:tcPr>
          <w:p w14:paraId="0522FA42" w14:textId="77777777" w:rsidR="001A3E25" w:rsidRPr="00734A5B" w:rsidRDefault="001A3E25" w:rsidP="00993726">
            <w:pPr>
              <w:spacing w:line="240" w:lineRule="auto"/>
              <w:ind w:right="-140"/>
              <w:contextualSpacing/>
              <w:rPr>
                <w:rFonts w:ascii="Times New Roman" w:hAnsi="Times New Roman"/>
                <w:color w:val="000000"/>
                <w:sz w:val="20"/>
                <w:szCs w:val="20"/>
              </w:rPr>
            </w:pPr>
            <w:r w:rsidRPr="00734A5B">
              <w:rPr>
                <w:rFonts w:ascii="Times New Roman" w:hAnsi="Times New Roman"/>
                <w:color w:val="000000"/>
                <w:sz w:val="20"/>
                <w:szCs w:val="20"/>
              </w:rPr>
              <w:t>0.848</w:t>
            </w:r>
          </w:p>
        </w:tc>
        <w:tc>
          <w:tcPr>
            <w:tcW w:w="416" w:type="pct"/>
            <w:tcBorders>
              <w:top w:val="nil"/>
              <w:left w:val="nil"/>
              <w:bottom w:val="nil"/>
              <w:right w:val="nil"/>
            </w:tcBorders>
            <w:shd w:val="clear" w:color="auto" w:fill="auto"/>
            <w:hideMark/>
          </w:tcPr>
          <w:p w14:paraId="29E77AFD" w14:textId="77777777" w:rsidR="001A3E25" w:rsidRPr="00734A5B" w:rsidRDefault="001A3E25" w:rsidP="00993726">
            <w:pPr>
              <w:spacing w:line="240" w:lineRule="auto"/>
              <w:ind w:right="-131"/>
              <w:contextualSpacing/>
              <w:rPr>
                <w:rFonts w:ascii="Times New Roman" w:hAnsi="Times New Roman"/>
                <w:color w:val="000000"/>
                <w:sz w:val="20"/>
                <w:szCs w:val="20"/>
              </w:rPr>
            </w:pPr>
            <w:r w:rsidRPr="00734A5B">
              <w:rPr>
                <w:rFonts w:ascii="Times New Roman" w:hAnsi="Times New Roman"/>
                <w:color w:val="000000"/>
                <w:sz w:val="20"/>
                <w:szCs w:val="20"/>
              </w:rPr>
              <w:t>1.000</w:t>
            </w:r>
          </w:p>
        </w:tc>
        <w:tc>
          <w:tcPr>
            <w:tcW w:w="416" w:type="pct"/>
            <w:tcBorders>
              <w:top w:val="nil"/>
              <w:left w:val="nil"/>
              <w:bottom w:val="nil"/>
              <w:right w:val="single" w:sz="4" w:space="0" w:color="auto"/>
            </w:tcBorders>
            <w:shd w:val="clear" w:color="auto" w:fill="auto"/>
            <w:hideMark/>
          </w:tcPr>
          <w:p w14:paraId="3065FA8D" w14:textId="77777777" w:rsidR="001A3E25" w:rsidRPr="00734A5B" w:rsidRDefault="001A3E25" w:rsidP="00993726">
            <w:pPr>
              <w:spacing w:line="240" w:lineRule="auto"/>
              <w:ind w:right="-108"/>
              <w:contextualSpacing/>
              <w:rPr>
                <w:rFonts w:ascii="Times New Roman" w:hAnsi="Times New Roman"/>
                <w:color w:val="000000"/>
                <w:sz w:val="20"/>
                <w:szCs w:val="20"/>
              </w:rPr>
            </w:pPr>
            <w:r w:rsidRPr="00734A5B">
              <w:rPr>
                <w:rFonts w:ascii="Times New Roman" w:hAnsi="Times New Roman"/>
                <w:color w:val="000000"/>
                <w:sz w:val="20"/>
                <w:szCs w:val="20"/>
              </w:rPr>
              <w:t>0.359</w:t>
            </w:r>
          </w:p>
        </w:tc>
        <w:tc>
          <w:tcPr>
            <w:tcW w:w="289" w:type="pct"/>
            <w:tcBorders>
              <w:top w:val="nil"/>
              <w:left w:val="single" w:sz="4" w:space="0" w:color="auto"/>
              <w:bottom w:val="nil"/>
              <w:right w:val="nil"/>
            </w:tcBorders>
            <w:shd w:val="clear" w:color="auto" w:fill="auto"/>
            <w:vAlign w:val="bottom"/>
          </w:tcPr>
          <w:p w14:paraId="0A7E1BFA" w14:textId="1857DBB2" w:rsidR="001A3E25" w:rsidRPr="00734A5B" w:rsidRDefault="001A3E25" w:rsidP="00993726">
            <w:pPr>
              <w:spacing w:line="240" w:lineRule="auto"/>
              <w:ind w:left="-100" w:right="-76"/>
              <w:contextualSpacing/>
              <w:rPr>
                <w:rFonts w:ascii="Times New Roman" w:hAnsi="Times New Roman"/>
                <w:color w:val="000000"/>
                <w:sz w:val="20"/>
                <w:szCs w:val="20"/>
              </w:rPr>
            </w:pPr>
            <w:r w:rsidRPr="00B44239">
              <w:rPr>
                <w:rFonts w:ascii="Times New Roman" w:hAnsi="Times New Roman"/>
                <w:color w:val="000000"/>
                <w:sz w:val="20"/>
                <w:szCs w:val="20"/>
              </w:rPr>
              <w:t>7,534</w:t>
            </w:r>
          </w:p>
        </w:tc>
        <w:tc>
          <w:tcPr>
            <w:tcW w:w="395" w:type="pct"/>
            <w:tcBorders>
              <w:top w:val="nil"/>
              <w:left w:val="nil"/>
              <w:bottom w:val="nil"/>
              <w:right w:val="nil"/>
            </w:tcBorders>
            <w:shd w:val="clear" w:color="auto" w:fill="auto"/>
          </w:tcPr>
          <w:p w14:paraId="2303FCBF" w14:textId="7D93FE1F" w:rsidR="001A3E25" w:rsidRPr="00734A5B" w:rsidRDefault="001A3E25" w:rsidP="00993726">
            <w:pPr>
              <w:spacing w:line="240" w:lineRule="auto"/>
              <w:ind w:left="-55" w:right="-28"/>
              <w:contextualSpacing/>
              <w:rPr>
                <w:rFonts w:ascii="Times New Roman" w:hAnsi="Times New Roman"/>
                <w:color w:val="000000"/>
                <w:sz w:val="20"/>
                <w:szCs w:val="20"/>
              </w:rPr>
            </w:pPr>
            <w:r w:rsidRPr="00B44239">
              <w:rPr>
                <w:rFonts w:ascii="Times New Roman" w:hAnsi="Times New Roman"/>
                <w:color w:val="000000"/>
                <w:sz w:val="20"/>
                <w:szCs w:val="20"/>
              </w:rPr>
              <w:t>0.817</w:t>
            </w:r>
          </w:p>
        </w:tc>
        <w:tc>
          <w:tcPr>
            <w:tcW w:w="339" w:type="pct"/>
            <w:tcBorders>
              <w:top w:val="nil"/>
              <w:left w:val="nil"/>
              <w:bottom w:val="nil"/>
              <w:right w:val="nil"/>
            </w:tcBorders>
            <w:shd w:val="clear" w:color="auto" w:fill="auto"/>
          </w:tcPr>
          <w:p w14:paraId="6B03E454" w14:textId="3188EFE3" w:rsidR="001A3E25" w:rsidRPr="00734A5B" w:rsidRDefault="001A3E25" w:rsidP="00993726">
            <w:pPr>
              <w:spacing w:line="240" w:lineRule="auto"/>
              <w:ind w:left="-103" w:right="-136"/>
              <w:contextualSpacing/>
              <w:rPr>
                <w:rFonts w:ascii="Times New Roman" w:hAnsi="Times New Roman"/>
                <w:color w:val="000000"/>
                <w:sz w:val="20"/>
                <w:szCs w:val="20"/>
              </w:rPr>
            </w:pPr>
            <w:r w:rsidRPr="00B44239">
              <w:rPr>
                <w:rFonts w:ascii="Times New Roman" w:hAnsi="Times New Roman"/>
                <w:color w:val="000000"/>
                <w:sz w:val="20"/>
                <w:szCs w:val="20"/>
              </w:rPr>
              <w:t>1.000</w:t>
            </w:r>
          </w:p>
        </w:tc>
        <w:tc>
          <w:tcPr>
            <w:tcW w:w="405" w:type="pct"/>
            <w:tcBorders>
              <w:top w:val="nil"/>
              <w:left w:val="nil"/>
              <w:bottom w:val="nil"/>
              <w:right w:val="single" w:sz="4" w:space="0" w:color="auto"/>
            </w:tcBorders>
            <w:shd w:val="clear" w:color="auto" w:fill="auto"/>
          </w:tcPr>
          <w:p w14:paraId="0F5B6C85" w14:textId="6D679E6B" w:rsidR="001A3E25" w:rsidRPr="00734A5B" w:rsidRDefault="001A3E25" w:rsidP="00993726">
            <w:pPr>
              <w:spacing w:line="240" w:lineRule="auto"/>
              <w:ind w:left="-85" w:right="-74"/>
              <w:contextualSpacing/>
              <w:rPr>
                <w:rFonts w:ascii="Times New Roman" w:hAnsi="Times New Roman"/>
                <w:color w:val="000000"/>
                <w:sz w:val="20"/>
                <w:szCs w:val="20"/>
              </w:rPr>
            </w:pPr>
            <w:r w:rsidRPr="00B44239">
              <w:rPr>
                <w:rFonts w:ascii="Times New Roman" w:hAnsi="Times New Roman"/>
                <w:color w:val="000000"/>
                <w:sz w:val="20"/>
                <w:szCs w:val="20"/>
              </w:rPr>
              <w:t>0.387</w:t>
            </w:r>
          </w:p>
        </w:tc>
        <w:tc>
          <w:tcPr>
            <w:tcW w:w="331" w:type="pct"/>
            <w:tcBorders>
              <w:top w:val="nil"/>
              <w:left w:val="single" w:sz="4" w:space="0" w:color="auto"/>
              <w:bottom w:val="nil"/>
              <w:right w:val="nil"/>
            </w:tcBorders>
            <w:shd w:val="clear" w:color="auto" w:fill="auto"/>
            <w:vAlign w:val="bottom"/>
          </w:tcPr>
          <w:p w14:paraId="60EE983D" w14:textId="4BA3DD53" w:rsidR="001A3E25" w:rsidRPr="00734A5B" w:rsidRDefault="001A3E25" w:rsidP="00993726">
            <w:pPr>
              <w:spacing w:line="240" w:lineRule="auto"/>
              <w:ind w:left="-95" w:right="-156"/>
              <w:contextualSpacing/>
              <w:rPr>
                <w:rFonts w:ascii="Times New Roman" w:hAnsi="Times New Roman"/>
                <w:color w:val="000000"/>
                <w:sz w:val="20"/>
                <w:szCs w:val="20"/>
              </w:rPr>
            </w:pPr>
            <w:r w:rsidRPr="00B44239">
              <w:rPr>
                <w:rFonts w:ascii="Times New Roman" w:hAnsi="Times New Roman"/>
                <w:color w:val="000000"/>
                <w:sz w:val="20"/>
                <w:szCs w:val="20"/>
              </w:rPr>
              <w:t>0.031</w:t>
            </w:r>
          </w:p>
        </w:tc>
        <w:tc>
          <w:tcPr>
            <w:tcW w:w="277" w:type="pct"/>
            <w:tcBorders>
              <w:top w:val="nil"/>
              <w:left w:val="nil"/>
              <w:bottom w:val="nil"/>
              <w:right w:val="nil"/>
            </w:tcBorders>
            <w:shd w:val="clear" w:color="auto" w:fill="auto"/>
            <w:vAlign w:val="bottom"/>
          </w:tcPr>
          <w:p w14:paraId="3C5348F5" w14:textId="686EA1FA" w:rsidR="001A3E25" w:rsidRPr="00734A5B" w:rsidRDefault="001A3E25" w:rsidP="00993726">
            <w:pPr>
              <w:spacing w:line="240" w:lineRule="auto"/>
              <w:ind w:left="-52" w:right="-97"/>
              <w:contextualSpacing/>
              <w:rPr>
                <w:rFonts w:ascii="Times New Roman" w:hAnsi="Times New Roman"/>
                <w:color w:val="000000"/>
                <w:sz w:val="20"/>
                <w:szCs w:val="20"/>
              </w:rPr>
            </w:pPr>
            <w:r w:rsidRPr="00B44239">
              <w:rPr>
                <w:rFonts w:ascii="Times New Roman" w:hAnsi="Times New Roman"/>
                <w:color w:val="000000"/>
                <w:sz w:val="20"/>
                <w:szCs w:val="20"/>
              </w:rPr>
              <w:t>0.000</w:t>
            </w:r>
          </w:p>
        </w:tc>
        <w:tc>
          <w:tcPr>
            <w:tcW w:w="395" w:type="pct"/>
            <w:tcBorders>
              <w:top w:val="nil"/>
              <w:left w:val="nil"/>
              <w:bottom w:val="nil"/>
              <w:right w:val="nil"/>
            </w:tcBorders>
            <w:shd w:val="clear" w:color="auto" w:fill="auto"/>
            <w:vAlign w:val="bottom"/>
          </w:tcPr>
          <w:p w14:paraId="6222AEF3" w14:textId="7748D214" w:rsidR="001A3E25" w:rsidRPr="00734A5B" w:rsidRDefault="001A3E25" w:rsidP="00993726">
            <w:pPr>
              <w:spacing w:line="240" w:lineRule="auto"/>
              <w:ind w:right="-117"/>
              <w:contextualSpacing/>
              <w:rPr>
                <w:rFonts w:ascii="Times New Roman" w:hAnsi="Times New Roman"/>
                <w:color w:val="000000"/>
                <w:sz w:val="20"/>
                <w:szCs w:val="20"/>
              </w:rPr>
            </w:pPr>
            <w:r w:rsidRPr="00B44239">
              <w:rPr>
                <w:rFonts w:ascii="Times New Roman" w:hAnsi="Times New Roman"/>
                <w:color w:val="000000"/>
                <w:sz w:val="20"/>
                <w:szCs w:val="20"/>
              </w:rPr>
              <w:t>2.11**</w:t>
            </w:r>
          </w:p>
        </w:tc>
        <w:tc>
          <w:tcPr>
            <w:tcW w:w="547" w:type="pct"/>
            <w:tcBorders>
              <w:top w:val="nil"/>
              <w:left w:val="nil"/>
              <w:bottom w:val="nil"/>
              <w:right w:val="nil"/>
            </w:tcBorders>
            <w:shd w:val="clear" w:color="auto" w:fill="auto"/>
            <w:vAlign w:val="bottom"/>
          </w:tcPr>
          <w:p w14:paraId="679E9936" w14:textId="3FB03670" w:rsidR="001A3E25" w:rsidRPr="00734A5B" w:rsidRDefault="001A3E25" w:rsidP="00993726">
            <w:pPr>
              <w:spacing w:line="240" w:lineRule="auto"/>
              <w:ind w:right="-467"/>
              <w:contextualSpacing/>
              <w:rPr>
                <w:rFonts w:ascii="Times New Roman" w:hAnsi="Times New Roman"/>
                <w:color w:val="000000"/>
                <w:sz w:val="20"/>
                <w:szCs w:val="20"/>
              </w:rPr>
            </w:pPr>
            <w:r w:rsidRPr="00B44239">
              <w:rPr>
                <w:rFonts w:ascii="Times New Roman" w:hAnsi="Times New Roman"/>
                <w:color w:val="000000"/>
                <w:sz w:val="20"/>
                <w:szCs w:val="20"/>
              </w:rPr>
              <w:t>1.98**</w:t>
            </w:r>
          </w:p>
        </w:tc>
      </w:tr>
      <w:tr w:rsidR="002D5AAC" w:rsidRPr="00734A5B" w14:paraId="03CC0313" w14:textId="4A688CE6" w:rsidTr="00F7612D">
        <w:trPr>
          <w:trHeight w:val="20"/>
        </w:trPr>
        <w:tc>
          <w:tcPr>
            <w:tcW w:w="562" w:type="pct"/>
            <w:tcBorders>
              <w:top w:val="nil"/>
              <w:left w:val="nil"/>
              <w:bottom w:val="nil"/>
              <w:right w:val="nil"/>
            </w:tcBorders>
            <w:shd w:val="clear" w:color="auto" w:fill="auto"/>
            <w:hideMark/>
          </w:tcPr>
          <w:p w14:paraId="50723A50" w14:textId="77777777" w:rsidR="001A3E25" w:rsidRPr="00734A5B" w:rsidRDefault="001A3E25" w:rsidP="00993726">
            <w:pPr>
              <w:spacing w:after="0" w:line="240" w:lineRule="auto"/>
              <w:ind w:right="-78"/>
              <w:contextualSpacing/>
              <w:rPr>
                <w:rFonts w:ascii="Times New Roman" w:eastAsia="Times New Roman" w:hAnsi="Times New Roman"/>
                <w:i/>
                <w:color w:val="000000"/>
                <w:sz w:val="20"/>
                <w:szCs w:val="20"/>
              </w:rPr>
            </w:pPr>
            <w:r w:rsidRPr="00734A5B">
              <w:rPr>
                <w:rFonts w:ascii="Times New Roman" w:eastAsia="Times New Roman" w:hAnsi="Times New Roman"/>
                <w:i/>
                <w:color w:val="000000"/>
                <w:sz w:val="20"/>
                <w:szCs w:val="20"/>
              </w:rPr>
              <w:t>TENURE</w:t>
            </w:r>
          </w:p>
        </w:tc>
        <w:tc>
          <w:tcPr>
            <w:tcW w:w="233" w:type="pct"/>
            <w:tcBorders>
              <w:top w:val="nil"/>
              <w:left w:val="nil"/>
              <w:bottom w:val="nil"/>
              <w:right w:val="nil"/>
            </w:tcBorders>
            <w:shd w:val="clear" w:color="auto" w:fill="auto"/>
            <w:noWrap/>
            <w:vAlign w:val="bottom"/>
            <w:hideMark/>
          </w:tcPr>
          <w:p w14:paraId="4933EEBF" w14:textId="77777777" w:rsidR="001A3E25" w:rsidRPr="00734A5B" w:rsidRDefault="001A3E25" w:rsidP="001A3E25">
            <w:pPr>
              <w:spacing w:line="240" w:lineRule="auto"/>
              <w:contextualSpacing/>
              <w:rPr>
                <w:rFonts w:ascii="Times New Roman" w:hAnsi="Times New Roman"/>
                <w:color w:val="000000"/>
                <w:sz w:val="20"/>
                <w:szCs w:val="20"/>
              </w:rPr>
            </w:pPr>
            <w:r w:rsidRPr="00734A5B">
              <w:rPr>
                <w:rFonts w:ascii="Times New Roman" w:hAnsi="Times New Roman"/>
                <w:color w:val="000000"/>
                <w:sz w:val="20"/>
                <w:szCs w:val="20"/>
              </w:rPr>
              <w:t>645</w:t>
            </w:r>
          </w:p>
        </w:tc>
        <w:tc>
          <w:tcPr>
            <w:tcW w:w="395" w:type="pct"/>
            <w:tcBorders>
              <w:top w:val="nil"/>
              <w:left w:val="nil"/>
              <w:bottom w:val="nil"/>
              <w:right w:val="nil"/>
            </w:tcBorders>
            <w:shd w:val="clear" w:color="auto" w:fill="auto"/>
            <w:hideMark/>
          </w:tcPr>
          <w:p w14:paraId="685AED80" w14:textId="77777777" w:rsidR="001A3E25" w:rsidRPr="00734A5B" w:rsidRDefault="001A3E25" w:rsidP="00993726">
            <w:pPr>
              <w:spacing w:line="240" w:lineRule="auto"/>
              <w:ind w:right="-140"/>
              <w:contextualSpacing/>
              <w:rPr>
                <w:rFonts w:ascii="Times New Roman" w:hAnsi="Times New Roman"/>
                <w:color w:val="000000"/>
                <w:sz w:val="20"/>
                <w:szCs w:val="20"/>
              </w:rPr>
            </w:pPr>
            <w:r w:rsidRPr="00734A5B">
              <w:rPr>
                <w:rFonts w:ascii="Times New Roman" w:hAnsi="Times New Roman"/>
                <w:color w:val="000000"/>
                <w:sz w:val="20"/>
                <w:szCs w:val="20"/>
              </w:rPr>
              <w:t>5.808</w:t>
            </w:r>
          </w:p>
        </w:tc>
        <w:tc>
          <w:tcPr>
            <w:tcW w:w="416" w:type="pct"/>
            <w:tcBorders>
              <w:top w:val="nil"/>
              <w:left w:val="nil"/>
              <w:bottom w:val="nil"/>
              <w:right w:val="nil"/>
            </w:tcBorders>
            <w:shd w:val="clear" w:color="auto" w:fill="auto"/>
            <w:hideMark/>
          </w:tcPr>
          <w:p w14:paraId="035638B8" w14:textId="77777777" w:rsidR="001A3E25" w:rsidRPr="00734A5B" w:rsidRDefault="001A3E25" w:rsidP="00993726">
            <w:pPr>
              <w:spacing w:line="240" w:lineRule="auto"/>
              <w:ind w:right="-131"/>
              <w:contextualSpacing/>
              <w:rPr>
                <w:rFonts w:ascii="Times New Roman" w:hAnsi="Times New Roman"/>
                <w:color w:val="000000"/>
                <w:sz w:val="20"/>
                <w:szCs w:val="20"/>
              </w:rPr>
            </w:pPr>
            <w:r w:rsidRPr="00734A5B">
              <w:rPr>
                <w:rFonts w:ascii="Times New Roman" w:hAnsi="Times New Roman"/>
                <w:color w:val="000000"/>
                <w:sz w:val="20"/>
                <w:szCs w:val="20"/>
              </w:rPr>
              <w:t>4.000</w:t>
            </w:r>
          </w:p>
        </w:tc>
        <w:tc>
          <w:tcPr>
            <w:tcW w:w="416" w:type="pct"/>
            <w:tcBorders>
              <w:top w:val="nil"/>
              <w:left w:val="nil"/>
              <w:bottom w:val="nil"/>
              <w:right w:val="single" w:sz="4" w:space="0" w:color="auto"/>
            </w:tcBorders>
            <w:shd w:val="clear" w:color="auto" w:fill="auto"/>
            <w:hideMark/>
          </w:tcPr>
          <w:p w14:paraId="1DCAAFEE" w14:textId="77777777" w:rsidR="001A3E25" w:rsidRPr="00734A5B" w:rsidRDefault="001A3E25" w:rsidP="00993726">
            <w:pPr>
              <w:spacing w:line="240" w:lineRule="auto"/>
              <w:ind w:right="-108"/>
              <w:contextualSpacing/>
              <w:rPr>
                <w:rFonts w:ascii="Times New Roman" w:hAnsi="Times New Roman"/>
                <w:color w:val="000000"/>
                <w:sz w:val="20"/>
                <w:szCs w:val="20"/>
              </w:rPr>
            </w:pPr>
            <w:r w:rsidRPr="00734A5B">
              <w:rPr>
                <w:rFonts w:ascii="Times New Roman" w:hAnsi="Times New Roman"/>
                <w:color w:val="000000"/>
                <w:sz w:val="20"/>
                <w:szCs w:val="20"/>
              </w:rPr>
              <w:t>4.799</w:t>
            </w:r>
          </w:p>
        </w:tc>
        <w:tc>
          <w:tcPr>
            <w:tcW w:w="289" w:type="pct"/>
            <w:tcBorders>
              <w:top w:val="nil"/>
              <w:left w:val="single" w:sz="4" w:space="0" w:color="auto"/>
              <w:bottom w:val="nil"/>
              <w:right w:val="nil"/>
            </w:tcBorders>
            <w:shd w:val="clear" w:color="auto" w:fill="auto"/>
            <w:vAlign w:val="bottom"/>
          </w:tcPr>
          <w:p w14:paraId="7049FC96" w14:textId="3B356F99" w:rsidR="001A3E25" w:rsidRPr="00734A5B" w:rsidRDefault="001A3E25" w:rsidP="00993726">
            <w:pPr>
              <w:spacing w:line="240" w:lineRule="auto"/>
              <w:ind w:left="-100" w:right="-76"/>
              <w:contextualSpacing/>
              <w:rPr>
                <w:rFonts w:ascii="Times New Roman" w:hAnsi="Times New Roman"/>
                <w:color w:val="000000"/>
                <w:sz w:val="20"/>
                <w:szCs w:val="20"/>
              </w:rPr>
            </w:pPr>
            <w:r w:rsidRPr="00B44239">
              <w:rPr>
                <w:rFonts w:ascii="Times New Roman" w:hAnsi="Times New Roman"/>
                <w:color w:val="000000"/>
                <w:sz w:val="20"/>
                <w:szCs w:val="20"/>
              </w:rPr>
              <w:t>7,523</w:t>
            </w:r>
          </w:p>
        </w:tc>
        <w:tc>
          <w:tcPr>
            <w:tcW w:w="395" w:type="pct"/>
            <w:tcBorders>
              <w:top w:val="nil"/>
              <w:left w:val="nil"/>
              <w:bottom w:val="nil"/>
              <w:right w:val="nil"/>
            </w:tcBorders>
            <w:shd w:val="clear" w:color="auto" w:fill="auto"/>
          </w:tcPr>
          <w:p w14:paraId="616BFFF3" w14:textId="0C071CD2" w:rsidR="001A3E25" w:rsidRPr="00734A5B" w:rsidRDefault="001A3E25" w:rsidP="00993726">
            <w:pPr>
              <w:spacing w:line="240" w:lineRule="auto"/>
              <w:ind w:left="-55" w:right="-28"/>
              <w:contextualSpacing/>
              <w:rPr>
                <w:rFonts w:ascii="Times New Roman" w:hAnsi="Times New Roman"/>
                <w:color w:val="000000"/>
                <w:sz w:val="20"/>
                <w:szCs w:val="20"/>
              </w:rPr>
            </w:pPr>
            <w:r w:rsidRPr="00B44239">
              <w:rPr>
                <w:rFonts w:ascii="Times New Roman" w:hAnsi="Times New Roman"/>
                <w:color w:val="000000"/>
                <w:sz w:val="20"/>
                <w:szCs w:val="20"/>
              </w:rPr>
              <w:t>7.829</w:t>
            </w:r>
          </w:p>
        </w:tc>
        <w:tc>
          <w:tcPr>
            <w:tcW w:w="339" w:type="pct"/>
            <w:tcBorders>
              <w:top w:val="nil"/>
              <w:left w:val="nil"/>
              <w:bottom w:val="nil"/>
              <w:right w:val="nil"/>
            </w:tcBorders>
            <w:shd w:val="clear" w:color="auto" w:fill="auto"/>
          </w:tcPr>
          <w:p w14:paraId="0746F80E" w14:textId="07E96EC6" w:rsidR="001A3E25" w:rsidRPr="00734A5B" w:rsidRDefault="001A3E25" w:rsidP="00993726">
            <w:pPr>
              <w:spacing w:line="240" w:lineRule="auto"/>
              <w:ind w:left="-103" w:right="-136"/>
              <w:contextualSpacing/>
              <w:rPr>
                <w:rFonts w:ascii="Times New Roman" w:hAnsi="Times New Roman"/>
                <w:color w:val="000000"/>
                <w:sz w:val="20"/>
                <w:szCs w:val="20"/>
              </w:rPr>
            </w:pPr>
            <w:r w:rsidRPr="00B44239">
              <w:rPr>
                <w:rFonts w:ascii="Times New Roman" w:hAnsi="Times New Roman"/>
                <w:color w:val="000000"/>
                <w:sz w:val="20"/>
                <w:szCs w:val="20"/>
              </w:rPr>
              <w:t>6.000</w:t>
            </w:r>
          </w:p>
        </w:tc>
        <w:tc>
          <w:tcPr>
            <w:tcW w:w="405" w:type="pct"/>
            <w:tcBorders>
              <w:top w:val="nil"/>
              <w:left w:val="nil"/>
              <w:bottom w:val="nil"/>
              <w:right w:val="single" w:sz="4" w:space="0" w:color="auto"/>
            </w:tcBorders>
            <w:shd w:val="clear" w:color="auto" w:fill="auto"/>
          </w:tcPr>
          <w:p w14:paraId="48A6DE58" w14:textId="214B442D" w:rsidR="001A3E25" w:rsidRPr="00734A5B" w:rsidRDefault="001A3E25" w:rsidP="00993726">
            <w:pPr>
              <w:spacing w:line="240" w:lineRule="auto"/>
              <w:ind w:left="-85" w:right="-74"/>
              <w:contextualSpacing/>
              <w:rPr>
                <w:rFonts w:ascii="Times New Roman" w:hAnsi="Times New Roman"/>
                <w:color w:val="000000"/>
                <w:sz w:val="20"/>
                <w:szCs w:val="20"/>
              </w:rPr>
            </w:pPr>
            <w:r w:rsidRPr="00B44239">
              <w:rPr>
                <w:rFonts w:ascii="Times New Roman" w:hAnsi="Times New Roman"/>
                <w:color w:val="000000"/>
                <w:sz w:val="20"/>
                <w:szCs w:val="20"/>
              </w:rPr>
              <w:t>7.645</w:t>
            </w:r>
          </w:p>
        </w:tc>
        <w:tc>
          <w:tcPr>
            <w:tcW w:w="331" w:type="pct"/>
            <w:tcBorders>
              <w:top w:val="nil"/>
              <w:left w:val="single" w:sz="4" w:space="0" w:color="auto"/>
              <w:bottom w:val="nil"/>
              <w:right w:val="nil"/>
            </w:tcBorders>
            <w:shd w:val="clear" w:color="auto" w:fill="auto"/>
            <w:vAlign w:val="bottom"/>
          </w:tcPr>
          <w:p w14:paraId="27F23D0E" w14:textId="66253330" w:rsidR="001A3E25" w:rsidRPr="00734A5B" w:rsidRDefault="001A3E25" w:rsidP="00993726">
            <w:pPr>
              <w:spacing w:line="240" w:lineRule="auto"/>
              <w:ind w:left="-95" w:right="-156"/>
              <w:contextualSpacing/>
              <w:rPr>
                <w:rFonts w:ascii="Times New Roman" w:hAnsi="Times New Roman"/>
                <w:color w:val="000000"/>
                <w:sz w:val="20"/>
                <w:szCs w:val="20"/>
              </w:rPr>
            </w:pPr>
            <w:r w:rsidRPr="00B44239">
              <w:rPr>
                <w:rFonts w:ascii="Times New Roman" w:hAnsi="Times New Roman"/>
                <w:color w:val="000000"/>
                <w:sz w:val="20"/>
                <w:szCs w:val="20"/>
              </w:rPr>
              <w:t>-2.021</w:t>
            </w:r>
          </w:p>
        </w:tc>
        <w:tc>
          <w:tcPr>
            <w:tcW w:w="277" w:type="pct"/>
            <w:tcBorders>
              <w:top w:val="nil"/>
              <w:left w:val="nil"/>
              <w:bottom w:val="nil"/>
              <w:right w:val="nil"/>
            </w:tcBorders>
            <w:shd w:val="clear" w:color="auto" w:fill="auto"/>
            <w:vAlign w:val="bottom"/>
          </w:tcPr>
          <w:p w14:paraId="131D1256" w14:textId="3C29A3BC" w:rsidR="001A3E25" w:rsidRPr="00734A5B" w:rsidRDefault="001A3E25" w:rsidP="00993726">
            <w:pPr>
              <w:spacing w:line="240" w:lineRule="auto"/>
              <w:ind w:left="-52" w:right="-97"/>
              <w:contextualSpacing/>
              <w:rPr>
                <w:rFonts w:ascii="Times New Roman" w:hAnsi="Times New Roman"/>
                <w:color w:val="000000"/>
                <w:sz w:val="20"/>
                <w:szCs w:val="20"/>
              </w:rPr>
            </w:pPr>
            <w:r w:rsidRPr="00B44239">
              <w:rPr>
                <w:rFonts w:ascii="Times New Roman" w:hAnsi="Times New Roman"/>
                <w:color w:val="000000"/>
                <w:sz w:val="20"/>
                <w:szCs w:val="20"/>
              </w:rPr>
              <w:t>-2.000</w:t>
            </w:r>
          </w:p>
        </w:tc>
        <w:tc>
          <w:tcPr>
            <w:tcW w:w="395" w:type="pct"/>
            <w:tcBorders>
              <w:top w:val="nil"/>
              <w:left w:val="nil"/>
              <w:bottom w:val="nil"/>
              <w:right w:val="nil"/>
            </w:tcBorders>
            <w:shd w:val="clear" w:color="auto" w:fill="auto"/>
            <w:vAlign w:val="bottom"/>
          </w:tcPr>
          <w:p w14:paraId="5D553552" w14:textId="247B4155" w:rsidR="001A3E25" w:rsidRPr="00734A5B" w:rsidRDefault="001A3E25" w:rsidP="00993726">
            <w:pPr>
              <w:spacing w:line="240" w:lineRule="auto"/>
              <w:ind w:right="-117"/>
              <w:contextualSpacing/>
              <w:rPr>
                <w:rFonts w:ascii="Times New Roman" w:hAnsi="Times New Roman"/>
                <w:color w:val="000000"/>
                <w:sz w:val="20"/>
                <w:szCs w:val="20"/>
              </w:rPr>
            </w:pPr>
            <w:r w:rsidRPr="00B44239">
              <w:rPr>
                <w:rFonts w:ascii="Times New Roman" w:hAnsi="Times New Roman"/>
                <w:color w:val="000000"/>
                <w:sz w:val="20"/>
                <w:szCs w:val="20"/>
              </w:rPr>
              <w:t>-9.69***</w:t>
            </w:r>
          </w:p>
        </w:tc>
        <w:tc>
          <w:tcPr>
            <w:tcW w:w="547" w:type="pct"/>
            <w:tcBorders>
              <w:top w:val="nil"/>
              <w:left w:val="nil"/>
              <w:bottom w:val="nil"/>
              <w:right w:val="nil"/>
            </w:tcBorders>
            <w:shd w:val="clear" w:color="auto" w:fill="auto"/>
            <w:vAlign w:val="bottom"/>
          </w:tcPr>
          <w:p w14:paraId="28EB80F4" w14:textId="27863225" w:rsidR="001A3E25" w:rsidRPr="00734A5B" w:rsidRDefault="001A3E25" w:rsidP="00993726">
            <w:pPr>
              <w:spacing w:line="240" w:lineRule="auto"/>
              <w:ind w:right="-467"/>
              <w:contextualSpacing/>
              <w:rPr>
                <w:rFonts w:ascii="Times New Roman" w:hAnsi="Times New Roman"/>
                <w:color w:val="000000"/>
                <w:sz w:val="20"/>
                <w:szCs w:val="20"/>
              </w:rPr>
            </w:pPr>
            <w:r w:rsidRPr="00B44239">
              <w:rPr>
                <w:rFonts w:ascii="Times New Roman" w:hAnsi="Times New Roman"/>
                <w:color w:val="000000"/>
                <w:sz w:val="20"/>
                <w:szCs w:val="20"/>
              </w:rPr>
              <w:t>-4.48***</w:t>
            </w:r>
          </w:p>
        </w:tc>
      </w:tr>
      <w:tr w:rsidR="002D5AAC" w:rsidRPr="00734A5B" w14:paraId="04CE3511" w14:textId="6DBED546" w:rsidTr="00F7612D">
        <w:trPr>
          <w:trHeight w:val="20"/>
        </w:trPr>
        <w:tc>
          <w:tcPr>
            <w:tcW w:w="562" w:type="pct"/>
            <w:tcBorders>
              <w:top w:val="nil"/>
              <w:left w:val="nil"/>
              <w:right w:val="nil"/>
            </w:tcBorders>
            <w:shd w:val="clear" w:color="auto" w:fill="auto"/>
            <w:hideMark/>
          </w:tcPr>
          <w:p w14:paraId="449E9990" w14:textId="77777777" w:rsidR="001A3E25" w:rsidRPr="00734A5B" w:rsidRDefault="001A3E25" w:rsidP="00993726">
            <w:pPr>
              <w:spacing w:after="0" w:line="240" w:lineRule="auto"/>
              <w:ind w:right="-78"/>
              <w:contextualSpacing/>
              <w:rPr>
                <w:rFonts w:ascii="Times New Roman" w:eastAsia="Times New Roman" w:hAnsi="Times New Roman"/>
                <w:i/>
                <w:color w:val="000000"/>
                <w:sz w:val="20"/>
                <w:szCs w:val="20"/>
              </w:rPr>
            </w:pPr>
            <w:r w:rsidRPr="00734A5B">
              <w:rPr>
                <w:rFonts w:ascii="Times New Roman" w:eastAsia="Times New Roman" w:hAnsi="Times New Roman"/>
                <w:i/>
                <w:color w:val="000000"/>
                <w:sz w:val="20"/>
                <w:szCs w:val="20"/>
              </w:rPr>
              <w:t>INSTOWN</w:t>
            </w:r>
          </w:p>
        </w:tc>
        <w:tc>
          <w:tcPr>
            <w:tcW w:w="233" w:type="pct"/>
            <w:tcBorders>
              <w:top w:val="nil"/>
              <w:left w:val="nil"/>
              <w:right w:val="nil"/>
            </w:tcBorders>
            <w:shd w:val="clear" w:color="auto" w:fill="auto"/>
            <w:noWrap/>
            <w:vAlign w:val="bottom"/>
            <w:hideMark/>
          </w:tcPr>
          <w:p w14:paraId="137602DB" w14:textId="77777777" w:rsidR="001A3E25" w:rsidRPr="00734A5B" w:rsidRDefault="001A3E25" w:rsidP="001A3E25">
            <w:pPr>
              <w:spacing w:line="240" w:lineRule="auto"/>
              <w:contextualSpacing/>
              <w:rPr>
                <w:rFonts w:ascii="Times New Roman" w:hAnsi="Times New Roman"/>
                <w:color w:val="000000"/>
                <w:sz w:val="20"/>
                <w:szCs w:val="20"/>
              </w:rPr>
            </w:pPr>
            <w:r w:rsidRPr="00734A5B">
              <w:rPr>
                <w:rFonts w:ascii="Times New Roman" w:hAnsi="Times New Roman"/>
                <w:color w:val="000000"/>
                <w:sz w:val="20"/>
                <w:szCs w:val="20"/>
              </w:rPr>
              <w:t>645</w:t>
            </w:r>
          </w:p>
        </w:tc>
        <w:tc>
          <w:tcPr>
            <w:tcW w:w="395" w:type="pct"/>
            <w:tcBorders>
              <w:top w:val="nil"/>
              <w:left w:val="nil"/>
              <w:right w:val="nil"/>
            </w:tcBorders>
            <w:shd w:val="clear" w:color="auto" w:fill="auto"/>
            <w:hideMark/>
          </w:tcPr>
          <w:p w14:paraId="3158415C" w14:textId="77777777" w:rsidR="001A3E25" w:rsidRPr="00734A5B" w:rsidRDefault="001A3E25" w:rsidP="00993726">
            <w:pPr>
              <w:spacing w:line="240" w:lineRule="auto"/>
              <w:ind w:right="-140"/>
              <w:contextualSpacing/>
              <w:rPr>
                <w:rFonts w:ascii="Times New Roman" w:hAnsi="Times New Roman"/>
                <w:color w:val="000000"/>
                <w:sz w:val="20"/>
                <w:szCs w:val="20"/>
              </w:rPr>
            </w:pPr>
            <w:r w:rsidRPr="00734A5B">
              <w:rPr>
                <w:rFonts w:ascii="Times New Roman" w:hAnsi="Times New Roman"/>
                <w:color w:val="000000"/>
                <w:sz w:val="20"/>
                <w:szCs w:val="20"/>
              </w:rPr>
              <w:t>0.241</w:t>
            </w:r>
          </w:p>
        </w:tc>
        <w:tc>
          <w:tcPr>
            <w:tcW w:w="416" w:type="pct"/>
            <w:tcBorders>
              <w:top w:val="nil"/>
              <w:left w:val="nil"/>
              <w:right w:val="nil"/>
            </w:tcBorders>
            <w:shd w:val="clear" w:color="auto" w:fill="auto"/>
            <w:hideMark/>
          </w:tcPr>
          <w:p w14:paraId="21D029EF" w14:textId="77777777" w:rsidR="001A3E25" w:rsidRPr="00734A5B" w:rsidRDefault="001A3E25" w:rsidP="00993726">
            <w:pPr>
              <w:spacing w:line="240" w:lineRule="auto"/>
              <w:ind w:right="-131"/>
              <w:contextualSpacing/>
              <w:rPr>
                <w:rFonts w:ascii="Times New Roman" w:hAnsi="Times New Roman"/>
                <w:color w:val="000000"/>
                <w:sz w:val="20"/>
                <w:szCs w:val="20"/>
              </w:rPr>
            </w:pPr>
            <w:r w:rsidRPr="00734A5B">
              <w:rPr>
                <w:rFonts w:ascii="Times New Roman" w:hAnsi="Times New Roman"/>
                <w:color w:val="000000"/>
                <w:sz w:val="20"/>
                <w:szCs w:val="20"/>
              </w:rPr>
              <w:t>0.190</w:t>
            </w:r>
          </w:p>
        </w:tc>
        <w:tc>
          <w:tcPr>
            <w:tcW w:w="416" w:type="pct"/>
            <w:tcBorders>
              <w:top w:val="nil"/>
              <w:left w:val="nil"/>
              <w:right w:val="single" w:sz="4" w:space="0" w:color="auto"/>
            </w:tcBorders>
            <w:shd w:val="clear" w:color="auto" w:fill="auto"/>
            <w:hideMark/>
          </w:tcPr>
          <w:p w14:paraId="49E5828D" w14:textId="77777777" w:rsidR="001A3E25" w:rsidRPr="00734A5B" w:rsidRDefault="001A3E25" w:rsidP="00993726">
            <w:pPr>
              <w:spacing w:line="240" w:lineRule="auto"/>
              <w:ind w:right="-108"/>
              <w:contextualSpacing/>
              <w:rPr>
                <w:rFonts w:ascii="Times New Roman" w:hAnsi="Times New Roman"/>
                <w:color w:val="000000"/>
                <w:sz w:val="20"/>
                <w:szCs w:val="20"/>
              </w:rPr>
            </w:pPr>
            <w:r w:rsidRPr="00734A5B">
              <w:rPr>
                <w:rFonts w:ascii="Times New Roman" w:hAnsi="Times New Roman"/>
                <w:color w:val="000000"/>
                <w:sz w:val="20"/>
                <w:szCs w:val="20"/>
              </w:rPr>
              <w:t>0.241</w:t>
            </w:r>
          </w:p>
        </w:tc>
        <w:tc>
          <w:tcPr>
            <w:tcW w:w="289" w:type="pct"/>
            <w:tcBorders>
              <w:top w:val="nil"/>
              <w:left w:val="single" w:sz="4" w:space="0" w:color="auto"/>
              <w:right w:val="nil"/>
            </w:tcBorders>
            <w:shd w:val="clear" w:color="auto" w:fill="auto"/>
            <w:vAlign w:val="bottom"/>
          </w:tcPr>
          <w:p w14:paraId="2E37FD03" w14:textId="5F832632" w:rsidR="001A3E25" w:rsidRPr="00734A5B" w:rsidRDefault="001A3E25" w:rsidP="00993726">
            <w:pPr>
              <w:spacing w:line="240" w:lineRule="auto"/>
              <w:ind w:left="-100" w:right="-76"/>
              <w:contextualSpacing/>
              <w:rPr>
                <w:rFonts w:ascii="Times New Roman" w:hAnsi="Times New Roman"/>
                <w:color w:val="000000"/>
                <w:sz w:val="20"/>
                <w:szCs w:val="20"/>
              </w:rPr>
            </w:pPr>
            <w:r w:rsidRPr="00B44239">
              <w:rPr>
                <w:rFonts w:ascii="Times New Roman" w:hAnsi="Times New Roman"/>
                <w:color w:val="000000"/>
                <w:sz w:val="20"/>
                <w:szCs w:val="20"/>
              </w:rPr>
              <w:t>7,534</w:t>
            </w:r>
          </w:p>
        </w:tc>
        <w:tc>
          <w:tcPr>
            <w:tcW w:w="395" w:type="pct"/>
            <w:tcBorders>
              <w:top w:val="nil"/>
              <w:left w:val="nil"/>
              <w:right w:val="nil"/>
            </w:tcBorders>
            <w:shd w:val="clear" w:color="auto" w:fill="auto"/>
          </w:tcPr>
          <w:p w14:paraId="34F23196" w14:textId="455D40AD" w:rsidR="001A3E25" w:rsidRPr="00734A5B" w:rsidRDefault="001A3E25" w:rsidP="00993726">
            <w:pPr>
              <w:spacing w:line="240" w:lineRule="auto"/>
              <w:ind w:left="-55" w:right="-28"/>
              <w:contextualSpacing/>
              <w:rPr>
                <w:rFonts w:ascii="Times New Roman" w:hAnsi="Times New Roman"/>
                <w:color w:val="000000"/>
                <w:sz w:val="20"/>
                <w:szCs w:val="20"/>
              </w:rPr>
            </w:pPr>
            <w:r w:rsidRPr="00B44239">
              <w:rPr>
                <w:rFonts w:ascii="Times New Roman" w:hAnsi="Times New Roman"/>
                <w:color w:val="000000"/>
                <w:sz w:val="20"/>
                <w:szCs w:val="20"/>
              </w:rPr>
              <w:t>0.299</w:t>
            </w:r>
          </w:p>
        </w:tc>
        <w:tc>
          <w:tcPr>
            <w:tcW w:w="339" w:type="pct"/>
            <w:tcBorders>
              <w:top w:val="nil"/>
              <w:left w:val="nil"/>
              <w:right w:val="nil"/>
            </w:tcBorders>
            <w:shd w:val="clear" w:color="auto" w:fill="auto"/>
          </w:tcPr>
          <w:p w14:paraId="4A6504A2" w14:textId="258717FF" w:rsidR="001A3E25" w:rsidRPr="00734A5B" w:rsidRDefault="001A3E25" w:rsidP="00993726">
            <w:pPr>
              <w:spacing w:line="240" w:lineRule="auto"/>
              <w:ind w:left="-103" w:right="-136"/>
              <w:contextualSpacing/>
              <w:rPr>
                <w:rFonts w:ascii="Times New Roman" w:hAnsi="Times New Roman"/>
                <w:color w:val="000000"/>
                <w:sz w:val="20"/>
                <w:szCs w:val="20"/>
              </w:rPr>
            </w:pPr>
            <w:r w:rsidRPr="00B44239">
              <w:rPr>
                <w:rFonts w:ascii="Times New Roman" w:hAnsi="Times New Roman"/>
                <w:color w:val="000000"/>
                <w:sz w:val="20"/>
                <w:szCs w:val="20"/>
              </w:rPr>
              <w:t>0.156</w:t>
            </w:r>
          </w:p>
        </w:tc>
        <w:tc>
          <w:tcPr>
            <w:tcW w:w="405" w:type="pct"/>
            <w:tcBorders>
              <w:top w:val="nil"/>
              <w:left w:val="nil"/>
              <w:right w:val="single" w:sz="4" w:space="0" w:color="auto"/>
            </w:tcBorders>
            <w:shd w:val="clear" w:color="auto" w:fill="auto"/>
          </w:tcPr>
          <w:p w14:paraId="206F9D16" w14:textId="4AB061BC" w:rsidR="001A3E25" w:rsidRPr="00734A5B" w:rsidRDefault="001A3E25" w:rsidP="00993726">
            <w:pPr>
              <w:spacing w:line="240" w:lineRule="auto"/>
              <w:ind w:left="-85" w:right="-74"/>
              <w:contextualSpacing/>
              <w:rPr>
                <w:rFonts w:ascii="Times New Roman" w:hAnsi="Times New Roman"/>
                <w:color w:val="000000"/>
                <w:sz w:val="20"/>
                <w:szCs w:val="20"/>
              </w:rPr>
            </w:pPr>
            <w:r w:rsidRPr="00B44239">
              <w:rPr>
                <w:rFonts w:ascii="Times New Roman" w:hAnsi="Times New Roman"/>
                <w:color w:val="000000"/>
                <w:sz w:val="20"/>
                <w:szCs w:val="20"/>
              </w:rPr>
              <w:t>0.378</w:t>
            </w:r>
          </w:p>
        </w:tc>
        <w:tc>
          <w:tcPr>
            <w:tcW w:w="331" w:type="pct"/>
            <w:tcBorders>
              <w:top w:val="nil"/>
              <w:left w:val="single" w:sz="4" w:space="0" w:color="auto"/>
              <w:right w:val="nil"/>
            </w:tcBorders>
            <w:shd w:val="clear" w:color="auto" w:fill="auto"/>
            <w:vAlign w:val="bottom"/>
          </w:tcPr>
          <w:p w14:paraId="4D08C6F4" w14:textId="623E8E3B" w:rsidR="001A3E25" w:rsidRPr="00734A5B" w:rsidRDefault="001A3E25" w:rsidP="00993726">
            <w:pPr>
              <w:spacing w:line="240" w:lineRule="auto"/>
              <w:ind w:left="-95" w:right="-156"/>
              <w:contextualSpacing/>
              <w:rPr>
                <w:rFonts w:ascii="Times New Roman" w:hAnsi="Times New Roman"/>
                <w:color w:val="000000"/>
                <w:sz w:val="20"/>
                <w:szCs w:val="20"/>
              </w:rPr>
            </w:pPr>
            <w:r w:rsidRPr="00B44239">
              <w:rPr>
                <w:rFonts w:ascii="Times New Roman" w:hAnsi="Times New Roman"/>
                <w:color w:val="000000"/>
                <w:sz w:val="20"/>
                <w:szCs w:val="20"/>
              </w:rPr>
              <w:t>-0.057</w:t>
            </w:r>
          </w:p>
        </w:tc>
        <w:tc>
          <w:tcPr>
            <w:tcW w:w="277" w:type="pct"/>
            <w:tcBorders>
              <w:top w:val="nil"/>
              <w:left w:val="nil"/>
              <w:right w:val="nil"/>
            </w:tcBorders>
            <w:shd w:val="clear" w:color="auto" w:fill="auto"/>
            <w:vAlign w:val="bottom"/>
          </w:tcPr>
          <w:p w14:paraId="64C56777" w14:textId="14E350A4" w:rsidR="001A3E25" w:rsidRPr="00734A5B" w:rsidRDefault="001A3E25" w:rsidP="00993726">
            <w:pPr>
              <w:spacing w:line="240" w:lineRule="auto"/>
              <w:ind w:left="-52" w:right="-97"/>
              <w:contextualSpacing/>
              <w:rPr>
                <w:rFonts w:ascii="Times New Roman" w:hAnsi="Times New Roman"/>
                <w:color w:val="000000"/>
                <w:sz w:val="20"/>
                <w:szCs w:val="20"/>
              </w:rPr>
            </w:pPr>
            <w:r w:rsidRPr="00B44239">
              <w:rPr>
                <w:rFonts w:ascii="Times New Roman" w:hAnsi="Times New Roman"/>
                <w:color w:val="000000"/>
                <w:sz w:val="20"/>
                <w:szCs w:val="20"/>
              </w:rPr>
              <w:t>0.034</w:t>
            </w:r>
          </w:p>
        </w:tc>
        <w:tc>
          <w:tcPr>
            <w:tcW w:w="395" w:type="pct"/>
            <w:tcBorders>
              <w:top w:val="nil"/>
              <w:left w:val="nil"/>
              <w:right w:val="nil"/>
            </w:tcBorders>
            <w:shd w:val="clear" w:color="auto" w:fill="auto"/>
            <w:vAlign w:val="bottom"/>
          </w:tcPr>
          <w:p w14:paraId="041F1E7F" w14:textId="6F9969EF" w:rsidR="001A3E25" w:rsidRPr="00734A5B" w:rsidRDefault="001A3E25" w:rsidP="00993726">
            <w:pPr>
              <w:spacing w:line="240" w:lineRule="auto"/>
              <w:ind w:right="-117"/>
              <w:contextualSpacing/>
              <w:rPr>
                <w:rFonts w:ascii="Times New Roman" w:hAnsi="Times New Roman"/>
                <w:color w:val="000000"/>
                <w:sz w:val="20"/>
                <w:szCs w:val="20"/>
              </w:rPr>
            </w:pPr>
            <w:r w:rsidRPr="00B44239">
              <w:rPr>
                <w:rFonts w:ascii="Times New Roman" w:hAnsi="Times New Roman"/>
                <w:color w:val="000000"/>
                <w:sz w:val="20"/>
                <w:szCs w:val="20"/>
              </w:rPr>
              <w:t>-5.49***</w:t>
            </w:r>
          </w:p>
        </w:tc>
        <w:tc>
          <w:tcPr>
            <w:tcW w:w="547" w:type="pct"/>
            <w:tcBorders>
              <w:top w:val="nil"/>
              <w:left w:val="nil"/>
              <w:right w:val="nil"/>
            </w:tcBorders>
            <w:shd w:val="clear" w:color="auto" w:fill="auto"/>
            <w:vAlign w:val="bottom"/>
          </w:tcPr>
          <w:p w14:paraId="38E18E95" w14:textId="6B81E52A" w:rsidR="001A3E25" w:rsidRPr="00734A5B" w:rsidRDefault="001A3E25" w:rsidP="00993726">
            <w:pPr>
              <w:spacing w:line="240" w:lineRule="auto"/>
              <w:ind w:right="-467"/>
              <w:contextualSpacing/>
              <w:rPr>
                <w:rFonts w:ascii="Times New Roman" w:hAnsi="Times New Roman"/>
                <w:color w:val="000000"/>
                <w:sz w:val="20"/>
                <w:szCs w:val="20"/>
              </w:rPr>
            </w:pPr>
            <w:r w:rsidRPr="00B44239">
              <w:rPr>
                <w:rFonts w:ascii="Times New Roman" w:hAnsi="Times New Roman"/>
                <w:color w:val="000000"/>
                <w:sz w:val="20"/>
                <w:szCs w:val="20"/>
              </w:rPr>
              <w:t>0.44</w:t>
            </w:r>
          </w:p>
        </w:tc>
      </w:tr>
      <w:tr w:rsidR="002D5AAC" w:rsidRPr="00734A5B" w14:paraId="03AF8704" w14:textId="4027B68E" w:rsidTr="00F7612D">
        <w:trPr>
          <w:trHeight w:val="20"/>
        </w:trPr>
        <w:tc>
          <w:tcPr>
            <w:tcW w:w="562" w:type="pct"/>
            <w:tcBorders>
              <w:top w:val="nil"/>
              <w:left w:val="nil"/>
              <w:bottom w:val="single" w:sz="4" w:space="0" w:color="auto"/>
              <w:right w:val="nil"/>
            </w:tcBorders>
            <w:shd w:val="clear" w:color="auto" w:fill="auto"/>
            <w:noWrap/>
            <w:vAlign w:val="bottom"/>
            <w:hideMark/>
          </w:tcPr>
          <w:p w14:paraId="75D6787B" w14:textId="77777777" w:rsidR="001A3E25" w:rsidRPr="00734A5B" w:rsidRDefault="001A3E25" w:rsidP="00993726">
            <w:pPr>
              <w:spacing w:after="0" w:line="240" w:lineRule="auto"/>
              <w:ind w:right="-78"/>
              <w:contextualSpacing/>
              <w:rPr>
                <w:rFonts w:ascii="Times New Roman" w:eastAsia="Times New Roman" w:hAnsi="Times New Roman"/>
                <w:i/>
                <w:color w:val="000000"/>
                <w:sz w:val="20"/>
                <w:szCs w:val="20"/>
              </w:rPr>
            </w:pPr>
            <w:r w:rsidRPr="00734A5B">
              <w:rPr>
                <w:rFonts w:ascii="Times New Roman" w:eastAsia="Times New Roman" w:hAnsi="Times New Roman"/>
                <w:i/>
                <w:color w:val="000000"/>
                <w:sz w:val="20"/>
                <w:szCs w:val="20"/>
              </w:rPr>
              <w:t>NUMANALYST</w:t>
            </w:r>
          </w:p>
        </w:tc>
        <w:tc>
          <w:tcPr>
            <w:tcW w:w="233" w:type="pct"/>
            <w:tcBorders>
              <w:top w:val="nil"/>
              <w:left w:val="nil"/>
              <w:bottom w:val="single" w:sz="4" w:space="0" w:color="auto"/>
              <w:right w:val="nil"/>
            </w:tcBorders>
            <w:shd w:val="clear" w:color="auto" w:fill="auto"/>
            <w:noWrap/>
            <w:vAlign w:val="bottom"/>
            <w:hideMark/>
          </w:tcPr>
          <w:p w14:paraId="3FD90670" w14:textId="77777777" w:rsidR="001A3E25" w:rsidRPr="00734A5B" w:rsidRDefault="001A3E25" w:rsidP="001A3E25">
            <w:pPr>
              <w:spacing w:line="240" w:lineRule="auto"/>
              <w:contextualSpacing/>
              <w:rPr>
                <w:rFonts w:ascii="Times New Roman" w:hAnsi="Times New Roman"/>
                <w:color w:val="000000"/>
                <w:sz w:val="20"/>
                <w:szCs w:val="20"/>
              </w:rPr>
            </w:pPr>
            <w:r w:rsidRPr="00734A5B">
              <w:rPr>
                <w:rFonts w:ascii="Times New Roman" w:hAnsi="Times New Roman"/>
                <w:color w:val="000000"/>
                <w:sz w:val="20"/>
                <w:szCs w:val="20"/>
              </w:rPr>
              <w:t>645</w:t>
            </w:r>
          </w:p>
        </w:tc>
        <w:tc>
          <w:tcPr>
            <w:tcW w:w="395" w:type="pct"/>
            <w:tcBorders>
              <w:top w:val="nil"/>
              <w:left w:val="nil"/>
              <w:bottom w:val="single" w:sz="4" w:space="0" w:color="auto"/>
              <w:right w:val="nil"/>
            </w:tcBorders>
            <w:shd w:val="clear" w:color="auto" w:fill="auto"/>
            <w:noWrap/>
            <w:vAlign w:val="bottom"/>
            <w:hideMark/>
          </w:tcPr>
          <w:p w14:paraId="03D8C4FE" w14:textId="77777777" w:rsidR="001A3E25" w:rsidRPr="00734A5B" w:rsidRDefault="001A3E25" w:rsidP="00993726">
            <w:pPr>
              <w:spacing w:line="240" w:lineRule="auto"/>
              <w:ind w:right="-140"/>
              <w:contextualSpacing/>
              <w:rPr>
                <w:rFonts w:ascii="Times New Roman" w:hAnsi="Times New Roman"/>
                <w:color w:val="000000"/>
                <w:sz w:val="20"/>
                <w:szCs w:val="20"/>
              </w:rPr>
            </w:pPr>
            <w:r w:rsidRPr="00734A5B">
              <w:rPr>
                <w:rFonts w:ascii="Times New Roman" w:hAnsi="Times New Roman"/>
                <w:color w:val="000000"/>
                <w:sz w:val="20"/>
                <w:szCs w:val="20"/>
              </w:rPr>
              <w:t>4.442</w:t>
            </w:r>
          </w:p>
        </w:tc>
        <w:tc>
          <w:tcPr>
            <w:tcW w:w="416" w:type="pct"/>
            <w:tcBorders>
              <w:top w:val="nil"/>
              <w:left w:val="nil"/>
              <w:bottom w:val="single" w:sz="4" w:space="0" w:color="auto"/>
              <w:right w:val="nil"/>
            </w:tcBorders>
            <w:shd w:val="clear" w:color="auto" w:fill="auto"/>
            <w:noWrap/>
            <w:vAlign w:val="bottom"/>
            <w:hideMark/>
          </w:tcPr>
          <w:p w14:paraId="2E09F0A2" w14:textId="77777777" w:rsidR="001A3E25" w:rsidRPr="00734A5B" w:rsidRDefault="001A3E25" w:rsidP="00993726">
            <w:pPr>
              <w:spacing w:line="240" w:lineRule="auto"/>
              <w:ind w:right="-131"/>
              <w:contextualSpacing/>
              <w:rPr>
                <w:rFonts w:ascii="Times New Roman" w:hAnsi="Times New Roman"/>
                <w:color w:val="000000"/>
                <w:sz w:val="20"/>
                <w:szCs w:val="20"/>
              </w:rPr>
            </w:pPr>
            <w:r w:rsidRPr="00734A5B">
              <w:rPr>
                <w:rFonts w:ascii="Times New Roman" w:hAnsi="Times New Roman"/>
                <w:color w:val="000000"/>
                <w:sz w:val="20"/>
                <w:szCs w:val="20"/>
              </w:rPr>
              <w:t>4.000</w:t>
            </w:r>
          </w:p>
        </w:tc>
        <w:tc>
          <w:tcPr>
            <w:tcW w:w="416" w:type="pct"/>
            <w:tcBorders>
              <w:top w:val="nil"/>
              <w:left w:val="nil"/>
              <w:bottom w:val="single" w:sz="4" w:space="0" w:color="auto"/>
              <w:right w:val="single" w:sz="4" w:space="0" w:color="auto"/>
            </w:tcBorders>
            <w:shd w:val="clear" w:color="auto" w:fill="auto"/>
            <w:noWrap/>
            <w:vAlign w:val="bottom"/>
            <w:hideMark/>
          </w:tcPr>
          <w:p w14:paraId="4E613EB5" w14:textId="77777777" w:rsidR="001A3E25" w:rsidRPr="00734A5B" w:rsidRDefault="001A3E25" w:rsidP="00993726">
            <w:pPr>
              <w:spacing w:line="240" w:lineRule="auto"/>
              <w:ind w:right="-108"/>
              <w:contextualSpacing/>
              <w:rPr>
                <w:rFonts w:ascii="Times New Roman" w:hAnsi="Times New Roman"/>
                <w:color w:val="000000"/>
                <w:sz w:val="20"/>
                <w:szCs w:val="20"/>
              </w:rPr>
            </w:pPr>
            <w:r w:rsidRPr="00734A5B">
              <w:rPr>
                <w:rFonts w:ascii="Times New Roman" w:hAnsi="Times New Roman"/>
                <w:color w:val="000000"/>
                <w:sz w:val="20"/>
                <w:szCs w:val="20"/>
              </w:rPr>
              <w:t>3.816</w:t>
            </w:r>
          </w:p>
        </w:tc>
        <w:tc>
          <w:tcPr>
            <w:tcW w:w="289" w:type="pct"/>
            <w:tcBorders>
              <w:top w:val="nil"/>
              <w:left w:val="single" w:sz="4" w:space="0" w:color="auto"/>
              <w:bottom w:val="single" w:sz="4" w:space="0" w:color="auto"/>
              <w:right w:val="nil"/>
            </w:tcBorders>
            <w:shd w:val="clear" w:color="auto" w:fill="auto"/>
            <w:vAlign w:val="bottom"/>
          </w:tcPr>
          <w:p w14:paraId="52144C9A" w14:textId="6BA249CD" w:rsidR="001A3E25" w:rsidRPr="00734A5B" w:rsidRDefault="001A3E25" w:rsidP="00993726">
            <w:pPr>
              <w:spacing w:line="240" w:lineRule="auto"/>
              <w:ind w:left="-100" w:right="-76"/>
              <w:contextualSpacing/>
              <w:rPr>
                <w:rFonts w:ascii="Times New Roman" w:hAnsi="Times New Roman"/>
                <w:color w:val="000000"/>
                <w:sz w:val="20"/>
                <w:szCs w:val="20"/>
              </w:rPr>
            </w:pPr>
            <w:r w:rsidRPr="00B44239">
              <w:rPr>
                <w:rFonts w:ascii="Times New Roman" w:hAnsi="Times New Roman"/>
                <w:color w:val="000000"/>
                <w:sz w:val="20"/>
                <w:szCs w:val="20"/>
              </w:rPr>
              <w:t>7,534</w:t>
            </w:r>
          </w:p>
        </w:tc>
        <w:tc>
          <w:tcPr>
            <w:tcW w:w="395" w:type="pct"/>
            <w:tcBorders>
              <w:top w:val="nil"/>
              <w:left w:val="nil"/>
              <w:bottom w:val="single" w:sz="4" w:space="0" w:color="auto"/>
              <w:right w:val="nil"/>
            </w:tcBorders>
            <w:shd w:val="clear" w:color="auto" w:fill="auto"/>
            <w:vAlign w:val="bottom"/>
          </w:tcPr>
          <w:p w14:paraId="6FCB81D7" w14:textId="4BF63BE0" w:rsidR="001A3E25" w:rsidRPr="00734A5B" w:rsidRDefault="001A3E25" w:rsidP="00993726">
            <w:pPr>
              <w:spacing w:line="240" w:lineRule="auto"/>
              <w:ind w:left="-55" w:right="-28"/>
              <w:contextualSpacing/>
              <w:rPr>
                <w:rFonts w:ascii="Times New Roman" w:hAnsi="Times New Roman"/>
                <w:color w:val="000000"/>
                <w:sz w:val="20"/>
                <w:szCs w:val="20"/>
              </w:rPr>
            </w:pPr>
            <w:r w:rsidRPr="00B44239">
              <w:rPr>
                <w:rFonts w:ascii="Times New Roman" w:hAnsi="Times New Roman"/>
                <w:color w:val="000000"/>
                <w:sz w:val="20"/>
                <w:szCs w:val="20"/>
              </w:rPr>
              <w:t>5.042</w:t>
            </w:r>
          </w:p>
        </w:tc>
        <w:tc>
          <w:tcPr>
            <w:tcW w:w="339" w:type="pct"/>
            <w:tcBorders>
              <w:top w:val="nil"/>
              <w:left w:val="nil"/>
              <w:bottom w:val="single" w:sz="4" w:space="0" w:color="auto"/>
              <w:right w:val="nil"/>
            </w:tcBorders>
            <w:shd w:val="clear" w:color="auto" w:fill="auto"/>
            <w:vAlign w:val="bottom"/>
          </w:tcPr>
          <w:p w14:paraId="6D410366" w14:textId="4063EAB3" w:rsidR="001A3E25" w:rsidRPr="00734A5B" w:rsidRDefault="001A3E25" w:rsidP="00993726">
            <w:pPr>
              <w:spacing w:line="240" w:lineRule="auto"/>
              <w:ind w:left="-103" w:right="-136"/>
              <w:contextualSpacing/>
              <w:rPr>
                <w:rFonts w:ascii="Times New Roman" w:hAnsi="Times New Roman"/>
                <w:color w:val="000000"/>
                <w:sz w:val="20"/>
                <w:szCs w:val="20"/>
              </w:rPr>
            </w:pPr>
            <w:r w:rsidRPr="00B44239">
              <w:rPr>
                <w:rFonts w:ascii="Times New Roman" w:hAnsi="Times New Roman"/>
                <w:color w:val="000000"/>
                <w:sz w:val="20"/>
                <w:szCs w:val="20"/>
              </w:rPr>
              <w:t>1.000</w:t>
            </w:r>
          </w:p>
        </w:tc>
        <w:tc>
          <w:tcPr>
            <w:tcW w:w="405" w:type="pct"/>
            <w:tcBorders>
              <w:top w:val="nil"/>
              <w:left w:val="nil"/>
              <w:bottom w:val="single" w:sz="4" w:space="0" w:color="auto"/>
              <w:right w:val="single" w:sz="4" w:space="0" w:color="auto"/>
            </w:tcBorders>
            <w:shd w:val="clear" w:color="auto" w:fill="auto"/>
            <w:vAlign w:val="bottom"/>
          </w:tcPr>
          <w:p w14:paraId="722C4847" w14:textId="542FA533" w:rsidR="001A3E25" w:rsidRPr="00734A5B" w:rsidRDefault="001A3E25" w:rsidP="00993726">
            <w:pPr>
              <w:spacing w:line="240" w:lineRule="auto"/>
              <w:ind w:left="-85" w:right="-74"/>
              <w:contextualSpacing/>
              <w:rPr>
                <w:rFonts w:ascii="Times New Roman" w:hAnsi="Times New Roman"/>
                <w:color w:val="000000"/>
                <w:sz w:val="20"/>
                <w:szCs w:val="20"/>
              </w:rPr>
            </w:pPr>
            <w:r w:rsidRPr="00B44239">
              <w:rPr>
                <w:rFonts w:ascii="Times New Roman" w:hAnsi="Times New Roman"/>
                <w:color w:val="000000"/>
                <w:sz w:val="20"/>
                <w:szCs w:val="20"/>
              </w:rPr>
              <w:t>7.619</w:t>
            </w:r>
          </w:p>
        </w:tc>
        <w:tc>
          <w:tcPr>
            <w:tcW w:w="331" w:type="pct"/>
            <w:tcBorders>
              <w:top w:val="nil"/>
              <w:left w:val="single" w:sz="4" w:space="0" w:color="auto"/>
              <w:bottom w:val="single" w:sz="4" w:space="0" w:color="auto"/>
              <w:right w:val="nil"/>
            </w:tcBorders>
            <w:shd w:val="clear" w:color="auto" w:fill="auto"/>
            <w:vAlign w:val="bottom"/>
          </w:tcPr>
          <w:p w14:paraId="4E9349EA" w14:textId="71417976" w:rsidR="001A3E25" w:rsidRPr="00734A5B" w:rsidRDefault="001A3E25" w:rsidP="00993726">
            <w:pPr>
              <w:spacing w:line="240" w:lineRule="auto"/>
              <w:ind w:left="-95" w:right="-156"/>
              <w:contextualSpacing/>
              <w:rPr>
                <w:rFonts w:ascii="Times New Roman" w:hAnsi="Times New Roman"/>
                <w:color w:val="000000"/>
                <w:sz w:val="20"/>
                <w:szCs w:val="20"/>
              </w:rPr>
            </w:pPr>
            <w:r w:rsidRPr="00B44239">
              <w:rPr>
                <w:rFonts w:ascii="Times New Roman" w:hAnsi="Times New Roman"/>
                <w:color w:val="000000"/>
                <w:sz w:val="20"/>
                <w:szCs w:val="20"/>
              </w:rPr>
              <w:t>-0.600</w:t>
            </w:r>
          </w:p>
        </w:tc>
        <w:tc>
          <w:tcPr>
            <w:tcW w:w="277" w:type="pct"/>
            <w:tcBorders>
              <w:top w:val="nil"/>
              <w:left w:val="nil"/>
              <w:bottom w:val="single" w:sz="4" w:space="0" w:color="auto"/>
              <w:right w:val="nil"/>
            </w:tcBorders>
            <w:shd w:val="clear" w:color="auto" w:fill="auto"/>
            <w:vAlign w:val="bottom"/>
          </w:tcPr>
          <w:p w14:paraId="0387782B" w14:textId="77DD91C9" w:rsidR="001A3E25" w:rsidRPr="00734A5B" w:rsidRDefault="001A3E25" w:rsidP="00993726">
            <w:pPr>
              <w:spacing w:line="240" w:lineRule="auto"/>
              <w:ind w:left="-52" w:right="-97"/>
              <w:contextualSpacing/>
              <w:rPr>
                <w:rFonts w:ascii="Times New Roman" w:hAnsi="Times New Roman"/>
                <w:color w:val="000000"/>
                <w:sz w:val="20"/>
                <w:szCs w:val="20"/>
              </w:rPr>
            </w:pPr>
            <w:r w:rsidRPr="00B44239">
              <w:rPr>
                <w:rFonts w:ascii="Times New Roman" w:hAnsi="Times New Roman"/>
                <w:color w:val="000000"/>
                <w:sz w:val="20"/>
                <w:szCs w:val="20"/>
              </w:rPr>
              <w:t>3.000</w:t>
            </w:r>
          </w:p>
        </w:tc>
        <w:tc>
          <w:tcPr>
            <w:tcW w:w="395" w:type="pct"/>
            <w:tcBorders>
              <w:top w:val="nil"/>
              <w:left w:val="nil"/>
              <w:bottom w:val="single" w:sz="4" w:space="0" w:color="auto"/>
              <w:right w:val="nil"/>
            </w:tcBorders>
            <w:shd w:val="clear" w:color="auto" w:fill="auto"/>
            <w:vAlign w:val="bottom"/>
          </w:tcPr>
          <w:p w14:paraId="7F19BB25" w14:textId="0A2EB7D8" w:rsidR="001A3E25" w:rsidRPr="00734A5B" w:rsidRDefault="001A3E25" w:rsidP="00993726">
            <w:pPr>
              <w:spacing w:line="240" w:lineRule="auto"/>
              <w:ind w:right="-117"/>
              <w:contextualSpacing/>
              <w:rPr>
                <w:rFonts w:ascii="Times New Roman" w:hAnsi="Times New Roman"/>
                <w:color w:val="000000"/>
                <w:sz w:val="20"/>
                <w:szCs w:val="20"/>
              </w:rPr>
            </w:pPr>
            <w:r w:rsidRPr="00B44239">
              <w:rPr>
                <w:rFonts w:ascii="Times New Roman" w:hAnsi="Times New Roman"/>
                <w:color w:val="000000"/>
                <w:sz w:val="20"/>
                <w:szCs w:val="20"/>
              </w:rPr>
              <w:t>-3.45***</w:t>
            </w:r>
          </w:p>
        </w:tc>
        <w:tc>
          <w:tcPr>
            <w:tcW w:w="547" w:type="pct"/>
            <w:tcBorders>
              <w:top w:val="nil"/>
              <w:left w:val="nil"/>
              <w:bottom w:val="single" w:sz="4" w:space="0" w:color="auto"/>
              <w:right w:val="nil"/>
            </w:tcBorders>
            <w:shd w:val="clear" w:color="auto" w:fill="auto"/>
            <w:vAlign w:val="bottom"/>
          </w:tcPr>
          <w:p w14:paraId="192D7D1E" w14:textId="3D4F9BA2" w:rsidR="001A3E25" w:rsidRPr="00734A5B" w:rsidRDefault="001A3E25" w:rsidP="00993726">
            <w:pPr>
              <w:spacing w:line="240" w:lineRule="auto"/>
              <w:ind w:right="-467"/>
              <w:contextualSpacing/>
              <w:rPr>
                <w:rFonts w:ascii="Times New Roman" w:hAnsi="Times New Roman"/>
                <w:color w:val="000000"/>
                <w:sz w:val="20"/>
                <w:szCs w:val="20"/>
              </w:rPr>
            </w:pPr>
            <w:r w:rsidRPr="00B44239">
              <w:rPr>
                <w:rFonts w:ascii="Times New Roman" w:hAnsi="Times New Roman"/>
                <w:color w:val="000000"/>
                <w:sz w:val="20"/>
                <w:szCs w:val="20"/>
              </w:rPr>
              <w:t>6.85***</w:t>
            </w:r>
          </w:p>
        </w:tc>
      </w:tr>
    </w:tbl>
    <w:p w14:paraId="641745E3" w14:textId="77777777" w:rsidR="001A3E25" w:rsidRDefault="001A3E25" w:rsidP="00734A5B">
      <w:pPr>
        <w:spacing w:after="0" w:line="240" w:lineRule="auto"/>
        <w:rPr>
          <w:rFonts w:ascii="Times New Roman" w:hAnsi="Times New Roman"/>
          <w:b/>
          <w:sz w:val="16"/>
          <w:szCs w:val="16"/>
        </w:rPr>
        <w:sectPr w:rsidR="001A3E25" w:rsidSect="00993726">
          <w:pgSz w:w="15840" w:h="12240" w:orient="landscape"/>
          <w:pgMar w:top="1440" w:right="1440" w:bottom="1440" w:left="1440" w:header="720" w:footer="720" w:gutter="0"/>
          <w:cols w:space="720"/>
          <w:docGrid w:linePitch="360"/>
        </w:sectPr>
      </w:pPr>
    </w:p>
    <w:p w14:paraId="753C3827" w14:textId="2317CF20" w:rsidR="00116862" w:rsidRPr="00734A5B" w:rsidRDefault="00116862" w:rsidP="00116862">
      <w:pPr>
        <w:spacing w:after="0" w:line="240" w:lineRule="auto"/>
        <w:rPr>
          <w:rFonts w:ascii="Times New Roman" w:hAnsi="Times New Roman"/>
          <w:b/>
          <w:sz w:val="16"/>
          <w:szCs w:val="16"/>
        </w:rPr>
      </w:pPr>
      <w:r w:rsidRPr="00734A5B">
        <w:rPr>
          <w:rFonts w:ascii="Times New Roman" w:hAnsi="Times New Roman"/>
          <w:b/>
          <w:sz w:val="16"/>
          <w:szCs w:val="16"/>
        </w:rPr>
        <w:t>Table 3 – Univariate Comparison of Earnings Management between MLPs and Non-MLP Firms -- Alternative Matching Criteria</w:t>
      </w:r>
    </w:p>
    <w:p w14:paraId="22431373" w14:textId="0A9D4226" w:rsidR="00116862" w:rsidRDefault="00116862" w:rsidP="00116862">
      <w:pPr>
        <w:spacing w:after="0" w:line="240" w:lineRule="auto"/>
        <w:rPr>
          <w:rFonts w:ascii="Times New Roman" w:hAnsi="Times New Roman"/>
          <w:sz w:val="16"/>
          <w:szCs w:val="16"/>
        </w:rPr>
      </w:pPr>
      <w:r w:rsidRPr="00734A5B">
        <w:rPr>
          <w:rFonts w:ascii="Times New Roman" w:hAnsi="Times New Roman"/>
          <w:sz w:val="16"/>
          <w:szCs w:val="16"/>
        </w:rPr>
        <w:t xml:space="preserve">This table provides the results from the comparison of earnings management </w:t>
      </w:r>
      <w:r w:rsidR="00993726">
        <w:rPr>
          <w:rFonts w:ascii="Times New Roman" w:hAnsi="Times New Roman"/>
          <w:sz w:val="16"/>
          <w:szCs w:val="16"/>
        </w:rPr>
        <w:t xml:space="preserve">measurements </w:t>
      </w:r>
      <w:r w:rsidRPr="00734A5B">
        <w:rPr>
          <w:rFonts w:ascii="Times New Roman" w:hAnsi="Times New Roman"/>
          <w:sz w:val="16"/>
          <w:szCs w:val="16"/>
        </w:rPr>
        <w:t xml:space="preserve">between MLPs and </w:t>
      </w:r>
      <w:r w:rsidR="00993726">
        <w:rPr>
          <w:rFonts w:ascii="Times New Roman" w:hAnsi="Times New Roman"/>
          <w:sz w:val="16"/>
          <w:szCs w:val="16"/>
        </w:rPr>
        <w:t xml:space="preserve">their matching </w:t>
      </w:r>
      <w:r w:rsidRPr="00734A5B">
        <w:rPr>
          <w:rFonts w:ascii="Times New Roman" w:hAnsi="Times New Roman"/>
          <w:sz w:val="16"/>
          <w:szCs w:val="16"/>
        </w:rPr>
        <w:t xml:space="preserve">Non-MLP firms in the same industry with the closest </w:t>
      </w:r>
      <w:r w:rsidR="00993726">
        <w:rPr>
          <w:rFonts w:ascii="Times New Roman" w:hAnsi="Times New Roman"/>
          <w:sz w:val="16"/>
          <w:szCs w:val="16"/>
        </w:rPr>
        <w:t xml:space="preserve">in </w:t>
      </w:r>
      <w:r w:rsidRPr="00734A5B">
        <w:rPr>
          <w:rFonts w:ascii="Times New Roman" w:hAnsi="Times New Roman"/>
          <w:sz w:val="16"/>
          <w:szCs w:val="16"/>
        </w:rPr>
        <w:t>assets (Panel A), market capitalization (Panel B), market-to-book ratio Panel C),  return on asset (Panel D), debt ratio (Panel E)</w:t>
      </w:r>
      <w:r w:rsidR="00993726">
        <w:rPr>
          <w:rFonts w:ascii="Times New Roman" w:hAnsi="Times New Roman"/>
          <w:sz w:val="16"/>
          <w:szCs w:val="16"/>
        </w:rPr>
        <w:t>,</w:t>
      </w:r>
      <w:r w:rsidRPr="00734A5B">
        <w:rPr>
          <w:rFonts w:ascii="Times New Roman" w:hAnsi="Times New Roman"/>
          <w:sz w:val="16"/>
          <w:szCs w:val="16"/>
        </w:rPr>
        <w:t xml:space="preserve"> and sales growth (Panel F). The matching criteria are obtained for the preceding year. *, ** and *** indicate the significance levels of 10%, 5% and 1%, respectively.</w:t>
      </w:r>
    </w:p>
    <w:tbl>
      <w:tblPr>
        <w:tblW w:w="5000" w:type="pct"/>
        <w:tblBorders>
          <w:top w:val="single" w:sz="4" w:space="0" w:color="auto"/>
          <w:bottom w:val="single" w:sz="4" w:space="0" w:color="auto"/>
        </w:tblBorders>
        <w:tblLook w:val="04A0" w:firstRow="1" w:lastRow="0" w:firstColumn="1" w:lastColumn="0" w:noHBand="0" w:noVBand="1"/>
      </w:tblPr>
      <w:tblGrid>
        <w:gridCol w:w="1351"/>
        <w:gridCol w:w="1440"/>
        <w:gridCol w:w="1801"/>
        <w:gridCol w:w="1528"/>
        <w:gridCol w:w="1258"/>
        <w:gridCol w:w="1982"/>
      </w:tblGrid>
      <w:tr w:rsidR="00993726" w:rsidRPr="008662D3" w14:paraId="72EF6E9E" w14:textId="77777777" w:rsidTr="00D8504C">
        <w:trPr>
          <w:trHeight w:val="288"/>
        </w:trPr>
        <w:tc>
          <w:tcPr>
            <w:tcW w:w="722" w:type="pct"/>
            <w:shd w:val="clear" w:color="auto" w:fill="auto"/>
            <w:noWrap/>
            <w:vAlign w:val="bottom"/>
            <w:hideMark/>
          </w:tcPr>
          <w:p w14:paraId="01DCC752" w14:textId="77777777" w:rsidR="00993726" w:rsidRPr="00D8504C" w:rsidRDefault="00993726" w:rsidP="00421A99">
            <w:pPr>
              <w:adjustRightInd w:val="0"/>
              <w:spacing w:after="0" w:line="240" w:lineRule="auto"/>
              <w:contextualSpacing/>
              <w:rPr>
                <w:rFonts w:ascii="Times New Roman" w:eastAsia="Times New Roman" w:hAnsi="Times New Roman"/>
                <w:b/>
                <w:sz w:val="16"/>
                <w:szCs w:val="16"/>
                <w:lang w:eastAsia="en-US"/>
              </w:rPr>
            </w:pPr>
            <w:r w:rsidRPr="00D8504C">
              <w:rPr>
                <w:rFonts w:ascii="Times New Roman" w:eastAsia="Times New Roman" w:hAnsi="Times New Roman"/>
                <w:b/>
                <w:sz w:val="16"/>
                <w:szCs w:val="16"/>
                <w:lang w:eastAsia="en-US"/>
              </w:rPr>
              <w:t>Variables</w:t>
            </w:r>
          </w:p>
        </w:tc>
        <w:tc>
          <w:tcPr>
            <w:tcW w:w="769" w:type="pct"/>
            <w:shd w:val="clear" w:color="auto" w:fill="auto"/>
            <w:noWrap/>
            <w:vAlign w:val="bottom"/>
            <w:hideMark/>
          </w:tcPr>
          <w:p w14:paraId="0DD750BC" w14:textId="77777777" w:rsidR="00993726" w:rsidRPr="00D8504C" w:rsidRDefault="00993726" w:rsidP="00421A99">
            <w:pPr>
              <w:adjustRightInd w:val="0"/>
              <w:spacing w:after="0" w:line="240" w:lineRule="auto"/>
              <w:contextualSpacing/>
              <w:rPr>
                <w:rFonts w:ascii="Times New Roman" w:eastAsia="Times New Roman" w:hAnsi="Times New Roman"/>
                <w:b/>
                <w:sz w:val="16"/>
                <w:szCs w:val="16"/>
                <w:lang w:eastAsia="en-US"/>
              </w:rPr>
            </w:pPr>
            <w:r w:rsidRPr="00D8504C">
              <w:rPr>
                <w:rFonts w:ascii="Times New Roman" w:eastAsia="Times New Roman" w:hAnsi="Times New Roman"/>
                <w:b/>
                <w:sz w:val="16"/>
                <w:szCs w:val="16"/>
                <w:lang w:eastAsia="en-US"/>
              </w:rPr>
              <w:t>MLPs</w:t>
            </w:r>
          </w:p>
        </w:tc>
        <w:tc>
          <w:tcPr>
            <w:tcW w:w="962" w:type="pct"/>
            <w:shd w:val="clear" w:color="auto" w:fill="auto"/>
            <w:noWrap/>
            <w:vAlign w:val="bottom"/>
            <w:hideMark/>
          </w:tcPr>
          <w:p w14:paraId="1840FBC4" w14:textId="77777777" w:rsidR="00993726" w:rsidRPr="00D8504C" w:rsidRDefault="00993726" w:rsidP="00421A99">
            <w:pPr>
              <w:adjustRightInd w:val="0"/>
              <w:spacing w:after="0" w:line="240" w:lineRule="auto"/>
              <w:contextualSpacing/>
              <w:rPr>
                <w:rFonts w:ascii="Times New Roman" w:eastAsia="Times New Roman" w:hAnsi="Times New Roman"/>
                <w:b/>
                <w:sz w:val="16"/>
                <w:szCs w:val="16"/>
                <w:lang w:eastAsia="en-US"/>
              </w:rPr>
            </w:pPr>
            <w:r w:rsidRPr="00D8504C">
              <w:rPr>
                <w:rFonts w:ascii="Times New Roman" w:eastAsia="Times New Roman" w:hAnsi="Times New Roman"/>
                <w:b/>
                <w:sz w:val="16"/>
                <w:szCs w:val="16"/>
                <w:lang w:eastAsia="en-US"/>
              </w:rPr>
              <w:t>Non-MLPs</w:t>
            </w:r>
          </w:p>
        </w:tc>
        <w:tc>
          <w:tcPr>
            <w:tcW w:w="816" w:type="pct"/>
            <w:shd w:val="clear" w:color="auto" w:fill="auto"/>
            <w:noWrap/>
            <w:vAlign w:val="bottom"/>
            <w:hideMark/>
          </w:tcPr>
          <w:p w14:paraId="0404A424" w14:textId="77777777" w:rsidR="00993726" w:rsidRPr="00D8504C" w:rsidRDefault="00993726" w:rsidP="00421A99">
            <w:pPr>
              <w:adjustRightInd w:val="0"/>
              <w:spacing w:after="0" w:line="240" w:lineRule="auto"/>
              <w:contextualSpacing/>
              <w:rPr>
                <w:rFonts w:ascii="Times New Roman" w:eastAsia="Times New Roman" w:hAnsi="Times New Roman"/>
                <w:b/>
                <w:sz w:val="16"/>
                <w:szCs w:val="16"/>
                <w:lang w:eastAsia="en-US"/>
              </w:rPr>
            </w:pPr>
            <w:r w:rsidRPr="00D8504C">
              <w:rPr>
                <w:rFonts w:ascii="Times New Roman" w:eastAsia="Times New Roman" w:hAnsi="Times New Roman"/>
                <w:b/>
                <w:sz w:val="16"/>
                <w:szCs w:val="16"/>
                <w:lang w:eastAsia="en-US"/>
              </w:rPr>
              <w:t>Difference</w:t>
            </w:r>
          </w:p>
        </w:tc>
        <w:tc>
          <w:tcPr>
            <w:tcW w:w="672" w:type="pct"/>
            <w:shd w:val="clear" w:color="auto" w:fill="auto"/>
            <w:noWrap/>
            <w:vAlign w:val="bottom"/>
            <w:hideMark/>
          </w:tcPr>
          <w:p w14:paraId="4119B758" w14:textId="77777777" w:rsidR="00993726" w:rsidRPr="00D8504C" w:rsidRDefault="00993726" w:rsidP="00421A99">
            <w:pPr>
              <w:adjustRightInd w:val="0"/>
              <w:spacing w:after="0" w:line="240" w:lineRule="auto"/>
              <w:contextualSpacing/>
              <w:rPr>
                <w:rFonts w:ascii="Times New Roman" w:eastAsia="Times New Roman" w:hAnsi="Times New Roman"/>
                <w:b/>
                <w:sz w:val="16"/>
                <w:szCs w:val="16"/>
                <w:lang w:eastAsia="en-US"/>
              </w:rPr>
            </w:pPr>
            <w:r w:rsidRPr="00D8504C">
              <w:rPr>
                <w:rFonts w:ascii="Times New Roman" w:eastAsia="Times New Roman" w:hAnsi="Times New Roman"/>
                <w:b/>
                <w:sz w:val="16"/>
                <w:szCs w:val="16"/>
                <w:lang w:eastAsia="en-US"/>
              </w:rPr>
              <w:t>t-stats</w:t>
            </w:r>
          </w:p>
        </w:tc>
        <w:tc>
          <w:tcPr>
            <w:tcW w:w="1059" w:type="pct"/>
            <w:shd w:val="clear" w:color="auto" w:fill="auto"/>
            <w:noWrap/>
            <w:vAlign w:val="bottom"/>
            <w:hideMark/>
          </w:tcPr>
          <w:p w14:paraId="129B82A3" w14:textId="77777777" w:rsidR="00993726" w:rsidRPr="00D8504C" w:rsidRDefault="00993726" w:rsidP="00421A99">
            <w:pPr>
              <w:adjustRightInd w:val="0"/>
              <w:spacing w:after="0" w:line="240" w:lineRule="auto"/>
              <w:contextualSpacing/>
              <w:rPr>
                <w:rFonts w:ascii="Times New Roman" w:eastAsia="Times New Roman" w:hAnsi="Times New Roman"/>
                <w:b/>
                <w:sz w:val="16"/>
                <w:szCs w:val="16"/>
                <w:lang w:eastAsia="en-US"/>
              </w:rPr>
            </w:pPr>
            <w:r w:rsidRPr="00D8504C">
              <w:rPr>
                <w:rFonts w:ascii="Times New Roman" w:eastAsia="Times New Roman" w:hAnsi="Times New Roman"/>
                <w:b/>
                <w:sz w:val="16"/>
                <w:szCs w:val="16"/>
                <w:lang w:eastAsia="en-US"/>
              </w:rPr>
              <w:t>Wilcoxon-stats</w:t>
            </w:r>
          </w:p>
        </w:tc>
      </w:tr>
    </w:tbl>
    <w:p w14:paraId="43CAA111" w14:textId="4DFF60DA" w:rsidR="00116862" w:rsidRPr="008662D3" w:rsidRDefault="00116862" w:rsidP="00116862">
      <w:pPr>
        <w:spacing w:after="0" w:line="240" w:lineRule="auto"/>
        <w:rPr>
          <w:rFonts w:ascii="Times New Roman" w:eastAsia="Times New Roman" w:hAnsi="Times New Roman"/>
          <w:i/>
          <w:sz w:val="16"/>
          <w:szCs w:val="16"/>
          <w:lang w:eastAsia="en-US"/>
        </w:rPr>
      </w:pPr>
      <w:r w:rsidRPr="008662D3">
        <w:rPr>
          <w:rFonts w:ascii="Times New Roman" w:eastAsia="Times New Roman" w:hAnsi="Times New Roman"/>
          <w:i/>
          <w:sz w:val="16"/>
          <w:szCs w:val="16"/>
          <w:lang w:eastAsia="en-US"/>
        </w:rPr>
        <w:t>Panel A</w:t>
      </w:r>
      <w:r w:rsidR="00C945B1">
        <w:rPr>
          <w:rFonts w:ascii="Times New Roman" w:eastAsia="Times New Roman" w:hAnsi="Times New Roman"/>
          <w:i/>
          <w:sz w:val="16"/>
          <w:szCs w:val="16"/>
          <w:lang w:eastAsia="en-US"/>
        </w:rPr>
        <w:t>.</w:t>
      </w:r>
      <w:r w:rsidRPr="008662D3">
        <w:rPr>
          <w:rFonts w:ascii="Times New Roman" w:eastAsia="Times New Roman" w:hAnsi="Times New Roman"/>
          <w:i/>
          <w:sz w:val="16"/>
          <w:szCs w:val="16"/>
          <w:lang w:eastAsia="en-US"/>
        </w:rPr>
        <w:t xml:space="preserve"> MLPs vs. Non-MLPs Closest in Assets</w:t>
      </w:r>
    </w:p>
    <w:tbl>
      <w:tblPr>
        <w:tblW w:w="5000" w:type="pct"/>
        <w:tblLook w:val="04A0" w:firstRow="1" w:lastRow="0" w:firstColumn="1" w:lastColumn="0" w:noHBand="0" w:noVBand="1"/>
      </w:tblPr>
      <w:tblGrid>
        <w:gridCol w:w="1401"/>
        <w:gridCol w:w="1484"/>
        <w:gridCol w:w="1765"/>
        <w:gridCol w:w="1511"/>
        <w:gridCol w:w="1250"/>
        <w:gridCol w:w="1949"/>
      </w:tblGrid>
      <w:tr w:rsidR="00116862" w:rsidRPr="008662D3" w14:paraId="72ECE8D2" w14:textId="77777777" w:rsidTr="00D8504C">
        <w:trPr>
          <w:trHeight w:val="288"/>
        </w:trPr>
        <w:tc>
          <w:tcPr>
            <w:tcW w:w="748" w:type="pct"/>
            <w:tcBorders>
              <w:left w:val="nil"/>
              <w:bottom w:val="nil"/>
              <w:right w:val="nil"/>
            </w:tcBorders>
            <w:shd w:val="clear" w:color="auto" w:fill="auto"/>
            <w:noWrap/>
            <w:vAlign w:val="bottom"/>
            <w:hideMark/>
          </w:tcPr>
          <w:p w14:paraId="4F91DDC5"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RDISX</w:t>
            </w:r>
          </w:p>
        </w:tc>
        <w:tc>
          <w:tcPr>
            <w:tcW w:w="793" w:type="pct"/>
            <w:tcBorders>
              <w:left w:val="nil"/>
              <w:bottom w:val="nil"/>
              <w:right w:val="nil"/>
            </w:tcBorders>
            <w:shd w:val="clear" w:color="auto" w:fill="auto"/>
            <w:noWrap/>
            <w:vAlign w:val="bottom"/>
            <w:hideMark/>
          </w:tcPr>
          <w:p w14:paraId="29F5AB2E"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0.198</w:t>
            </w:r>
          </w:p>
        </w:tc>
        <w:tc>
          <w:tcPr>
            <w:tcW w:w="943" w:type="pct"/>
            <w:tcBorders>
              <w:left w:val="nil"/>
              <w:bottom w:val="nil"/>
              <w:right w:val="nil"/>
            </w:tcBorders>
            <w:shd w:val="clear" w:color="auto" w:fill="auto"/>
            <w:noWrap/>
            <w:vAlign w:val="bottom"/>
            <w:hideMark/>
          </w:tcPr>
          <w:p w14:paraId="50B4CAAB"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0.154</w:t>
            </w:r>
          </w:p>
        </w:tc>
        <w:tc>
          <w:tcPr>
            <w:tcW w:w="807" w:type="pct"/>
            <w:tcBorders>
              <w:left w:val="nil"/>
              <w:bottom w:val="nil"/>
              <w:right w:val="nil"/>
            </w:tcBorders>
            <w:shd w:val="clear" w:color="auto" w:fill="auto"/>
            <w:noWrap/>
            <w:vAlign w:val="bottom"/>
            <w:hideMark/>
          </w:tcPr>
          <w:p w14:paraId="42CFDC7C"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0.044</w:t>
            </w:r>
          </w:p>
        </w:tc>
        <w:tc>
          <w:tcPr>
            <w:tcW w:w="668" w:type="pct"/>
            <w:tcBorders>
              <w:left w:val="nil"/>
              <w:bottom w:val="nil"/>
              <w:right w:val="nil"/>
            </w:tcBorders>
            <w:shd w:val="clear" w:color="auto" w:fill="auto"/>
            <w:noWrap/>
            <w:vAlign w:val="bottom"/>
            <w:hideMark/>
          </w:tcPr>
          <w:p w14:paraId="3B4A5D22"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2.62***</w:t>
            </w:r>
          </w:p>
        </w:tc>
        <w:tc>
          <w:tcPr>
            <w:tcW w:w="1041" w:type="pct"/>
            <w:tcBorders>
              <w:left w:val="nil"/>
              <w:bottom w:val="nil"/>
              <w:right w:val="nil"/>
            </w:tcBorders>
            <w:shd w:val="clear" w:color="auto" w:fill="auto"/>
            <w:noWrap/>
            <w:vAlign w:val="bottom"/>
            <w:hideMark/>
          </w:tcPr>
          <w:p w14:paraId="2EE3C442"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3.45***</w:t>
            </w:r>
          </w:p>
        </w:tc>
      </w:tr>
      <w:tr w:rsidR="00116862" w:rsidRPr="008662D3" w14:paraId="28F2F998" w14:textId="77777777" w:rsidTr="00116862">
        <w:trPr>
          <w:trHeight w:val="288"/>
        </w:trPr>
        <w:tc>
          <w:tcPr>
            <w:tcW w:w="748" w:type="pct"/>
            <w:tcBorders>
              <w:top w:val="nil"/>
              <w:left w:val="nil"/>
              <w:bottom w:val="nil"/>
              <w:right w:val="nil"/>
            </w:tcBorders>
            <w:shd w:val="clear" w:color="auto" w:fill="auto"/>
            <w:noWrap/>
            <w:vAlign w:val="bottom"/>
            <w:hideMark/>
          </w:tcPr>
          <w:p w14:paraId="05ACC01F"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RPROD</w:t>
            </w:r>
          </w:p>
        </w:tc>
        <w:tc>
          <w:tcPr>
            <w:tcW w:w="793" w:type="pct"/>
            <w:tcBorders>
              <w:top w:val="nil"/>
              <w:left w:val="nil"/>
              <w:bottom w:val="nil"/>
              <w:right w:val="nil"/>
            </w:tcBorders>
            <w:shd w:val="clear" w:color="auto" w:fill="auto"/>
            <w:noWrap/>
            <w:vAlign w:val="bottom"/>
            <w:hideMark/>
          </w:tcPr>
          <w:p w14:paraId="4F53143E"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0.065</w:t>
            </w:r>
          </w:p>
        </w:tc>
        <w:tc>
          <w:tcPr>
            <w:tcW w:w="943" w:type="pct"/>
            <w:tcBorders>
              <w:top w:val="nil"/>
              <w:left w:val="nil"/>
              <w:bottom w:val="nil"/>
              <w:right w:val="nil"/>
            </w:tcBorders>
            <w:shd w:val="clear" w:color="auto" w:fill="auto"/>
            <w:noWrap/>
            <w:vAlign w:val="bottom"/>
            <w:hideMark/>
          </w:tcPr>
          <w:p w14:paraId="413C6418"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0.044</w:t>
            </w:r>
          </w:p>
        </w:tc>
        <w:tc>
          <w:tcPr>
            <w:tcW w:w="807" w:type="pct"/>
            <w:tcBorders>
              <w:top w:val="nil"/>
              <w:left w:val="nil"/>
              <w:bottom w:val="nil"/>
              <w:right w:val="nil"/>
            </w:tcBorders>
            <w:shd w:val="clear" w:color="auto" w:fill="auto"/>
            <w:noWrap/>
            <w:vAlign w:val="bottom"/>
            <w:hideMark/>
          </w:tcPr>
          <w:p w14:paraId="44D8B0D4"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0.021</w:t>
            </w:r>
          </w:p>
        </w:tc>
        <w:tc>
          <w:tcPr>
            <w:tcW w:w="668" w:type="pct"/>
            <w:tcBorders>
              <w:top w:val="nil"/>
              <w:left w:val="nil"/>
              <w:bottom w:val="nil"/>
              <w:right w:val="nil"/>
            </w:tcBorders>
            <w:shd w:val="clear" w:color="auto" w:fill="auto"/>
            <w:noWrap/>
            <w:vAlign w:val="bottom"/>
            <w:hideMark/>
          </w:tcPr>
          <w:p w14:paraId="48049320"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1.46</w:t>
            </w:r>
          </w:p>
        </w:tc>
        <w:tc>
          <w:tcPr>
            <w:tcW w:w="1041" w:type="pct"/>
            <w:tcBorders>
              <w:top w:val="nil"/>
              <w:left w:val="nil"/>
              <w:bottom w:val="nil"/>
              <w:right w:val="nil"/>
            </w:tcBorders>
            <w:shd w:val="clear" w:color="auto" w:fill="auto"/>
            <w:noWrap/>
            <w:vAlign w:val="bottom"/>
            <w:hideMark/>
          </w:tcPr>
          <w:p w14:paraId="728D11DB"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1.47</w:t>
            </w:r>
          </w:p>
        </w:tc>
      </w:tr>
      <w:tr w:rsidR="00116862" w:rsidRPr="008662D3" w14:paraId="09ED252C" w14:textId="77777777" w:rsidTr="00116862">
        <w:trPr>
          <w:trHeight w:val="288"/>
        </w:trPr>
        <w:tc>
          <w:tcPr>
            <w:tcW w:w="748" w:type="pct"/>
            <w:tcBorders>
              <w:top w:val="nil"/>
              <w:left w:val="nil"/>
              <w:bottom w:val="nil"/>
              <w:right w:val="nil"/>
            </w:tcBorders>
            <w:shd w:val="clear" w:color="auto" w:fill="auto"/>
            <w:noWrap/>
            <w:vAlign w:val="bottom"/>
            <w:hideMark/>
          </w:tcPr>
          <w:p w14:paraId="0C5DF997"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RCFO</w:t>
            </w:r>
          </w:p>
        </w:tc>
        <w:tc>
          <w:tcPr>
            <w:tcW w:w="793" w:type="pct"/>
            <w:tcBorders>
              <w:top w:val="nil"/>
              <w:left w:val="nil"/>
              <w:bottom w:val="nil"/>
              <w:right w:val="nil"/>
            </w:tcBorders>
            <w:shd w:val="clear" w:color="auto" w:fill="auto"/>
            <w:noWrap/>
            <w:vAlign w:val="bottom"/>
            <w:hideMark/>
          </w:tcPr>
          <w:p w14:paraId="0C3CC045"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-0.063</w:t>
            </w:r>
          </w:p>
        </w:tc>
        <w:tc>
          <w:tcPr>
            <w:tcW w:w="943" w:type="pct"/>
            <w:tcBorders>
              <w:top w:val="nil"/>
              <w:left w:val="nil"/>
              <w:bottom w:val="nil"/>
              <w:right w:val="nil"/>
            </w:tcBorders>
            <w:shd w:val="clear" w:color="auto" w:fill="auto"/>
            <w:noWrap/>
            <w:vAlign w:val="bottom"/>
            <w:hideMark/>
          </w:tcPr>
          <w:p w14:paraId="11A8C334"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-0.064</w:t>
            </w:r>
          </w:p>
        </w:tc>
        <w:tc>
          <w:tcPr>
            <w:tcW w:w="807" w:type="pct"/>
            <w:tcBorders>
              <w:top w:val="nil"/>
              <w:left w:val="nil"/>
              <w:bottom w:val="nil"/>
              <w:right w:val="nil"/>
            </w:tcBorders>
            <w:shd w:val="clear" w:color="auto" w:fill="auto"/>
            <w:noWrap/>
            <w:vAlign w:val="bottom"/>
            <w:hideMark/>
          </w:tcPr>
          <w:p w14:paraId="125554D8"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0.000</w:t>
            </w:r>
          </w:p>
        </w:tc>
        <w:tc>
          <w:tcPr>
            <w:tcW w:w="668" w:type="pct"/>
            <w:tcBorders>
              <w:top w:val="nil"/>
              <w:left w:val="nil"/>
              <w:bottom w:val="nil"/>
              <w:right w:val="nil"/>
            </w:tcBorders>
            <w:shd w:val="clear" w:color="auto" w:fill="auto"/>
            <w:noWrap/>
            <w:vAlign w:val="bottom"/>
            <w:hideMark/>
          </w:tcPr>
          <w:p w14:paraId="6EA4A9B9"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0.03</w:t>
            </w:r>
          </w:p>
        </w:tc>
        <w:tc>
          <w:tcPr>
            <w:tcW w:w="1041" w:type="pct"/>
            <w:tcBorders>
              <w:top w:val="nil"/>
              <w:left w:val="nil"/>
              <w:bottom w:val="nil"/>
              <w:right w:val="nil"/>
            </w:tcBorders>
            <w:shd w:val="clear" w:color="auto" w:fill="auto"/>
            <w:noWrap/>
            <w:vAlign w:val="bottom"/>
            <w:hideMark/>
          </w:tcPr>
          <w:p w14:paraId="3E101472"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0.34</w:t>
            </w:r>
          </w:p>
        </w:tc>
      </w:tr>
      <w:tr w:rsidR="00116862" w:rsidRPr="008662D3" w14:paraId="47393303" w14:textId="77777777" w:rsidTr="00116862">
        <w:trPr>
          <w:trHeight w:val="288"/>
        </w:trPr>
        <w:tc>
          <w:tcPr>
            <w:tcW w:w="748" w:type="pct"/>
            <w:tcBorders>
              <w:top w:val="nil"/>
              <w:left w:val="nil"/>
              <w:bottom w:val="nil"/>
              <w:right w:val="nil"/>
            </w:tcBorders>
            <w:shd w:val="clear" w:color="auto" w:fill="auto"/>
            <w:noWrap/>
            <w:vAlign w:val="bottom"/>
            <w:hideMark/>
          </w:tcPr>
          <w:p w14:paraId="69B7AE99"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RM1</w:t>
            </w:r>
          </w:p>
        </w:tc>
        <w:tc>
          <w:tcPr>
            <w:tcW w:w="793" w:type="pct"/>
            <w:tcBorders>
              <w:top w:val="nil"/>
              <w:left w:val="nil"/>
              <w:bottom w:val="nil"/>
              <w:right w:val="nil"/>
            </w:tcBorders>
            <w:shd w:val="clear" w:color="auto" w:fill="auto"/>
            <w:noWrap/>
            <w:vAlign w:val="bottom"/>
            <w:hideMark/>
          </w:tcPr>
          <w:p w14:paraId="46B20477"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0.282</w:t>
            </w:r>
          </w:p>
        </w:tc>
        <w:tc>
          <w:tcPr>
            <w:tcW w:w="943" w:type="pct"/>
            <w:tcBorders>
              <w:top w:val="nil"/>
              <w:left w:val="nil"/>
              <w:bottom w:val="nil"/>
              <w:right w:val="nil"/>
            </w:tcBorders>
            <w:shd w:val="clear" w:color="auto" w:fill="auto"/>
            <w:noWrap/>
            <w:vAlign w:val="bottom"/>
            <w:hideMark/>
          </w:tcPr>
          <w:p w14:paraId="36621DC0"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0.209</w:t>
            </w:r>
          </w:p>
        </w:tc>
        <w:tc>
          <w:tcPr>
            <w:tcW w:w="807" w:type="pct"/>
            <w:tcBorders>
              <w:top w:val="nil"/>
              <w:left w:val="nil"/>
              <w:bottom w:val="nil"/>
              <w:right w:val="nil"/>
            </w:tcBorders>
            <w:shd w:val="clear" w:color="auto" w:fill="auto"/>
            <w:noWrap/>
            <w:vAlign w:val="bottom"/>
            <w:hideMark/>
          </w:tcPr>
          <w:p w14:paraId="6D1C2464"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0.074</w:t>
            </w:r>
          </w:p>
        </w:tc>
        <w:tc>
          <w:tcPr>
            <w:tcW w:w="668" w:type="pct"/>
            <w:tcBorders>
              <w:top w:val="nil"/>
              <w:left w:val="nil"/>
              <w:bottom w:val="nil"/>
              <w:right w:val="nil"/>
            </w:tcBorders>
            <w:shd w:val="clear" w:color="auto" w:fill="auto"/>
            <w:noWrap/>
            <w:vAlign w:val="bottom"/>
            <w:hideMark/>
          </w:tcPr>
          <w:p w14:paraId="6BAD01C4"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2.7***</w:t>
            </w:r>
          </w:p>
        </w:tc>
        <w:tc>
          <w:tcPr>
            <w:tcW w:w="1041" w:type="pct"/>
            <w:tcBorders>
              <w:top w:val="nil"/>
              <w:left w:val="nil"/>
              <w:bottom w:val="nil"/>
              <w:right w:val="nil"/>
            </w:tcBorders>
            <w:shd w:val="clear" w:color="auto" w:fill="auto"/>
            <w:noWrap/>
            <w:vAlign w:val="bottom"/>
            <w:hideMark/>
          </w:tcPr>
          <w:p w14:paraId="6729BCB4"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3.01***</w:t>
            </w:r>
          </w:p>
        </w:tc>
      </w:tr>
      <w:tr w:rsidR="00116862" w:rsidRPr="008662D3" w14:paraId="518E1D50" w14:textId="77777777" w:rsidTr="00116862">
        <w:trPr>
          <w:trHeight w:val="288"/>
        </w:trPr>
        <w:tc>
          <w:tcPr>
            <w:tcW w:w="748" w:type="pct"/>
            <w:tcBorders>
              <w:top w:val="nil"/>
              <w:left w:val="nil"/>
              <w:bottom w:val="nil"/>
              <w:right w:val="nil"/>
            </w:tcBorders>
            <w:shd w:val="clear" w:color="auto" w:fill="auto"/>
            <w:noWrap/>
            <w:vAlign w:val="bottom"/>
            <w:hideMark/>
          </w:tcPr>
          <w:p w14:paraId="7866C9F6"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RM2</w:t>
            </w:r>
          </w:p>
        </w:tc>
        <w:tc>
          <w:tcPr>
            <w:tcW w:w="793" w:type="pct"/>
            <w:tcBorders>
              <w:top w:val="nil"/>
              <w:left w:val="nil"/>
              <w:bottom w:val="nil"/>
              <w:right w:val="nil"/>
            </w:tcBorders>
            <w:shd w:val="clear" w:color="auto" w:fill="auto"/>
            <w:noWrap/>
            <w:vAlign w:val="bottom"/>
            <w:hideMark/>
          </w:tcPr>
          <w:p w14:paraId="1A5ED456"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0.218</w:t>
            </w:r>
          </w:p>
        </w:tc>
        <w:tc>
          <w:tcPr>
            <w:tcW w:w="943" w:type="pct"/>
            <w:tcBorders>
              <w:top w:val="nil"/>
              <w:left w:val="nil"/>
              <w:bottom w:val="nil"/>
              <w:right w:val="nil"/>
            </w:tcBorders>
            <w:shd w:val="clear" w:color="auto" w:fill="auto"/>
            <w:noWrap/>
            <w:vAlign w:val="bottom"/>
            <w:hideMark/>
          </w:tcPr>
          <w:p w14:paraId="4304A55C"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0.146</w:t>
            </w:r>
          </w:p>
        </w:tc>
        <w:tc>
          <w:tcPr>
            <w:tcW w:w="807" w:type="pct"/>
            <w:tcBorders>
              <w:top w:val="nil"/>
              <w:left w:val="nil"/>
              <w:bottom w:val="nil"/>
              <w:right w:val="nil"/>
            </w:tcBorders>
            <w:shd w:val="clear" w:color="auto" w:fill="auto"/>
            <w:noWrap/>
            <w:vAlign w:val="bottom"/>
            <w:hideMark/>
          </w:tcPr>
          <w:p w14:paraId="24488427"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0.072</w:t>
            </w:r>
          </w:p>
        </w:tc>
        <w:tc>
          <w:tcPr>
            <w:tcW w:w="668" w:type="pct"/>
            <w:tcBorders>
              <w:top w:val="nil"/>
              <w:left w:val="nil"/>
              <w:bottom w:val="nil"/>
              <w:right w:val="nil"/>
            </w:tcBorders>
            <w:shd w:val="clear" w:color="auto" w:fill="auto"/>
            <w:noWrap/>
            <w:vAlign w:val="bottom"/>
            <w:hideMark/>
          </w:tcPr>
          <w:p w14:paraId="0D029BD2"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2.54**</w:t>
            </w:r>
          </w:p>
        </w:tc>
        <w:tc>
          <w:tcPr>
            <w:tcW w:w="1041" w:type="pct"/>
            <w:tcBorders>
              <w:top w:val="nil"/>
              <w:left w:val="nil"/>
              <w:bottom w:val="nil"/>
              <w:right w:val="nil"/>
            </w:tcBorders>
            <w:shd w:val="clear" w:color="auto" w:fill="auto"/>
            <w:noWrap/>
            <w:vAlign w:val="bottom"/>
            <w:hideMark/>
          </w:tcPr>
          <w:p w14:paraId="38207DFD"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2.61***</w:t>
            </w:r>
          </w:p>
        </w:tc>
      </w:tr>
      <w:tr w:rsidR="00116862" w:rsidRPr="008662D3" w14:paraId="23CBF300" w14:textId="77777777" w:rsidTr="00116862">
        <w:trPr>
          <w:trHeight w:val="288"/>
        </w:trPr>
        <w:tc>
          <w:tcPr>
            <w:tcW w:w="748" w:type="pct"/>
            <w:tcBorders>
              <w:top w:val="nil"/>
              <w:left w:val="nil"/>
              <w:bottom w:val="single" w:sz="4" w:space="0" w:color="auto"/>
              <w:right w:val="nil"/>
            </w:tcBorders>
            <w:shd w:val="clear" w:color="auto" w:fill="auto"/>
            <w:noWrap/>
            <w:vAlign w:val="bottom"/>
            <w:hideMark/>
          </w:tcPr>
          <w:p w14:paraId="54076E10"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DA</w:t>
            </w:r>
          </w:p>
        </w:tc>
        <w:tc>
          <w:tcPr>
            <w:tcW w:w="793" w:type="pct"/>
            <w:tcBorders>
              <w:top w:val="nil"/>
              <w:left w:val="nil"/>
              <w:bottom w:val="single" w:sz="4" w:space="0" w:color="auto"/>
              <w:right w:val="nil"/>
            </w:tcBorders>
            <w:shd w:val="clear" w:color="auto" w:fill="auto"/>
            <w:noWrap/>
            <w:vAlign w:val="bottom"/>
            <w:hideMark/>
          </w:tcPr>
          <w:p w14:paraId="3C163A26"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0.067</w:t>
            </w:r>
          </w:p>
        </w:tc>
        <w:tc>
          <w:tcPr>
            <w:tcW w:w="943" w:type="pct"/>
            <w:tcBorders>
              <w:top w:val="nil"/>
              <w:left w:val="nil"/>
              <w:bottom w:val="single" w:sz="4" w:space="0" w:color="auto"/>
              <w:right w:val="nil"/>
            </w:tcBorders>
            <w:shd w:val="clear" w:color="auto" w:fill="auto"/>
            <w:noWrap/>
            <w:vAlign w:val="bottom"/>
            <w:hideMark/>
          </w:tcPr>
          <w:p w14:paraId="3BC19195"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0.010</w:t>
            </w:r>
          </w:p>
        </w:tc>
        <w:tc>
          <w:tcPr>
            <w:tcW w:w="807" w:type="pct"/>
            <w:tcBorders>
              <w:top w:val="nil"/>
              <w:left w:val="nil"/>
              <w:bottom w:val="single" w:sz="4" w:space="0" w:color="auto"/>
              <w:right w:val="nil"/>
            </w:tcBorders>
            <w:shd w:val="clear" w:color="auto" w:fill="auto"/>
            <w:noWrap/>
            <w:vAlign w:val="bottom"/>
            <w:hideMark/>
          </w:tcPr>
          <w:p w14:paraId="0BFAC970"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0.057</w:t>
            </w:r>
          </w:p>
        </w:tc>
        <w:tc>
          <w:tcPr>
            <w:tcW w:w="668" w:type="pct"/>
            <w:tcBorders>
              <w:top w:val="nil"/>
              <w:left w:val="nil"/>
              <w:bottom w:val="single" w:sz="4" w:space="0" w:color="auto"/>
              <w:right w:val="nil"/>
            </w:tcBorders>
            <w:shd w:val="clear" w:color="auto" w:fill="auto"/>
            <w:noWrap/>
            <w:vAlign w:val="bottom"/>
            <w:hideMark/>
          </w:tcPr>
          <w:p w14:paraId="2F0E8C07"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4.61***</w:t>
            </w:r>
          </w:p>
        </w:tc>
        <w:tc>
          <w:tcPr>
            <w:tcW w:w="1041" w:type="pct"/>
            <w:tcBorders>
              <w:top w:val="nil"/>
              <w:left w:val="nil"/>
              <w:bottom w:val="single" w:sz="4" w:space="0" w:color="auto"/>
              <w:right w:val="nil"/>
            </w:tcBorders>
            <w:shd w:val="clear" w:color="auto" w:fill="auto"/>
            <w:noWrap/>
            <w:vAlign w:val="bottom"/>
            <w:hideMark/>
          </w:tcPr>
          <w:p w14:paraId="5C1EC72D" w14:textId="77777777" w:rsidR="00116862" w:rsidRPr="008662D3" w:rsidRDefault="00116862" w:rsidP="00116862">
            <w:pPr>
              <w:spacing w:after="0" w:line="240" w:lineRule="auto"/>
              <w:contextualSpacing/>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5.21***</w:t>
            </w:r>
          </w:p>
        </w:tc>
      </w:tr>
    </w:tbl>
    <w:p w14:paraId="6235FED2" w14:textId="59337C1C" w:rsidR="00116862" w:rsidRPr="008662D3" w:rsidRDefault="00116862" w:rsidP="00116862">
      <w:pPr>
        <w:spacing w:after="0" w:line="240" w:lineRule="auto"/>
        <w:rPr>
          <w:rFonts w:ascii="Times New Roman" w:eastAsia="Times New Roman" w:hAnsi="Times New Roman"/>
          <w:i/>
          <w:sz w:val="16"/>
          <w:szCs w:val="16"/>
          <w:lang w:eastAsia="en-US"/>
        </w:rPr>
      </w:pPr>
      <w:r w:rsidRPr="008662D3">
        <w:rPr>
          <w:rFonts w:ascii="Times New Roman" w:eastAsia="Times New Roman" w:hAnsi="Times New Roman"/>
          <w:i/>
          <w:sz w:val="16"/>
          <w:szCs w:val="16"/>
          <w:lang w:eastAsia="en-US"/>
        </w:rPr>
        <w:t>Panel B</w:t>
      </w:r>
      <w:r w:rsidR="00C945B1">
        <w:rPr>
          <w:rFonts w:ascii="Times New Roman" w:eastAsia="Times New Roman" w:hAnsi="Times New Roman"/>
          <w:i/>
          <w:sz w:val="16"/>
          <w:szCs w:val="16"/>
          <w:lang w:eastAsia="en-US"/>
        </w:rPr>
        <w:t>.</w:t>
      </w:r>
      <w:r w:rsidRPr="008662D3">
        <w:rPr>
          <w:rFonts w:ascii="Times New Roman" w:eastAsia="Times New Roman" w:hAnsi="Times New Roman"/>
          <w:i/>
          <w:sz w:val="16"/>
          <w:szCs w:val="16"/>
          <w:lang w:eastAsia="en-US"/>
        </w:rPr>
        <w:t xml:space="preserve"> MLPs vs. Non-MLPs Closest in Market Capitalization</w:t>
      </w:r>
    </w:p>
    <w:tbl>
      <w:tblPr>
        <w:tblW w:w="5000" w:type="pct"/>
        <w:tblLook w:val="04A0" w:firstRow="1" w:lastRow="0" w:firstColumn="1" w:lastColumn="0" w:noHBand="0" w:noVBand="1"/>
      </w:tblPr>
      <w:tblGrid>
        <w:gridCol w:w="1401"/>
        <w:gridCol w:w="1484"/>
        <w:gridCol w:w="1765"/>
        <w:gridCol w:w="1511"/>
        <w:gridCol w:w="1250"/>
        <w:gridCol w:w="1949"/>
      </w:tblGrid>
      <w:tr w:rsidR="00116862" w:rsidRPr="008662D3" w14:paraId="5936A3F5" w14:textId="77777777" w:rsidTr="00D8504C">
        <w:trPr>
          <w:trHeight w:val="288"/>
        </w:trPr>
        <w:tc>
          <w:tcPr>
            <w:tcW w:w="748" w:type="pct"/>
            <w:tcBorders>
              <w:left w:val="nil"/>
              <w:bottom w:val="nil"/>
              <w:right w:val="nil"/>
            </w:tcBorders>
            <w:shd w:val="clear" w:color="auto" w:fill="auto"/>
            <w:noWrap/>
            <w:vAlign w:val="bottom"/>
            <w:hideMark/>
          </w:tcPr>
          <w:p w14:paraId="4C7DA47E"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RDISX</w:t>
            </w:r>
          </w:p>
        </w:tc>
        <w:tc>
          <w:tcPr>
            <w:tcW w:w="793" w:type="pct"/>
            <w:tcBorders>
              <w:left w:val="nil"/>
              <w:bottom w:val="nil"/>
              <w:right w:val="nil"/>
            </w:tcBorders>
            <w:shd w:val="clear" w:color="auto" w:fill="auto"/>
            <w:noWrap/>
            <w:vAlign w:val="bottom"/>
            <w:hideMark/>
          </w:tcPr>
          <w:p w14:paraId="0B1C4653"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0.197</w:t>
            </w:r>
          </w:p>
        </w:tc>
        <w:tc>
          <w:tcPr>
            <w:tcW w:w="943" w:type="pct"/>
            <w:tcBorders>
              <w:left w:val="nil"/>
              <w:bottom w:val="nil"/>
              <w:right w:val="nil"/>
            </w:tcBorders>
            <w:shd w:val="clear" w:color="auto" w:fill="auto"/>
            <w:noWrap/>
            <w:vAlign w:val="bottom"/>
            <w:hideMark/>
          </w:tcPr>
          <w:p w14:paraId="56C29BBE"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0.163</w:t>
            </w:r>
          </w:p>
        </w:tc>
        <w:tc>
          <w:tcPr>
            <w:tcW w:w="807" w:type="pct"/>
            <w:tcBorders>
              <w:left w:val="nil"/>
              <w:bottom w:val="nil"/>
              <w:right w:val="nil"/>
            </w:tcBorders>
            <w:shd w:val="clear" w:color="auto" w:fill="auto"/>
            <w:noWrap/>
            <w:vAlign w:val="bottom"/>
            <w:hideMark/>
          </w:tcPr>
          <w:p w14:paraId="02DDADB5"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0.035</w:t>
            </w:r>
          </w:p>
        </w:tc>
        <w:tc>
          <w:tcPr>
            <w:tcW w:w="668" w:type="pct"/>
            <w:tcBorders>
              <w:left w:val="nil"/>
              <w:bottom w:val="nil"/>
              <w:right w:val="nil"/>
            </w:tcBorders>
            <w:shd w:val="clear" w:color="auto" w:fill="auto"/>
            <w:noWrap/>
            <w:vAlign w:val="bottom"/>
            <w:hideMark/>
          </w:tcPr>
          <w:p w14:paraId="0D5D9887"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1.98**</w:t>
            </w:r>
          </w:p>
        </w:tc>
        <w:tc>
          <w:tcPr>
            <w:tcW w:w="1041" w:type="pct"/>
            <w:tcBorders>
              <w:left w:val="nil"/>
              <w:bottom w:val="nil"/>
              <w:right w:val="nil"/>
            </w:tcBorders>
            <w:shd w:val="clear" w:color="auto" w:fill="auto"/>
            <w:noWrap/>
            <w:vAlign w:val="bottom"/>
            <w:hideMark/>
          </w:tcPr>
          <w:p w14:paraId="5AB1271F"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2.68***</w:t>
            </w:r>
          </w:p>
        </w:tc>
      </w:tr>
      <w:tr w:rsidR="00116862" w:rsidRPr="008662D3" w14:paraId="35E4C3D8" w14:textId="77777777" w:rsidTr="00116862">
        <w:trPr>
          <w:trHeight w:val="288"/>
        </w:trPr>
        <w:tc>
          <w:tcPr>
            <w:tcW w:w="748" w:type="pct"/>
            <w:tcBorders>
              <w:top w:val="nil"/>
              <w:left w:val="nil"/>
              <w:bottom w:val="nil"/>
              <w:right w:val="nil"/>
            </w:tcBorders>
            <w:shd w:val="clear" w:color="auto" w:fill="auto"/>
            <w:noWrap/>
            <w:vAlign w:val="bottom"/>
            <w:hideMark/>
          </w:tcPr>
          <w:p w14:paraId="203CC3B9"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RPROD</w:t>
            </w:r>
          </w:p>
        </w:tc>
        <w:tc>
          <w:tcPr>
            <w:tcW w:w="793" w:type="pct"/>
            <w:tcBorders>
              <w:top w:val="nil"/>
              <w:left w:val="nil"/>
              <w:bottom w:val="nil"/>
              <w:right w:val="nil"/>
            </w:tcBorders>
            <w:shd w:val="clear" w:color="auto" w:fill="auto"/>
            <w:noWrap/>
            <w:vAlign w:val="bottom"/>
            <w:hideMark/>
          </w:tcPr>
          <w:p w14:paraId="562D6241"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0.063</w:t>
            </w:r>
          </w:p>
        </w:tc>
        <w:tc>
          <w:tcPr>
            <w:tcW w:w="943" w:type="pct"/>
            <w:tcBorders>
              <w:top w:val="nil"/>
              <w:left w:val="nil"/>
              <w:bottom w:val="nil"/>
              <w:right w:val="nil"/>
            </w:tcBorders>
            <w:shd w:val="clear" w:color="auto" w:fill="auto"/>
            <w:noWrap/>
            <w:vAlign w:val="bottom"/>
            <w:hideMark/>
          </w:tcPr>
          <w:p w14:paraId="261F2D7C"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0.020</w:t>
            </w:r>
          </w:p>
        </w:tc>
        <w:tc>
          <w:tcPr>
            <w:tcW w:w="807" w:type="pct"/>
            <w:tcBorders>
              <w:top w:val="nil"/>
              <w:left w:val="nil"/>
              <w:bottom w:val="nil"/>
              <w:right w:val="nil"/>
            </w:tcBorders>
            <w:shd w:val="clear" w:color="auto" w:fill="auto"/>
            <w:noWrap/>
            <w:vAlign w:val="bottom"/>
            <w:hideMark/>
          </w:tcPr>
          <w:p w14:paraId="1520A7AB"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0.043</w:t>
            </w:r>
          </w:p>
        </w:tc>
        <w:tc>
          <w:tcPr>
            <w:tcW w:w="668" w:type="pct"/>
            <w:tcBorders>
              <w:top w:val="nil"/>
              <w:left w:val="nil"/>
              <w:bottom w:val="nil"/>
              <w:right w:val="nil"/>
            </w:tcBorders>
            <w:shd w:val="clear" w:color="auto" w:fill="auto"/>
            <w:noWrap/>
            <w:vAlign w:val="bottom"/>
            <w:hideMark/>
          </w:tcPr>
          <w:p w14:paraId="20CD18C0"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3.3***</w:t>
            </w:r>
          </w:p>
        </w:tc>
        <w:tc>
          <w:tcPr>
            <w:tcW w:w="1041" w:type="pct"/>
            <w:tcBorders>
              <w:top w:val="nil"/>
              <w:left w:val="nil"/>
              <w:bottom w:val="nil"/>
              <w:right w:val="nil"/>
            </w:tcBorders>
            <w:shd w:val="clear" w:color="auto" w:fill="auto"/>
            <w:noWrap/>
            <w:vAlign w:val="bottom"/>
            <w:hideMark/>
          </w:tcPr>
          <w:p w14:paraId="773B381E"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2.35**</w:t>
            </w:r>
          </w:p>
        </w:tc>
      </w:tr>
      <w:tr w:rsidR="00116862" w:rsidRPr="008662D3" w14:paraId="36869F8E" w14:textId="77777777" w:rsidTr="00116862">
        <w:trPr>
          <w:trHeight w:val="288"/>
        </w:trPr>
        <w:tc>
          <w:tcPr>
            <w:tcW w:w="748" w:type="pct"/>
            <w:tcBorders>
              <w:top w:val="nil"/>
              <w:left w:val="nil"/>
              <w:bottom w:val="nil"/>
              <w:right w:val="nil"/>
            </w:tcBorders>
            <w:shd w:val="clear" w:color="auto" w:fill="auto"/>
            <w:noWrap/>
            <w:vAlign w:val="bottom"/>
            <w:hideMark/>
          </w:tcPr>
          <w:p w14:paraId="243A1381"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RCFO</w:t>
            </w:r>
          </w:p>
        </w:tc>
        <w:tc>
          <w:tcPr>
            <w:tcW w:w="793" w:type="pct"/>
            <w:tcBorders>
              <w:top w:val="nil"/>
              <w:left w:val="nil"/>
              <w:bottom w:val="nil"/>
              <w:right w:val="nil"/>
            </w:tcBorders>
            <w:shd w:val="clear" w:color="auto" w:fill="auto"/>
            <w:noWrap/>
            <w:vAlign w:val="bottom"/>
            <w:hideMark/>
          </w:tcPr>
          <w:p w14:paraId="630B1421"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-0.065</w:t>
            </w:r>
          </w:p>
        </w:tc>
        <w:tc>
          <w:tcPr>
            <w:tcW w:w="943" w:type="pct"/>
            <w:tcBorders>
              <w:top w:val="nil"/>
              <w:left w:val="nil"/>
              <w:bottom w:val="nil"/>
              <w:right w:val="nil"/>
            </w:tcBorders>
            <w:shd w:val="clear" w:color="auto" w:fill="auto"/>
            <w:noWrap/>
            <w:vAlign w:val="bottom"/>
            <w:hideMark/>
          </w:tcPr>
          <w:p w14:paraId="3B100EC7"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-0.071</w:t>
            </w:r>
          </w:p>
        </w:tc>
        <w:tc>
          <w:tcPr>
            <w:tcW w:w="807" w:type="pct"/>
            <w:tcBorders>
              <w:top w:val="nil"/>
              <w:left w:val="nil"/>
              <w:bottom w:val="nil"/>
              <w:right w:val="nil"/>
            </w:tcBorders>
            <w:shd w:val="clear" w:color="auto" w:fill="auto"/>
            <w:noWrap/>
            <w:vAlign w:val="bottom"/>
            <w:hideMark/>
          </w:tcPr>
          <w:p w14:paraId="7213CB7F"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0.006</w:t>
            </w:r>
          </w:p>
        </w:tc>
        <w:tc>
          <w:tcPr>
            <w:tcW w:w="668" w:type="pct"/>
            <w:tcBorders>
              <w:top w:val="nil"/>
              <w:left w:val="nil"/>
              <w:bottom w:val="nil"/>
              <w:right w:val="nil"/>
            </w:tcBorders>
            <w:shd w:val="clear" w:color="auto" w:fill="auto"/>
            <w:noWrap/>
            <w:vAlign w:val="bottom"/>
            <w:hideMark/>
          </w:tcPr>
          <w:p w14:paraId="7C72B3DB"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0.59</w:t>
            </w:r>
          </w:p>
        </w:tc>
        <w:tc>
          <w:tcPr>
            <w:tcW w:w="1041" w:type="pct"/>
            <w:tcBorders>
              <w:top w:val="nil"/>
              <w:left w:val="nil"/>
              <w:bottom w:val="nil"/>
              <w:right w:val="nil"/>
            </w:tcBorders>
            <w:shd w:val="clear" w:color="auto" w:fill="auto"/>
            <w:noWrap/>
            <w:vAlign w:val="bottom"/>
            <w:hideMark/>
          </w:tcPr>
          <w:p w14:paraId="576AC7FA"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1.02</w:t>
            </w:r>
          </w:p>
        </w:tc>
      </w:tr>
      <w:tr w:rsidR="00116862" w:rsidRPr="008662D3" w14:paraId="6FF9A329" w14:textId="77777777" w:rsidTr="00116862">
        <w:trPr>
          <w:trHeight w:val="288"/>
        </w:trPr>
        <w:tc>
          <w:tcPr>
            <w:tcW w:w="748" w:type="pct"/>
            <w:tcBorders>
              <w:top w:val="nil"/>
              <w:left w:val="nil"/>
              <w:bottom w:val="nil"/>
              <w:right w:val="nil"/>
            </w:tcBorders>
            <w:shd w:val="clear" w:color="auto" w:fill="auto"/>
            <w:noWrap/>
            <w:vAlign w:val="bottom"/>
            <w:hideMark/>
          </w:tcPr>
          <w:p w14:paraId="65A3ED57"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RM1</w:t>
            </w:r>
          </w:p>
        </w:tc>
        <w:tc>
          <w:tcPr>
            <w:tcW w:w="793" w:type="pct"/>
            <w:tcBorders>
              <w:top w:val="nil"/>
              <w:left w:val="nil"/>
              <w:bottom w:val="nil"/>
              <w:right w:val="nil"/>
            </w:tcBorders>
            <w:shd w:val="clear" w:color="auto" w:fill="auto"/>
            <w:noWrap/>
            <w:vAlign w:val="bottom"/>
            <w:hideMark/>
          </w:tcPr>
          <w:p w14:paraId="5CD50BE1"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0.279</w:t>
            </w:r>
          </w:p>
        </w:tc>
        <w:tc>
          <w:tcPr>
            <w:tcW w:w="943" w:type="pct"/>
            <w:tcBorders>
              <w:top w:val="nil"/>
              <w:left w:val="nil"/>
              <w:bottom w:val="nil"/>
              <w:right w:val="nil"/>
            </w:tcBorders>
            <w:shd w:val="clear" w:color="auto" w:fill="auto"/>
            <w:noWrap/>
            <w:vAlign w:val="bottom"/>
            <w:hideMark/>
          </w:tcPr>
          <w:p w14:paraId="74359871"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0.188</w:t>
            </w:r>
          </w:p>
        </w:tc>
        <w:tc>
          <w:tcPr>
            <w:tcW w:w="807" w:type="pct"/>
            <w:tcBorders>
              <w:top w:val="nil"/>
              <w:left w:val="nil"/>
              <w:bottom w:val="nil"/>
              <w:right w:val="nil"/>
            </w:tcBorders>
            <w:shd w:val="clear" w:color="auto" w:fill="auto"/>
            <w:noWrap/>
            <w:vAlign w:val="bottom"/>
            <w:hideMark/>
          </w:tcPr>
          <w:p w14:paraId="472621DC"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0.091</w:t>
            </w:r>
          </w:p>
        </w:tc>
        <w:tc>
          <w:tcPr>
            <w:tcW w:w="668" w:type="pct"/>
            <w:tcBorders>
              <w:top w:val="nil"/>
              <w:left w:val="nil"/>
              <w:bottom w:val="nil"/>
              <w:right w:val="nil"/>
            </w:tcBorders>
            <w:shd w:val="clear" w:color="auto" w:fill="auto"/>
            <w:noWrap/>
            <w:vAlign w:val="bottom"/>
            <w:hideMark/>
          </w:tcPr>
          <w:p w14:paraId="1CEDC3AD"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3.44***</w:t>
            </w:r>
          </w:p>
        </w:tc>
        <w:tc>
          <w:tcPr>
            <w:tcW w:w="1041" w:type="pct"/>
            <w:tcBorders>
              <w:top w:val="nil"/>
              <w:left w:val="nil"/>
              <w:bottom w:val="nil"/>
              <w:right w:val="nil"/>
            </w:tcBorders>
            <w:shd w:val="clear" w:color="auto" w:fill="auto"/>
            <w:noWrap/>
            <w:vAlign w:val="bottom"/>
            <w:hideMark/>
          </w:tcPr>
          <w:p w14:paraId="687873A6"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3.43***</w:t>
            </w:r>
          </w:p>
        </w:tc>
      </w:tr>
      <w:tr w:rsidR="00116862" w:rsidRPr="008662D3" w14:paraId="13D5456C" w14:textId="77777777" w:rsidTr="00116862">
        <w:trPr>
          <w:trHeight w:val="288"/>
        </w:trPr>
        <w:tc>
          <w:tcPr>
            <w:tcW w:w="748" w:type="pct"/>
            <w:tcBorders>
              <w:top w:val="nil"/>
              <w:left w:val="nil"/>
              <w:bottom w:val="nil"/>
              <w:right w:val="nil"/>
            </w:tcBorders>
            <w:shd w:val="clear" w:color="auto" w:fill="auto"/>
            <w:noWrap/>
            <w:vAlign w:val="bottom"/>
            <w:hideMark/>
          </w:tcPr>
          <w:p w14:paraId="56F53F66"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RM2</w:t>
            </w:r>
          </w:p>
        </w:tc>
        <w:tc>
          <w:tcPr>
            <w:tcW w:w="793" w:type="pct"/>
            <w:tcBorders>
              <w:top w:val="nil"/>
              <w:left w:val="nil"/>
              <w:bottom w:val="nil"/>
              <w:right w:val="nil"/>
            </w:tcBorders>
            <w:shd w:val="clear" w:color="auto" w:fill="auto"/>
            <w:noWrap/>
            <w:vAlign w:val="bottom"/>
            <w:hideMark/>
          </w:tcPr>
          <w:p w14:paraId="198E0E4A"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0.214</w:t>
            </w:r>
          </w:p>
        </w:tc>
        <w:tc>
          <w:tcPr>
            <w:tcW w:w="943" w:type="pct"/>
            <w:tcBorders>
              <w:top w:val="nil"/>
              <w:left w:val="nil"/>
              <w:bottom w:val="nil"/>
              <w:right w:val="nil"/>
            </w:tcBorders>
            <w:shd w:val="clear" w:color="auto" w:fill="auto"/>
            <w:noWrap/>
            <w:vAlign w:val="bottom"/>
            <w:hideMark/>
          </w:tcPr>
          <w:p w14:paraId="79C6E560"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0.112</w:t>
            </w:r>
          </w:p>
        </w:tc>
        <w:tc>
          <w:tcPr>
            <w:tcW w:w="807" w:type="pct"/>
            <w:tcBorders>
              <w:top w:val="nil"/>
              <w:left w:val="nil"/>
              <w:bottom w:val="nil"/>
              <w:right w:val="nil"/>
            </w:tcBorders>
            <w:shd w:val="clear" w:color="auto" w:fill="auto"/>
            <w:noWrap/>
            <w:vAlign w:val="bottom"/>
            <w:hideMark/>
          </w:tcPr>
          <w:p w14:paraId="5E5A926D"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0.102</w:t>
            </w:r>
          </w:p>
        </w:tc>
        <w:tc>
          <w:tcPr>
            <w:tcW w:w="668" w:type="pct"/>
            <w:tcBorders>
              <w:top w:val="nil"/>
              <w:left w:val="nil"/>
              <w:bottom w:val="nil"/>
              <w:right w:val="nil"/>
            </w:tcBorders>
            <w:shd w:val="clear" w:color="auto" w:fill="auto"/>
            <w:noWrap/>
            <w:vAlign w:val="bottom"/>
            <w:hideMark/>
          </w:tcPr>
          <w:p w14:paraId="53B057DB"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3.75***</w:t>
            </w:r>
          </w:p>
        </w:tc>
        <w:tc>
          <w:tcPr>
            <w:tcW w:w="1041" w:type="pct"/>
            <w:tcBorders>
              <w:top w:val="nil"/>
              <w:left w:val="nil"/>
              <w:bottom w:val="nil"/>
              <w:right w:val="nil"/>
            </w:tcBorders>
            <w:shd w:val="clear" w:color="auto" w:fill="auto"/>
            <w:noWrap/>
            <w:vAlign w:val="bottom"/>
            <w:hideMark/>
          </w:tcPr>
          <w:p w14:paraId="2F275ADB"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3.48***</w:t>
            </w:r>
          </w:p>
        </w:tc>
      </w:tr>
      <w:tr w:rsidR="00116862" w:rsidRPr="008662D3" w14:paraId="0E4C00C1" w14:textId="77777777" w:rsidTr="00116862">
        <w:trPr>
          <w:trHeight w:val="288"/>
        </w:trPr>
        <w:tc>
          <w:tcPr>
            <w:tcW w:w="748" w:type="pct"/>
            <w:tcBorders>
              <w:top w:val="nil"/>
              <w:left w:val="nil"/>
              <w:bottom w:val="single" w:sz="4" w:space="0" w:color="auto"/>
              <w:right w:val="nil"/>
            </w:tcBorders>
            <w:shd w:val="clear" w:color="auto" w:fill="auto"/>
            <w:noWrap/>
            <w:vAlign w:val="bottom"/>
            <w:hideMark/>
          </w:tcPr>
          <w:p w14:paraId="77D50D1C"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DA</w:t>
            </w:r>
          </w:p>
        </w:tc>
        <w:tc>
          <w:tcPr>
            <w:tcW w:w="793" w:type="pct"/>
            <w:tcBorders>
              <w:top w:val="nil"/>
              <w:left w:val="nil"/>
              <w:bottom w:val="single" w:sz="4" w:space="0" w:color="auto"/>
              <w:right w:val="nil"/>
            </w:tcBorders>
            <w:shd w:val="clear" w:color="auto" w:fill="auto"/>
            <w:noWrap/>
            <w:vAlign w:val="bottom"/>
            <w:hideMark/>
          </w:tcPr>
          <w:p w14:paraId="4364D2F3"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0.066</w:t>
            </w:r>
          </w:p>
        </w:tc>
        <w:tc>
          <w:tcPr>
            <w:tcW w:w="943" w:type="pct"/>
            <w:tcBorders>
              <w:top w:val="nil"/>
              <w:left w:val="nil"/>
              <w:bottom w:val="single" w:sz="4" w:space="0" w:color="auto"/>
              <w:right w:val="nil"/>
            </w:tcBorders>
            <w:shd w:val="clear" w:color="auto" w:fill="auto"/>
            <w:noWrap/>
            <w:vAlign w:val="bottom"/>
            <w:hideMark/>
          </w:tcPr>
          <w:p w14:paraId="0DFD7DC9"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0.032</w:t>
            </w:r>
          </w:p>
        </w:tc>
        <w:tc>
          <w:tcPr>
            <w:tcW w:w="807" w:type="pct"/>
            <w:tcBorders>
              <w:top w:val="nil"/>
              <w:left w:val="nil"/>
              <w:bottom w:val="single" w:sz="4" w:space="0" w:color="auto"/>
              <w:right w:val="nil"/>
            </w:tcBorders>
            <w:shd w:val="clear" w:color="auto" w:fill="auto"/>
            <w:noWrap/>
            <w:vAlign w:val="bottom"/>
            <w:hideMark/>
          </w:tcPr>
          <w:p w14:paraId="50CF42C3"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0.035</w:t>
            </w:r>
          </w:p>
        </w:tc>
        <w:tc>
          <w:tcPr>
            <w:tcW w:w="668" w:type="pct"/>
            <w:tcBorders>
              <w:top w:val="nil"/>
              <w:left w:val="nil"/>
              <w:bottom w:val="single" w:sz="4" w:space="0" w:color="auto"/>
              <w:right w:val="nil"/>
            </w:tcBorders>
            <w:shd w:val="clear" w:color="auto" w:fill="auto"/>
            <w:noWrap/>
            <w:vAlign w:val="bottom"/>
            <w:hideMark/>
          </w:tcPr>
          <w:p w14:paraId="3A411C44"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2.78***</w:t>
            </w:r>
          </w:p>
        </w:tc>
        <w:tc>
          <w:tcPr>
            <w:tcW w:w="1041" w:type="pct"/>
            <w:tcBorders>
              <w:top w:val="nil"/>
              <w:left w:val="nil"/>
              <w:bottom w:val="single" w:sz="4" w:space="0" w:color="auto"/>
              <w:right w:val="nil"/>
            </w:tcBorders>
            <w:shd w:val="clear" w:color="auto" w:fill="auto"/>
            <w:noWrap/>
            <w:vAlign w:val="bottom"/>
            <w:hideMark/>
          </w:tcPr>
          <w:p w14:paraId="6EE625FB"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3.29***</w:t>
            </w:r>
          </w:p>
        </w:tc>
      </w:tr>
    </w:tbl>
    <w:p w14:paraId="14C59540" w14:textId="6558BB3A" w:rsidR="00116862" w:rsidRPr="008662D3" w:rsidRDefault="00116862" w:rsidP="00116862">
      <w:pPr>
        <w:spacing w:after="0" w:line="240" w:lineRule="auto"/>
        <w:rPr>
          <w:rFonts w:ascii="Times New Roman" w:eastAsia="Times New Roman" w:hAnsi="Times New Roman"/>
          <w:i/>
          <w:sz w:val="16"/>
          <w:szCs w:val="16"/>
          <w:lang w:eastAsia="en-US"/>
        </w:rPr>
      </w:pPr>
      <w:r w:rsidRPr="008662D3">
        <w:rPr>
          <w:rFonts w:ascii="Times New Roman" w:eastAsia="Times New Roman" w:hAnsi="Times New Roman"/>
          <w:i/>
          <w:sz w:val="16"/>
          <w:szCs w:val="16"/>
          <w:lang w:eastAsia="en-US"/>
        </w:rPr>
        <w:t>Panel C</w:t>
      </w:r>
      <w:r w:rsidR="00C945B1">
        <w:rPr>
          <w:rFonts w:ascii="Times New Roman" w:eastAsia="Times New Roman" w:hAnsi="Times New Roman"/>
          <w:i/>
          <w:sz w:val="16"/>
          <w:szCs w:val="16"/>
          <w:lang w:eastAsia="en-US"/>
        </w:rPr>
        <w:t>.</w:t>
      </w:r>
      <w:r w:rsidRPr="008662D3">
        <w:rPr>
          <w:rFonts w:ascii="Times New Roman" w:eastAsia="Times New Roman" w:hAnsi="Times New Roman"/>
          <w:i/>
          <w:sz w:val="16"/>
          <w:szCs w:val="16"/>
          <w:lang w:eastAsia="en-US"/>
        </w:rPr>
        <w:t xml:space="preserve"> MLPs vs. Non MLPs Closest in M</w:t>
      </w:r>
      <w:r w:rsidR="00C945B1">
        <w:rPr>
          <w:rFonts w:ascii="Times New Roman" w:eastAsia="Times New Roman" w:hAnsi="Times New Roman"/>
          <w:i/>
          <w:sz w:val="16"/>
          <w:szCs w:val="16"/>
          <w:lang w:eastAsia="en-US"/>
        </w:rPr>
        <w:t>arket-book Ratio</w:t>
      </w:r>
    </w:p>
    <w:tbl>
      <w:tblPr>
        <w:tblW w:w="5000" w:type="pct"/>
        <w:tblLook w:val="04A0" w:firstRow="1" w:lastRow="0" w:firstColumn="1" w:lastColumn="0" w:noHBand="0" w:noVBand="1"/>
      </w:tblPr>
      <w:tblGrid>
        <w:gridCol w:w="1401"/>
        <w:gridCol w:w="1484"/>
        <w:gridCol w:w="1765"/>
        <w:gridCol w:w="1511"/>
        <w:gridCol w:w="1250"/>
        <w:gridCol w:w="1949"/>
      </w:tblGrid>
      <w:tr w:rsidR="00116862" w:rsidRPr="008662D3" w14:paraId="71A3317F" w14:textId="77777777" w:rsidTr="00D8504C">
        <w:trPr>
          <w:trHeight w:val="288"/>
        </w:trPr>
        <w:tc>
          <w:tcPr>
            <w:tcW w:w="748" w:type="pct"/>
            <w:tcBorders>
              <w:left w:val="nil"/>
              <w:bottom w:val="nil"/>
              <w:right w:val="nil"/>
            </w:tcBorders>
            <w:shd w:val="clear" w:color="auto" w:fill="auto"/>
            <w:noWrap/>
            <w:vAlign w:val="bottom"/>
            <w:hideMark/>
          </w:tcPr>
          <w:p w14:paraId="7AFB875F"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RDISX</w:t>
            </w:r>
          </w:p>
        </w:tc>
        <w:tc>
          <w:tcPr>
            <w:tcW w:w="793" w:type="pct"/>
            <w:tcBorders>
              <w:left w:val="nil"/>
              <w:bottom w:val="nil"/>
              <w:right w:val="nil"/>
            </w:tcBorders>
            <w:shd w:val="clear" w:color="auto" w:fill="auto"/>
            <w:noWrap/>
            <w:vAlign w:val="bottom"/>
            <w:hideMark/>
          </w:tcPr>
          <w:p w14:paraId="1E854086"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0.200</w:t>
            </w:r>
          </w:p>
        </w:tc>
        <w:tc>
          <w:tcPr>
            <w:tcW w:w="943" w:type="pct"/>
            <w:tcBorders>
              <w:left w:val="nil"/>
              <w:bottom w:val="nil"/>
              <w:right w:val="nil"/>
            </w:tcBorders>
            <w:shd w:val="clear" w:color="auto" w:fill="auto"/>
            <w:noWrap/>
            <w:vAlign w:val="bottom"/>
            <w:hideMark/>
          </w:tcPr>
          <w:p w14:paraId="790915A4"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0.150</w:t>
            </w:r>
          </w:p>
        </w:tc>
        <w:tc>
          <w:tcPr>
            <w:tcW w:w="807" w:type="pct"/>
            <w:tcBorders>
              <w:left w:val="nil"/>
              <w:bottom w:val="nil"/>
              <w:right w:val="nil"/>
            </w:tcBorders>
            <w:shd w:val="clear" w:color="auto" w:fill="auto"/>
            <w:noWrap/>
            <w:vAlign w:val="bottom"/>
            <w:hideMark/>
          </w:tcPr>
          <w:p w14:paraId="6C9020EC"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0.050</w:t>
            </w:r>
          </w:p>
        </w:tc>
        <w:tc>
          <w:tcPr>
            <w:tcW w:w="668" w:type="pct"/>
            <w:tcBorders>
              <w:left w:val="nil"/>
              <w:bottom w:val="nil"/>
              <w:right w:val="nil"/>
            </w:tcBorders>
            <w:shd w:val="clear" w:color="auto" w:fill="auto"/>
            <w:noWrap/>
            <w:vAlign w:val="bottom"/>
            <w:hideMark/>
          </w:tcPr>
          <w:p w14:paraId="704BF0BF"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2.83***</w:t>
            </w:r>
          </w:p>
        </w:tc>
        <w:tc>
          <w:tcPr>
            <w:tcW w:w="1041" w:type="pct"/>
            <w:tcBorders>
              <w:left w:val="nil"/>
              <w:bottom w:val="nil"/>
              <w:right w:val="nil"/>
            </w:tcBorders>
            <w:shd w:val="clear" w:color="auto" w:fill="auto"/>
            <w:noWrap/>
            <w:vAlign w:val="bottom"/>
            <w:hideMark/>
          </w:tcPr>
          <w:p w14:paraId="2C5FC8B2"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2.43**</w:t>
            </w:r>
          </w:p>
        </w:tc>
      </w:tr>
      <w:tr w:rsidR="00116862" w:rsidRPr="008662D3" w14:paraId="314B6206" w14:textId="77777777" w:rsidTr="00116862">
        <w:trPr>
          <w:trHeight w:val="288"/>
        </w:trPr>
        <w:tc>
          <w:tcPr>
            <w:tcW w:w="748" w:type="pct"/>
            <w:tcBorders>
              <w:top w:val="nil"/>
              <w:left w:val="nil"/>
              <w:bottom w:val="nil"/>
              <w:right w:val="nil"/>
            </w:tcBorders>
            <w:shd w:val="clear" w:color="auto" w:fill="auto"/>
            <w:noWrap/>
            <w:vAlign w:val="bottom"/>
            <w:hideMark/>
          </w:tcPr>
          <w:p w14:paraId="1CAED75D"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RPROD</w:t>
            </w:r>
          </w:p>
        </w:tc>
        <w:tc>
          <w:tcPr>
            <w:tcW w:w="793" w:type="pct"/>
            <w:tcBorders>
              <w:top w:val="nil"/>
              <w:left w:val="nil"/>
              <w:bottom w:val="nil"/>
              <w:right w:val="nil"/>
            </w:tcBorders>
            <w:shd w:val="clear" w:color="auto" w:fill="auto"/>
            <w:noWrap/>
            <w:vAlign w:val="bottom"/>
            <w:hideMark/>
          </w:tcPr>
          <w:p w14:paraId="7A88D8EF"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0.065</w:t>
            </w:r>
          </w:p>
        </w:tc>
        <w:tc>
          <w:tcPr>
            <w:tcW w:w="943" w:type="pct"/>
            <w:tcBorders>
              <w:top w:val="nil"/>
              <w:left w:val="nil"/>
              <w:bottom w:val="nil"/>
              <w:right w:val="nil"/>
            </w:tcBorders>
            <w:shd w:val="clear" w:color="auto" w:fill="auto"/>
            <w:noWrap/>
            <w:vAlign w:val="bottom"/>
            <w:hideMark/>
          </w:tcPr>
          <w:p w14:paraId="6EF733F8"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0.010</w:t>
            </w:r>
          </w:p>
        </w:tc>
        <w:tc>
          <w:tcPr>
            <w:tcW w:w="807" w:type="pct"/>
            <w:tcBorders>
              <w:top w:val="nil"/>
              <w:left w:val="nil"/>
              <w:bottom w:val="nil"/>
              <w:right w:val="nil"/>
            </w:tcBorders>
            <w:shd w:val="clear" w:color="auto" w:fill="auto"/>
            <w:noWrap/>
            <w:vAlign w:val="bottom"/>
            <w:hideMark/>
          </w:tcPr>
          <w:p w14:paraId="1C91A7B5"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0.054</w:t>
            </w:r>
          </w:p>
        </w:tc>
        <w:tc>
          <w:tcPr>
            <w:tcW w:w="668" w:type="pct"/>
            <w:tcBorders>
              <w:top w:val="nil"/>
              <w:left w:val="nil"/>
              <w:bottom w:val="nil"/>
              <w:right w:val="nil"/>
            </w:tcBorders>
            <w:shd w:val="clear" w:color="auto" w:fill="auto"/>
            <w:noWrap/>
            <w:vAlign w:val="bottom"/>
            <w:hideMark/>
          </w:tcPr>
          <w:p w14:paraId="1ADB92EA"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3.81***</w:t>
            </w:r>
          </w:p>
        </w:tc>
        <w:tc>
          <w:tcPr>
            <w:tcW w:w="1041" w:type="pct"/>
            <w:tcBorders>
              <w:top w:val="nil"/>
              <w:left w:val="nil"/>
              <w:bottom w:val="nil"/>
              <w:right w:val="nil"/>
            </w:tcBorders>
            <w:shd w:val="clear" w:color="auto" w:fill="auto"/>
            <w:noWrap/>
            <w:vAlign w:val="bottom"/>
            <w:hideMark/>
          </w:tcPr>
          <w:p w14:paraId="749FCB69"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3.33***</w:t>
            </w:r>
          </w:p>
        </w:tc>
      </w:tr>
      <w:tr w:rsidR="00116862" w:rsidRPr="008662D3" w14:paraId="016642CD" w14:textId="77777777" w:rsidTr="00116862">
        <w:trPr>
          <w:trHeight w:val="288"/>
        </w:trPr>
        <w:tc>
          <w:tcPr>
            <w:tcW w:w="748" w:type="pct"/>
            <w:tcBorders>
              <w:top w:val="nil"/>
              <w:left w:val="nil"/>
              <w:bottom w:val="nil"/>
              <w:right w:val="nil"/>
            </w:tcBorders>
            <w:shd w:val="clear" w:color="auto" w:fill="auto"/>
            <w:noWrap/>
            <w:vAlign w:val="bottom"/>
            <w:hideMark/>
          </w:tcPr>
          <w:p w14:paraId="33FC42CB"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RCFO</w:t>
            </w:r>
          </w:p>
        </w:tc>
        <w:tc>
          <w:tcPr>
            <w:tcW w:w="793" w:type="pct"/>
            <w:tcBorders>
              <w:top w:val="nil"/>
              <w:left w:val="nil"/>
              <w:bottom w:val="nil"/>
              <w:right w:val="nil"/>
            </w:tcBorders>
            <w:shd w:val="clear" w:color="auto" w:fill="auto"/>
            <w:noWrap/>
            <w:vAlign w:val="bottom"/>
            <w:hideMark/>
          </w:tcPr>
          <w:p w14:paraId="6F9B2B94"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-0.065</w:t>
            </w:r>
          </w:p>
        </w:tc>
        <w:tc>
          <w:tcPr>
            <w:tcW w:w="943" w:type="pct"/>
            <w:tcBorders>
              <w:top w:val="nil"/>
              <w:left w:val="nil"/>
              <w:bottom w:val="nil"/>
              <w:right w:val="nil"/>
            </w:tcBorders>
            <w:shd w:val="clear" w:color="auto" w:fill="auto"/>
            <w:noWrap/>
            <w:vAlign w:val="bottom"/>
            <w:hideMark/>
          </w:tcPr>
          <w:p w14:paraId="2EE3B1B2"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-0.070</w:t>
            </w:r>
          </w:p>
        </w:tc>
        <w:tc>
          <w:tcPr>
            <w:tcW w:w="807" w:type="pct"/>
            <w:tcBorders>
              <w:top w:val="nil"/>
              <w:left w:val="nil"/>
              <w:bottom w:val="nil"/>
              <w:right w:val="nil"/>
            </w:tcBorders>
            <w:shd w:val="clear" w:color="auto" w:fill="auto"/>
            <w:noWrap/>
            <w:vAlign w:val="bottom"/>
            <w:hideMark/>
          </w:tcPr>
          <w:p w14:paraId="7024C6EA"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0.005</w:t>
            </w:r>
          </w:p>
        </w:tc>
        <w:tc>
          <w:tcPr>
            <w:tcW w:w="668" w:type="pct"/>
            <w:tcBorders>
              <w:top w:val="nil"/>
              <w:left w:val="nil"/>
              <w:bottom w:val="nil"/>
              <w:right w:val="nil"/>
            </w:tcBorders>
            <w:shd w:val="clear" w:color="auto" w:fill="auto"/>
            <w:noWrap/>
            <w:vAlign w:val="bottom"/>
            <w:hideMark/>
          </w:tcPr>
          <w:p w14:paraId="4DEFE343"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0.49</w:t>
            </w:r>
          </w:p>
        </w:tc>
        <w:tc>
          <w:tcPr>
            <w:tcW w:w="1041" w:type="pct"/>
            <w:tcBorders>
              <w:top w:val="nil"/>
              <w:left w:val="nil"/>
              <w:bottom w:val="nil"/>
              <w:right w:val="nil"/>
            </w:tcBorders>
            <w:shd w:val="clear" w:color="auto" w:fill="auto"/>
            <w:noWrap/>
            <w:vAlign w:val="bottom"/>
            <w:hideMark/>
          </w:tcPr>
          <w:p w14:paraId="06EE5CAE"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0.66</w:t>
            </w:r>
          </w:p>
        </w:tc>
      </w:tr>
      <w:tr w:rsidR="00116862" w:rsidRPr="008662D3" w14:paraId="0AFAD3EB" w14:textId="77777777" w:rsidTr="00116862">
        <w:trPr>
          <w:trHeight w:val="288"/>
        </w:trPr>
        <w:tc>
          <w:tcPr>
            <w:tcW w:w="748" w:type="pct"/>
            <w:tcBorders>
              <w:top w:val="nil"/>
              <w:left w:val="nil"/>
              <w:bottom w:val="nil"/>
              <w:right w:val="nil"/>
            </w:tcBorders>
            <w:shd w:val="clear" w:color="auto" w:fill="auto"/>
            <w:noWrap/>
            <w:vAlign w:val="bottom"/>
            <w:hideMark/>
          </w:tcPr>
          <w:p w14:paraId="4B1D5FCE"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RM1</w:t>
            </w:r>
          </w:p>
        </w:tc>
        <w:tc>
          <w:tcPr>
            <w:tcW w:w="793" w:type="pct"/>
            <w:tcBorders>
              <w:top w:val="nil"/>
              <w:left w:val="nil"/>
              <w:bottom w:val="nil"/>
              <w:right w:val="nil"/>
            </w:tcBorders>
            <w:shd w:val="clear" w:color="auto" w:fill="auto"/>
            <w:noWrap/>
            <w:vAlign w:val="bottom"/>
            <w:hideMark/>
          </w:tcPr>
          <w:p w14:paraId="40F1378E"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0.284</w:t>
            </w:r>
          </w:p>
        </w:tc>
        <w:tc>
          <w:tcPr>
            <w:tcW w:w="943" w:type="pct"/>
            <w:tcBorders>
              <w:top w:val="nil"/>
              <w:left w:val="nil"/>
              <w:bottom w:val="nil"/>
              <w:right w:val="nil"/>
            </w:tcBorders>
            <w:shd w:val="clear" w:color="auto" w:fill="auto"/>
            <w:noWrap/>
            <w:vAlign w:val="bottom"/>
            <w:hideMark/>
          </w:tcPr>
          <w:p w14:paraId="00ED201A"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0.163</w:t>
            </w:r>
          </w:p>
        </w:tc>
        <w:tc>
          <w:tcPr>
            <w:tcW w:w="807" w:type="pct"/>
            <w:tcBorders>
              <w:top w:val="nil"/>
              <w:left w:val="nil"/>
              <w:bottom w:val="nil"/>
              <w:right w:val="nil"/>
            </w:tcBorders>
            <w:shd w:val="clear" w:color="auto" w:fill="auto"/>
            <w:noWrap/>
            <w:vAlign w:val="bottom"/>
            <w:hideMark/>
          </w:tcPr>
          <w:p w14:paraId="23F52CEF"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0.121</w:t>
            </w:r>
          </w:p>
        </w:tc>
        <w:tc>
          <w:tcPr>
            <w:tcW w:w="668" w:type="pct"/>
            <w:tcBorders>
              <w:top w:val="nil"/>
              <w:left w:val="nil"/>
              <w:bottom w:val="nil"/>
              <w:right w:val="nil"/>
            </w:tcBorders>
            <w:shd w:val="clear" w:color="auto" w:fill="auto"/>
            <w:noWrap/>
            <w:vAlign w:val="bottom"/>
            <w:hideMark/>
          </w:tcPr>
          <w:p w14:paraId="0FC99C1A"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4.39***</w:t>
            </w:r>
          </w:p>
        </w:tc>
        <w:tc>
          <w:tcPr>
            <w:tcW w:w="1041" w:type="pct"/>
            <w:tcBorders>
              <w:top w:val="nil"/>
              <w:left w:val="nil"/>
              <w:bottom w:val="nil"/>
              <w:right w:val="nil"/>
            </w:tcBorders>
            <w:shd w:val="clear" w:color="auto" w:fill="auto"/>
            <w:noWrap/>
            <w:vAlign w:val="bottom"/>
            <w:hideMark/>
          </w:tcPr>
          <w:p w14:paraId="4476572B"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3.92***</w:t>
            </w:r>
          </w:p>
        </w:tc>
      </w:tr>
      <w:tr w:rsidR="00116862" w:rsidRPr="008662D3" w14:paraId="3F71708A" w14:textId="77777777" w:rsidTr="00116862">
        <w:trPr>
          <w:trHeight w:val="288"/>
        </w:trPr>
        <w:tc>
          <w:tcPr>
            <w:tcW w:w="748" w:type="pct"/>
            <w:tcBorders>
              <w:top w:val="nil"/>
              <w:left w:val="nil"/>
              <w:bottom w:val="nil"/>
              <w:right w:val="nil"/>
            </w:tcBorders>
            <w:shd w:val="clear" w:color="auto" w:fill="auto"/>
            <w:noWrap/>
            <w:vAlign w:val="bottom"/>
            <w:hideMark/>
          </w:tcPr>
          <w:p w14:paraId="53A09E82"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RM2</w:t>
            </w:r>
          </w:p>
        </w:tc>
        <w:tc>
          <w:tcPr>
            <w:tcW w:w="793" w:type="pct"/>
            <w:tcBorders>
              <w:top w:val="nil"/>
              <w:left w:val="nil"/>
              <w:bottom w:val="nil"/>
              <w:right w:val="nil"/>
            </w:tcBorders>
            <w:shd w:val="clear" w:color="auto" w:fill="auto"/>
            <w:noWrap/>
            <w:vAlign w:val="bottom"/>
            <w:hideMark/>
          </w:tcPr>
          <w:p w14:paraId="53EDCDA6"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0.218</w:t>
            </w:r>
          </w:p>
        </w:tc>
        <w:tc>
          <w:tcPr>
            <w:tcW w:w="943" w:type="pct"/>
            <w:tcBorders>
              <w:top w:val="nil"/>
              <w:left w:val="nil"/>
              <w:bottom w:val="nil"/>
              <w:right w:val="nil"/>
            </w:tcBorders>
            <w:shd w:val="clear" w:color="auto" w:fill="auto"/>
            <w:noWrap/>
            <w:vAlign w:val="bottom"/>
            <w:hideMark/>
          </w:tcPr>
          <w:p w14:paraId="64F72CC6"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0.091</w:t>
            </w:r>
          </w:p>
        </w:tc>
        <w:tc>
          <w:tcPr>
            <w:tcW w:w="807" w:type="pct"/>
            <w:tcBorders>
              <w:top w:val="nil"/>
              <w:left w:val="nil"/>
              <w:bottom w:val="nil"/>
              <w:right w:val="nil"/>
            </w:tcBorders>
            <w:shd w:val="clear" w:color="auto" w:fill="auto"/>
            <w:noWrap/>
            <w:vAlign w:val="bottom"/>
            <w:hideMark/>
          </w:tcPr>
          <w:p w14:paraId="797D8F1A"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0.127</w:t>
            </w:r>
          </w:p>
        </w:tc>
        <w:tc>
          <w:tcPr>
            <w:tcW w:w="668" w:type="pct"/>
            <w:tcBorders>
              <w:top w:val="nil"/>
              <w:left w:val="nil"/>
              <w:bottom w:val="nil"/>
              <w:right w:val="nil"/>
            </w:tcBorders>
            <w:shd w:val="clear" w:color="auto" w:fill="auto"/>
            <w:noWrap/>
            <w:vAlign w:val="bottom"/>
            <w:hideMark/>
          </w:tcPr>
          <w:p w14:paraId="60E7DD37"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4.42***</w:t>
            </w:r>
          </w:p>
        </w:tc>
        <w:tc>
          <w:tcPr>
            <w:tcW w:w="1041" w:type="pct"/>
            <w:tcBorders>
              <w:top w:val="nil"/>
              <w:left w:val="nil"/>
              <w:bottom w:val="nil"/>
              <w:right w:val="nil"/>
            </w:tcBorders>
            <w:shd w:val="clear" w:color="auto" w:fill="auto"/>
            <w:noWrap/>
            <w:vAlign w:val="bottom"/>
            <w:hideMark/>
          </w:tcPr>
          <w:p w14:paraId="3A1E8217"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3.95***</w:t>
            </w:r>
          </w:p>
        </w:tc>
      </w:tr>
      <w:tr w:rsidR="00116862" w:rsidRPr="008662D3" w14:paraId="51843A83" w14:textId="77777777" w:rsidTr="00116862">
        <w:trPr>
          <w:trHeight w:val="288"/>
        </w:trPr>
        <w:tc>
          <w:tcPr>
            <w:tcW w:w="748" w:type="pct"/>
            <w:tcBorders>
              <w:top w:val="nil"/>
              <w:left w:val="nil"/>
              <w:bottom w:val="single" w:sz="4" w:space="0" w:color="auto"/>
              <w:right w:val="nil"/>
            </w:tcBorders>
            <w:shd w:val="clear" w:color="auto" w:fill="auto"/>
            <w:noWrap/>
            <w:vAlign w:val="bottom"/>
            <w:hideMark/>
          </w:tcPr>
          <w:p w14:paraId="7DF74335"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DA</w:t>
            </w:r>
          </w:p>
        </w:tc>
        <w:tc>
          <w:tcPr>
            <w:tcW w:w="793" w:type="pct"/>
            <w:tcBorders>
              <w:top w:val="nil"/>
              <w:left w:val="nil"/>
              <w:bottom w:val="single" w:sz="4" w:space="0" w:color="auto"/>
              <w:right w:val="nil"/>
            </w:tcBorders>
            <w:shd w:val="clear" w:color="auto" w:fill="auto"/>
            <w:noWrap/>
            <w:vAlign w:val="bottom"/>
            <w:hideMark/>
          </w:tcPr>
          <w:p w14:paraId="11DA49BC"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0.066</w:t>
            </w:r>
          </w:p>
        </w:tc>
        <w:tc>
          <w:tcPr>
            <w:tcW w:w="943" w:type="pct"/>
            <w:tcBorders>
              <w:top w:val="nil"/>
              <w:left w:val="nil"/>
              <w:bottom w:val="single" w:sz="4" w:space="0" w:color="auto"/>
              <w:right w:val="nil"/>
            </w:tcBorders>
            <w:shd w:val="clear" w:color="auto" w:fill="auto"/>
            <w:noWrap/>
            <w:vAlign w:val="bottom"/>
            <w:hideMark/>
          </w:tcPr>
          <w:p w14:paraId="7E4B5FF9"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0.025</w:t>
            </w:r>
          </w:p>
        </w:tc>
        <w:tc>
          <w:tcPr>
            <w:tcW w:w="807" w:type="pct"/>
            <w:tcBorders>
              <w:top w:val="nil"/>
              <w:left w:val="nil"/>
              <w:bottom w:val="single" w:sz="4" w:space="0" w:color="auto"/>
              <w:right w:val="nil"/>
            </w:tcBorders>
            <w:shd w:val="clear" w:color="auto" w:fill="auto"/>
            <w:noWrap/>
            <w:vAlign w:val="bottom"/>
            <w:hideMark/>
          </w:tcPr>
          <w:p w14:paraId="2CADD9E1"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0.040</w:t>
            </w:r>
          </w:p>
        </w:tc>
        <w:tc>
          <w:tcPr>
            <w:tcW w:w="668" w:type="pct"/>
            <w:tcBorders>
              <w:top w:val="nil"/>
              <w:left w:val="nil"/>
              <w:bottom w:val="single" w:sz="4" w:space="0" w:color="auto"/>
              <w:right w:val="nil"/>
            </w:tcBorders>
            <w:shd w:val="clear" w:color="auto" w:fill="auto"/>
            <w:noWrap/>
            <w:vAlign w:val="bottom"/>
            <w:hideMark/>
          </w:tcPr>
          <w:p w14:paraId="248C617C"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3.02***</w:t>
            </w:r>
          </w:p>
        </w:tc>
        <w:tc>
          <w:tcPr>
            <w:tcW w:w="1041" w:type="pct"/>
            <w:tcBorders>
              <w:top w:val="nil"/>
              <w:left w:val="nil"/>
              <w:bottom w:val="single" w:sz="4" w:space="0" w:color="auto"/>
              <w:right w:val="nil"/>
            </w:tcBorders>
            <w:shd w:val="clear" w:color="auto" w:fill="auto"/>
            <w:noWrap/>
            <w:vAlign w:val="bottom"/>
            <w:hideMark/>
          </w:tcPr>
          <w:p w14:paraId="3884963B"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2.61***</w:t>
            </w:r>
          </w:p>
        </w:tc>
      </w:tr>
    </w:tbl>
    <w:p w14:paraId="58C58EB4" w14:textId="181387B3" w:rsidR="00116862" w:rsidRPr="008662D3" w:rsidRDefault="00116862" w:rsidP="00116862">
      <w:pPr>
        <w:spacing w:after="0" w:line="240" w:lineRule="auto"/>
        <w:rPr>
          <w:rFonts w:ascii="Times New Roman" w:eastAsia="Times New Roman" w:hAnsi="Times New Roman"/>
          <w:i/>
          <w:sz w:val="16"/>
          <w:szCs w:val="16"/>
          <w:lang w:eastAsia="en-US"/>
        </w:rPr>
      </w:pPr>
      <w:r w:rsidRPr="008662D3">
        <w:rPr>
          <w:rFonts w:ascii="Times New Roman" w:eastAsia="Times New Roman" w:hAnsi="Times New Roman"/>
          <w:i/>
          <w:sz w:val="16"/>
          <w:szCs w:val="16"/>
          <w:lang w:eastAsia="en-US"/>
        </w:rPr>
        <w:t>Panel D</w:t>
      </w:r>
      <w:r w:rsidR="00C945B1">
        <w:rPr>
          <w:rFonts w:ascii="Times New Roman" w:eastAsia="Times New Roman" w:hAnsi="Times New Roman"/>
          <w:i/>
          <w:sz w:val="16"/>
          <w:szCs w:val="16"/>
          <w:lang w:eastAsia="en-US"/>
        </w:rPr>
        <w:t>.</w:t>
      </w:r>
      <w:r w:rsidRPr="008662D3">
        <w:rPr>
          <w:rFonts w:ascii="Times New Roman" w:eastAsia="Times New Roman" w:hAnsi="Times New Roman"/>
          <w:i/>
          <w:sz w:val="16"/>
          <w:szCs w:val="16"/>
          <w:lang w:eastAsia="en-US"/>
        </w:rPr>
        <w:t xml:space="preserve"> MLPs vs. Non MLPs Closest in ROA</w:t>
      </w:r>
    </w:p>
    <w:tbl>
      <w:tblPr>
        <w:tblW w:w="5000" w:type="pct"/>
        <w:tblLook w:val="04A0" w:firstRow="1" w:lastRow="0" w:firstColumn="1" w:lastColumn="0" w:noHBand="0" w:noVBand="1"/>
      </w:tblPr>
      <w:tblGrid>
        <w:gridCol w:w="1401"/>
        <w:gridCol w:w="1484"/>
        <w:gridCol w:w="1765"/>
        <w:gridCol w:w="1511"/>
        <w:gridCol w:w="1250"/>
        <w:gridCol w:w="1949"/>
      </w:tblGrid>
      <w:tr w:rsidR="00116862" w:rsidRPr="008662D3" w14:paraId="69D43545" w14:textId="77777777" w:rsidTr="00D8504C">
        <w:trPr>
          <w:trHeight w:val="288"/>
        </w:trPr>
        <w:tc>
          <w:tcPr>
            <w:tcW w:w="748" w:type="pct"/>
            <w:tcBorders>
              <w:left w:val="nil"/>
              <w:bottom w:val="nil"/>
              <w:right w:val="nil"/>
            </w:tcBorders>
            <w:shd w:val="clear" w:color="auto" w:fill="auto"/>
            <w:noWrap/>
            <w:vAlign w:val="bottom"/>
            <w:hideMark/>
          </w:tcPr>
          <w:p w14:paraId="2E006470"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RDISX</w:t>
            </w:r>
          </w:p>
        </w:tc>
        <w:tc>
          <w:tcPr>
            <w:tcW w:w="793" w:type="pct"/>
            <w:tcBorders>
              <w:left w:val="nil"/>
              <w:bottom w:val="nil"/>
              <w:right w:val="nil"/>
            </w:tcBorders>
            <w:shd w:val="clear" w:color="auto" w:fill="auto"/>
            <w:noWrap/>
            <w:vAlign w:val="bottom"/>
            <w:hideMark/>
          </w:tcPr>
          <w:p w14:paraId="6019D661"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0.197</w:t>
            </w:r>
          </w:p>
        </w:tc>
        <w:tc>
          <w:tcPr>
            <w:tcW w:w="943" w:type="pct"/>
            <w:tcBorders>
              <w:left w:val="nil"/>
              <w:bottom w:val="nil"/>
              <w:right w:val="nil"/>
            </w:tcBorders>
            <w:shd w:val="clear" w:color="auto" w:fill="auto"/>
            <w:noWrap/>
            <w:vAlign w:val="bottom"/>
            <w:hideMark/>
          </w:tcPr>
          <w:p w14:paraId="5A424232"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0.153</w:t>
            </w:r>
          </w:p>
        </w:tc>
        <w:tc>
          <w:tcPr>
            <w:tcW w:w="807" w:type="pct"/>
            <w:tcBorders>
              <w:left w:val="nil"/>
              <w:bottom w:val="nil"/>
              <w:right w:val="nil"/>
            </w:tcBorders>
            <w:shd w:val="clear" w:color="auto" w:fill="auto"/>
            <w:noWrap/>
            <w:vAlign w:val="bottom"/>
            <w:hideMark/>
          </w:tcPr>
          <w:p w14:paraId="3AF254C7"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0.043</w:t>
            </w:r>
          </w:p>
        </w:tc>
        <w:tc>
          <w:tcPr>
            <w:tcW w:w="668" w:type="pct"/>
            <w:tcBorders>
              <w:left w:val="nil"/>
              <w:bottom w:val="nil"/>
              <w:right w:val="nil"/>
            </w:tcBorders>
            <w:shd w:val="clear" w:color="auto" w:fill="auto"/>
            <w:noWrap/>
            <w:vAlign w:val="bottom"/>
            <w:hideMark/>
          </w:tcPr>
          <w:p w14:paraId="7DAB1D3F"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2.49**</w:t>
            </w:r>
          </w:p>
        </w:tc>
        <w:tc>
          <w:tcPr>
            <w:tcW w:w="1041" w:type="pct"/>
            <w:tcBorders>
              <w:left w:val="nil"/>
              <w:bottom w:val="nil"/>
              <w:right w:val="nil"/>
            </w:tcBorders>
            <w:shd w:val="clear" w:color="auto" w:fill="auto"/>
            <w:noWrap/>
            <w:vAlign w:val="bottom"/>
            <w:hideMark/>
          </w:tcPr>
          <w:p w14:paraId="288DFA9E"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3.16***</w:t>
            </w:r>
          </w:p>
        </w:tc>
      </w:tr>
      <w:tr w:rsidR="00116862" w:rsidRPr="008662D3" w14:paraId="36011752" w14:textId="77777777" w:rsidTr="00116862">
        <w:trPr>
          <w:trHeight w:val="288"/>
        </w:trPr>
        <w:tc>
          <w:tcPr>
            <w:tcW w:w="748" w:type="pct"/>
            <w:tcBorders>
              <w:top w:val="nil"/>
              <w:left w:val="nil"/>
              <w:bottom w:val="nil"/>
              <w:right w:val="nil"/>
            </w:tcBorders>
            <w:shd w:val="clear" w:color="auto" w:fill="auto"/>
            <w:noWrap/>
            <w:vAlign w:val="bottom"/>
            <w:hideMark/>
          </w:tcPr>
          <w:p w14:paraId="0D0C88E9"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RPROD</w:t>
            </w:r>
          </w:p>
        </w:tc>
        <w:tc>
          <w:tcPr>
            <w:tcW w:w="793" w:type="pct"/>
            <w:tcBorders>
              <w:top w:val="nil"/>
              <w:left w:val="nil"/>
              <w:bottom w:val="nil"/>
              <w:right w:val="nil"/>
            </w:tcBorders>
            <w:shd w:val="clear" w:color="auto" w:fill="auto"/>
            <w:noWrap/>
            <w:vAlign w:val="bottom"/>
            <w:hideMark/>
          </w:tcPr>
          <w:p w14:paraId="34ED1B40"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0.065</w:t>
            </w:r>
          </w:p>
        </w:tc>
        <w:tc>
          <w:tcPr>
            <w:tcW w:w="943" w:type="pct"/>
            <w:tcBorders>
              <w:top w:val="nil"/>
              <w:left w:val="nil"/>
              <w:bottom w:val="nil"/>
              <w:right w:val="nil"/>
            </w:tcBorders>
            <w:shd w:val="clear" w:color="auto" w:fill="auto"/>
            <w:noWrap/>
            <w:vAlign w:val="bottom"/>
            <w:hideMark/>
          </w:tcPr>
          <w:p w14:paraId="073B4078"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0.007</w:t>
            </w:r>
          </w:p>
        </w:tc>
        <w:tc>
          <w:tcPr>
            <w:tcW w:w="807" w:type="pct"/>
            <w:tcBorders>
              <w:top w:val="nil"/>
              <w:left w:val="nil"/>
              <w:bottom w:val="nil"/>
              <w:right w:val="nil"/>
            </w:tcBorders>
            <w:shd w:val="clear" w:color="auto" w:fill="auto"/>
            <w:noWrap/>
            <w:vAlign w:val="bottom"/>
            <w:hideMark/>
          </w:tcPr>
          <w:p w14:paraId="0724E362"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0.058</w:t>
            </w:r>
          </w:p>
        </w:tc>
        <w:tc>
          <w:tcPr>
            <w:tcW w:w="668" w:type="pct"/>
            <w:tcBorders>
              <w:top w:val="nil"/>
              <w:left w:val="nil"/>
              <w:bottom w:val="nil"/>
              <w:right w:val="nil"/>
            </w:tcBorders>
            <w:shd w:val="clear" w:color="auto" w:fill="auto"/>
            <w:noWrap/>
            <w:vAlign w:val="bottom"/>
            <w:hideMark/>
          </w:tcPr>
          <w:p w14:paraId="2D33EB63"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4.22***</w:t>
            </w:r>
          </w:p>
        </w:tc>
        <w:tc>
          <w:tcPr>
            <w:tcW w:w="1041" w:type="pct"/>
            <w:tcBorders>
              <w:top w:val="nil"/>
              <w:left w:val="nil"/>
              <w:bottom w:val="nil"/>
              <w:right w:val="nil"/>
            </w:tcBorders>
            <w:shd w:val="clear" w:color="auto" w:fill="auto"/>
            <w:noWrap/>
            <w:vAlign w:val="bottom"/>
            <w:hideMark/>
          </w:tcPr>
          <w:p w14:paraId="3BDA0510"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4.41***</w:t>
            </w:r>
          </w:p>
        </w:tc>
      </w:tr>
      <w:tr w:rsidR="00116862" w:rsidRPr="008662D3" w14:paraId="471D4941" w14:textId="77777777" w:rsidTr="00116862">
        <w:trPr>
          <w:trHeight w:val="288"/>
        </w:trPr>
        <w:tc>
          <w:tcPr>
            <w:tcW w:w="748" w:type="pct"/>
            <w:tcBorders>
              <w:top w:val="nil"/>
              <w:left w:val="nil"/>
              <w:bottom w:val="nil"/>
              <w:right w:val="nil"/>
            </w:tcBorders>
            <w:shd w:val="clear" w:color="auto" w:fill="auto"/>
            <w:noWrap/>
            <w:vAlign w:val="bottom"/>
            <w:hideMark/>
          </w:tcPr>
          <w:p w14:paraId="62E87CD4"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RCFO</w:t>
            </w:r>
          </w:p>
        </w:tc>
        <w:tc>
          <w:tcPr>
            <w:tcW w:w="793" w:type="pct"/>
            <w:tcBorders>
              <w:top w:val="nil"/>
              <w:left w:val="nil"/>
              <w:bottom w:val="nil"/>
              <w:right w:val="nil"/>
            </w:tcBorders>
            <w:shd w:val="clear" w:color="auto" w:fill="auto"/>
            <w:noWrap/>
            <w:vAlign w:val="bottom"/>
            <w:hideMark/>
          </w:tcPr>
          <w:p w14:paraId="0C09BB44"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-0.063</w:t>
            </w:r>
          </w:p>
        </w:tc>
        <w:tc>
          <w:tcPr>
            <w:tcW w:w="943" w:type="pct"/>
            <w:tcBorders>
              <w:top w:val="nil"/>
              <w:left w:val="nil"/>
              <w:bottom w:val="nil"/>
              <w:right w:val="nil"/>
            </w:tcBorders>
            <w:shd w:val="clear" w:color="auto" w:fill="auto"/>
            <w:noWrap/>
            <w:vAlign w:val="bottom"/>
            <w:hideMark/>
          </w:tcPr>
          <w:p w14:paraId="6C61E8E8"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-0.079</w:t>
            </w:r>
          </w:p>
        </w:tc>
        <w:tc>
          <w:tcPr>
            <w:tcW w:w="807" w:type="pct"/>
            <w:tcBorders>
              <w:top w:val="nil"/>
              <w:left w:val="nil"/>
              <w:bottom w:val="nil"/>
              <w:right w:val="nil"/>
            </w:tcBorders>
            <w:shd w:val="clear" w:color="auto" w:fill="auto"/>
            <w:noWrap/>
            <w:vAlign w:val="bottom"/>
            <w:hideMark/>
          </w:tcPr>
          <w:p w14:paraId="0330F7E2"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0.016</w:t>
            </w:r>
          </w:p>
        </w:tc>
        <w:tc>
          <w:tcPr>
            <w:tcW w:w="668" w:type="pct"/>
            <w:tcBorders>
              <w:top w:val="nil"/>
              <w:left w:val="nil"/>
              <w:bottom w:val="nil"/>
              <w:right w:val="nil"/>
            </w:tcBorders>
            <w:shd w:val="clear" w:color="auto" w:fill="auto"/>
            <w:noWrap/>
            <w:vAlign w:val="bottom"/>
            <w:hideMark/>
          </w:tcPr>
          <w:p w14:paraId="08A24649"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1.47</w:t>
            </w:r>
          </w:p>
        </w:tc>
        <w:tc>
          <w:tcPr>
            <w:tcW w:w="1041" w:type="pct"/>
            <w:tcBorders>
              <w:top w:val="nil"/>
              <w:left w:val="nil"/>
              <w:bottom w:val="nil"/>
              <w:right w:val="nil"/>
            </w:tcBorders>
            <w:shd w:val="clear" w:color="auto" w:fill="auto"/>
            <w:noWrap/>
            <w:vAlign w:val="bottom"/>
            <w:hideMark/>
          </w:tcPr>
          <w:p w14:paraId="546F264D"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1.62</w:t>
            </w:r>
          </w:p>
        </w:tc>
      </w:tr>
      <w:tr w:rsidR="00116862" w:rsidRPr="008662D3" w14:paraId="485522BA" w14:textId="77777777" w:rsidTr="00116862">
        <w:trPr>
          <w:trHeight w:val="288"/>
        </w:trPr>
        <w:tc>
          <w:tcPr>
            <w:tcW w:w="748" w:type="pct"/>
            <w:tcBorders>
              <w:top w:val="nil"/>
              <w:left w:val="nil"/>
              <w:bottom w:val="nil"/>
              <w:right w:val="nil"/>
            </w:tcBorders>
            <w:shd w:val="clear" w:color="auto" w:fill="auto"/>
            <w:noWrap/>
            <w:vAlign w:val="bottom"/>
            <w:hideMark/>
          </w:tcPr>
          <w:p w14:paraId="499025BE"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RM1</w:t>
            </w:r>
          </w:p>
        </w:tc>
        <w:tc>
          <w:tcPr>
            <w:tcW w:w="793" w:type="pct"/>
            <w:tcBorders>
              <w:top w:val="nil"/>
              <w:left w:val="nil"/>
              <w:bottom w:val="nil"/>
              <w:right w:val="nil"/>
            </w:tcBorders>
            <w:shd w:val="clear" w:color="auto" w:fill="auto"/>
            <w:noWrap/>
            <w:vAlign w:val="bottom"/>
            <w:hideMark/>
          </w:tcPr>
          <w:p w14:paraId="3A04CFC7"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0.281</w:t>
            </w:r>
          </w:p>
        </w:tc>
        <w:tc>
          <w:tcPr>
            <w:tcW w:w="943" w:type="pct"/>
            <w:tcBorders>
              <w:top w:val="nil"/>
              <w:left w:val="nil"/>
              <w:bottom w:val="nil"/>
              <w:right w:val="nil"/>
            </w:tcBorders>
            <w:shd w:val="clear" w:color="auto" w:fill="auto"/>
            <w:noWrap/>
            <w:vAlign w:val="bottom"/>
            <w:hideMark/>
          </w:tcPr>
          <w:p w14:paraId="65A3D264"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0.163</w:t>
            </w:r>
          </w:p>
        </w:tc>
        <w:tc>
          <w:tcPr>
            <w:tcW w:w="807" w:type="pct"/>
            <w:tcBorders>
              <w:top w:val="nil"/>
              <w:left w:val="nil"/>
              <w:bottom w:val="nil"/>
              <w:right w:val="nil"/>
            </w:tcBorders>
            <w:shd w:val="clear" w:color="auto" w:fill="auto"/>
            <w:noWrap/>
            <w:vAlign w:val="bottom"/>
            <w:hideMark/>
          </w:tcPr>
          <w:p w14:paraId="58CB4302"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0.118</w:t>
            </w:r>
          </w:p>
        </w:tc>
        <w:tc>
          <w:tcPr>
            <w:tcW w:w="668" w:type="pct"/>
            <w:tcBorders>
              <w:top w:val="nil"/>
              <w:left w:val="nil"/>
              <w:bottom w:val="nil"/>
              <w:right w:val="nil"/>
            </w:tcBorders>
            <w:shd w:val="clear" w:color="auto" w:fill="auto"/>
            <w:noWrap/>
            <w:vAlign w:val="bottom"/>
            <w:hideMark/>
          </w:tcPr>
          <w:p w14:paraId="08D68729"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4.46***</w:t>
            </w:r>
          </w:p>
        </w:tc>
        <w:tc>
          <w:tcPr>
            <w:tcW w:w="1041" w:type="pct"/>
            <w:tcBorders>
              <w:top w:val="nil"/>
              <w:left w:val="nil"/>
              <w:bottom w:val="nil"/>
              <w:right w:val="nil"/>
            </w:tcBorders>
            <w:shd w:val="clear" w:color="auto" w:fill="auto"/>
            <w:noWrap/>
            <w:vAlign w:val="bottom"/>
            <w:hideMark/>
          </w:tcPr>
          <w:p w14:paraId="290BE4CC"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4.63***</w:t>
            </w:r>
          </w:p>
        </w:tc>
      </w:tr>
      <w:tr w:rsidR="00116862" w:rsidRPr="008662D3" w14:paraId="108F6339" w14:textId="77777777" w:rsidTr="00116862">
        <w:trPr>
          <w:trHeight w:val="288"/>
        </w:trPr>
        <w:tc>
          <w:tcPr>
            <w:tcW w:w="748" w:type="pct"/>
            <w:tcBorders>
              <w:top w:val="nil"/>
              <w:left w:val="nil"/>
              <w:bottom w:val="nil"/>
              <w:right w:val="nil"/>
            </w:tcBorders>
            <w:shd w:val="clear" w:color="auto" w:fill="auto"/>
            <w:noWrap/>
            <w:vAlign w:val="bottom"/>
            <w:hideMark/>
          </w:tcPr>
          <w:p w14:paraId="05221164"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RM2</w:t>
            </w:r>
          </w:p>
        </w:tc>
        <w:tc>
          <w:tcPr>
            <w:tcW w:w="793" w:type="pct"/>
            <w:tcBorders>
              <w:top w:val="nil"/>
              <w:left w:val="nil"/>
              <w:bottom w:val="nil"/>
              <w:right w:val="nil"/>
            </w:tcBorders>
            <w:shd w:val="clear" w:color="auto" w:fill="auto"/>
            <w:noWrap/>
            <w:vAlign w:val="bottom"/>
            <w:hideMark/>
          </w:tcPr>
          <w:p w14:paraId="0701D850"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0.216</w:t>
            </w:r>
          </w:p>
        </w:tc>
        <w:tc>
          <w:tcPr>
            <w:tcW w:w="943" w:type="pct"/>
            <w:tcBorders>
              <w:top w:val="nil"/>
              <w:left w:val="nil"/>
              <w:bottom w:val="nil"/>
              <w:right w:val="nil"/>
            </w:tcBorders>
            <w:shd w:val="clear" w:color="auto" w:fill="auto"/>
            <w:noWrap/>
            <w:vAlign w:val="bottom"/>
            <w:hideMark/>
          </w:tcPr>
          <w:p w14:paraId="6CD42444"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0.076</w:t>
            </w:r>
          </w:p>
        </w:tc>
        <w:tc>
          <w:tcPr>
            <w:tcW w:w="807" w:type="pct"/>
            <w:tcBorders>
              <w:top w:val="nil"/>
              <w:left w:val="nil"/>
              <w:bottom w:val="nil"/>
              <w:right w:val="nil"/>
            </w:tcBorders>
            <w:shd w:val="clear" w:color="auto" w:fill="auto"/>
            <w:noWrap/>
            <w:vAlign w:val="bottom"/>
            <w:hideMark/>
          </w:tcPr>
          <w:p w14:paraId="21802F2E"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0.141</w:t>
            </w:r>
          </w:p>
        </w:tc>
        <w:tc>
          <w:tcPr>
            <w:tcW w:w="668" w:type="pct"/>
            <w:tcBorders>
              <w:top w:val="nil"/>
              <w:left w:val="nil"/>
              <w:bottom w:val="nil"/>
              <w:right w:val="nil"/>
            </w:tcBorders>
            <w:shd w:val="clear" w:color="auto" w:fill="auto"/>
            <w:noWrap/>
            <w:vAlign w:val="bottom"/>
            <w:hideMark/>
          </w:tcPr>
          <w:p w14:paraId="4D9EAF88"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5.14***</w:t>
            </w:r>
          </w:p>
        </w:tc>
        <w:tc>
          <w:tcPr>
            <w:tcW w:w="1041" w:type="pct"/>
            <w:tcBorders>
              <w:top w:val="nil"/>
              <w:left w:val="nil"/>
              <w:bottom w:val="nil"/>
              <w:right w:val="nil"/>
            </w:tcBorders>
            <w:shd w:val="clear" w:color="auto" w:fill="auto"/>
            <w:noWrap/>
            <w:vAlign w:val="bottom"/>
            <w:hideMark/>
          </w:tcPr>
          <w:p w14:paraId="5BC0DA9B"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4.75***</w:t>
            </w:r>
          </w:p>
        </w:tc>
      </w:tr>
      <w:tr w:rsidR="00116862" w:rsidRPr="008662D3" w14:paraId="5918BEC3" w14:textId="77777777" w:rsidTr="00116862">
        <w:trPr>
          <w:trHeight w:val="288"/>
        </w:trPr>
        <w:tc>
          <w:tcPr>
            <w:tcW w:w="748" w:type="pct"/>
            <w:tcBorders>
              <w:top w:val="nil"/>
              <w:left w:val="nil"/>
              <w:bottom w:val="single" w:sz="4" w:space="0" w:color="auto"/>
              <w:right w:val="nil"/>
            </w:tcBorders>
            <w:shd w:val="clear" w:color="auto" w:fill="auto"/>
            <w:noWrap/>
            <w:vAlign w:val="bottom"/>
            <w:hideMark/>
          </w:tcPr>
          <w:p w14:paraId="67DE3F4C"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DA</w:t>
            </w:r>
          </w:p>
        </w:tc>
        <w:tc>
          <w:tcPr>
            <w:tcW w:w="793" w:type="pct"/>
            <w:tcBorders>
              <w:top w:val="nil"/>
              <w:left w:val="nil"/>
              <w:bottom w:val="single" w:sz="4" w:space="0" w:color="auto"/>
              <w:right w:val="nil"/>
            </w:tcBorders>
            <w:shd w:val="clear" w:color="auto" w:fill="auto"/>
            <w:noWrap/>
            <w:vAlign w:val="bottom"/>
            <w:hideMark/>
          </w:tcPr>
          <w:p w14:paraId="542F2C49"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0.068</w:t>
            </w:r>
          </w:p>
        </w:tc>
        <w:tc>
          <w:tcPr>
            <w:tcW w:w="943" w:type="pct"/>
            <w:tcBorders>
              <w:top w:val="nil"/>
              <w:left w:val="nil"/>
              <w:bottom w:val="single" w:sz="4" w:space="0" w:color="auto"/>
              <w:right w:val="nil"/>
            </w:tcBorders>
            <w:shd w:val="clear" w:color="auto" w:fill="auto"/>
            <w:noWrap/>
            <w:vAlign w:val="bottom"/>
            <w:hideMark/>
          </w:tcPr>
          <w:p w14:paraId="30C2D904"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0.028</w:t>
            </w:r>
          </w:p>
        </w:tc>
        <w:tc>
          <w:tcPr>
            <w:tcW w:w="807" w:type="pct"/>
            <w:tcBorders>
              <w:top w:val="nil"/>
              <w:left w:val="nil"/>
              <w:bottom w:val="single" w:sz="4" w:space="0" w:color="auto"/>
              <w:right w:val="nil"/>
            </w:tcBorders>
            <w:shd w:val="clear" w:color="auto" w:fill="auto"/>
            <w:noWrap/>
            <w:vAlign w:val="bottom"/>
            <w:hideMark/>
          </w:tcPr>
          <w:p w14:paraId="3E0C48E4"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0.040</w:t>
            </w:r>
          </w:p>
        </w:tc>
        <w:tc>
          <w:tcPr>
            <w:tcW w:w="668" w:type="pct"/>
            <w:tcBorders>
              <w:top w:val="nil"/>
              <w:left w:val="nil"/>
              <w:bottom w:val="single" w:sz="4" w:space="0" w:color="auto"/>
              <w:right w:val="nil"/>
            </w:tcBorders>
            <w:shd w:val="clear" w:color="auto" w:fill="auto"/>
            <w:noWrap/>
            <w:vAlign w:val="bottom"/>
            <w:hideMark/>
          </w:tcPr>
          <w:p w14:paraId="785535E1"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3.18***</w:t>
            </w:r>
          </w:p>
        </w:tc>
        <w:tc>
          <w:tcPr>
            <w:tcW w:w="1041" w:type="pct"/>
            <w:tcBorders>
              <w:top w:val="nil"/>
              <w:left w:val="nil"/>
              <w:bottom w:val="single" w:sz="4" w:space="0" w:color="auto"/>
              <w:right w:val="nil"/>
            </w:tcBorders>
            <w:shd w:val="clear" w:color="auto" w:fill="auto"/>
            <w:noWrap/>
            <w:vAlign w:val="bottom"/>
            <w:hideMark/>
          </w:tcPr>
          <w:p w14:paraId="7800FDE2"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3.47***</w:t>
            </w:r>
          </w:p>
        </w:tc>
      </w:tr>
    </w:tbl>
    <w:p w14:paraId="255B1BD4" w14:textId="4BB14A76" w:rsidR="00116862" w:rsidRPr="008662D3" w:rsidRDefault="00116862" w:rsidP="00116862">
      <w:pPr>
        <w:spacing w:after="0" w:line="240" w:lineRule="auto"/>
        <w:rPr>
          <w:rFonts w:ascii="Times New Roman" w:eastAsia="Times New Roman" w:hAnsi="Times New Roman"/>
          <w:i/>
          <w:sz w:val="16"/>
          <w:szCs w:val="16"/>
          <w:lang w:eastAsia="en-US"/>
        </w:rPr>
      </w:pPr>
      <w:r w:rsidRPr="008662D3">
        <w:rPr>
          <w:rFonts w:ascii="Times New Roman" w:eastAsia="Times New Roman" w:hAnsi="Times New Roman"/>
          <w:i/>
          <w:sz w:val="16"/>
          <w:szCs w:val="16"/>
          <w:lang w:eastAsia="en-US"/>
        </w:rPr>
        <w:t>Panel E</w:t>
      </w:r>
      <w:r w:rsidR="00C945B1">
        <w:rPr>
          <w:rFonts w:ascii="Times New Roman" w:eastAsia="Times New Roman" w:hAnsi="Times New Roman"/>
          <w:i/>
          <w:sz w:val="16"/>
          <w:szCs w:val="16"/>
          <w:lang w:eastAsia="en-US"/>
        </w:rPr>
        <w:t xml:space="preserve">. </w:t>
      </w:r>
      <w:r w:rsidRPr="008662D3">
        <w:rPr>
          <w:rFonts w:ascii="Times New Roman" w:eastAsia="Times New Roman" w:hAnsi="Times New Roman"/>
          <w:i/>
          <w:sz w:val="16"/>
          <w:szCs w:val="16"/>
          <w:lang w:eastAsia="en-US"/>
        </w:rPr>
        <w:t>MLPs vs. Non MLPs Closest in Debt Ratio</w:t>
      </w:r>
    </w:p>
    <w:tbl>
      <w:tblPr>
        <w:tblW w:w="5000" w:type="pct"/>
        <w:tblLook w:val="04A0" w:firstRow="1" w:lastRow="0" w:firstColumn="1" w:lastColumn="0" w:noHBand="0" w:noVBand="1"/>
      </w:tblPr>
      <w:tblGrid>
        <w:gridCol w:w="1401"/>
        <w:gridCol w:w="1484"/>
        <w:gridCol w:w="1765"/>
        <w:gridCol w:w="1511"/>
        <w:gridCol w:w="1250"/>
        <w:gridCol w:w="1949"/>
      </w:tblGrid>
      <w:tr w:rsidR="00116862" w:rsidRPr="008662D3" w14:paraId="0C994474" w14:textId="77777777" w:rsidTr="00D8504C">
        <w:trPr>
          <w:trHeight w:val="288"/>
        </w:trPr>
        <w:tc>
          <w:tcPr>
            <w:tcW w:w="748" w:type="pct"/>
            <w:tcBorders>
              <w:left w:val="nil"/>
              <w:bottom w:val="nil"/>
              <w:right w:val="nil"/>
            </w:tcBorders>
            <w:shd w:val="clear" w:color="auto" w:fill="auto"/>
            <w:noWrap/>
            <w:vAlign w:val="bottom"/>
            <w:hideMark/>
          </w:tcPr>
          <w:p w14:paraId="33475774"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RDISX</w:t>
            </w:r>
          </w:p>
        </w:tc>
        <w:tc>
          <w:tcPr>
            <w:tcW w:w="793" w:type="pct"/>
            <w:tcBorders>
              <w:left w:val="nil"/>
              <w:bottom w:val="nil"/>
              <w:right w:val="nil"/>
            </w:tcBorders>
            <w:shd w:val="clear" w:color="auto" w:fill="auto"/>
            <w:noWrap/>
            <w:vAlign w:val="bottom"/>
            <w:hideMark/>
          </w:tcPr>
          <w:p w14:paraId="52F2C2E6"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0.198</w:t>
            </w:r>
          </w:p>
        </w:tc>
        <w:tc>
          <w:tcPr>
            <w:tcW w:w="943" w:type="pct"/>
            <w:tcBorders>
              <w:left w:val="nil"/>
              <w:bottom w:val="nil"/>
              <w:right w:val="nil"/>
            </w:tcBorders>
            <w:shd w:val="clear" w:color="auto" w:fill="auto"/>
            <w:noWrap/>
            <w:vAlign w:val="bottom"/>
            <w:hideMark/>
          </w:tcPr>
          <w:p w14:paraId="462BCF84"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0.141</w:t>
            </w:r>
          </w:p>
        </w:tc>
        <w:tc>
          <w:tcPr>
            <w:tcW w:w="807" w:type="pct"/>
            <w:tcBorders>
              <w:left w:val="nil"/>
              <w:bottom w:val="nil"/>
              <w:right w:val="nil"/>
            </w:tcBorders>
            <w:shd w:val="clear" w:color="auto" w:fill="auto"/>
            <w:noWrap/>
            <w:vAlign w:val="bottom"/>
            <w:hideMark/>
          </w:tcPr>
          <w:p w14:paraId="19C4CC41"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0.058</w:t>
            </w:r>
          </w:p>
        </w:tc>
        <w:tc>
          <w:tcPr>
            <w:tcW w:w="668" w:type="pct"/>
            <w:tcBorders>
              <w:left w:val="nil"/>
              <w:bottom w:val="nil"/>
              <w:right w:val="nil"/>
            </w:tcBorders>
            <w:shd w:val="clear" w:color="auto" w:fill="auto"/>
            <w:noWrap/>
            <w:vAlign w:val="bottom"/>
            <w:hideMark/>
          </w:tcPr>
          <w:p w14:paraId="2DDC902A"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3.62***</w:t>
            </w:r>
          </w:p>
        </w:tc>
        <w:tc>
          <w:tcPr>
            <w:tcW w:w="1041" w:type="pct"/>
            <w:tcBorders>
              <w:left w:val="nil"/>
              <w:bottom w:val="nil"/>
              <w:right w:val="nil"/>
            </w:tcBorders>
            <w:shd w:val="clear" w:color="auto" w:fill="auto"/>
            <w:noWrap/>
            <w:vAlign w:val="bottom"/>
            <w:hideMark/>
          </w:tcPr>
          <w:p w14:paraId="019357BB"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3.59***</w:t>
            </w:r>
          </w:p>
        </w:tc>
      </w:tr>
      <w:tr w:rsidR="00116862" w:rsidRPr="008662D3" w14:paraId="31A72A39" w14:textId="77777777" w:rsidTr="00116862">
        <w:trPr>
          <w:trHeight w:val="288"/>
        </w:trPr>
        <w:tc>
          <w:tcPr>
            <w:tcW w:w="748" w:type="pct"/>
            <w:tcBorders>
              <w:top w:val="nil"/>
              <w:left w:val="nil"/>
              <w:bottom w:val="nil"/>
              <w:right w:val="nil"/>
            </w:tcBorders>
            <w:shd w:val="clear" w:color="auto" w:fill="auto"/>
            <w:noWrap/>
            <w:vAlign w:val="bottom"/>
            <w:hideMark/>
          </w:tcPr>
          <w:p w14:paraId="6EE3CD5D"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RPROD</w:t>
            </w:r>
          </w:p>
        </w:tc>
        <w:tc>
          <w:tcPr>
            <w:tcW w:w="793" w:type="pct"/>
            <w:tcBorders>
              <w:top w:val="nil"/>
              <w:left w:val="nil"/>
              <w:bottom w:val="nil"/>
              <w:right w:val="nil"/>
            </w:tcBorders>
            <w:shd w:val="clear" w:color="auto" w:fill="auto"/>
            <w:noWrap/>
            <w:vAlign w:val="bottom"/>
            <w:hideMark/>
          </w:tcPr>
          <w:p w14:paraId="344A491B"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0.065</w:t>
            </w:r>
          </w:p>
        </w:tc>
        <w:tc>
          <w:tcPr>
            <w:tcW w:w="943" w:type="pct"/>
            <w:tcBorders>
              <w:top w:val="nil"/>
              <w:left w:val="nil"/>
              <w:bottom w:val="nil"/>
              <w:right w:val="nil"/>
            </w:tcBorders>
            <w:shd w:val="clear" w:color="auto" w:fill="auto"/>
            <w:noWrap/>
            <w:vAlign w:val="bottom"/>
            <w:hideMark/>
          </w:tcPr>
          <w:p w14:paraId="20E36AA6"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0.034</w:t>
            </w:r>
          </w:p>
        </w:tc>
        <w:tc>
          <w:tcPr>
            <w:tcW w:w="807" w:type="pct"/>
            <w:tcBorders>
              <w:top w:val="nil"/>
              <w:left w:val="nil"/>
              <w:bottom w:val="nil"/>
              <w:right w:val="nil"/>
            </w:tcBorders>
            <w:shd w:val="clear" w:color="auto" w:fill="auto"/>
            <w:noWrap/>
            <w:vAlign w:val="bottom"/>
            <w:hideMark/>
          </w:tcPr>
          <w:p w14:paraId="4F7F33FA"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0.031</w:t>
            </w:r>
          </w:p>
        </w:tc>
        <w:tc>
          <w:tcPr>
            <w:tcW w:w="668" w:type="pct"/>
            <w:tcBorders>
              <w:top w:val="nil"/>
              <w:left w:val="nil"/>
              <w:bottom w:val="nil"/>
              <w:right w:val="nil"/>
            </w:tcBorders>
            <w:shd w:val="clear" w:color="auto" w:fill="auto"/>
            <w:noWrap/>
            <w:vAlign w:val="bottom"/>
            <w:hideMark/>
          </w:tcPr>
          <w:p w14:paraId="5DF9D735"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2.28**</w:t>
            </w:r>
          </w:p>
        </w:tc>
        <w:tc>
          <w:tcPr>
            <w:tcW w:w="1041" w:type="pct"/>
            <w:tcBorders>
              <w:top w:val="nil"/>
              <w:left w:val="nil"/>
              <w:bottom w:val="nil"/>
              <w:right w:val="nil"/>
            </w:tcBorders>
            <w:shd w:val="clear" w:color="auto" w:fill="auto"/>
            <w:noWrap/>
            <w:vAlign w:val="bottom"/>
            <w:hideMark/>
          </w:tcPr>
          <w:p w14:paraId="54C200D7"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1.87*</w:t>
            </w:r>
          </w:p>
        </w:tc>
      </w:tr>
      <w:tr w:rsidR="00116862" w:rsidRPr="008662D3" w14:paraId="3CA606B6" w14:textId="77777777" w:rsidTr="00116862">
        <w:trPr>
          <w:trHeight w:val="288"/>
        </w:trPr>
        <w:tc>
          <w:tcPr>
            <w:tcW w:w="748" w:type="pct"/>
            <w:tcBorders>
              <w:top w:val="nil"/>
              <w:left w:val="nil"/>
              <w:bottom w:val="nil"/>
              <w:right w:val="nil"/>
            </w:tcBorders>
            <w:shd w:val="clear" w:color="auto" w:fill="auto"/>
            <w:noWrap/>
            <w:vAlign w:val="bottom"/>
            <w:hideMark/>
          </w:tcPr>
          <w:p w14:paraId="750B98AE"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RCFO</w:t>
            </w:r>
          </w:p>
        </w:tc>
        <w:tc>
          <w:tcPr>
            <w:tcW w:w="793" w:type="pct"/>
            <w:tcBorders>
              <w:top w:val="nil"/>
              <w:left w:val="nil"/>
              <w:bottom w:val="nil"/>
              <w:right w:val="nil"/>
            </w:tcBorders>
            <w:shd w:val="clear" w:color="auto" w:fill="auto"/>
            <w:noWrap/>
            <w:vAlign w:val="bottom"/>
            <w:hideMark/>
          </w:tcPr>
          <w:p w14:paraId="58ED5275"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-0.063</w:t>
            </w:r>
          </w:p>
        </w:tc>
        <w:tc>
          <w:tcPr>
            <w:tcW w:w="943" w:type="pct"/>
            <w:tcBorders>
              <w:top w:val="nil"/>
              <w:left w:val="nil"/>
              <w:bottom w:val="nil"/>
              <w:right w:val="nil"/>
            </w:tcBorders>
            <w:shd w:val="clear" w:color="auto" w:fill="auto"/>
            <w:noWrap/>
            <w:vAlign w:val="bottom"/>
            <w:hideMark/>
          </w:tcPr>
          <w:p w14:paraId="2381271A"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-0.070</w:t>
            </w:r>
          </w:p>
        </w:tc>
        <w:tc>
          <w:tcPr>
            <w:tcW w:w="807" w:type="pct"/>
            <w:tcBorders>
              <w:top w:val="nil"/>
              <w:left w:val="nil"/>
              <w:bottom w:val="nil"/>
              <w:right w:val="nil"/>
            </w:tcBorders>
            <w:shd w:val="clear" w:color="auto" w:fill="auto"/>
            <w:noWrap/>
            <w:vAlign w:val="bottom"/>
            <w:hideMark/>
          </w:tcPr>
          <w:p w14:paraId="2CC5C6B2"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0.007</w:t>
            </w:r>
          </w:p>
        </w:tc>
        <w:tc>
          <w:tcPr>
            <w:tcW w:w="668" w:type="pct"/>
            <w:tcBorders>
              <w:top w:val="nil"/>
              <w:left w:val="nil"/>
              <w:bottom w:val="nil"/>
              <w:right w:val="nil"/>
            </w:tcBorders>
            <w:shd w:val="clear" w:color="auto" w:fill="auto"/>
            <w:noWrap/>
            <w:vAlign w:val="bottom"/>
            <w:hideMark/>
          </w:tcPr>
          <w:p w14:paraId="3A64619F"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0.61</w:t>
            </w:r>
          </w:p>
        </w:tc>
        <w:tc>
          <w:tcPr>
            <w:tcW w:w="1041" w:type="pct"/>
            <w:tcBorders>
              <w:top w:val="nil"/>
              <w:left w:val="nil"/>
              <w:bottom w:val="nil"/>
              <w:right w:val="nil"/>
            </w:tcBorders>
            <w:shd w:val="clear" w:color="auto" w:fill="auto"/>
            <w:noWrap/>
            <w:vAlign w:val="bottom"/>
            <w:hideMark/>
          </w:tcPr>
          <w:p w14:paraId="3801EB20"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0.62</w:t>
            </w:r>
          </w:p>
        </w:tc>
      </w:tr>
      <w:tr w:rsidR="00116862" w:rsidRPr="008662D3" w14:paraId="254587DD" w14:textId="77777777" w:rsidTr="00116862">
        <w:trPr>
          <w:trHeight w:val="288"/>
        </w:trPr>
        <w:tc>
          <w:tcPr>
            <w:tcW w:w="748" w:type="pct"/>
            <w:tcBorders>
              <w:top w:val="nil"/>
              <w:left w:val="nil"/>
              <w:bottom w:val="nil"/>
              <w:right w:val="nil"/>
            </w:tcBorders>
            <w:shd w:val="clear" w:color="auto" w:fill="auto"/>
            <w:noWrap/>
            <w:vAlign w:val="bottom"/>
            <w:hideMark/>
          </w:tcPr>
          <w:p w14:paraId="485C5706"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RM1</w:t>
            </w:r>
          </w:p>
        </w:tc>
        <w:tc>
          <w:tcPr>
            <w:tcW w:w="793" w:type="pct"/>
            <w:tcBorders>
              <w:top w:val="nil"/>
              <w:left w:val="nil"/>
              <w:bottom w:val="nil"/>
              <w:right w:val="nil"/>
            </w:tcBorders>
            <w:shd w:val="clear" w:color="auto" w:fill="auto"/>
            <w:noWrap/>
            <w:vAlign w:val="bottom"/>
            <w:hideMark/>
          </w:tcPr>
          <w:p w14:paraId="19835208"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0.283</w:t>
            </w:r>
          </w:p>
        </w:tc>
        <w:tc>
          <w:tcPr>
            <w:tcW w:w="943" w:type="pct"/>
            <w:tcBorders>
              <w:top w:val="nil"/>
              <w:left w:val="nil"/>
              <w:bottom w:val="nil"/>
              <w:right w:val="nil"/>
            </w:tcBorders>
            <w:shd w:val="clear" w:color="auto" w:fill="auto"/>
            <w:noWrap/>
            <w:vAlign w:val="bottom"/>
            <w:hideMark/>
          </w:tcPr>
          <w:p w14:paraId="5DEEB001"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0.185</w:t>
            </w:r>
          </w:p>
        </w:tc>
        <w:tc>
          <w:tcPr>
            <w:tcW w:w="807" w:type="pct"/>
            <w:tcBorders>
              <w:top w:val="nil"/>
              <w:left w:val="nil"/>
              <w:bottom w:val="nil"/>
              <w:right w:val="nil"/>
            </w:tcBorders>
            <w:shd w:val="clear" w:color="auto" w:fill="auto"/>
            <w:noWrap/>
            <w:vAlign w:val="bottom"/>
            <w:hideMark/>
          </w:tcPr>
          <w:p w14:paraId="28E311EC"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0.098</w:t>
            </w:r>
          </w:p>
        </w:tc>
        <w:tc>
          <w:tcPr>
            <w:tcW w:w="668" w:type="pct"/>
            <w:tcBorders>
              <w:top w:val="nil"/>
              <w:left w:val="nil"/>
              <w:bottom w:val="nil"/>
              <w:right w:val="nil"/>
            </w:tcBorders>
            <w:shd w:val="clear" w:color="auto" w:fill="auto"/>
            <w:noWrap/>
            <w:vAlign w:val="bottom"/>
            <w:hideMark/>
          </w:tcPr>
          <w:p w14:paraId="2A33525E"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3.93***</w:t>
            </w:r>
          </w:p>
        </w:tc>
        <w:tc>
          <w:tcPr>
            <w:tcW w:w="1041" w:type="pct"/>
            <w:tcBorders>
              <w:top w:val="nil"/>
              <w:left w:val="nil"/>
              <w:bottom w:val="nil"/>
              <w:right w:val="nil"/>
            </w:tcBorders>
            <w:shd w:val="clear" w:color="auto" w:fill="auto"/>
            <w:noWrap/>
            <w:vAlign w:val="bottom"/>
            <w:hideMark/>
          </w:tcPr>
          <w:p w14:paraId="0DEBAC81"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3.47***</w:t>
            </w:r>
          </w:p>
        </w:tc>
      </w:tr>
      <w:tr w:rsidR="00116862" w:rsidRPr="008662D3" w14:paraId="3EDBA0EE" w14:textId="77777777" w:rsidTr="00116862">
        <w:trPr>
          <w:trHeight w:val="288"/>
        </w:trPr>
        <w:tc>
          <w:tcPr>
            <w:tcW w:w="748" w:type="pct"/>
            <w:tcBorders>
              <w:top w:val="nil"/>
              <w:left w:val="nil"/>
              <w:bottom w:val="nil"/>
              <w:right w:val="nil"/>
            </w:tcBorders>
            <w:shd w:val="clear" w:color="auto" w:fill="auto"/>
            <w:noWrap/>
            <w:vAlign w:val="bottom"/>
            <w:hideMark/>
          </w:tcPr>
          <w:p w14:paraId="7779E932"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RM2</w:t>
            </w:r>
          </w:p>
        </w:tc>
        <w:tc>
          <w:tcPr>
            <w:tcW w:w="793" w:type="pct"/>
            <w:tcBorders>
              <w:top w:val="nil"/>
              <w:left w:val="nil"/>
              <w:bottom w:val="nil"/>
              <w:right w:val="nil"/>
            </w:tcBorders>
            <w:shd w:val="clear" w:color="auto" w:fill="auto"/>
            <w:noWrap/>
            <w:vAlign w:val="bottom"/>
            <w:hideMark/>
          </w:tcPr>
          <w:p w14:paraId="1AF4210C"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0.218</w:t>
            </w:r>
          </w:p>
        </w:tc>
        <w:tc>
          <w:tcPr>
            <w:tcW w:w="943" w:type="pct"/>
            <w:tcBorders>
              <w:top w:val="nil"/>
              <w:left w:val="nil"/>
              <w:bottom w:val="nil"/>
              <w:right w:val="nil"/>
            </w:tcBorders>
            <w:shd w:val="clear" w:color="auto" w:fill="auto"/>
            <w:noWrap/>
            <w:vAlign w:val="bottom"/>
            <w:hideMark/>
          </w:tcPr>
          <w:p w14:paraId="22A482D5"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0.120</w:t>
            </w:r>
          </w:p>
        </w:tc>
        <w:tc>
          <w:tcPr>
            <w:tcW w:w="807" w:type="pct"/>
            <w:tcBorders>
              <w:top w:val="nil"/>
              <w:left w:val="nil"/>
              <w:bottom w:val="nil"/>
              <w:right w:val="nil"/>
            </w:tcBorders>
            <w:shd w:val="clear" w:color="auto" w:fill="auto"/>
            <w:noWrap/>
            <w:vAlign w:val="bottom"/>
            <w:hideMark/>
          </w:tcPr>
          <w:p w14:paraId="1C3BE512"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0.098</w:t>
            </w:r>
          </w:p>
        </w:tc>
        <w:tc>
          <w:tcPr>
            <w:tcW w:w="668" w:type="pct"/>
            <w:tcBorders>
              <w:top w:val="nil"/>
              <w:left w:val="nil"/>
              <w:bottom w:val="nil"/>
              <w:right w:val="nil"/>
            </w:tcBorders>
            <w:shd w:val="clear" w:color="auto" w:fill="auto"/>
            <w:noWrap/>
            <w:vAlign w:val="bottom"/>
            <w:hideMark/>
          </w:tcPr>
          <w:p w14:paraId="40CFA627"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3.75***</w:t>
            </w:r>
          </w:p>
        </w:tc>
        <w:tc>
          <w:tcPr>
            <w:tcW w:w="1041" w:type="pct"/>
            <w:tcBorders>
              <w:top w:val="nil"/>
              <w:left w:val="nil"/>
              <w:bottom w:val="nil"/>
              <w:right w:val="nil"/>
            </w:tcBorders>
            <w:shd w:val="clear" w:color="auto" w:fill="auto"/>
            <w:noWrap/>
            <w:vAlign w:val="bottom"/>
            <w:hideMark/>
          </w:tcPr>
          <w:p w14:paraId="7925EBFF"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3.1***</w:t>
            </w:r>
          </w:p>
        </w:tc>
      </w:tr>
      <w:tr w:rsidR="00116862" w:rsidRPr="008662D3" w14:paraId="7FD869AF" w14:textId="77777777" w:rsidTr="00116862">
        <w:trPr>
          <w:trHeight w:val="288"/>
        </w:trPr>
        <w:tc>
          <w:tcPr>
            <w:tcW w:w="748" w:type="pct"/>
            <w:tcBorders>
              <w:top w:val="nil"/>
              <w:left w:val="nil"/>
              <w:bottom w:val="single" w:sz="4" w:space="0" w:color="auto"/>
              <w:right w:val="nil"/>
            </w:tcBorders>
            <w:shd w:val="clear" w:color="auto" w:fill="auto"/>
            <w:noWrap/>
            <w:vAlign w:val="bottom"/>
            <w:hideMark/>
          </w:tcPr>
          <w:p w14:paraId="0AB997B7"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DA</w:t>
            </w:r>
          </w:p>
        </w:tc>
        <w:tc>
          <w:tcPr>
            <w:tcW w:w="793" w:type="pct"/>
            <w:tcBorders>
              <w:top w:val="nil"/>
              <w:left w:val="nil"/>
              <w:bottom w:val="single" w:sz="4" w:space="0" w:color="auto"/>
              <w:right w:val="nil"/>
            </w:tcBorders>
            <w:shd w:val="clear" w:color="auto" w:fill="auto"/>
            <w:noWrap/>
            <w:vAlign w:val="bottom"/>
            <w:hideMark/>
          </w:tcPr>
          <w:p w14:paraId="0CFE0560"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0.067</w:t>
            </w:r>
          </w:p>
        </w:tc>
        <w:tc>
          <w:tcPr>
            <w:tcW w:w="943" w:type="pct"/>
            <w:tcBorders>
              <w:top w:val="nil"/>
              <w:left w:val="nil"/>
              <w:bottom w:val="single" w:sz="4" w:space="0" w:color="auto"/>
              <w:right w:val="nil"/>
            </w:tcBorders>
            <w:shd w:val="clear" w:color="auto" w:fill="auto"/>
            <w:noWrap/>
            <w:vAlign w:val="bottom"/>
            <w:hideMark/>
          </w:tcPr>
          <w:p w14:paraId="0820E8B4"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0.011</w:t>
            </w:r>
          </w:p>
        </w:tc>
        <w:tc>
          <w:tcPr>
            <w:tcW w:w="807" w:type="pct"/>
            <w:tcBorders>
              <w:top w:val="nil"/>
              <w:left w:val="nil"/>
              <w:bottom w:val="single" w:sz="4" w:space="0" w:color="auto"/>
              <w:right w:val="nil"/>
            </w:tcBorders>
            <w:shd w:val="clear" w:color="auto" w:fill="auto"/>
            <w:noWrap/>
            <w:vAlign w:val="bottom"/>
            <w:hideMark/>
          </w:tcPr>
          <w:p w14:paraId="718BF709"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0.056</w:t>
            </w:r>
          </w:p>
        </w:tc>
        <w:tc>
          <w:tcPr>
            <w:tcW w:w="668" w:type="pct"/>
            <w:tcBorders>
              <w:top w:val="nil"/>
              <w:left w:val="nil"/>
              <w:bottom w:val="single" w:sz="4" w:space="0" w:color="auto"/>
              <w:right w:val="nil"/>
            </w:tcBorders>
            <w:shd w:val="clear" w:color="auto" w:fill="auto"/>
            <w:noWrap/>
            <w:vAlign w:val="bottom"/>
            <w:hideMark/>
          </w:tcPr>
          <w:p w14:paraId="21911692"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4.05***</w:t>
            </w:r>
          </w:p>
        </w:tc>
        <w:tc>
          <w:tcPr>
            <w:tcW w:w="1041" w:type="pct"/>
            <w:tcBorders>
              <w:top w:val="nil"/>
              <w:left w:val="nil"/>
              <w:bottom w:val="single" w:sz="4" w:space="0" w:color="auto"/>
              <w:right w:val="nil"/>
            </w:tcBorders>
            <w:shd w:val="clear" w:color="auto" w:fill="auto"/>
            <w:noWrap/>
            <w:vAlign w:val="bottom"/>
            <w:hideMark/>
          </w:tcPr>
          <w:p w14:paraId="561BB415"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3.81***</w:t>
            </w:r>
          </w:p>
        </w:tc>
      </w:tr>
    </w:tbl>
    <w:p w14:paraId="2C5B5988" w14:textId="51BE5C92" w:rsidR="00116862" w:rsidRPr="008662D3" w:rsidRDefault="00116862" w:rsidP="00116862">
      <w:pPr>
        <w:spacing w:after="0" w:line="240" w:lineRule="auto"/>
        <w:rPr>
          <w:rFonts w:ascii="Times New Roman" w:eastAsia="Times New Roman" w:hAnsi="Times New Roman"/>
          <w:i/>
          <w:sz w:val="16"/>
          <w:szCs w:val="16"/>
          <w:lang w:eastAsia="en-US"/>
        </w:rPr>
      </w:pPr>
      <w:r w:rsidRPr="008662D3">
        <w:rPr>
          <w:rFonts w:ascii="Times New Roman" w:eastAsia="Times New Roman" w:hAnsi="Times New Roman"/>
          <w:i/>
          <w:sz w:val="16"/>
          <w:szCs w:val="16"/>
          <w:lang w:eastAsia="en-US"/>
        </w:rPr>
        <w:t>Panel F</w:t>
      </w:r>
      <w:r w:rsidR="00C945B1">
        <w:rPr>
          <w:rFonts w:ascii="Times New Roman" w:eastAsia="Times New Roman" w:hAnsi="Times New Roman"/>
          <w:i/>
          <w:sz w:val="16"/>
          <w:szCs w:val="16"/>
          <w:lang w:eastAsia="en-US"/>
        </w:rPr>
        <w:t xml:space="preserve">. </w:t>
      </w:r>
      <w:r w:rsidRPr="008662D3">
        <w:rPr>
          <w:rFonts w:ascii="Times New Roman" w:eastAsia="Times New Roman" w:hAnsi="Times New Roman"/>
          <w:i/>
          <w:sz w:val="16"/>
          <w:szCs w:val="16"/>
          <w:lang w:eastAsia="en-US"/>
        </w:rPr>
        <w:t>MLPs vs. Non MLPs Closest in Sales Growth</w:t>
      </w:r>
    </w:p>
    <w:tbl>
      <w:tblPr>
        <w:tblW w:w="5000" w:type="pct"/>
        <w:tblLook w:val="04A0" w:firstRow="1" w:lastRow="0" w:firstColumn="1" w:lastColumn="0" w:noHBand="0" w:noVBand="1"/>
      </w:tblPr>
      <w:tblGrid>
        <w:gridCol w:w="1401"/>
        <w:gridCol w:w="1484"/>
        <w:gridCol w:w="1765"/>
        <w:gridCol w:w="1511"/>
        <w:gridCol w:w="1250"/>
        <w:gridCol w:w="1949"/>
      </w:tblGrid>
      <w:tr w:rsidR="00116862" w:rsidRPr="008662D3" w14:paraId="66F9D444" w14:textId="77777777" w:rsidTr="00D8504C">
        <w:trPr>
          <w:trHeight w:val="288"/>
        </w:trPr>
        <w:tc>
          <w:tcPr>
            <w:tcW w:w="748" w:type="pct"/>
            <w:tcBorders>
              <w:left w:val="nil"/>
              <w:bottom w:val="nil"/>
              <w:right w:val="nil"/>
            </w:tcBorders>
            <w:shd w:val="clear" w:color="auto" w:fill="auto"/>
            <w:noWrap/>
            <w:vAlign w:val="bottom"/>
            <w:hideMark/>
          </w:tcPr>
          <w:p w14:paraId="47869318"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RDISX</w:t>
            </w:r>
          </w:p>
        </w:tc>
        <w:tc>
          <w:tcPr>
            <w:tcW w:w="793" w:type="pct"/>
            <w:tcBorders>
              <w:left w:val="nil"/>
              <w:bottom w:val="nil"/>
              <w:right w:val="nil"/>
            </w:tcBorders>
            <w:shd w:val="clear" w:color="auto" w:fill="auto"/>
            <w:noWrap/>
            <w:vAlign w:val="bottom"/>
            <w:hideMark/>
          </w:tcPr>
          <w:p w14:paraId="10C5CDA6"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0.203</w:t>
            </w:r>
          </w:p>
        </w:tc>
        <w:tc>
          <w:tcPr>
            <w:tcW w:w="943" w:type="pct"/>
            <w:tcBorders>
              <w:left w:val="nil"/>
              <w:bottom w:val="nil"/>
              <w:right w:val="nil"/>
            </w:tcBorders>
            <w:shd w:val="clear" w:color="auto" w:fill="auto"/>
            <w:noWrap/>
            <w:vAlign w:val="bottom"/>
            <w:hideMark/>
          </w:tcPr>
          <w:p w14:paraId="0F6F0930"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0.128</w:t>
            </w:r>
          </w:p>
        </w:tc>
        <w:tc>
          <w:tcPr>
            <w:tcW w:w="807" w:type="pct"/>
            <w:tcBorders>
              <w:left w:val="nil"/>
              <w:bottom w:val="nil"/>
              <w:right w:val="nil"/>
            </w:tcBorders>
            <w:shd w:val="clear" w:color="auto" w:fill="auto"/>
            <w:noWrap/>
            <w:vAlign w:val="bottom"/>
            <w:hideMark/>
          </w:tcPr>
          <w:p w14:paraId="31C02C89"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0.075</w:t>
            </w:r>
          </w:p>
        </w:tc>
        <w:tc>
          <w:tcPr>
            <w:tcW w:w="668" w:type="pct"/>
            <w:tcBorders>
              <w:left w:val="nil"/>
              <w:bottom w:val="nil"/>
              <w:right w:val="nil"/>
            </w:tcBorders>
            <w:shd w:val="clear" w:color="auto" w:fill="auto"/>
            <w:noWrap/>
            <w:vAlign w:val="bottom"/>
            <w:hideMark/>
          </w:tcPr>
          <w:p w14:paraId="34796327"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3.85***</w:t>
            </w:r>
          </w:p>
        </w:tc>
        <w:tc>
          <w:tcPr>
            <w:tcW w:w="1041" w:type="pct"/>
            <w:tcBorders>
              <w:left w:val="nil"/>
              <w:bottom w:val="nil"/>
              <w:right w:val="nil"/>
            </w:tcBorders>
            <w:shd w:val="clear" w:color="auto" w:fill="auto"/>
            <w:noWrap/>
            <w:vAlign w:val="bottom"/>
            <w:hideMark/>
          </w:tcPr>
          <w:p w14:paraId="2FDDB1C6"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4.46***</w:t>
            </w:r>
          </w:p>
        </w:tc>
      </w:tr>
      <w:tr w:rsidR="00116862" w:rsidRPr="008662D3" w14:paraId="313884C5" w14:textId="77777777" w:rsidTr="00116862">
        <w:trPr>
          <w:trHeight w:val="288"/>
        </w:trPr>
        <w:tc>
          <w:tcPr>
            <w:tcW w:w="748" w:type="pct"/>
            <w:tcBorders>
              <w:top w:val="nil"/>
              <w:left w:val="nil"/>
              <w:bottom w:val="nil"/>
              <w:right w:val="nil"/>
            </w:tcBorders>
            <w:shd w:val="clear" w:color="auto" w:fill="auto"/>
            <w:noWrap/>
            <w:vAlign w:val="bottom"/>
            <w:hideMark/>
          </w:tcPr>
          <w:p w14:paraId="19511EA8"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RPROD</w:t>
            </w:r>
          </w:p>
        </w:tc>
        <w:tc>
          <w:tcPr>
            <w:tcW w:w="793" w:type="pct"/>
            <w:tcBorders>
              <w:top w:val="nil"/>
              <w:left w:val="nil"/>
              <w:bottom w:val="nil"/>
              <w:right w:val="nil"/>
            </w:tcBorders>
            <w:shd w:val="clear" w:color="auto" w:fill="auto"/>
            <w:noWrap/>
            <w:vAlign w:val="bottom"/>
            <w:hideMark/>
          </w:tcPr>
          <w:p w14:paraId="5811C05D"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0.071</w:t>
            </w:r>
          </w:p>
        </w:tc>
        <w:tc>
          <w:tcPr>
            <w:tcW w:w="943" w:type="pct"/>
            <w:tcBorders>
              <w:top w:val="nil"/>
              <w:left w:val="nil"/>
              <w:bottom w:val="nil"/>
              <w:right w:val="nil"/>
            </w:tcBorders>
            <w:shd w:val="clear" w:color="auto" w:fill="auto"/>
            <w:noWrap/>
            <w:vAlign w:val="bottom"/>
            <w:hideMark/>
          </w:tcPr>
          <w:p w14:paraId="3C0D8581"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-0.012</w:t>
            </w:r>
          </w:p>
        </w:tc>
        <w:tc>
          <w:tcPr>
            <w:tcW w:w="807" w:type="pct"/>
            <w:tcBorders>
              <w:top w:val="nil"/>
              <w:left w:val="nil"/>
              <w:bottom w:val="nil"/>
              <w:right w:val="nil"/>
            </w:tcBorders>
            <w:shd w:val="clear" w:color="auto" w:fill="auto"/>
            <w:noWrap/>
            <w:vAlign w:val="bottom"/>
            <w:hideMark/>
          </w:tcPr>
          <w:p w14:paraId="6DC777E8"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0.083</w:t>
            </w:r>
          </w:p>
        </w:tc>
        <w:tc>
          <w:tcPr>
            <w:tcW w:w="668" w:type="pct"/>
            <w:tcBorders>
              <w:top w:val="nil"/>
              <w:left w:val="nil"/>
              <w:bottom w:val="nil"/>
              <w:right w:val="nil"/>
            </w:tcBorders>
            <w:shd w:val="clear" w:color="auto" w:fill="auto"/>
            <w:noWrap/>
            <w:vAlign w:val="bottom"/>
            <w:hideMark/>
          </w:tcPr>
          <w:p w14:paraId="184FFB84"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5.18***</w:t>
            </w:r>
          </w:p>
        </w:tc>
        <w:tc>
          <w:tcPr>
            <w:tcW w:w="1041" w:type="pct"/>
            <w:tcBorders>
              <w:top w:val="nil"/>
              <w:left w:val="nil"/>
              <w:bottom w:val="nil"/>
              <w:right w:val="nil"/>
            </w:tcBorders>
            <w:shd w:val="clear" w:color="auto" w:fill="auto"/>
            <w:noWrap/>
            <w:vAlign w:val="bottom"/>
            <w:hideMark/>
          </w:tcPr>
          <w:p w14:paraId="4F70B0B9"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4.33***</w:t>
            </w:r>
          </w:p>
        </w:tc>
      </w:tr>
      <w:tr w:rsidR="00116862" w:rsidRPr="008662D3" w14:paraId="046C2AA0" w14:textId="77777777" w:rsidTr="00116862">
        <w:trPr>
          <w:trHeight w:val="288"/>
        </w:trPr>
        <w:tc>
          <w:tcPr>
            <w:tcW w:w="748" w:type="pct"/>
            <w:tcBorders>
              <w:top w:val="nil"/>
              <w:left w:val="nil"/>
              <w:bottom w:val="nil"/>
              <w:right w:val="nil"/>
            </w:tcBorders>
            <w:shd w:val="clear" w:color="auto" w:fill="auto"/>
            <w:noWrap/>
            <w:vAlign w:val="bottom"/>
            <w:hideMark/>
          </w:tcPr>
          <w:p w14:paraId="604A520E"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RCFO</w:t>
            </w:r>
          </w:p>
        </w:tc>
        <w:tc>
          <w:tcPr>
            <w:tcW w:w="793" w:type="pct"/>
            <w:tcBorders>
              <w:top w:val="nil"/>
              <w:left w:val="nil"/>
              <w:bottom w:val="nil"/>
              <w:right w:val="nil"/>
            </w:tcBorders>
            <w:shd w:val="clear" w:color="auto" w:fill="auto"/>
            <w:noWrap/>
            <w:vAlign w:val="bottom"/>
            <w:hideMark/>
          </w:tcPr>
          <w:p w14:paraId="1E3AD0C9"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-0.060</w:t>
            </w:r>
          </w:p>
        </w:tc>
        <w:tc>
          <w:tcPr>
            <w:tcW w:w="943" w:type="pct"/>
            <w:tcBorders>
              <w:top w:val="nil"/>
              <w:left w:val="nil"/>
              <w:bottom w:val="nil"/>
              <w:right w:val="nil"/>
            </w:tcBorders>
            <w:shd w:val="clear" w:color="auto" w:fill="auto"/>
            <w:noWrap/>
            <w:vAlign w:val="bottom"/>
            <w:hideMark/>
          </w:tcPr>
          <w:p w14:paraId="51685F7F"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-0.069</w:t>
            </w:r>
          </w:p>
        </w:tc>
        <w:tc>
          <w:tcPr>
            <w:tcW w:w="807" w:type="pct"/>
            <w:tcBorders>
              <w:top w:val="nil"/>
              <w:left w:val="nil"/>
              <w:bottom w:val="nil"/>
              <w:right w:val="nil"/>
            </w:tcBorders>
            <w:shd w:val="clear" w:color="auto" w:fill="auto"/>
            <w:noWrap/>
            <w:vAlign w:val="bottom"/>
            <w:hideMark/>
          </w:tcPr>
          <w:p w14:paraId="2C2478FC"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0.009</w:t>
            </w:r>
          </w:p>
        </w:tc>
        <w:tc>
          <w:tcPr>
            <w:tcW w:w="668" w:type="pct"/>
            <w:tcBorders>
              <w:top w:val="nil"/>
              <w:left w:val="nil"/>
              <w:bottom w:val="nil"/>
              <w:right w:val="nil"/>
            </w:tcBorders>
            <w:shd w:val="clear" w:color="auto" w:fill="auto"/>
            <w:noWrap/>
            <w:vAlign w:val="bottom"/>
            <w:hideMark/>
          </w:tcPr>
          <w:p w14:paraId="0E4219F7"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0.79</w:t>
            </w:r>
          </w:p>
        </w:tc>
        <w:tc>
          <w:tcPr>
            <w:tcW w:w="1041" w:type="pct"/>
            <w:tcBorders>
              <w:top w:val="nil"/>
              <w:left w:val="nil"/>
              <w:bottom w:val="nil"/>
              <w:right w:val="nil"/>
            </w:tcBorders>
            <w:shd w:val="clear" w:color="auto" w:fill="auto"/>
            <w:noWrap/>
            <w:vAlign w:val="bottom"/>
            <w:hideMark/>
          </w:tcPr>
          <w:p w14:paraId="18EAD7F9"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1.07</w:t>
            </w:r>
          </w:p>
        </w:tc>
      </w:tr>
      <w:tr w:rsidR="00116862" w:rsidRPr="008662D3" w14:paraId="1067D805" w14:textId="77777777" w:rsidTr="00116862">
        <w:trPr>
          <w:trHeight w:val="288"/>
        </w:trPr>
        <w:tc>
          <w:tcPr>
            <w:tcW w:w="748" w:type="pct"/>
            <w:tcBorders>
              <w:top w:val="nil"/>
              <w:left w:val="nil"/>
              <w:bottom w:val="nil"/>
              <w:right w:val="nil"/>
            </w:tcBorders>
            <w:shd w:val="clear" w:color="auto" w:fill="auto"/>
            <w:noWrap/>
            <w:vAlign w:val="bottom"/>
            <w:hideMark/>
          </w:tcPr>
          <w:p w14:paraId="44ABF452"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RM1</w:t>
            </w:r>
          </w:p>
        </w:tc>
        <w:tc>
          <w:tcPr>
            <w:tcW w:w="793" w:type="pct"/>
            <w:tcBorders>
              <w:top w:val="nil"/>
              <w:left w:val="nil"/>
              <w:bottom w:val="nil"/>
              <w:right w:val="nil"/>
            </w:tcBorders>
            <w:shd w:val="clear" w:color="auto" w:fill="auto"/>
            <w:noWrap/>
            <w:vAlign w:val="bottom"/>
            <w:hideMark/>
          </w:tcPr>
          <w:p w14:paraId="13C8D079"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0.294</w:t>
            </w:r>
          </w:p>
        </w:tc>
        <w:tc>
          <w:tcPr>
            <w:tcW w:w="943" w:type="pct"/>
            <w:tcBorders>
              <w:top w:val="nil"/>
              <w:left w:val="nil"/>
              <w:bottom w:val="nil"/>
              <w:right w:val="nil"/>
            </w:tcBorders>
            <w:shd w:val="clear" w:color="auto" w:fill="auto"/>
            <w:noWrap/>
            <w:vAlign w:val="bottom"/>
            <w:hideMark/>
          </w:tcPr>
          <w:p w14:paraId="19F26DE7"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0.118</w:t>
            </w:r>
          </w:p>
        </w:tc>
        <w:tc>
          <w:tcPr>
            <w:tcW w:w="807" w:type="pct"/>
            <w:tcBorders>
              <w:top w:val="nil"/>
              <w:left w:val="nil"/>
              <w:bottom w:val="nil"/>
              <w:right w:val="nil"/>
            </w:tcBorders>
            <w:shd w:val="clear" w:color="auto" w:fill="auto"/>
            <w:noWrap/>
            <w:vAlign w:val="bottom"/>
            <w:hideMark/>
          </w:tcPr>
          <w:p w14:paraId="046EF663"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0.177</w:t>
            </w:r>
          </w:p>
        </w:tc>
        <w:tc>
          <w:tcPr>
            <w:tcW w:w="668" w:type="pct"/>
            <w:tcBorders>
              <w:top w:val="nil"/>
              <w:left w:val="nil"/>
              <w:bottom w:val="nil"/>
              <w:right w:val="nil"/>
            </w:tcBorders>
            <w:shd w:val="clear" w:color="auto" w:fill="auto"/>
            <w:noWrap/>
            <w:vAlign w:val="bottom"/>
            <w:hideMark/>
          </w:tcPr>
          <w:p w14:paraId="2FEEE1AC"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5.65***</w:t>
            </w:r>
          </w:p>
        </w:tc>
        <w:tc>
          <w:tcPr>
            <w:tcW w:w="1041" w:type="pct"/>
            <w:tcBorders>
              <w:top w:val="nil"/>
              <w:left w:val="nil"/>
              <w:bottom w:val="nil"/>
              <w:right w:val="nil"/>
            </w:tcBorders>
            <w:shd w:val="clear" w:color="auto" w:fill="auto"/>
            <w:noWrap/>
            <w:vAlign w:val="bottom"/>
            <w:hideMark/>
          </w:tcPr>
          <w:p w14:paraId="7A5455AD"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4.78***</w:t>
            </w:r>
          </w:p>
        </w:tc>
      </w:tr>
      <w:tr w:rsidR="00116862" w:rsidRPr="008662D3" w14:paraId="62F09CFB" w14:textId="77777777" w:rsidTr="00116862">
        <w:trPr>
          <w:trHeight w:val="288"/>
        </w:trPr>
        <w:tc>
          <w:tcPr>
            <w:tcW w:w="748" w:type="pct"/>
            <w:tcBorders>
              <w:top w:val="nil"/>
              <w:left w:val="nil"/>
              <w:right w:val="nil"/>
            </w:tcBorders>
            <w:shd w:val="clear" w:color="auto" w:fill="auto"/>
            <w:noWrap/>
            <w:vAlign w:val="bottom"/>
            <w:hideMark/>
          </w:tcPr>
          <w:p w14:paraId="7AD6E931"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RM2</w:t>
            </w:r>
          </w:p>
        </w:tc>
        <w:tc>
          <w:tcPr>
            <w:tcW w:w="793" w:type="pct"/>
            <w:tcBorders>
              <w:top w:val="nil"/>
              <w:left w:val="nil"/>
              <w:right w:val="nil"/>
            </w:tcBorders>
            <w:shd w:val="clear" w:color="auto" w:fill="auto"/>
            <w:noWrap/>
            <w:vAlign w:val="bottom"/>
            <w:hideMark/>
          </w:tcPr>
          <w:p w14:paraId="21BCF18B"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0.234</w:t>
            </w:r>
          </w:p>
        </w:tc>
        <w:tc>
          <w:tcPr>
            <w:tcW w:w="943" w:type="pct"/>
            <w:tcBorders>
              <w:top w:val="nil"/>
              <w:left w:val="nil"/>
              <w:right w:val="nil"/>
            </w:tcBorders>
            <w:shd w:val="clear" w:color="auto" w:fill="auto"/>
            <w:noWrap/>
            <w:vAlign w:val="bottom"/>
            <w:hideMark/>
          </w:tcPr>
          <w:p w14:paraId="688B14F8"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0.045</w:t>
            </w:r>
          </w:p>
        </w:tc>
        <w:tc>
          <w:tcPr>
            <w:tcW w:w="807" w:type="pct"/>
            <w:tcBorders>
              <w:top w:val="nil"/>
              <w:left w:val="nil"/>
              <w:right w:val="nil"/>
            </w:tcBorders>
            <w:shd w:val="clear" w:color="auto" w:fill="auto"/>
            <w:noWrap/>
            <w:vAlign w:val="bottom"/>
            <w:hideMark/>
          </w:tcPr>
          <w:p w14:paraId="3AB06621"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0.189</w:t>
            </w:r>
          </w:p>
        </w:tc>
        <w:tc>
          <w:tcPr>
            <w:tcW w:w="668" w:type="pct"/>
            <w:tcBorders>
              <w:top w:val="nil"/>
              <w:left w:val="nil"/>
              <w:right w:val="nil"/>
            </w:tcBorders>
            <w:shd w:val="clear" w:color="auto" w:fill="auto"/>
            <w:noWrap/>
            <w:vAlign w:val="bottom"/>
            <w:hideMark/>
          </w:tcPr>
          <w:p w14:paraId="1C4AD961"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5.95***</w:t>
            </w:r>
          </w:p>
        </w:tc>
        <w:tc>
          <w:tcPr>
            <w:tcW w:w="1041" w:type="pct"/>
            <w:tcBorders>
              <w:top w:val="nil"/>
              <w:left w:val="nil"/>
              <w:right w:val="nil"/>
            </w:tcBorders>
            <w:shd w:val="clear" w:color="auto" w:fill="auto"/>
            <w:noWrap/>
            <w:vAlign w:val="bottom"/>
            <w:hideMark/>
          </w:tcPr>
          <w:p w14:paraId="7E822C76"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5.01***</w:t>
            </w:r>
          </w:p>
        </w:tc>
      </w:tr>
      <w:tr w:rsidR="00116862" w:rsidRPr="008662D3" w14:paraId="030D665E" w14:textId="77777777" w:rsidTr="00116862">
        <w:trPr>
          <w:trHeight w:val="288"/>
        </w:trPr>
        <w:tc>
          <w:tcPr>
            <w:tcW w:w="748" w:type="pct"/>
            <w:tcBorders>
              <w:top w:val="nil"/>
              <w:left w:val="nil"/>
              <w:bottom w:val="single" w:sz="4" w:space="0" w:color="auto"/>
              <w:right w:val="nil"/>
            </w:tcBorders>
            <w:shd w:val="clear" w:color="auto" w:fill="auto"/>
            <w:noWrap/>
            <w:vAlign w:val="bottom"/>
            <w:hideMark/>
          </w:tcPr>
          <w:p w14:paraId="43C33B99"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DA</w:t>
            </w:r>
          </w:p>
        </w:tc>
        <w:tc>
          <w:tcPr>
            <w:tcW w:w="793" w:type="pct"/>
            <w:tcBorders>
              <w:top w:val="nil"/>
              <w:left w:val="nil"/>
              <w:bottom w:val="single" w:sz="4" w:space="0" w:color="auto"/>
              <w:right w:val="nil"/>
            </w:tcBorders>
            <w:shd w:val="clear" w:color="auto" w:fill="auto"/>
            <w:noWrap/>
            <w:vAlign w:val="bottom"/>
            <w:hideMark/>
          </w:tcPr>
          <w:p w14:paraId="33D2446F"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0.070</w:t>
            </w:r>
          </w:p>
        </w:tc>
        <w:tc>
          <w:tcPr>
            <w:tcW w:w="943" w:type="pct"/>
            <w:tcBorders>
              <w:top w:val="nil"/>
              <w:left w:val="nil"/>
              <w:bottom w:val="single" w:sz="4" w:space="0" w:color="auto"/>
              <w:right w:val="nil"/>
            </w:tcBorders>
            <w:shd w:val="clear" w:color="auto" w:fill="auto"/>
            <w:noWrap/>
            <w:vAlign w:val="bottom"/>
            <w:hideMark/>
          </w:tcPr>
          <w:p w14:paraId="249826B9"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0.018</w:t>
            </w:r>
          </w:p>
        </w:tc>
        <w:tc>
          <w:tcPr>
            <w:tcW w:w="807" w:type="pct"/>
            <w:tcBorders>
              <w:top w:val="nil"/>
              <w:left w:val="nil"/>
              <w:bottom w:val="single" w:sz="4" w:space="0" w:color="auto"/>
              <w:right w:val="nil"/>
            </w:tcBorders>
            <w:shd w:val="clear" w:color="auto" w:fill="auto"/>
            <w:noWrap/>
            <w:vAlign w:val="bottom"/>
            <w:hideMark/>
          </w:tcPr>
          <w:p w14:paraId="7C125D39"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0.052</w:t>
            </w:r>
          </w:p>
        </w:tc>
        <w:tc>
          <w:tcPr>
            <w:tcW w:w="668" w:type="pct"/>
            <w:tcBorders>
              <w:top w:val="nil"/>
              <w:left w:val="nil"/>
              <w:bottom w:val="single" w:sz="4" w:space="0" w:color="auto"/>
              <w:right w:val="nil"/>
            </w:tcBorders>
            <w:shd w:val="clear" w:color="auto" w:fill="auto"/>
            <w:noWrap/>
            <w:vAlign w:val="bottom"/>
            <w:hideMark/>
          </w:tcPr>
          <w:p w14:paraId="678F41A0"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3.83***</w:t>
            </w:r>
          </w:p>
        </w:tc>
        <w:tc>
          <w:tcPr>
            <w:tcW w:w="1041" w:type="pct"/>
            <w:tcBorders>
              <w:top w:val="nil"/>
              <w:left w:val="nil"/>
              <w:bottom w:val="single" w:sz="4" w:space="0" w:color="auto"/>
              <w:right w:val="nil"/>
            </w:tcBorders>
            <w:shd w:val="clear" w:color="auto" w:fill="auto"/>
            <w:noWrap/>
            <w:vAlign w:val="bottom"/>
            <w:hideMark/>
          </w:tcPr>
          <w:p w14:paraId="7DD582F2" w14:textId="77777777" w:rsidR="00116862" w:rsidRPr="008662D3" w:rsidRDefault="00116862" w:rsidP="00116862">
            <w:pPr>
              <w:spacing w:after="0" w:line="240" w:lineRule="auto"/>
              <w:rPr>
                <w:rFonts w:ascii="Times New Roman" w:eastAsia="Times New Roman" w:hAnsi="Times New Roman"/>
                <w:sz w:val="16"/>
                <w:szCs w:val="16"/>
                <w:lang w:eastAsia="en-US"/>
              </w:rPr>
            </w:pPr>
            <w:r w:rsidRPr="008662D3">
              <w:rPr>
                <w:rFonts w:ascii="Times New Roman" w:eastAsia="Times New Roman" w:hAnsi="Times New Roman"/>
                <w:sz w:val="16"/>
                <w:szCs w:val="16"/>
                <w:lang w:eastAsia="en-US"/>
              </w:rPr>
              <w:t>3.58***</w:t>
            </w:r>
          </w:p>
        </w:tc>
      </w:tr>
    </w:tbl>
    <w:p w14:paraId="341CDFB8" w14:textId="77777777" w:rsidR="00116862" w:rsidRDefault="00116862" w:rsidP="00116862">
      <w:pPr>
        <w:rPr>
          <w:rFonts w:ascii="Times New Roman" w:hAnsi="Times New Roman"/>
          <w:sz w:val="24"/>
          <w:szCs w:val="24"/>
        </w:rPr>
        <w:sectPr w:rsidR="00116862" w:rsidSect="00074E65">
          <w:pgSz w:w="12240" w:h="15840"/>
          <w:pgMar w:top="1440" w:right="1440" w:bottom="1440" w:left="1440" w:header="720" w:footer="720" w:gutter="0"/>
          <w:cols w:space="720"/>
          <w:docGrid w:linePitch="360"/>
        </w:sectPr>
      </w:pPr>
    </w:p>
    <w:p w14:paraId="62BD7617" w14:textId="6F71C1C0" w:rsidR="00734A5B" w:rsidRPr="00245E91" w:rsidRDefault="00734A5B" w:rsidP="00734A5B">
      <w:pPr>
        <w:spacing w:after="0" w:line="240" w:lineRule="auto"/>
        <w:rPr>
          <w:rFonts w:ascii="Times New Roman" w:hAnsi="Times New Roman"/>
          <w:b/>
          <w:sz w:val="15"/>
          <w:szCs w:val="15"/>
        </w:rPr>
      </w:pPr>
      <w:r w:rsidRPr="00245E91">
        <w:rPr>
          <w:rFonts w:ascii="Times New Roman" w:hAnsi="Times New Roman"/>
          <w:b/>
          <w:sz w:val="15"/>
          <w:szCs w:val="15"/>
        </w:rPr>
        <w:t>Table 4 - Cross-sectional Analyses of Earnings Management – Whole Sample</w:t>
      </w:r>
    </w:p>
    <w:p w14:paraId="047DE086" w14:textId="56AFA868" w:rsidR="00734A5B" w:rsidRPr="00245E91" w:rsidRDefault="00805602" w:rsidP="00734A5B">
      <w:pPr>
        <w:spacing w:after="0" w:line="240" w:lineRule="auto"/>
        <w:rPr>
          <w:rFonts w:ascii="Times New Roman" w:hAnsi="Times New Roman"/>
          <w:sz w:val="15"/>
          <w:szCs w:val="15"/>
        </w:rPr>
      </w:pPr>
      <w:r w:rsidRPr="00245E91">
        <w:rPr>
          <w:rFonts w:ascii="Times New Roman" w:hAnsi="Times New Roman"/>
          <w:sz w:val="15"/>
          <w:szCs w:val="15"/>
        </w:rPr>
        <w:t>The sample includes MLPs and all Non-MLP firms in the same industry</w:t>
      </w:r>
      <w:r w:rsidR="00EE4A1C" w:rsidRPr="00245E91">
        <w:rPr>
          <w:rFonts w:ascii="Times New Roman" w:hAnsi="Times New Roman"/>
          <w:sz w:val="15"/>
          <w:szCs w:val="15"/>
        </w:rPr>
        <w:t xml:space="preserve"> in the same year</w:t>
      </w:r>
      <w:r w:rsidRPr="00245E91">
        <w:rPr>
          <w:rFonts w:ascii="Times New Roman" w:hAnsi="Times New Roman"/>
          <w:sz w:val="15"/>
          <w:szCs w:val="15"/>
        </w:rPr>
        <w:t xml:space="preserve">. </w:t>
      </w:r>
      <w:r w:rsidR="00734A5B" w:rsidRPr="00245E91">
        <w:rPr>
          <w:rFonts w:ascii="Times New Roman" w:hAnsi="Times New Roman"/>
          <w:sz w:val="15"/>
          <w:szCs w:val="15"/>
        </w:rPr>
        <w:t>The dependent variables are RDISX, RPROD, RCFO, RM1, RM2 and DA, alternatively. RDISX is the abnormal discretionary expenditure. RPROD is the abnormal production costs. RCFO is the abnormal cash flow. RM1 is the sum of RDISX and RPROD. RM2 is the sum of RDISX, RPROD and RCFO. DA is the discretionary accrual. MLP is the dummy variable for MLP firms. LN(Assets) is the natural log of total assets. MKTSHARE is the ratio of firm sales to total sales of all firms in the same industry. DEBT is the ratio of debt-to-assets. NOA is net operating assets and is calculated as total assets minus cash and short-term investment scaled by total assets. OPERCYCLE is the days of receivable plus the days of inventory less the days of payable at the beginning of the year. ROA is net income to total assets ratio. MKBK is the market-to-book ratio of equity. LIQUIDITY is the average of the ratio of monthly trading volume to shares outstanding in the year. STOCKISSUE is the ratio of the amount of sales of common stock and preferred stock in the year to the market capitalization of the firm. DEBISSUE is the ratio of the amount of long-term debt issuance to the firm’s assets. BIG8 is the dummy variable for firms with auditors in the top 8. TENURE is the number of years the auditor has audited the client. INSTOWN is the percentage of institutional ownership at the beginning of year. NUMANALYST is the number of analysts following the firm. RESID_RM1 and RESID_RM2 are the residuals from Models 4 and 5. *, **, and *** indicate the significance levels of 10%, 5% and 1%, respectively.</w:t>
      </w:r>
    </w:p>
    <w:tbl>
      <w:tblPr>
        <w:tblW w:w="5000" w:type="pct"/>
        <w:tblLook w:val="04A0" w:firstRow="1" w:lastRow="0" w:firstColumn="1" w:lastColumn="0" w:noHBand="0" w:noVBand="1"/>
      </w:tblPr>
      <w:tblGrid>
        <w:gridCol w:w="1836"/>
        <w:gridCol w:w="1358"/>
        <w:gridCol w:w="1389"/>
        <w:gridCol w:w="1389"/>
        <w:gridCol w:w="1374"/>
        <w:gridCol w:w="1439"/>
        <w:gridCol w:w="1402"/>
        <w:gridCol w:w="1384"/>
        <w:gridCol w:w="1389"/>
      </w:tblGrid>
      <w:tr w:rsidR="00734A5B" w:rsidRPr="00245E91" w14:paraId="03A0F9EB" w14:textId="77777777" w:rsidTr="00116862">
        <w:trPr>
          <w:trHeight w:val="144"/>
        </w:trPr>
        <w:tc>
          <w:tcPr>
            <w:tcW w:w="708" w:type="pct"/>
            <w:tcBorders>
              <w:top w:val="single" w:sz="4" w:space="0" w:color="auto"/>
              <w:left w:val="nil"/>
              <w:bottom w:val="single" w:sz="4" w:space="0" w:color="auto"/>
              <w:right w:val="nil"/>
            </w:tcBorders>
            <w:shd w:val="clear" w:color="auto" w:fill="auto"/>
            <w:noWrap/>
            <w:vAlign w:val="bottom"/>
            <w:hideMark/>
          </w:tcPr>
          <w:p w14:paraId="605701DD" w14:textId="77777777" w:rsidR="00734A5B" w:rsidRPr="00245E91" w:rsidRDefault="00734A5B" w:rsidP="00116862">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Variables</w:t>
            </w:r>
          </w:p>
        </w:tc>
        <w:tc>
          <w:tcPr>
            <w:tcW w:w="524" w:type="pct"/>
            <w:tcBorders>
              <w:top w:val="single" w:sz="4" w:space="0" w:color="auto"/>
              <w:left w:val="nil"/>
              <w:bottom w:val="single" w:sz="4" w:space="0" w:color="auto"/>
              <w:right w:val="nil"/>
            </w:tcBorders>
            <w:shd w:val="clear" w:color="auto" w:fill="auto"/>
            <w:noWrap/>
            <w:vAlign w:val="bottom"/>
            <w:hideMark/>
          </w:tcPr>
          <w:p w14:paraId="04EF67DC" w14:textId="77777777" w:rsidR="00734A5B" w:rsidRPr="00245E91" w:rsidRDefault="00734A5B" w:rsidP="00116862">
            <w:pPr>
              <w:spacing w:after="0" w:line="240" w:lineRule="auto"/>
              <w:ind w:right="-153"/>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1 - RDISX</w:t>
            </w:r>
          </w:p>
        </w:tc>
        <w:tc>
          <w:tcPr>
            <w:tcW w:w="536" w:type="pct"/>
            <w:tcBorders>
              <w:top w:val="single" w:sz="4" w:space="0" w:color="auto"/>
              <w:left w:val="nil"/>
              <w:bottom w:val="single" w:sz="4" w:space="0" w:color="auto"/>
              <w:right w:val="nil"/>
            </w:tcBorders>
            <w:shd w:val="clear" w:color="auto" w:fill="auto"/>
            <w:noWrap/>
            <w:vAlign w:val="bottom"/>
            <w:hideMark/>
          </w:tcPr>
          <w:p w14:paraId="6F701DF6" w14:textId="77777777" w:rsidR="00734A5B" w:rsidRPr="00245E91" w:rsidRDefault="00734A5B" w:rsidP="00116862">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2 -RPROD</w:t>
            </w:r>
          </w:p>
        </w:tc>
        <w:tc>
          <w:tcPr>
            <w:tcW w:w="536" w:type="pct"/>
            <w:tcBorders>
              <w:top w:val="single" w:sz="4" w:space="0" w:color="auto"/>
              <w:left w:val="nil"/>
              <w:bottom w:val="single" w:sz="4" w:space="0" w:color="auto"/>
              <w:right w:val="nil"/>
            </w:tcBorders>
            <w:shd w:val="clear" w:color="auto" w:fill="auto"/>
            <w:noWrap/>
            <w:vAlign w:val="bottom"/>
            <w:hideMark/>
          </w:tcPr>
          <w:p w14:paraId="3B3A6BAA" w14:textId="77777777" w:rsidR="00734A5B" w:rsidRPr="00245E91" w:rsidRDefault="00734A5B" w:rsidP="00116862">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3 - RCFO</w:t>
            </w:r>
          </w:p>
        </w:tc>
        <w:tc>
          <w:tcPr>
            <w:tcW w:w="530" w:type="pct"/>
            <w:tcBorders>
              <w:top w:val="single" w:sz="4" w:space="0" w:color="auto"/>
              <w:left w:val="nil"/>
              <w:bottom w:val="single" w:sz="4" w:space="0" w:color="auto"/>
              <w:right w:val="nil"/>
            </w:tcBorders>
            <w:shd w:val="clear" w:color="auto" w:fill="auto"/>
            <w:noWrap/>
            <w:vAlign w:val="bottom"/>
            <w:hideMark/>
          </w:tcPr>
          <w:p w14:paraId="4B4137FE" w14:textId="77777777" w:rsidR="00734A5B" w:rsidRPr="00245E91" w:rsidRDefault="00734A5B" w:rsidP="00116862">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4 - RM1</w:t>
            </w:r>
          </w:p>
        </w:tc>
        <w:tc>
          <w:tcPr>
            <w:tcW w:w="555" w:type="pct"/>
            <w:tcBorders>
              <w:top w:val="single" w:sz="4" w:space="0" w:color="auto"/>
              <w:left w:val="nil"/>
              <w:bottom w:val="single" w:sz="4" w:space="0" w:color="auto"/>
              <w:right w:val="nil"/>
            </w:tcBorders>
            <w:shd w:val="clear" w:color="auto" w:fill="auto"/>
            <w:noWrap/>
            <w:vAlign w:val="bottom"/>
            <w:hideMark/>
          </w:tcPr>
          <w:p w14:paraId="200DDFF2" w14:textId="77777777" w:rsidR="00734A5B" w:rsidRPr="00245E91" w:rsidRDefault="00734A5B" w:rsidP="00116862">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5 -RM2</w:t>
            </w:r>
          </w:p>
        </w:tc>
        <w:tc>
          <w:tcPr>
            <w:tcW w:w="541" w:type="pct"/>
            <w:tcBorders>
              <w:top w:val="single" w:sz="4" w:space="0" w:color="auto"/>
              <w:left w:val="nil"/>
              <w:bottom w:val="single" w:sz="4" w:space="0" w:color="auto"/>
              <w:right w:val="nil"/>
            </w:tcBorders>
            <w:shd w:val="clear" w:color="auto" w:fill="auto"/>
            <w:noWrap/>
            <w:vAlign w:val="bottom"/>
            <w:hideMark/>
          </w:tcPr>
          <w:p w14:paraId="4F550421" w14:textId="77777777" w:rsidR="00734A5B" w:rsidRPr="00245E91" w:rsidRDefault="00734A5B" w:rsidP="00116862">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6 - DA</w:t>
            </w:r>
          </w:p>
        </w:tc>
        <w:tc>
          <w:tcPr>
            <w:tcW w:w="534" w:type="pct"/>
            <w:tcBorders>
              <w:top w:val="single" w:sz="4" w:space="0" w:color="auto"/>
              <w:left w:val="nil"/>
              <w:bottom w:val="single" w:sz="4" w:space="0" w:color="auto"/>
              <w:right w:val="nil"/>
            </w:tcBorders>
            <w:shd w:val="clear" w:color="auto" w:fill="auto"/>
            <w:noWrap/>
            <w:vAlign w:val="bottom"/>
            <w:hideMark/>
          </w:tcPr>
          <w:p w14:paraId="0B8C4F31" w14:textId="77777777" w:rsidR="00734A5B" w:rsidRPr="00245E91" w:rsidRDefault="00734A5B" w:rsidP="00116862">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7 - DA</w:t>
            </w:r>
          </w:p>
        </w:tc>
        <w:tc>
          <w:tcPr>
            <w:tcW w:w="536" w:type="pct"/>
            <w:tcBorders>
              <w:top w:val="single" w:sz="4" w:space="0" w:color="auto"/>
              <w:left w:val="nil"/>
              <w:bottom w:val="single" w:sz="4" w:space="0" w:color="auto"/>
              <w:right w:val="nil"/>
            </w:tcBorders>
            <w:shd w:val="clear" w:color="auto" w:fill="auto"/>
            <w:noWrap/>
            <w:vAlign w:val="bottom"/>
            <w:hideMark/>
          </w:tcPr>
          <w:p w14:paraId="20C6BF2E" w14:textId="77777777" w:rsidR="00734A5B" w:rsidRPr="00245E91" w:rsidRDefault="00734A5B" w:rsidP="00116862">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8 - DA</w:t>
            </w:r>
          </w:p>
        </w:tc>
      </w:tr>
      <w:tr w:rsidR="00734A5B" w:rsidRPr="00245E91" w14:paraId="022FF86C" w14:textId="77777777" w:rsidTr="00116862">
        <w:trPr>
          <w:trHeight w:val="144"/>
        </w:trPr>
        <w:tc>
          <w:tcPr>
            <w:tcW w:w="708" w:type="pct"/>
            <w:tcBorders>
              <w:top w:val="single" w:sz="4" w:space="0" w:color="auto"/>
              <w:left w:val="nil"/>
              <w:bottom w:val="nil"/>
              <w:right w:val="nil"/>
            </w:tcBorders>
            <w:shd w:val="clear" w:color="auto" w:fill="auto"/>
            <w:noWrap/>
            <w:vAlign w:val="bottom"/>
            <w:hideMark/>
          </w:tcPr>
          <w:p w14:paraId="51A0544F" w14:textId="77777777" w:rsidR="00734A5B" w:rsidRPr="00245E91" w:rsidRDefault="00734A5B" w:rsidP="00116862">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Constant</w:t>
            </w:r>
          </w:p>
        </w:tc>
        <w:tc>
          <w:tcPr>
            <w:tcW w:w="524" w:type="pct"/>
            <w:tcBorders>
              <w:top w:val="nil"/>
              <w:left w:val="nil"/>
              <w:bottom w:val="nil"/>
              <w:right w:val="nil"/>
            </w:tcBorders>
            <w:shd w:val="clear" w:color="auto" w:fill="auto"/>
            <w:noWrap/>
            <w:vAlign w:val="bottom"/>
            <w:hideMark/>
          </w:tcPr>
          <w:p w14:paraId="0ECF2D6C"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-0.107</w:t>
            </w:r>
          </w:p>
        </w:tc>
        <w:tc>
          <w:tcPr>
            <w:tcW w:w="536" w:type="pct"/>
            <w:tcBorders>
              <w:top w:val="nil"/>
              <w:left w:val="nil"/>
              <w:bottom w:val="nil"/>
              <w:right w:val="nil"/>
            </w:tcBorders>
            <w:shd w:val="clear" w:color="auto" w:fill="auto"/>
            <w:noWrap/>
            <w:vAlign w:val="bottom"/>
            <w:hideMark/>
          </w:tcPr>
          <w:p w14:paraId="3D0E5017"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-0.023</w:t>
            </w:r>
          </w:p>
        </w:tc>
        <w:tc>
          <w:tcPr>
            <w:tcW w:w="536" w:type="pct"/>
            <w:tcBorders>
              <w:top w:val="nil"/>
              <w:left w:val="nil"/>
              <w:bottom w:val="nil"/>
              <w:right w:val="nil"/>
            </w:tcBorders>
            <w:shd w:val="clear" w:color="auto" w:fill="auto"/>
            <w:noWrap/>
            <w:vAlign w:val="bottom"/>
            <w:hideMark/>
          </w:tcPr>
          <w:p w14:paraId="6923639C"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0.099</w:t>
            </w:r>
          </w:p>
        </w:tc>
        <w:tc>
          <w:tcPr>
            <w:tcW w:w="530" w:type="pct"/>
            <w:tcBorders>
              <w:top w:val="nil"/>
              <w:left w:val="nil"/>
              <w:bottom w:val="nil"/>
              <w:right w:val="nil"/>
            </w:tcBorders>
            <w:shd w:val="clear" w:color="auto" w:fill="auto"/>
            <w:noWrap/>
            <w:vAlign w:val="bottom"/>
            <w:hideMark/>
          </w:tcPr>
          <w:p w14:paraId="0DB14F09"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-0.144</w:t>
            </w:r>
          </w:p>
        </w:tc>
        <w:tc>
          <w:tcPr>
            <w:tcW w:w="555" w:type="pct"/>
            <w:tcBorders>
              <w:top w:val="nil"/>
              <w:left w:val="nil"/>
              <w:bottom w:val="nil"/>
              <w:right w:val="nil"/>
            </w:tcBorders>
            <w:shd w:val="clear" w:color="auto" w:fill="auto"/>
            <w:noWrap/>
            <w:vAlign w:val="bottom"/>
            <w:hideMark/>
          </w:tcPr>
          <w:p w14:paraId="6631CD4E"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-0.032</w:t>
            </w:r>
          </w:p>
        </w:tc>
        <w:tc>
          <w:tcPr>
            <w:tcW w:w="541" w:type="pct"/>
            <w:tcBorders>
              <w:top w:val="nil"/>
              <w:left w:val="nil"/>
              <w:bottom w:val="nil"/>
              <w:right w:val="nil"/>
            </w:tcBorders>
            <w:shd w:val="clear" w:color="auto" w:fill="auto"/>
            <w:noWrap/>
            <w:vAlign w:val="bottom"/>
            <w:hideMark/>
          </w:tcPr>
          <w:p w14:paraId="1F9E1CA7"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0.131</w:t>
            </w:r>
          </w:p>
        </w:tc>
        <w:tc>
          <w:tcPr>
            <w:tcW w:w="534" w:type="pct"/>
            <w:tcBorders>
              <w:top w:val="nil"/>
              <w:left w:val="nil"/>
              <w:bottom w:val="nil"/>
              <w:right w:val="nil"/>
            </w:tcBorders>
            <w:shd w:val="clear" w:color="auto" w:fill="auto"/>
            <w:noWrap/>
            <w:vAlign w:val="bottom"/>
            <w:hideMark/>
          </w:tcPr>
          <w:p w14:paraId="0FBDFB0D"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0.112</w:t>
            </w:r>
          </w:p>
        </w:tc>
        <w:tc>
          <w:tcPr>
            <w:tcW w:w="536" w:type="pct"/>
            <w:tcBorders>
              <w:top w:val="nil"/>
              <w:left w:val="nil"/>
              <w:bottom w:val="nil"/>
              <w:right w:val="nil"/>
            </w:tcBorders>
            <w:shd w:val="clear" w:color="auto" w:fill="auto"/>
            <w:noWrap/>
            <w:vAlign w:val="bottom"/>
            <w:hideMark/>
          </w:tcPr>
          <w:p w14:paraId="0654E709"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0.112</w:t>
            </w:r>
          </w:p>
        </w:tc>
      </w:tr>
      <w:tr w:rsidR="00734A5B" w:rsidRPr="00245E91" w14:paraId="69F2F819" w14:textId="77777777" w:rsidTr="00116862">
        <w:trPr>
          <w:trHeight w:val="144"/>
        </w:trPr>
        <w:tc>
          <w:tcPr>
            <w:tcW w:w="708" w:type="pct"/>
            <w:tcBorders>
              <w:top w:val="nil"/>
              <w:left w:val="nil"/>
              <w:bottom w:val="nil"/>
              <w:right w:val="nil"/>
            </w:tcBorders>
            <w:shd w:val="clear" w:color="auto" w:fill="auto"/>
            <w:noWrap/>
            <w:vAlign w:val="bottom"/>
            <w:hideMark/>
          </w:tcPr>
          <w:p w14:paraId="055A0AE6" w14:textId="77777777" w:rsidR="00734A5B" w:rsidRPr="00245E91" w:rsidRDefault="00734A5B" w:rsidP="00116862">
            <w:pPr>
              <w:spacing w:after="0" w:line="240" w:lineRule="auto"/>
              <w:contextualSpacing/>
              <w:rPr>
                <w:rFonts w:ascii="Times New Roman" w:eastAsia="Times New Roman" w:hAnsi="Times New Roman"/>
                <w:color w:val="000000"/>
                <w:sz w:val="15"/>
                <w:szCs w:val="15"/>
              </w:rPr>
            </w:pPr>
          </w:p>
        </w:tc>
        <w:tc>
          <w:tcPr>
            <w:tcW w:w="524" w:type="pct"/>
            <w:tcBorders>
              <w:top w:val="nil"/>
              <w:left w:val="nil"/>
              <w:bottom w:val="nil"/>
              <w:right w:val="nil"/>
            </w:tcBorders>
            <w:shd w:val="clear" w:color="auto" w:fill="auto"/>
            <w:noWrap/>
            <w:vAlign w:val="bottom"/>
            <w:hideMark/>
          </w:tcPr>
          <w:p w14:paraId="6A60CDDB"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(-2.62***)</w:t>
            </w:r>
          </w:p>
        </w:tc>
        <w:tc>
          <w:tcPr>
            <w:tcW w:w="536" w:type="pct"/>
            <w:tcBorders>
              <w:top w:val="nil"/>
              <w:left w:val="nil"/>
              <w:bottom w:val="nil"/>
              <w:right w:val="nil"/>
            </w:tcBorders>
            <w:shd w:val="clear" w:color="auto" w:fill="auto"/>
            <w:noWrap/>
            <w:vAlign w:val="bottom"/>
            <w:hideMark/>
          </w:tcPr>
          <w:p w14:paraId="1EC63327"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(-0.77)</w:t>
            </w:r>
          </w:p>
        </w:tc>
        <w:tc>
          <w:tcPr>
            <w:tcW w:w="536" w:type="pct"/>
            <w:tcBorders>
              <w:top w:val="nil"/>
              <w:left w:val="nil"/>
              <w:bottom w:val="nil"/>
              <w:right w:val="nil"/>
            </w:tcBorders>
            <w:shd w:val="clear" w:color="auto" w:fill="auto"/>
            <w:noWrap/>
            <w:vAlign w:val="bottom"/>
            <w:hideMark/>
          </w:tcPr>
          <w:p w14:paraId="34A5193D"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(3.23***)</w:t>
            </w:r>
          </w:p>
        </w:tc>
        <w:tc>
          <w:tcPr>
            <w:tcW w:w="530" w:type="pct"/>
            <w:tcBorders>
              <w:top w:val="nil"/>
              <w:left w:val="nil"/>
              <w:bottom w:val="nil"/>
              <w:right w:val="nil"/>
            </w:tcBorders>
            <w:shd w:val="clear" w:color="auto" w:fill="auto"/>
            <w:noWrap/>
            <w:vAlign w:val="bottom"/>
            <w:hideMark/>
          </w:tcPr>
          <w:p w14:paraId="3CC60A3C"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(-2.43**)</w:t>
            </w:r>
          </w:p>
        </w:tc>
        <w:tc>
          <w:tcPr>
            <w:tcW w:w="555" w:type="pct"/>
            <w:tcBorders>
              <w:top w:val="nil"/>
              <w:left w:val="nil"/>
              <w:bottom w:val="nil"/>
              <w:right w:val="nil"/>
            </w:tcBorders>
            <w:shd w:val="clear" w:color="auto" w:fill="auto"/>
            <w:noWrap/>
            <w:vAlign w:val="bottom"/>
            <w:hideMark/>
          </w:tcPr>
          <w:p w14:paraId="148367CE"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(-0.51)</w:t>
            </w:r>
          </w:p>
        </w:tc>
        <w:tc>
          <w:tcPr>
            <w:tcW w:w="541" w:type="pct"/>
            <w:tcBorders>
              <w:top w:val="nil"/>
              <w:left w:val="nil"/>
              <w:bottom w:val="nil"/>
              <w:right w:val="nil"/>
            </w:tcBorders>
            <w:shd w:val="clear" w:color="auto" w:fill="auto"/>
            <w:noWrap/>
            <w:vAlign w:val="bottom"/>
            <w:hideMark/>
          </w:tcPr>
          <w:p w14:paraId="103212AB"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(4.54***)</w:t>
            </w:r>
          </w:p>
        </w:tc>
        <w:tc>
          <w:tcPr>
            <w:tcW w:w="534" w:type="pct"/>
            <w:tcBorders>
              <w:top w:val="nil"/>
              <w:left w:val="nil"/>
              <w:bottom w:val="nil"/>
              <w:right w:val="nil"/>
            </w:tcBorders>
            <w:shd w:val="clear" w:color="auto" w:fill="auto"/>
            <w:noWrap/>
            <w:vAlign w:val="bottom"/>
            <w:hideMark/>
          </w:tcPr>
          <w:p w14:paraId="6C02F2E0"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(3.79***)</w:t>
            </w:r>
          </w:p>
        </w:tc>
        <w:tc>
          <w:tcPr>
            <w:tcW w:w="536" w:type="pct"/>
            <w:tcBorders>
              <w:top w:val="nil"/>
              <w:left w:val="nil"/>
              <w:bottom w:val="nil"/>
              <w:right w:val="nil"/>
            </w:tcBorders>
            <w:shd w:val="clear" w:color="auto" w:fill="auto"/>
            <w:noWrap/>
            <w:vAlign w:val="bottom"/>
            <w:hideMark/>
          </w:tcPr>
          <w:p w14:paraId="482C6386"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(3.87***)</w:t>
            </w:r>
          </w:p>
        </w:tc>
      </w:tr>
      <w:tr w:rsidR="00734A5B" w:rsidRPr="00245E91" w14:paraId="34D6E6EA" w14:textId="77777777" w:rsidTr="00116862">
        <w:trPr>
          <w:trHeight w:val="144"/>
        </w:trPr>
        <w:tc>
          <w:tcPr>
            <w:tcW w:w="708" w:type="pct"/>
            <w:tcBorders>
              <w:top w:val="nil"/>
              <w:left w:val="nil"/>
              <w:bottom w:val="nil"/>
              <w:right w:val="nil"/>
            </w:tcBorders>
            <w:shd w:val="clear" w:color="auto" w:fill="auto"/>
            <w:noWrap/>
            <w:vAlign w:val="bottom"/>
            <w:hideMark/>
          </w:tcPr>
          <w:p w14:paraId="2924D0EB" w14:textId="77777777" w:rsidR="00734A5B" w:rsidRPr="00245E91" w:rsidRDefault="00734A5B"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MLP</w:t>
            </w:r>
          </w:p>
        </w:tc>
        <w:tc>
          <w:tcPr>
            <w:tcW w:w="524" w:type="pct"/>
            <w:tcBorders>
              <w:top w:val="nil"/>
              <w:left w:val="nil"/>
              <w:bottom w:val="nil"/>
              <w:right w:val="nil"/>
            </w:tcBorders>
            <w:shd w:val="clear" w:color="auto" w:fill="auto"/>
            <w:noWrap/>
            <w:vAlign w:val="bottom"/>
            <w:hideMark/>
          </w:tcPr>
          <w:p w14:paraId="046F8830"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0.133</w:t>
            </w:r>
          </w:p>
        </w:tc>
        <w:tc>
          <w:tcPr>
            <w:tcW w:w="536" w:type="pct"/>
            <w:tcBorders>
              <w:top w:val="nil"/>
              <w:left w:val="nil"/>
              <w:bottom w:val="nil"/>
              <w:right w:val="nil"/>
            </w:tcBorders>
            <w:shd w:val="clear" w:color="auto" w:fill="auto"/>
            <w:noWrap/>
            <w:vAlign w:val="bottom"/>
            <w:hideMark/>
          </w:tcPr>
          <w:p w14:paraId="45C8517C"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0.147</w:t>
            </w:r>
          </w:p>
        </w:tc>
        <w:tc>
          <w:tcPr>
            <w:tcW w:w="536" w:type="pct"/>
            <w:tcBorders>
              <w:top w:val="nil"/>
              <w:left w:val="nil"/>
              <w:bottom w:val="nil"/>
              <w:right w:val="nil"/>
            </w:tcBorders>
            <w:shd w:val="clear" w:color="auto" w:fill="auto"/>
            <w:noWrap/>
            <w:vAlign w:val="bottom"/>
            <w:hideMark/>
          </w:tcPr>
          <w:p w14:paraId="30EAD6CB"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0.032</w:t>
            </w:r>
          </w:p>
        </w:tc>
        <w:tc>
          <w:tcPr>
            <w:tcW w:w="530" w:type="pct"/>
            <w:tcBorders>
              <w:top w:val="nil"/>
              <w:left w:val="nil"/>
              <w:bottom w:val="nil"/>
              <w:right w:val="nil"/>
            </w:tcBorders>
            <w:shd w:val="clear" w:color="auto" w:fill="auto"/>
            <w:noWrap/>
            <w:vAlign w:val="bottom"/>
            <w:hideMark/>
          </w:tcPr>
          <w:p w14:paraId="3C3EEDEE"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0.185</w:t>
            </w:r>
          </w:p>
        </w:tc>
        <w:tc>
          <w:tcPr>
            <w:tcW w:w="555" w:type="pct"/>
            <w:tcBorders>
              <w:top w:val="nil"/>
              <w:left w:val="nil"/>
              <w:bottom w:val="nil"/>
              <w:right w:val="nil"/>
            </w:tcBorders>
            <w:shd w:val="clear" w:color="auto" w:fill="auto"/>
            <w:noWrap/>
            <w:vAlign w:val="bottom"/>
            <w:hideMark/>
          </w:tcPr>
          <w:p w14:paraId="553AA88A"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0.176</w:t>
            </w:r>
          </w:p>
        </w:tc>
        <w:tc>
          <w:tcPr>
            <w:tcW w:w="541" w:type="pct"/>
            <w:tcBorders>
              <w:top w:val="nil"/>
              <w:left w:val="nil"/>
              <w:bottom w:val="nil"/>
              <w:right w:val="nil"/>
            </w:tcBorders>
            <w:shd w:val="clear" w:color="auto" w:fill="auto"/>
            <w:noWrap/>
            <w:vAlign w:val="bottom"/>
            <w:hideMark/>
          </w:tcPr>
          <w:p w14:paraId="4660913F"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-0.021</w:t>
            </w:r>
          </w:p>
        </w:tc>
        <w:tc>
          <w:tcPr>
            <w:tcW w:w="534" w:type="pct"/>
            <w:tcBorders>
              <w:top w:val="nil"/>
              <w:left w:val="nil"/>
              <w:bottom w:val="nil"/>
              <w:right w:val="nil"/>
            </w:tcBorders>
            <w:shd w:val="clear" w:color="auto" w:fill="auto"/>
            <w:noWrap/>
            <w:vAlign w:val="bottom"/>
            <w:hideMark/>
          </w:tcPr>
          <w:p w14:paraId="01B0F2EF"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-0.020</w:t>
            </w:r>
          </w:p>
        </w:tc>
        <w:tc>
          <w:tcPr>
            <w:tcW w:w="536" w:type="pct"/>
            <w:tcBorders>
              <w:top w:val="nil"/>
              <w:left w:val="nil"/>
              <w:bottom w:val="nil"/>
              <w:right w:val="nil"/>
            </w:tcBorders>
            <w:shd w:val="clear" w:color="auto" w:fill="auto"/>
            <w:noWrap/>
            <w:vAlign w:val="bottom"/>
            <w:hideMark/>
          </w:tcPr>
          <w:p w14:paraId="7C647484"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-0.020</w:t>
            </w:r>
          </w:p>
        </w:tc>
      </w:tr>
      <w:tr w:rsidR="00734A5B" w:rsidRPr="00245E91" w14:paraId="29D89F2C" w14:textId="77777777" w:rsidTr="00116862">
        <w:trPr>
          <w:trHeight w:val="144"/>
        </w:trPr>
        <w:tc>
          <w:tcPr>
            <w:tcW w:w="708" w:type="pct"/>
            <w:tcBorders>
              <w:top w:val="nil"/>
              <w:left w:val="nil"/>
              <w:bottom w:val="nil"/>
              <w:right w:val="nil"/>
            </w:tcBorders>
            <w:shd w:val="clear" w:color="auto" w:fill="auto"/>
            <w:noWrap/>
            <w:vAlign w:val="bottom"/>
            <w:hideMark/>
          </w:tcPr>
          <w:p w14:paraId="33656C43" w14:textId="77777777" w:rsidR="00734A5B" w:rsidRPr="00245E91" w:rsidRDefault="00734A5B" w:rsidP="00116862">
            <w:pPr>
              <w:spacing w:after="0" w:line="240" w:lineRule="auto"/>
              <w:contextualSpacing/>
              <w:rPr>
                <w:rFonts w:ascii="Times New Roman" w:eastAsia="Times New Roman" w:hAnsi="Times New Roman"/>
                <w:i/>
                <w:color w:val="000000"/>
                <w:sz w:val="15"/>
                <w:szCs w:val="15"/>
              </w:rPr>
            </w:pPr>
          </w:p>
        </w:tc>
        <w:tc>
          <w:tcPr>
            <w:tcW w:w="524" w:type="pct"/>
            <w:tcBorders>
              <w:top w:val="nil"/>
              <w:left w:val="nil"/>
              <w:bottom w:val="nil"/>
              <w:right w:val="nil"/>
            </w:tcBorders>
            <w:shd w:val="clear" w:color="auto" w:fill="auto"/>
            <w:noWrap/>
            <w:vAlign w:val="bottom"/>
            <w:hideMark/>
          </w:tcPr>
          <w:p w14:paraId="54F7043B"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(3.264***)</w:t>
            </w:r>
          </w:p>
        </w:tc>
        <w:tc>
          <w:tcPr>
            <w:tcW w:w="536" w:type="pct"/>
            <w:tcBorders>
              <w:top w:val="nil"/>
              <w:left w:val="nil"/>
              <w:bottom w:val="nil"/>
              <w:right w:val="nil"/>
            </w:tcBorders>
            <w:shd w:val="clear" w:color="auto" w:fill="auto"/>
            <w:noWrap/>
            <w:vAlign w:val="bottom"/>
            <w:hideMark/>
          </w:tcPr>
          <w:p w14:paraId="236A26A0"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(4.274***)</w:t>
            </w:r>
          </w:p>
        </w:tc>
        <w:tc>
          <w:tcPr>
            <w:tcW w:w="536" w:type="pct"/>
            <w:tcBorders>
              <w:top w:val="nil"/>
              <w:left w:val="nil"/>
              <w:bottom w:val="nil"/>
              <w:right w:val="nil"/>
            </w:tcBorders>
            <w:shd w:val="clear" w:color="auto" w:fill="auto"/>
            <w:noWrap/>
            <w:vAlign w:val="bottom"/>
            <w:hideMark/>
          </w:tcPr>
          <w:p w14:paraId="3A587DC6"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(1.535)</w:t>
            </w:r>
          </w:p>
        </w:tc>
        <w:tc>
          <w:tcPr>
            <w:tcW w:w="530" w:type="pct"/>
            <w:tcBorders>
              <w:top w:val="nil"/>
              <w:left w:val="nil"/>
              <w:bottom w:val="nil"/>
              <w:right w:val="nil"/>
            </w:tcBorders>
            <w:shd w:val="clear" w:color="auto" w:fill="auto"/>
            <w:noWrap/>
            <w:vAlign w:val="bottom"/>
            <w:hideMark/>
          </w:tcPr>
          <w:p w14:paraId="6FDDF0DD"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(4.140***)</w:t>
            </w:r>
          </w:p>
        </w:tc>
        <w:tc>
          <w:tcPr>
            <w:tcW w:w="555" w:type="pct"/>
            <w:tcBorders>
              <w:top w:val="nil"/>
              <w:left w:val="nil"/>
              <w:bottom w:val="nil"/>
              <w:right w:val="nil"/>
            </w:tcBorders>
            <w:shd w:val="clear" w:color="auto" w:fill="auto"/>
            <w:noWrap/>
            <w:vAlign w:val="bottom"/>
            <w:hideMark/>
          </w:tcPr>
          <w:p w14:paraId="306E499E"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(4.398***)</w:t>
            </w:r>
          </w:p>
        </w:tc>
        <w:tc>
          <w:tcPr>
            <w:tcW w:w="541" w:type="pct"/>
            <w:tcBorders>
              <w:top w:val="nil"/>
              <w:left w:val="nil"/>
              <w:bottom w:val="nil"/>
              <w:right w:val="nil"/>
            </w:tcBorders>
            <w:shd w:val="clear" w:color="auto" w:fill="auto"/>
            <w:noWrap/>
            <w:vAlign w:val="bottom"/>
            <w:hideMark/>
          </w:tcPr>
          <w:p w14:paraId="120B0BA4"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(-1.026)</w:t>
            </w:r>
          </w:p>
        </w:tc>
        <w:tc>
          <w:tcPr>
            <w:tcW w:w="534" w:type="pct"/>
            <w:tcBorders>
              <w:top w:val="nil"/>
              <w:left w:val="nil"/>
              <w:bottom w:val="nil"/>
              <w:right w:val="nil"/>
            </w:tcBorders>
            <w:shd w:val="clear" w:color="auto" w:fill="auto"/>
            <w:noWrap/>
            <w:vAlign w:val="bottom"/>
            <w:hideMark/>
          </w:tcPr>
          <w:p w14:paraId="4CCA52DE"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(-0.973)</w:t>
            </w:r>
          </w:p>
        </w:tc>
        <w:tc>
          <w:tcPr>
            <w:tcW w:w="536" w:type="pct"/>
            <w:tcBorders>
              <w:top w:val="nil"/>
              <w:left w:val="nil"/>
              <w:bottom w:val="nil"/>
              <w:right w:val="nil"/>
            </w:tcBorders>
            <w:shd w:val="clear" w:color="auto" w:fill="auto"/>
            <w:noWrap/>
            <w:vAlign w:val="bottom"/>
            <w:hideMark/>
          </w:tcPr>
          <w:p w14:paraId="08D9E2A6"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(-0.992)</w:t>
            </w:r>
          </w:p>
        </w:tc>
      </w:tr>
      <w:tr w:rsidR="00734A5B" w:rsidRPr="00245E91" w14:paraId="143FB743" w14:textId="77777777" w:rsidTr="00116862">
        <w:trPr>
          <w:trHeight w:val="144"/>
        </w:trPr>
        <w:tc>
          <w:tcPr>
            <w:tcW w:w="708" w:type="pct"/>
            <w:tcBorders>
              <w:top w:val="nil"/>
              <w:left w:val="nil"/>
              <w:bottom w:val="nil"/>
              <w:right w:val="nil"/>
            </w:tcBorders>
            <w:shd w:val="clear" w:color="auto" w:fill="auto"/>
            <w:noWrap/>
            <w:vAlign w:val="bottom"/>
            <w:hideMark/>
          </w:tcPr>
          <w:p w14:paraId="765F1C8B" w14:textId="77777777" w:rsidR="00734A5B" w:rsidRPr="00245E91" w:rsidRDefault="00734A5B"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LN(Assets)</w:t>
            </w:r>
          </w:p>
        </w:tc>
        <w:tc>
          <w:tcPr>
            <w:tcW w:w="524" w:type="pct"/>
            <w:tcBorders>
              <w:top w:val="nil"/>
              <w:left w:val="nil"/>
              <w:bottom w:val="nil"/>
              <w:right w:val="nil"/>
            </w:tcBorders>
            <w:shd w:val="clear" w:color="auto" w:fill="auto"/>
            <w:noWrap/>
            <w:vAlign w:val="bottom"/>
            <w:hideMark/>
          </w:tcPr>
          <w:p w14:paraId="39D6FE3A"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0.051</w:t>
            </w:r>
          </w:p>
        </w:tc>
        <w:tc>
          <w:tcPr>
            <w:tcW w:w="536" w:type="pct"/>
            <w:tcBorders>
              <w:top w:val="nil"/>
              <w:left w:val="nil"/>
              <w:bottom w:val="nil"/>
              <w:right w:val="nil"/>
            </w:tcBorders>
            <w:shd w:val="clear" w:color="auto" w:fill="auto"/>
            <w:noWrap/>
            <w:vAlign w:val="bottom"/>
            <w:hideMark/>
          </w:tcPr>
          <w:p w14:paraId="07E3C91F"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0.063</w:t>
            </w:r>
          </w:p>
        </w:tc>
        <w:tc>
          <w:tcPr>
            <w:tcW w:w="536" w:type="pct"/>
            <w:tcBorders>
              <w:top w:val="nil"/>
              <w:left w:val="nil"/>
              <w:bottom w:val="nil"/>
              <w:right w:val="nil"/>
            </w:tcBorders>
            <w:shd w:val="clear" w:color="auto" w:fill="auto"/>
            <w:noWrap/>
            <w:vAlign w:val="bottom"/>
            <w:hideMark/>
          </w:tcPr>
          <w:p w14:paraId="48A759C4"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-0.040</w:t>
            </w:r>
          </w:p>
        </w:tc>
        <w:tc>
          <w:tcPr>
            <w:tcW w:w="530" w:type="pct"/>
            <w:tcBorders>
              <w:top w:val="nil"/>
              <w:left w:val="nil"/>
              <w:bottom w:val="nil"/>
              <w:right w:val="nil"/>
            </w:tcBorders>
            <w:shd w:val="clear" w:color="auto" w:fill="auto"/>
            <w:noWrap/>
            <w:vAlign w:val="bottom"/>
            <w:hideMark/>
          </w:tcPr>
          <w:p w14:paraId="572B942F"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0.066</w:t>
            </w:r>
          </w:p>
        </w:tc>
        <w:tc>
          <w:tcPr>
            <w:tcW w:w="555" w:type="pct"/>
            <w:tcBorders>
              <w:top w:val="nil"/>
              <w:left w:val="nil"/>
              <w:bottom w:val="nil"/>
              <w:right w:val="nil"/>
            </w:tcBorders>
            <w:shd w:val="clear" w:color="auto" w:fill="auto"/>
            <w:noWrap/>
            <w:vAlign w:val="bottom"/>
            <w:hideMark/>
          </w:tcPr>
          <w:p w14:paraId="3DE0C310"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0.042</w:t>
            </w:r>
          </w:p>
        </w:tc>
        <w:tc>
          <w:tcPr>
            <w:tcW w:w="541" w:type="pct"/>
            <w:tcBorders>
              <w:top w:val="nil"/>
              <w:left w:val="nil"/>
              <w:bottom w:val="nil"/>
              <w:right w:val="nil"/>
            </w:tcBorders>
            <w:shd w:val="clear" w:color="auto" w:fill="auto"/>
            <w:noWrap/>
            <w:vAlign w:val="bottom"/>
            <w:hideMark/>
          </w:tcPr>
          <w:p w14:paraId="72A81D8B"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-0.064</w:t>
            </w:r>
          </w:p>
        </w:tc>
        <w:tc>
          <w:tcPr>
            <w:tcW w:w="534" w:type="pct"/>
            <w:tcBorders>
              <w:top w:val="nil"/>
              <w:left w:val="nil"/>
              <w:bottom w:val="nil"/>
              <w:right w:val="nil"/>
            </w:tcBorders>
            <w:shd w:val="clear" w:color="auto" w:fill="auto"/>
            <w:noWrap/>
            <w:vAlign w:val="bottom"/>
            <w:hideMark/>
          </w:tcPr>
          <w:p w14:paraId="36824A71"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-0.062</w:t>
            </w:r>
          </w:p>
        </w:tc>
        <w:tc>
          <w:tcPr>
            <w:tcW w:w="536" w:type="pct"/>
            <w:tcBorders>
              <w:top w:val="nil"/>
              <w:left w:val="nil"/>
              <w:bottom w:val="nil"/>
              <w:right w:val="nil"/>
            </w:tcBorders>
            <w:shd w:val="clear" w:color="auto" w:fill="auto"/>
            <w:noWrap/>
            <w:vAlign w:val="bottom"/>
            <w:hideMark/>
          </w:tcPr>
          <w:p w14:paraId="3F6EAF16"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-0.061</w:t>
            </w:r>
          </w:p>
        </w:tc>
      </w:tr>
      <w:tr w:rsidR="00734A5B" w:rsidRPr="00245E91" w14:paraId="7179FC25" w14:textId="77777777" w:rsidTr="00116862">
        <w:trPr>
          <w:trHeight w:val="144"/>
        </w:trPr>
        <w:tc>
          <w:tcPr>
            <w:tcW w:w="708" w:type="pct"/>
            <w:tcBorders>
              <w:top w:val="nil"/>
              <w:left w:val="nil"/>
              <w:bottom w:val="nil"/>
              <w:right w:val="nil"/>
            </w:tcBorders>
            <w:shd w:val="clear" w:color="auto" w:fill="auto"/>
            <w:noWrap/>
            <w:vAlign w:val="bottom"/>
            <w:hideMark/>
          </w:tcPr>
          <w:p w14:paraId="6B6637C4" w14:textId="77777777" w:rsidR="00734A5B" w:rsidRPr="00245E91" w:rsidRDefault="00734A5B" w:rsidP="00116862">
            <w:pPr>
              <w:spacing w:after="0" w:line="240" w:lineRule="auto"/>
              <w:contextualSpacing/>
              <w:rPr>
                <w:rFonts w:ascii="Times New Roman" w:eastAsia="Times New Roman" w:hAnsi="Times New Roman"/>
                <w:i/>
                <w:color w:val="000000"/>
                <w:sz w:val="15"/>
                <w:szCs w:val="15"/>
              </w:rPr>
            </w:pPr>
          </w:p>
        </w:tc>
        <w:tc>
          <w:tcPr>
            <w:tcW w:w="524" w:type="pct"/>
            <w:tcBorders>
              <w:top w:val="nil"/>
              <w:left w:val="nil"/>
              <w:bottom w:val="nil"/>
              <w:right w:val="nil"/>
            </w:tcBorders>
            <w:shd w:val="clear" w:color="auto" w:fill="auto"/>
            <w:noWrap/>
            <w:vAlign w:val="bottom"/>
            <w:hideMark/>
          </w:tcPr>
          <w:p w14:paraId="4B763D68"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(1.286)</w:t>
            </w:r>
          </w:p>
        </w:tc>
        <w:tc>
          <w:tcPr>
            <w:tcW w:w="536" w:type="pct"/>
            <w:tcBorders>
              <w:top w:val="nil"/>
              <w:left w:val="nil"/>
              <w:bottom w:val="nil"/>
              <w:right w:val="nil"/>
            </w:tcBorders>
            <w:shd w:val="clear" w:color="auto" w:fill="auto"/>
            <w:noWrap/>
            <w:vAlign w:val="bottom"/>
            <w:hideMark/>
          </w:tcPr>
          <w:p w14:paraId="121EAB81"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(1.819*)</w:t>
            </w:r>
          </w:p>
        </w:tc>
        <w:tc>
          <w:tcPr>
            <w:tcW w:w="536" w:type="pct"/>
            <w:tcBorders>
              <w:top w:val="nil"/>
              <w:left w:val="nil"/>
              <w:bottom w:val="nil"/>
              <w:right w:val="nil"/>
            </w:tcBorders>
            <w:shd w:val="clear" w:color="auto" w:fill="auto"/>
            <w:noWrap/>
            <w:vAlign w:val="bottom"/>
            <w:hideMark/>
          </w:tcPr>
          <w:p w14:paraId="3DA63CD8"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(-1.316)</w:t>
            </w:r>
          </w:p>
        </w:tc>
        <w:tc>
          <w:tcPr>
            <w:tcW w:w="530" w:type="pct"/>
            <w:tcBorders>
              <w:top w:val="nil"/>
              <w:left w:val="nil"/>
              <w:bottom w:val="nil"/>
              <w:right w:val="nil"/>
            </w:tcBorders>
            <w:shd w:val="clear" w:color="auto" w:fill="auto"/>
            <w:noWrap/>
            <w:vAlign w:val="bottom"/>
            <w:hideMark/>
          </w:tcPr>
          <w:p w14:paraId="2D79012A"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(1.642)</w:t>
            </w:r>
          </w:p>
        </w:tc>
        <w:tc>
          <w:tcPr>
            <w:tcW w:w="555" w:type="pct"/>
            <w:tcBorders>
              <w:top w:val="nil"/>
              <w:left w:val="nil"/>
              <w:bottom w:val="nil"/>
              <w:right w:val="nil"/>
            </w:tcBorders>
            <w:shd w:val="clear" w:color="auto" w:fill="auto"/>
            <w:noWrap/>
            <w:vAlign w:val="bottom"/>
            <w:hideMark/>
          </w:tcPr>
          <w:p w14:paraId="162E61CE"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(1.042)</w:t>
            </w:r>
          </w:p>
        </w:tc>
        <w:tc>
          <w:tcPr>
            <w:tcW w:w="541" w:type="pct"/>
            <w:tcBorders>
              <w:top w:val="nil"/>
              <w:left w:val="nil"/>
              <w:bottom w:val="nil"/>
              <w:right w:val="nil"/>
            </w:tcBorders>
            <w:shd w:val="clear" w:color="auto" w:fill="auto"/>
            <w:noWrap/>
            <w:vAlign w:val="bottom"/>
            <w:hideMark/>
          </w:tcPr>
          <w:p w14:paraId="0C6AE27F"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(-2.685***)</w:t>
            </w:r>
          </w:p>
        </w:tc>
        <w:tc>
          <w:tcPr>
            <w:tcW w:w="534" w:type="pct"/>
            <w:tcBorders>
              <w:top w:val="nil"/>
              <w:left w:val="nil"/>
              <w:bottom w:val="nil"/>
              <w:right w:val="nil"/>
            </w:tcBorders>
            <w:shd w:val="clear" w:color="auto" w:fill="auto"/>
            <w:noWrap/>
            <w:vAlign w:val="bottom"/>
            <w:hideMark/>
          </w:tcPr>
          <w:p w14:paraId="7B7FE0A0"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(-2.381**)</w:t>
            </w:r>
          </w:p>
        </w:tc>
        <w:tc>
          <w:tcPr>
            <w:tcW w:w="536" w:type="pct"/>
            <w:tcBorders>
              <w:top w:val="nil"/>
              <w:left w:val="nil"/>
              <w:bottom w:val="nil"/>
              <w:right w:val="nil"/>
            </w:tcBorders>
            <w:shd w:val="clear" w:color="auto" w:fill="auto"/>
            <w:noWrap/>
            <w:vAlign w:val="bottom"/>
            <w:hideMark/>
          </w:tcPr>
          <w:p w14:paraId="73D946B1"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(-2.402**)</w:t>
            </w:r>
          </w:p>
        </w:tc>
      </w:tr>
      <w:tr w:rsidR="00734A5B" w:rsidRPr="00245E91" w14:paraId="3414DC92" w14:textId="77777777" w:rsidTr="00116862">
        <w:trPr>
          <w:trHeight w:val="144"/>
        </w:trPr>
        <w:tc>
          <w:tcPr>
            <w:tcW w:w="708" w:type="pct"/>
            <w:tcBorders>
              <w:top w:val="nil"/>
              <w:left w:val="nil"/>
              <w:bottom w:val="nil"/>
              <w:right w:val="nil"/>
            </w:tcBorders>
            <w:shd w:val="clear" w:color="auto" w:fill="auto"/>
            <w:noWrap/>
            <w:vAlign w:val="bottom"/>
            <w:hideMark/>
          </w:tcPr>
          <w:p w14:paraId="6FCAFD6B" w14:textId="77777777" w:rsidR="00734A5B" w:rsidRPr="00245E91" w:rsidRDefault="00734A5B"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MKTSHARE</w:t>
            </w:r>
          </w:p>
        </w:tc>
        <w:tc>
          <w:tcPr>
            <w:tcW w:w="524" w:type="pct"/>
            <w:tcBorders>
              <w:top w:val="nil"/>
              <w:left w:val="nil"/>
              <w:bottom w:val="nil"/>
              <w:right w:val="nil"/>
            </w:tcBorders>
            <w:shd w:val="clear" w:color="auto" w:fill="auto"/>
            <w:noWrap/>
            <w:vAlign w:val="bottom"/>
            <w:hideMark/>
          </w:tcPr>
          <w:p w14:paraId="5968D3F3"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0.028</w:t>
            </w:r>
          </w:p>
        </w:tc>
        <w:tc>
          <w:tcPr>
            <w:tcW w:w="536" w:type="pct"/>
            <w:tcBorders>
              <w:top w:val="nil"/>
              <w:left w:val="nil"/>
              <w:bottom w:val="nil"/>
              <w:right w:val="nil"/>
            </w:tcBorders>
            <w:shd w:val="clear" w:color="auto" w:fill="auto"/>
            <w:noWrap/>
            <w:vAlign w:val="bottom"/>
            <w:hideMark/>
          </w:tcPr>
          <w:p w14:paraId="259808A4"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0.086</w:t>
            </w:r>
          </w:p>
        </w:tc>
        <w:tc>
          <w:tcPr>
            <w:tcW w:w="536" w:type="pct"/>
            <w:tcBorders>
              <w:top w:val="nil"/>
              <w:left w:val="nil"/>
              <w:bottom w:val="nil"/>
              <w:right w:val="nil"/>
            </w:tcBorders>
            <w:shd w:val="clear" w:color="auto" w:fill="auto"/>
            <w:noWrap/>
            <w:vAlign w:val="bottom"/>
            <w:hideMark/>
          </w:tcPr>
          <w:p w14:paraId="54903C9D"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0.039</w:t>
            </w:r>
          </w:p>
        </w:tc>
        <w:tc>
          <w:tcPr>
            <w:tcW w:w="530" w:type="pct"/>
            <w:tcBorders>
              <w:top w:val="nil"/>
              <w:left w:val="nil"/>
              <w:bottom w:val="nil"/>
              <w:right w:val="nil"/>
            </w:tcBorders>
            <w:shd w:val="clear" w:color="auto" w:fill="auto"/>
            <w:noWrap/>
            <w:vAlign w:val="bottom"/>
            <w:hideMark/>
          </w:tcPr>
          <w:p w14:paraId="3C72465A"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0.068</w:t>
            </w:r>
          </w:p>
        </w:tc>
        <w:tc>
          <w:tcPr>
            <w:tcW w:w="555" w:type="pct"/>
            <w:tcBorders>
              <w:top w:val="nil"/>
              <w:left w:val="nil"/>
              <w:bottom w:val="nil"/>
              <w:right w:val="nil"/>
            </w:tcBorders>
            <w:shd w:val="clear" w:color="auto" w:fill="auto"/>
            <w:noWrap/>
            <w:vAlign w:val="bottom"/>
            <w:hideMark/>
          </w:tcPr>
          <w:p w14:paraId="0701B314"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0.078</w:t>
            </w:r>
          </w:p>
        </w:tc>
        <w:tc>
          <w:tcPr>
            <w:tcW w:w="541" w:type="pct"/>
            <w:tcBorders>
              <w:top w:val="nil"/>
              <w:left w:val="nil"/>
              <w:bottom w:val="nil"/>
              <w:right w:val="nil"/>
            </w:tcBorders>
            <w:shd w:val="clear" w:color="auto" w:fill="auto"/>
            <w:noWrap/>
            <w:vAlign w:val="bottom"/>
            <w:hideMark/>
          </w:tcPr>
          <w:p w14:paraId="673FCB92"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0.007</w:t>
            </w:r>
          </w:p>
        </w:tc>
        <w:tc>
          <w:tcPr>
            <w:tcW w:w="534" w:type="pct"/>
            <w:tcBorders>
              <w:top w:val="nil"/>
              <w:left w:val="nil"/>
              <w:bottom w:val="nil"/>
              <w:right w:val="nil"/>
            </w:tcBorders>
            <w:shd w:val="clear" w:color="auto" w:fill="auto"/>
            <w:noWrap/>
            <w:vAlign w:val="bottom"/>
            <w:hideMark/>
          </w:tcPr>
          <w:p w14:paraId="1571A0EB"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0.019</w:t>
            </w:r>
          </w:p>
        </w:tc>
        <w:tc>
          <w:tcPr>
            <w:tcW w:w="536" w:type="pct"/>
            <w:tcBorders>
              <w:top w:val="nil"/>
              <w:left w:val="nil"/>
              <w:bottom w:val="nil"/>
              <w:right w:val="nil"/>
            </w:tcBorders>
            <w:shd w:val="clear" w:color="auto" w:fill="auto"/>
            <w:noWrap/>
            <w:vAlign w:val="bottom"/>
            <w:hideMark/>
          </w:tcPr>
          <w:p w14:paraId="43371B08"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0.020</w:t>
            </w:r>
          </w:p>
        </w:tc>
      </w:tr>
      <w:tr w:rsidR="00734A5B" w:rsidRPr="00245E91" w14:paraId="37648C3F" w14:textId="77777777" w:rsidTr="00116862">
        <w:trPr>
          <w:trHeight w:val="144"/>
        </w:trPr>
        <w:tc>
          <w:tcPr>
            <w:tcW w:w="708" w:type="pct"/>
            <w:tcBorders>
              <w:top w:val="nil"/>
              <w:left w:val="nil"/>
              <w:bottom w:val="nil"/>
              <w:right w:val="nil"/>
            </w:tcBorders>
            <w:shd w:val="clear" w:color="auto" w:fill="auto"/>
            <w:noWrap/>
            <w:vAlign w:val="bottom"/>
            <w:hideMark/>
          </w:tcPr>
          <w:p w14:paraId="1F5E9EA3" w14:textId="77777777" w:rsidR="00734A5B" w:rsidRPr="00245E91" w:rsidRDefault="00734A5B" w:rsidP="00116862">
            <w:pPr>
              <w:spacing w:after="0" w:line="240" w:lineRule="auto"/>
              <w:contextualSpacing/>
              <w:rPr>
                <w:rFonts w:ascii="Times New Roman" w:eastAsia="Times New Roman" w:hAnsi="Times New Roman"/>
                <w:i/>
                <w:color w:val="000000"/>
                <w:sz w:val="15"/>
                <w:szCs w:val="15"/>
              </w:rPr>
            </w:pPr>
          </w:p>
        </w:tc>
        <w:tc>
          <w:tcPr>
            <w:tcW w:w="524" w:type="pct"/>
            <w:tcBorders>
              <w:top w:val="nil"/>
              <w:left w:val="nil"/>
              <w:bottom w:val="nil"/>
              <w:right w:val="nil"/>
            </w:tcBorders>
            <w:shd w:val="clear" w:color="auto" w:fill="auto"/>
            <w:noWrap/>
            <w:vAlign w:val="bottom"/>
            <w:hideMark/>
          </w:tcPr>
          <w:p w14:paraId="0BF8A5A4"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(1.135)</w:t>
            </w:r>
          </w:p>
        </w:tc>
        <w:tc>
          <w:tcPr>
            <w:tcW w:w="536" w:type="pct"/>
            <w:tcBorders>
              <w:top w:val="nil"/>
              <w:left w:val="nil"/>
              <w:bottom w:val="nil"/>
              <w:right w:val="nil"/>
            </w:tcBorders>
            <w:shd w:val="clear" w:color="auto" w:fill="auto"/>
            <w:noWrap/>
            <w:vAlign w:val="bottom"/>
            <w:hideMark/>
          </w:tcPr>
          <w:p w14:paraId="5CF7308F"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(2.425**)</w:t>
            </w:r>
          </w:p>
        </w:tc>
        <w:tc>
          <w:tcPr>
            <w:tcW w:w="536" w:type="pct"/>
            <w:tcBorders>
              <w:top w:val="nil"/>
              <w:left w:val="nil"/>
              <w:bottom w:val="nil"/>
              <w:right w:val="nil"/>
            </w:tcBorders>
            <w:shd w:val="clear" w:color="auto" w:fill="auto"/>
            <w:noWrap/>
            <w:vAlign w:val="bottom"/>
            <w:hideMark/>
          </w:tcPr>
          <w:p w14:paraId="120ECFB2"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(3.206***)</w:t>
            </w:r>
          </w:p>
        </w:tc>
        <w:tc>
          <w:tcPr>
            <w:tcW w:w="530" w:type="pct"/>
            <w:tcBorders>
              <w:top w:val="nil"/>
              <w:left w:val="nil"/>
              <w:bottom w:val="nil"/>
              <w:right w:val="nil"/>
            </w:tcBorders>
            <w:shd w:val="clear" w:color="auto" w:fill="auto"/>
            <w:noWrap/>
            <w:vAlign w:val="bottom"/>
            <w:hideMark/>
          </w:tcPr>
          <w:p w14:paraId="5D4288CC"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(2.112**)</w:t>
            </w:r>
          </w:p>
        </w:tc>
        <w:tc>
          <w:tcPr>
            <w:tcW w:w="555" w:type="pct"/>
            <w:tcBorders>
              <w:top w:val="nil"/>
              <w:left w:val="nil"/>
              <w:bottom w:val="nil"/>
              <w:right w:val="nil"/>
            </w:tcBorders>
            <w:shd w:val="clear" w:color="auto" w:fill="auto"/>
            <w:noWrap/>
            <w:vAlign w:val="bottom"/>
            <w:hideMark/>
          </w:tcPr>
          <w:p w14:paraId="5C86EF98"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(2.633***)</w:t>
            </w:r>
          </w:p>
        </w:tc>
        <w:tc>
          <w:tcPr>
            <w:tcW w:w="541" w:type="pct"/>
            <w:tcBorders>
              <w:top w:val="nil"/>
              <w:left w:val="nil"/>
              <w:bottom w:val="nil"/>
              <w:right w:val="nil"/>
            </w:tcBorders>
            <w:shd w:val="clear" w:color="auto" w:fill="auto"/>
            <w:noWrap/>
            <w:vAlign w:val="bottom"/>
            <w:hideMark/>
          </w:tcPr>
          <w:p w14:paraId="3FA2933A"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(0.338)</w:t>
            </w:r>
          </w:p>
        </w:tc>
        <w:tc>
          <w:tcPr>
            <w:tcW w:w="534" w:type="pct"/>
            <w:tcBorders>
              <w:top w:val="nil"/>
              <w:left w:val="nil"/>
              <w:bottom w:val="nil"/>
              <w:right w:val="nil"/>
            </w:tcBorders>
            <w:shd w:val="clear" w:color="auto" w:fill="auto"/>
            <w:noWrap/>
            <w:vAlign w:val="bottom"/>
            <w:hideMark/>
          </w:tcPr>
          <w:p w14:paraId="5AF6FF52"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(0.786)</w:t>
            </w:r>
          </w:p>
        </w:tc>
        <w:tc>
          <w:tcPr>
            <w:tcW w:w="536" w:type="pct"/>
            <w:tcBorders>
              <w:top w:val="nil"/>
              <w:left w:val="nil"/>
              <w:bottom w:val="nil"/>
              <w:right w:val="nil"/>
            </w:tcBorders>
            <w:shd w:val="clear" w:color="auto" w:fill="auto"/>
            <w:noWrap/>
            <w:vAlign w:val="bottom"/>
            <w:hideMark/>
          </w:tcPr>
          <w:p w14:paraId="50ADD22B"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(0.810)</w:t>
            </w:r>
          </w:p>
        </w:tc>
      </w:tr>
      <w:tr w:rsidR="00734A5B" w:rsidRPr="00245E91" w14:paraId="4C3CADA3" w14:textId="77777777" w:rsidTr="00116862">
        <w:trPr>
          <w:trHeight w:val="144"/>
        </w:trPr>
        <w:tc>
          <w:tcPr>
            <w:tcW w:w="708" w:type="pct"/>
            <w:tcBorders>
              <w:top w:val="nil"/>
              <w:left w:val="nil"/>
              <w:bottom w:val="nil"/>
              <w:right w:val="nil"/>
            </w:tcBorders>
            <w:shd w:val="clear" w:color="auto" w:fill="auto"/>
            <w:noWrap/>
            <w:vAlign w:val="bottom"/>
            <w:hideMark/>
          </w:tcPr>
          <w:p w14:paraId="27651173" w14:textId="77777777" w:rsidR="00734A5B" w:rsidRPr="00245E91" w:rsidRDefault="00734A5B"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DEBT</w:t>
            </w:r>
          </w:p>
        </w:tc>
        <w:tc>
          <w:tcPr>
            <w:tcW w:w="524" w:type="pct"/>
            <w:tcBorders>
              <w:top w:val="nil"/>
              <w:left w:val="nil"/>
              <w:bottom w:val="nil"/>
              <w:right w:val="nil"/>
            </w:tcBorders>
            <w:shd w:val="clear" w:color="auto" w:fill="auto"/>
            <w:noWrap/>
            <w:vAlign w:val="bottom"/>
            <w:hideMark/>
          </w:tcPr>
          <w:p w14:paraId="6B5B23F8"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0.091</w:t>
            </w:r>
          </w:p>
        </w:tc>
        <w:tc>
          <w:tcPr>
            <w:tcW w:w="536" w:type="pct"/>
            <w:tcBorders>
              <w:top w:val="nil"/>
              <w:left w:val="nil"/>
              <w:bottom w:val="nil"/>
              <w:right w:val="nil"/>
            </w:tcBorders>
            <w:shd w:val="clear" w:color="auto" w:fill="auto"/>
            <w:noWrap/>
            <w:vAlign w:val="bottom"/>
            <w:hideMark/>
          </w:tcPr>
          <w:p w14:paraId="227FCDF7"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0.092</w:t>
            </w:r>
          </w:p>
        </w:tc>
        <w:tc>
          <w:tcPr>
            <w:tcW w:w="536" w:type="pct"/>
            <w:tcBorders>
              <w:top w:val="nil"/>
              <w:left w:val="nil"/>
              <w:bottom w:val="nil"/>
              <w:right w:val="nil"/>
            </w:tcBorders>
            <w:shd w:val="clear" w:color="auto" w:fill="auto"/>
            <w:noWrap/>
            <w:vAlign w:val="bottom"/>
            <w:hideMark/>
          </w:tcPr>
          <w:p w14:paraId="1C0D53BA"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0.055</w:t>
            </w:r>
          </w:p>
        </w:tc>
        <w:tc>
          <w:tcPr>
            <w:tcW w:w="530" w:type="pct"/>
            <w:tcBorders>
              <w:top w:val="nil"/>
              <w:left w:val="nil"/>
              <w:bottom w:val="nil"/>
              <w:right w:val="nil"/>
            </w:tcBorders>
            <w:shd w:val="clear" w:color="auto" w:fill="auto"/>
            <w:noWrap/>
            <w:vAlign w:val="bottom"/>
            <w:hideMark/>
          </w:tcPr>
          <w:p w14:paraId="4651B5A0"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0.118</w:t>
            </w:r>
          </w:p>
        </w:tc>
        <w:tc>
          <w:tcPr>
            <w:tcW w:w="555" w:type="pct"/>
            <w:tcBorders>
              <w:top w:val="nil"/>
              <w:left w:val="nil"/>
              <w:bottom w:val="nil"/>
              <w:right w:val="nil"/>
            </w:tcBorders>
            <w:shd w:val="clear" w:color="auto" w:fill="auto"/>
            <w:noWrap/>
            <w:vAlign w:val="bottom"/>
            <w:hideMark/>
          </w:tcPr>
          <w:p w14:paraId="47B197A9"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0.125</w:t>
            </w:r>
          </w:p>
        </w:tc>
        <w:tc>
          <w:tcPr>
            <w:tcW w:w="541" w:type="pct"/>
            <w:tcBorders>
              <w:top w:val="nil"/>
              <w:left w:val="nil"/>
              <w:bottom w:val="nil"/>
              <w:right w:val="nil"/>
            </w:tcBorders>
            <w:shd w:val="clear" w:color="auto" w:fill="auto"/>
            <w:noWrap/>
            <w:vAlign w:val="bottom"/>
            <w:hideMark/>
          </w:tcPr>
          <w:p w14:paraId="031414C0"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0.006</w:t>
            </w:r>
          </w:p>
        </w:tc>
        <w:tc>
          <w:tcPr>
            <w:tcW w:w="534" w:type="pct"/>
            <w:tcBorders>
              <w:top w:val="nil"/>
              <w:left w:val="nil"/>
              <w:bottom w:val="nil"/>
              <w:right w:val="nil"/>
            </w:tcBorders>
            <w:shd w:val="clear" w:color="auto" w:fill="auto"/>
            <w:noWrap/>
            <w:vAlign w:val="bottom"/>
            <w:hideMark/>
          </w:tcPr>
          <w:p w14:paraId="346CC1DF"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0.010</w:t>
            </w:r>
          </w:p>
        </w:tc>
        <w:tc>
          <w:tcPr>
            <w:tcW w:w="536" w:type="pct"/>
            <w:tcBorders>
              <w:top w:val="nil"/>
              <w:left w:val="nil"/>
              <w:bottom w:val="nil"/>
              <w:right w:val="nil"/>
            </w:tcBorders>
            <w:shd w:val="clear" w:color="auto" w:fill="auto"/>
            <w:noWrap/>
            <w:vAlign w:val="bottom"/>
            <w:hideMark/>
          </w:tcPr>
          <w:p w14:paraId="4B5663BA"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0.010</w:t>
            </w:r>
          </w:p>
        </w:tc>
      </w:tr>
      <w:tr w:rsidR="00734A5B" w:rsidRPr="00245E91" w14:paraId="6688568B" w14:textId="77777777" w:rsidTr="00116862">
        <w:trPr>
          <w:trHeight w:val="144"/>
        </w:trPr>
        <w:tc>
          <w:tcPr>
            <w:tcW w:w="708" w:type="pct"/>
            <w:tcBorders>
              <w:top w:val="nil"/>
              <w:left w:val="nil"/>
              <w:bottom w:val="nil"/>
              <w:right w:val="nil"/>
            </w:tcBorders>
            <w:shd w:val="clear" w:color="auto" w:fill="auto"/>
            <w:noWrap/>
            <w:vAlign w:val="bottom"/>
            <w:hideMark/>
          </w:tcPr>
          <w:p w14:paraId="4EDE229A" w14:textId="77777777" w:rsidR="00734A5B" w:rsidRPr="00245E91" w:rsidRDefault="00734A5B" w:rsidP="00116862">
            <w:pPr>
              <w:spacing w:after="0" w:line="240" w:lineRule="auto"/>
              <w:contextualSpacing/>
              <w:rPr>
                <w:rFonts w:ascii="Times New Roman" w:eastAsia="Times New Roman" w:hAnsi="Times New Roman"/>
                <w:i/>
                <w:color w:val="000000"/>
                <w:sz w:val="15"/>
                <w:szCs w:val="15"/>
              </w:rPr>
            </w:pPr>
          </w:p>
        </w:tc>
        <w:tc>
          <w:tcPr>
            <w:tcW w:w="524" w:type="pct"/>
            <w:tcBorders>
              <w:top w:val="nil"/>
              <w:left w:val="nil"/>
              <w:bottom w:val="nil"/>
              <w:right w:val="nil"/>
            </w:tcBorders>
            <w:shd w:val="clear" w:color="auto" w:fill="auto"/>
            <w:noWrap/>
            <w:vAlign w:val="bottom"/>
            <w:hideMark/>
          </w:tcPr>
          <w:p w14:paraId="3AE2465D"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(2.559**)</w:t>
            </w:r>
          </w:p>
        </w:tc>
        <w:tc>
          <w:tcPr>
            <w:tcW w:w="536" w:type="pct"/>
            <w:tcBorders>
              <w:top w:val="nil"/>
              <w:left w:val="nil"/>
              <w:bottom w:val="nil"/>
              <w:right w:val="nil"/>
            </w:tcBorders>
            <w:shd w:val="clear" w:color="auto" w:fill="auto"/>
            <w:noWrap/>
            <w:vAlign w:val="bottom"/>
            <w:hideMark/>
          </w:tcPr>
          <w:p w14:paraId="15B21E27"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(3.323***)</w:t>
            </w:r>
          </w:p>
        </w:tc>
        <w:tc>
          <w:tcPr>
            <w:tcW w:w="536" w:type="pct"/>
            <w:tcBorders>
              <w:top w:val="nil"/>
              <w:left w:val="nil"/>
              <w:bottom w:val="nil"/>
              <w:right w:val="nil"/>
            </w:tcBorders>
            <w:shd w:val="clear" w:color="auto" w:fill="auto"/>
            <w:noWrap/>
            <w:vAlign w:val="bottom"/>
            <w:hideMark/>
          </w:tcPr>
          <w:p w14:paraId="6D3B72C4"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(2.408**)</w:t>
            </w:r>
          </w:p>
        </w:tc>
        <w:tc>
          <w:tcPr>
            <w:tcW w:w="530" w:type="pct"/>
            <w:tcBorders>
              <w:top w:val="nil"/>
              <w:left w:val="nil"/>
              <w:bottom w:val="nil"/>
              <w:right w:val="nil"/>
            </w:tcBorders>
            <w:shd w:val="clear" w:color="auto" w:fill="auto"/>
            <w:noWrap/>
            <w:vAlign w:val="bottom"/>
            <w:hideMark/>
          </w:tcPr>
          <w:p w14:paraId="1CAEB6AD"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(3.297***)</w:t>
            </w:r>
          </w:p>
        </w:tc>
        <w:tc>
          <w:tcPr>
            <w:tcW w:w="555" w:type="pct"/>
            <w:tcBorders>
              <w:top w:val="nil"/>
              <w:left w:val="nil"/>
              <w:bottom w:val="nil"/>
              <w:right w:val="nil"/>
            </w:tcBorders>
            <w:shd w:val="clear" w:color="auto" w:fill="auto"/>
            <w:noWrap/>
            <w:vAlign w:val="bottom"/>
            <w:hideMark/>
          </w:tcPr>
          <w:p w14:paraId="75A2CCDB"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(3.970***)</w:t>
            </w:r>
          </w:p>
        </w:tc>
        <w:tc>
          <w:tcPr>
            <w:tcW w:w="541" w:type="pct"/>
            <w:tcBorders>
              <w:top w:val="nil"/>
              <w:left w:val="nil"/>
              <w:bottom w:val="nil"/>
              <w:right w:val="nil"/>
            </w:tcBorders>
            <w:shd w:val="clear" w:color="auto" w:fill="auto"/>
            <w:noWrap/>
            <w:vAlign w:val="bottom"/>
            <w:hideMark/>
          </w:tcPr>
          <w:p w14:paraId="0199EEBD"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(0.292)</w:t>
            </w:r>
          </w:p>
        </w:tc>
        <w:tc>
          <w:tcPr>
            <w:tcW w:w="534" w:type="pct"/>
            <w:tcBorders>
              <w:top w:val="nil"/>
              <w:left w:val="nil"/>
              <w:bottom w:val="nil"/>
              <w:right w:val="nil"/>
            </w:tcBorders>
            <w:shd w:val="clear" w:color="auto" w:fill="auto"/>
            <w:noWrap/>
            <w:vAlign w:val="bottom"/>
            <w:hideMark/>
          </w:tcPr>
          <w:p w14:paraId="096881D6"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(0.481)</w:t>
            </w:r>
          </w:p>
        </w:tc>
        <w:tc>
          <w:tcPr>
            <w:tcW w:w="536" w:type="pct"/>
            <w:tcBorders>
              <w:top w:val="nil"/>
              <w:left w:val="nil"/>
              <w:bottom w:val="nil"/>
              <w:right w:val="nil"/>
            </w:tcBorders>
            <w:shd w:val="clear" w:color="auto" w:fill="auto"/>
            <w:noWrap/>
            <w:vAlign w:val="bottom"/>
            <w:hideMark/>
          </w:tcPr>
          <w:p w14:paraId="09499290"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(0.493)</w:t>
            </w:r>
          </w:p>
        </w:tc>
      </w:tr>
      <w:tr w:rsidR="00734A5B" w:rsidRPr="00245E91" w14:paraId="61741F91" w14:textId="77777777" w:rsidTr="00116862">
        <w:trPr>
          <w:trHeight w:val="144"/>
        </w:trPr>
        <w:tc>
          <w:tcPr>
            <w:tcW w:w="708" w:type="pct"/>
            <w:tcBorders>
              <w:top w:val="nil"/>
              <w:left w:val="nil"/>
              <w:bottom w:val="nil"/>
              <w:right w:val="nil"/>
            </w:tcBorders>
            <w:shd w:val="clear" w:color="auto" w:fill="auto"/>
            <w:noWrap/>
            <w:vAlign w:val="bottom"/>
            <w:hideMark/>
          </w:tcPr>
          <w:p w14:paraId="176D0BD8" w14:textId="77777777" w:rsidR="00734A5B" w:rsidRPr="00245E91" w:rsidRDefault="00734A5B"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NOA</w:t>
            </w:r>
          </w:p>
        </w:tc>
        <w:tc>
          <w:tcPr>
            <w:tcW w:w="524" w:type="pct"/>
            <w:tcBorders>
              <w:top w:val="nil"/>
              <w:left w:val="nil"/>
              <w:bottom w:val="nil"/>
              <w:right w:val="nil"/>
            </w:tcBorders>
            <w:shd w:val="clear" w:color="auto" w:fill="auto"/>
            <w:noWrap/>
            <w:vAlign w:val="bottom"/>
            <w:hideMark/>
          </w:tcPr>
          <w:p w14:paraId="4D6C2A7F"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0.047</w:t>
            </w:r>
          </w:p>
        </w:tc>
        <w:tc>
          <w:tcPr>
            <w:tcW w:w="536" w:type="pct"/>
            <w:tcBorders>
              <w:top w:val="nil"/>
              <w:left w:val="nil"/>
              <w:bottom w:val="nil"/>
              <w:right w:val="nil"/>
            </w:tcBorders>
            <w:shd w:val="clear" w:color="auto" w:fill="auto"/>
            <w:noWrap/>
            <w:vAlign w:val="bottom"/>
            <w:hideMark/>
          </w:tcPr>
          <w:p w14:paraId="49A7197C"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-0.012</w:t>
            </w:r>
          </w:p>
        </w:tc>
        <w:tc>
          <w:tcPr>
            <w:tcW w:w="536" w:type="pct"/>
            <w:tcBorders>
              <w:top w:val="nil"/>
              <w:left w:val="nil"/>
              <w:bottom w:val="nil"/>
              <w:right w:val="nil"/>
            </w:tcBorders>
            <w:shd w:val="clear" w:color="auto" w:fill="auto"/>
            <w:noWrap/>
            <w:vAlign w:val="bottom"/>
            <w:hideMark/>
          </w:tcPr>
          <w:p w14:paraId="2A899199"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-0.079</w:t>
            </w:r>
          </w:p>
        </w:tc>
        <w:tc>
          <w:tcPr>
            <w:tcW w:w="530" w:type="pct"/>
            <w:tcBorders>
              <w:top w:val="nil"/>
              <w:left w:val="nil"/>
              <w:bottom w:val="nil"/>
              <w:right w:val="nil"/>
            </w:tcBorders>
            <w:shd w:val="clear" w:color="auto" w:fill="auto"/>
            <w:noWrap/>
            <w:vAlign w:val="bottom"/>
            <w:hideMark/>
          </w:tcPr>
          <w:p w14:paraId="7AA37577"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0.026</w:t>
            </w:r>
          </w:p>
        </w:tc>
        <w:tc>
          <w:tcPr>
            <w:tcW w:w="555" w:type="pct"/>
            <w:tcBorders>
              <w:top w:val="nil"/>
              <w:left w:val="nil"/>
              <w:bottom w:val="nil"/>
              <w:right w:val="nil"/>
            </w:tcBorders>
            <w:shd w:val="clear" w:color="auto" w:fill="auto"/>
            <w:noWrap/>
            <w:vAlign w:val="bottom"/>
            <w:hideMark/>
          </w:tcPr>
          <w:p w14:paraId="6BDE6318"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-0.020</w:t>
            </w:r>
          </w:p>
        </w:tc>
        <w:tc>
          <w:tcPr>
            <w:tcW w:w="541" w:type="pct"/>
            <w:tcBorders>
              <w:top w:val="nil"/>
              <w:left w:val="nil"/>
              <w:bottom w:val="nil"/>
              <w:right w:val="nil"/>
            </w:tcBorders>
            <w:shd w:val="clear" w:color="auto" w:fill="auto"/>
            <w:noWrap/>
            <w:vAlign w:val="bottom"/>
            <w:hideMark/>
          </w:tcPr>
          <w:p w14:paraId="4D8C7C24"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-0.049</w:t>
            </w:r>
          </w:p>
        </w:tc>
        <w:tc>
          <w:tcPr>
            <w:tcW w:w="534" w:type="pct"/>
            <w:tcBorders>
              <w:top w:val="nil"/>
              <w:left w:val="nil"/>
              <w:bottom w:val="nil"/>
              <w:right w:val="nil"/>
            </w:tcBorders>
            <w:shd w:val="clear" w:color="auto" w:fill="auto"/>
            <w:noWrap/>
            <w:vAlign w:val="bottom"/>
            <w:hideMark/>
          </w:tcPr>
          <w:p w14:paraId="218344A0"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-0.037</w:t>
            </w:r>
          </w:p>
        </w:tc>
        <w:tc>
          <w:tcPr>
            <w:tcW w:w="536" w:type="pct"/>
            <w:tcBorders>
              <w:top w:val="nil"/>
              <w:left w:val="nil"/>
              <w:bottom w:val="nil"/>
              <w:right w:val="nil"/>
            </w:tcBorders>
            <w:shd w:val="clear" w:color="auto" w:fill="auto"/>
            <w:noWrap/>
            <w:vAlign w:val="bottom"/>
            <w:hideMark/>
          </w:tcPr>
          <w:p w14:paraId="43EC75E8"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-0.037</w:t>
            </w:r>
          </w:p>
        </w:tc>
      </w:tr>
      <w:tr w:rsidR="00734A5B" w:rsidRPr="00245E91" w14:paraId="20D8A082" w14:textId="77777777" w:rsidTr="00116862">
        <w:trPr>
          <w:trHeight w:val="144"/>
        </w:trPr>
        <w:tc>
          <w:tcPr>
            <w:tcW w:w="708" w:type="pct"/>
            <w:tcBorders>
              <w:top w:val="nil"/>
              <w:left w:val="nil"/>
              <w:bottom w:val="nil"/>
              <w:right w:val="nil"/>
            </w:tcBorders>
            <w:shd w:val="clear" w:color="auto" w:fill="auto"/>
            <w:noWrap/>
            <w:vAlign w:val="bottom"/>
            <w:hideMark/>
          </w:tcPr>
          <w:p w14:paraId="3EEBF928" w14:textId="77777777" w:rsidR="00734A5B" w:rsidRPr="00245E91" w:rsidRDefault="00734A5B" w:rsidP="00116862">
            <w:pPr>
              <w:spacing w:after="0" w:line="240" w:lineRule="auto"/>
              <w:contextualSpacing/>
              <w:rPr>
                <w:rFonts w:ascii="Times New Roman" w:eastAsia="Times New Roman" w:hAnsi="Times New Roman"/>
                <w:i/>
                <w:color w:val="000000"/>
                <w:sz w:val="15"/>
                <w:szCs w:val="15"/>
              </w:rPr>
            </w:pPr>
          </w:p>
        </w:tc>
        <w:tc>
          <w:tcPr>
            <w:tcW w:w="524" w:type="pct"/>
            <w:tcBorders>
              <w:top w:val="nil"/>
              <w:left w:val="nil"/>
              <w:bottom w:val="nil"/>
              <w:right w:val="nil"/>
            </w:tcBorders>
            <w:shd w:val="clear" w:color="auto" w:fill="auto"/>
            <w:noWrap/>
            <w:vAlign w:val="bottom"/>
            <w:hideMark/>
          </w:tcPr>
          <w:p w14:paraId="7DC25A8E"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(1.544)</w:t>
            </w:r>
          </w:p>
        </w:tc>
        <w:tc>
          <w:tcPr>
            <w:tcW w:w="536" w:type="pct"/>
            <w:tcBorders>
              <w:top w:val="nil"/>
              <w:left w:val="nil"/>
              <w:bottom w:val="nil"/>
              <w:right w:val="nil"/>
            </w:tcBorders>
            <w:shd w:val="clear" w:color="auto" w:fill="auto"/>
            <w:noWrap/>
            <w:vAlign w:val="bottom"/>
            <w:hideMark/>
          </w:tcPr>
          <w:p w14:paraId="2418F06D"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(-0.501)</w:t>
            </w:r>
          </w:p>
        </w:tc>
        <w:tc>
          <w:tcPr>
            <w:tcW w:w="536" w:type="pct"/>
            <w:tcBorders>
              <w:top w:val="nil"/>
              <w:left w:val="nil"/>
              <w:bottom w:val="nil"/>
              <w:right w:val="nil"/>
            </w:tcBorders>
            <w:shd w:val="clear" w:color="auto" w:fill="auto"/>
            <w:noWrap/>
            <w:vAlign w:val="bottom"/>
            <w:hideMark/>
          </w:tcPr>
          <w:p w14:paraId="6BCC3C5E"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(-3.116***)</w:t>
            </w:r>
          </w:p>
        </w:tc>
        <w:tc>
          <w:tcPr>
            <w:tcW w:w="530" w:type="pct"/>
            <w:tcBorders>
              <w:top w:val="nil"/>
              <w:left w:val="nil"/>
              <w:bottom w:val="nil"/>
              <w:right w:val="nil"/>
            </w:tcBorders>
            <w:shd w:val="clear" w:color="auto" w:fill="auto"/>
            <w:noWrap/>
            <w:vAlign w:val="bottom"/>
            <w:hideMark/>
          </w:tcPr>
          <w:p w14:paraId="1534D9E3"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(0.865)</w:t>
            </w:r>
          </w:p>
        </w:tc>
        <w:tc>
          <w:tcPr>
            <w:tcW w:w="555" w:type="pct"/>
            <w:tcBorders>
              <w:top w:val="nil"/>
              <w:left w:val="nil"/>
              <w:bottom w:val="nil"/>
              <w:right w:val="nil"/>
            </w:tcBorders>
            <w:shd w:val="clear" w:color="auto" w:fill="auto"/>
            <w:noWrap/>
            <w:vAlign w:val="bottom"/>
            <w:hideMark/>
          </w:tcPr>
          <w:p w14:paraId="27979722"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(-0.727)</w:t>
            </w:r>
          </w:p>
        </w:tc>
        <w:tc>
          <w:tcPr>
            <w:tcW w:w="541" w:type="pct"/>
            <w:tcBorders>
              <w:top w:val="nil"/>
              <w:left w:val="nil"/>
              <w:bottom w:val="nil"/>
              <w:right w:val="nil"/>
            </w:tcBorders>
            <w:shd w:val="clear" w:color="auto" w:fill="auto"/>
            <w:noWrap/>
            <w:vAlign w:val="bottom"/>
            <w:hideMark/>
          </w:tcPr>
          <w:p w14:paraId="7D8DB9A2"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(-2.636***)</w:t>
            </w:r>
          </w:p>
        </w:tc>
        <w:tc>
          <w:tcPr>
            <w:tcW w:w="534" w:type="pct"/>
            <w:tcBorders>
              <w:top w:val="nil"/>
              <w:left w:val="nil"/>
              <w:bottom w:val="nil"/>
              <w:right w:val="nil"/>
            </w:tcBorders>
            <w:shd w:val="clear" w:color="auto" w:fill="auto"/>
            <w:noWrap/>
            <w:vAlign w:val="bottom"/>
            <w:hideMark/>
          </w:tcPr>
          <w:p w14:paraId="4117643A"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(-2.063**)</w:t>
            </w:r>
          </w:p>
        </w:tc>
        <w:tc>
          <w:tcPr>
            <w:tcW w:w="536" w:type="pct"/>
            <w:tcBorders>
              <w:top w:val="nil"/>
              <w:left w:val="nil"/>
              <w:bottom w:val="nil"/>
              <w:right w:val="nil"/>
            </w:tcBorders>
            <w:shd w:val="clear" w:color="auto" w:fill="auto"/>
            <w:noWrap/>
            <w:vAlign w:val="bottom"/>
            <w:hideMark/>
          </w:tcPr>
          <w:p w14:paraId="396CDFF6"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(-2.099**)</w:t>
            </w:r>
          </w:p>
        </w:tc>
      </w:tr>
      <w:tr w:rsidR="00734A5B" w:rsidRPr="00245E91" w14:paraId="019218B2" w14:textId="77777777" w:rsidTr="00116862">
        <w:trPr>
          <w:trHeight w:val="144"/>
        </w:trPr>
        <w:tc>
          <w:tcPr>
            <w:tcW w:w="708" w:type="pct"/>
            <w:tcBorders>
              <w:top w:val="nil"/>
              <w:left w:val="nil"/>
              <w:bottom w:val="nil"/>
              <w:right w:val="nil"/>
            </w:tcBorders>
            <w:shd w:val="clear" w:color="auto" w:fill="auto"/>
            <w:noWrap/>
            <w:vAlign w:val="bottom"/>
            <w:hideMark/>
          </w:tcPr>
          <w:p w14:paraId="31926149" w14:textId="77777777" w:rsidR="00734A5B" w:rsidRPr="00245E91" w:rsidRDefault="00734A5B"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OPERCYCLE</w:t>
            </w:r>
          </w:p>
        </w:tc>
        <w:tc>
          <w:tcPr>
            <w:tcW w:w="524" w:type="pct"/>
            <w:tcBorders>
              <w:top w:val="nil"/>
              <w:left w:val="nil"/>
              <w:bottom w:val="nil"/>
              <w:right w:val="nil"/>
            </w:tcBorders>
            <w:shd w:val="clear" w:color="auto" w:fill="auto"/>
            <w:noWrap/>
            <w:vAlign w:val="bottom"/>
            <w:hideMark/>
          </w:tcPr>
          <w:p w14:paraId="57AB00FD"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0.014</w:t>
            </w:r>
          </w:p>
        </w:tc>
        <w:tc>
          <w:tcPr>
            <w:tcW w:w="536" w:type="pct"/>
            <w:tcBorders>
              <w:top w:val="nil"/>
              <w:left w:val="nil"/>
              <w:bottom w:val="nil"/>
              <w:right w:val="nil"/>
            </w:tcBorders>
            <w:shd w:val="clear" w:color="auto" w:fill="auto"/>
            <w:noWrap/>
            <w:vAlign w:val="bottom"/>
            <w:hideMark/>
          </w:tcPr>
          <w:p w14:paraId="5651D116"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0.078</w:t>
            </w:r>
          </w:p>
        </w:tc>
        <w:tc>
          <w:tcPr>
            <w:tcW w:w="536" w:type="pct"/>
            <w:tcBorders>
              <w:top w:val="nil"/>
              <w:left w:val="nil"/>
              <w:bottom w:val="nil"/>
              <w:right w:val="nil"/>
            </w:tcBorders>
            <w:shd w:val="clear" w:color="auto" w:fill="auto"/>
            <w:noWrap/>
            <w:vAlign w:val="bottom"/>
            <w:hideMark/>
          </w:tcPr>
          <w:p w14:paraId="1BCF1768"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0.077</w:t>
            </w:r>
          </w:p>
        </w:tc>
        <w:tc>
          <w:tcPr>
            <w:tcW w:w="530" w:type="pct"/>
            <w:tcBorders>
              <w:top w:val="nil"/>
              <w:left w:val="nil"/>
              <w:bottom w:val="nil"/>
              <w:right w:val="nil"/>
            </w:tcBorders>
            <w:shd w:val="clear" w:color="auto" w:fill="auto"/>
            <w:noWrap/>
            <w:vAlign w:val="bottom"/>
            <w:hideMark/>
          </w:tcPr>
          <w:p w14:paraId="72C19F29"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0.053</w:t>
            </w:r>
          </w:p>
        </w:tc>
        <w:tc>
          <w:tcPr>
            <w:tcW w:w="555" w:type="pct"/>
            <w:tcBorders>
              <w:top w:val="nil"/>
              <w:left w:val="nil"/>
              <w:bottom w:val="nil"/>
              <w:right w:val="nil"/>
            </w:tcBorders>
            <w:shd w:val="clear" w:color="auto" w:fill="auto"/>
            <w:noWrap/>
            <w:vAlign w:val="bottom"/>
            <w:hideMark/>
          </w:tcPr>
          <w:p w14:paraId="0903D272"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0.078</w:t>
            </w:r>
          </w:p>
        </w:tc>
        <w:tc>
          <w:tcPr>
            <w:tcW w:w="541" w:type="pct"/>
            <w:tcBorders>
              <w:top w:val="nil"/>
              <w:left w:val="nil"/>
              <w:bottom w:val="nil"/>
              <w:right w:val="nil"/>
            </w:tcBorders>
            <w:shd w:val="clear" w:color="auto" w:fill="auto"/>
            <w:noWrap/>
            <w:vAlign w:val="bottom"/>
            <w:hideMark/>
          </w:tcPr>
          <w:p w14:paraId="72AD1E47"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0.021</w:t>
            </w:r>
          </w:p>
        </w:tc>
        <w:tc>
          <w:tcPr>
            <w:tcW w:w="534" w:type="pct"/>
            <w:tcBorders>
              <w:top w:val="nil"/>
              <w:left w:val="nil"/>
              <w:bottom w:val="nil"/>
              <w:right w:val="nil"/>
            </w:tcBorders>
            <w:shd w:val="clear" w:color="auto" w:fill="auto"/>
            <w:noWrap/>
            <w:vAlign w:val="bottom"/>
            <w:hideMark/>
          </w:tcPr>
          <w:p w14:paraId="766F72D7"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0.017</w:t>
            </w:r>
          </w:p>
        </w:tc>
        <w:tc>
          <w:tcPr>
            <w:tcW w:w="536" w:type="pct"/>
            <w:tcBorders>
              <w:top w:val="nil"/>
              <w:left w:val="nil"/>
              <w:bottom w:val="nil"/>
              <w:right w:val="nil"/>
            </w:tcBorders>
            <w:shd w:val="clear" w:color="auto" w:fill="auto"/>
            <w:noWrap/>
            <w:vAlign w:val="bottom"/>
            <w:hideMark/>
          </w:tcPr>
          <w:p w14:paraId="2C95956C"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0.017</w:t>
            </w:r>
          </w:p>
        </w:tc>
      </w:tr>
      <w:tr w:rsidR="00734A5B" w:rsidRPr="00245E91" w14:paraId="2916BDBD" w14:textId="77777777" w:rsidTr="00116862">
        <w:trPr>
          <w:trHeight w:val="144"/>
        </w:trPr>
        <w:tc>
          <w:tcPr>
            <w:tcW w:w="708" w:type="pct"/>
            <w:tcBorders>
              <w:top w:val="nil"/>
              <w:left w:val="nil"/>
              <w:bottom w:val="nil"/>
              <w:right w:val="nil"/>
            </w:tcBorders>
            <w:shd w:val="clear" w:color="auto" w:fill="auto"/>
            <w:noWrap/>
            <w:vAlign w:val="bottom"/>
            <w:hideMark/>
          </w:tcPr>
          <w:p w14:paraId="5CCA0A94" w14:textId="77777777" w:rsidR="00734A5B" w:rsidRPr="00245E91" w:rsidRDefault="00734A5B" w:rsidP="00116862">
            <w:pPr>
              <w:spacing w:after="0" w:line="240" w:lineRule="auto"/>
              <w:contextualSpacing/>
              <w:rPr>
                <w:rFonts w:ascii="Times New Roman" w:eastAsia="Times New Roman" w:hAnsi="Times New Roman"/>
                <w:i/>
                <w:color w:val="000000"/>
                <w:sz w:val="15"/>
                <w:szCs w:val="15"/>
              </w:rPr>
            </w:pPr>
          </w:p>
        </w:tc>
        <w:tc>
          <w:tcPr>
            <w:tcW w:w="524" w:type="pct"/>
            <w:tcBorders>
              <w:top w:val="nil"/>
              <w:left w:val="nil"/>
              <w:bottom w:val="nil"/>
              <w:right w:val="nil"/>
            </w:tcBorders>
            <w:shd w:val="clear" w:color="auto" w:fill="auto"/>
            <w:noWrap/>
            <w:vAlign w:val="bottom"/>
            <w:hideMark/>
          </w:tcPr>
          <w:p w14:paraId="4E04A629"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(0.583)</w:t>
            </w:r>
          </w:p>
        </w:tc>
        <w:tc>
          <w:tcPr>
            <w:tcW w:w="536" w:type="pct"/>
            <w:tcBorders>
              <w:top w:val="nil"/>
              <w:left w:val="nil"/>
              <w:bottom w:val="nil"/>
              <w:right w:val="nil"/>
            </w:tcBorders>
            <w:shd w:val="clear" w:color="auto" w:fill="auto"/>
            <w:noWrap/>
            <w:vAlign w:val="bottom"/>
            <w:hideMark/>
          </w:tcPr>
          <w:p w14:paraId="23674265"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(3.599***)</w:t>
            </w:r>
          </w:p>
        </w:tc>
        <w:tc>
          <w:tcPr>
            <w:tcW w:w="536" w:type="pct"/>
            <w:tcBorders>
              <w:top w:val="nil"/>
              <w:left w:val="nil"/>
              <w:bottom w:val="nil"/>
              <w:right w:val="nil"/>
            </w:tcBorders>
            <w:shd w:val="clear" w:color="auto" w:fill="auto"/>
            <w:noWrap/>
            <w:vAlign w:val="bottom"/>
            <w:hideMark/>
          </w:tcPr>
          <w:p w14:paraId="4B6AEBD1"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(3.573***)</w:t>
            </w:r>
          </w:p>
        </w:tc>
        <w:tc>
          <w:tcPr>
            <w:tcW w:w="530" w:type="pct"/>
            <w:tcBorders>
              <w:top w:val="nil"/>
              <w:left w:val="nil"/>
              <w:bottom w:val="nil"/>
              <w:right w:val="nil"/>
            </w:tcBorders>
            <w:shd w:val="clear" w:color="auto" w:fill="auto"/>
            <w:noWrap/>
            <w:vAlign w:val="bottom"/>
            <w:hideMark/>
          </w:tcPr>
          <w:p w14:paraId="5FE58392"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(2.019**)</w:t>
            </w:r>
          </w:p>
        </w:tc>
        <w:tc>
          <w:tcPr>
            <w:tcW w:w="555" w:type="pct"/>
            <w:tcBorders>
              <w:top w:val="nil"/>
              <w:left w:val="nil"/>
              <w:bottom w:val="nil"/>
              <w:right w:val="nil"/>
            </w:tcBorders>
            <w:shd w:val="clear" w:color="auto" w:fill="auto"/>
            <w:noWrap/>
            <w:vAlign w:val="bottom"/>
            <w:hideMark/>
          </w:tcPr>
          <w:p w14:paraId="02F55F4B"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(3.208***)</w:t>
            </w:r>
          </w:p>
        </w:tc>
        <w:tc>
          <w:tcPr>
            <w:tcW w:w="541" w:type="pct"/>
            <w:tcBorders>
              <w:top w:val="nil"/>
              <w:left w:val="nil"/>
              <w:bottom w:val="nil"/>
              <w:right w:val="nil"/>
            </w:tcBorders>
            <w:shd w:val="clear" w:color="auto" w:fill="auto"/>
            <w:noWrap/>
            <w:vAlign w:val="bottom"/>
            <w:hideMark/>
          </w:tcPr>
          <w:p w14:paraId="1A557F43"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(1.252)</w:t>
            </w:r>
          </w:p>
        </w:tc>
        <w:tc>
          <w:tcPr>
            <w:tcW w:w="534" w:type="pct"/>
            <w:tcBorders>
              <w:top w:val="nil"/>
              <w:left w:val="nil"/>
              <w:bottom w:val="nil"/>
              <w:right w:val="nil"/>
            </w:tcBorders>
            <w:shd w:val="clear" w:color="auto" w:fill="auto"/>
            <w:noWrap/>
            <w:vAlign w:val="bottom"/>
            <w:hideMark/>
          </w:tcPr>
          <w:p w14:paraId="5CFFFDF7"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(0.980)</w:t>
            </w:r>
          </w:p>
        </w:tc>
        <w:tc>
          <w:tcPr>
            <w:tcW w:w="536" w:type="pct"/>
            <w:tcBorders>
              <w:top w:val="nil"/>
              <w:left w:val="nil"/>
              <w:bottom w:val="nil"/>
              <w:right w:val="nil"/>
            </w:tcBorders>
            <w:shd w:val="clear" w:color="auto" w:fill="auto"/>
            <w:noWrap/>
            <w:vAlign w:val="bottom"/>
            <w:hideMark/>
          </w:tcPr>
          <w:p w14:paraId="63BEC84A"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(0.999)</w:t>
            </w:r>
          </w:p>
        </w:tc>
      </w:tr>
      <w:tr w:rsidR="00734A5B" w:rsidRPr="00245E91" w14:paraId="3F199AF4" w14:textId="77777777" w:rsidTr="00116862">
        <w:trPr>
          <w:trHeight w:val="144"/>
        </w:trPr>
        <w:tc>
          <w:tcPr>
            <w:tcW w:w="708" w:type="pct"/>
            <w:tcBorders>
              <w:top w:val="nil"/>
              <w:left w:val="nil"/>
              <w:bottom w:val="nil"/>
              <w:right w:val="nil"/>
            </w:tcBorders>
            <w:shd w:val="clear" w:color="auto" w:fill="auto"/>
            <w:noWrap/>
            <w:vAlign w:val="bottom"/>
            <w:hideMark/>
          </w:tcPr>
          <w:p w14:paraId="6879C2FD" w14:textId="77777777" w:rsidR="00734A5B" w:rsidRPr="00245E91" w:rsidRDefault="00734A5B"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ROA</w:t>
            </w:r>
          </w:p>
        </w:tc>
        <w:tc>
          <w:tcPr>
            <w:tcW w:w="524" w:type="pct"/>
            <w:tcBorders>
              <w:top w:val="nil"/>
              <w:left w:val="nil"/>
              <w:bottom w:val="nil"/>
              <w:right w:val="nil"/>
            </w:tcBorders>
            <w:shd w:val="clear" w:color="auto" w:fill="auto"/>
            <w:noWrap/>
            <w:vAlign w:val="bottom"/>
            <w:hideMark/>
          </w:tcPr>
          <w:p w14:paraId="223A611E"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0.117</w:t>
            </w:r>
          </w:p>
        </w:tc>
        <w:tc>
          <w:tcPr>
            <w:tcW w:w="536" w:type="pct"/>
            <w:tcBorders>
              <w:top w:val="nil"/>
              <w:left w:val="nil"/>
              <w:bottom w:val="nil"/>
              <w:right w:val="nil"/>
            </w:tcBorders>
            <w:shd w:val="clear" w:color="auto" w:fill="auto"/>
            <w:noWrap/>
            <w:vAlign w:val="bottom"/>
            <w:hideMark/>
          </w:tcPr>
          <w:p w14:paraId="34AC8362"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-0.370</w:t>
            </w:r>
          </w:p>
        </w:tc>
        <w:tc>
          <w:tcPr>
            <w:tcW w:w="536" w:type="pct"/>
            <w:tcBorders>
              <w:top w:val="nil"/>
              <w:left w:val="nil"/>
              <w:bottom w:val="nil"/>
              <w:right w:val="nil"/>
            </w:tcBorders>
            <w:shd w:val="clear" w:color="auto" w:fill="auto"/>
            <w:noWrap/>
            <w:vAlign w:val="bottom"/>
            <w:hideMark/>
          </w:tcPr>
          <w:p w14:paraId="59390504"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-0.299</w:t>
            </w:r>
          </w:p>
        </w:tc>
        <w:tc>
          <w:tcPr>
            <w:tcW w:w="530" w:type="pct"/>
            <w:tcBorders>
              <w:top w:val="nil"/>
              <w:left w:val="nil"/>
              <w:bottom w:val="nil"/>
              <w:right w:val="nil"/>
            </w:tcBorders>
            <w:shd w:val="clear" w:color="auto" w:fill="auto"/>
            <w:noWrap/>
            <w:vAlign w:val="bottom"/>
            <w:hideMark/>
          </w:tcPr>
          <w:p w14:paraId="7B82500D"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-0.141</w:t>
            </w:r>
          </w:p>
        </w:tc>
        <w:tc>
          <w:tcPr>
            <w:tcW w:w="555" w:type="pct"/>
            <w:tcBorders>
              <w:top w:val="nil"/>
              <w:left w:val="nil"/>
              <w:bottom w:val="nil"/>
              <w:right w:val="nil"/>
            </w:tcBorders>
            <w:shd w:val="clear" w:color="auto" w:fill="auto"/>
            <w:noWrap/>
            <w:vAlign w:val="bottom"/>
            <w:hideMark/>
          </w:tcPr>
          <w:p w14:paraId="51460E9D"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-0.270</w:t>
            </w:r>
          </w:p>
        </w:tc>
        <w:tc>
          <w:tcPr>
            <w:tcW w:w="541" w:type="pct"/>
            <w:tcBorders>
              <w:top w:val="nil"/>
              <w:left w:val="nil"/>
              <w:bottom w:val="nil"/>
              <w:right w:val="nil"/>
            </w:tcBorders>
            <w:shd w:val="clear" w:color="auto" w:fill="auto"/>
            <w:noWrap/>
            <w:vAlign w:val="bottom"/>
            <w:hideMark/>
          </w:tcPr>
          <w:p w14:paraId="07AB7BAC"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0.445</w:t>
            </w:r>
          </w:p>
        </w:tc>
        <w:tc>
          <w:tcPr>
            <w:tcW w:w="534" w:type="pct"/>
            <w:tcBorders>
              <w:top w:val="nil"/>
              <w:left w:val="nil"/>
              <w:bottom w:val="nil"/>
              <w:right w:val="nil"/>
            </w:tcBorders>
            <w:shd w:val="clear" w:color="auto" w:fill="auto"/>
            <w:noWrap/>
            <w:vAlign w:val="bottom"/>
            <w:hideMark/>
          </w:tcPr>
          <w:p w14:paraId="58B438C5"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0.455</w:t>
            </w:r>
          </w:p>
        </w:tc>
        <w:tc>
          <w:tcPr>
            <w:tcW w:w="536" w:type="pct"/>
            <w:tcBorders>
              <w:top w:val="nil"/>
              <w:left w:val="nil"/>
              <w:bottom w:val="nil"/>
              <w:right w:val="nil"/>
            </w:tcBorders>
            <w:shd w:val="clear" w:color="auto" w:fill="auto"/>
            <w:noWrap/>
            <w:vAlign w:val="bottom"/>
            <w:hideMark/>
          </w:tcPr>
          <w:p w14:paraId="14F2BBC1"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0.455</w:t>
            </w:r>
          </w:p>
        </w:tc>
      </w:tr>
      <w:tr w:rsidR="00734A5B" w:rsidRPr="00245E91" w14:paraId="6925A15A" w14:textId="77777777" w:rsidTr="00116862">
        <w:trPr>
          <w:trHeight w:val="144"/>
        </w:trPr>
        <w:tc>
          <w:tcPr>
            <w:tcW w:w="708" w:type="pct"/>
            <w:tcBorders>
              <w:top w:val="nil"/>
              <w:left w:val="nil"/>
              <w:bottom w:val="nil"/>
              <w:right w:val="nil"/>
            </w:tcBorders>
            <w:shd w:val="clear" w:color="auto" w:fill="auto"/>
            <w:noWrap/>
            <w:vAlign w:val="bottom"/>
            <w:hideMark/>
          </w:tcPr>
          <w:p w14:paraId="545A5330" w14:textId="77777777" w:rsidR="00734A5B" w:rsidRPr="00245E91" w:rsidRDefault="00734A5B" w:rsidP="00116862">
            <w:pPr>
              <w:spacing w:after="0" w:line="240" w:lineRule="auto"/>
              <w:contextualSpacing/>
              <w:rPr>
                <w:rFonts w:ascii="Times New Roman" w:eastAsia="Times New Roman" w:hAnsi="Times New Roman"/>
                <w:i/>
                <w:color w:val="000000"/>
                <w:sz w:val="15"/>
                <w:szCs w:val="15"/>
              </w:rPr>
            </w:pPr>
          </w:p>
        </w:tc>
        <w:tc>
          <w:tcPr>
            <w:tcW w:w="524" w:type="pct"/>
            <w:tcBorders>
              <w:top w:val="nil"/>
              <w:left w:val="nil"/>
              <w:bottom w:val="nil"/>
              <w:right w:val="nil"/>
            </w:tcBorders>
            <w:shd w:val="clear" w:color="auto" w:fill="auto"/>
            <w:noWrap/>
            <w:vAlign w:val="bottom"/>
            <w:hideMark/>
          </w:tcPr>
          <w:p w14:paraId="28363C65"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(3.89***)</w:t>
            </w:r>
          </w:p>
        </w:tc>
        <w:tc>
          <w:tcPr>
            <w:tcW w:w="536" w:type="pct"/>
            <w:tcBorders>
              <w:top w:val="nil"/>
              <w:left w:val="nil"/>
              <w:bottom w:val="nil"/>
              <w:right w:val="nil"/>
            </w:tcBorders>
            <w:shd w:val="clear" w:color="auto" w:fill="auto"/>
            <w:noWrap/>
            <w:vAlign w:val="bottom"/>
            <w:hideMark/>
          </w:tcPr>
          <w:p w14:paraId="43B7AE02"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(-13.15***)</w:t>
            </w:r>
          </w:p>
        </w:tc>
        <w:tc>
          <w:tcPr>
            <w:tcW w:w="536" w:type="pct"/>
            <w:tcBorders>
              <w:top w:val="nil"/>
              <w:left w:val="nil"/>
              <w:bottom w:val="nil"/>
              <w:right w:val="nil"/>
            </w:tcBorders>
            <w:shd w:val="clear" w:color="auto" w:fill="auto"/>
            <w:noWrap/>
            <w:vAlign w:val="bottom"/>
            <w:hideMark/>
          </w:tcPr>
          <w:p w14:paraId="789B48DB"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(-11.11***)</w:t>
            </w:r>
          </w:p>
        </w:tc>
        <w:tc>
          <w:tcPr>
            <w:tcW w:w="530" w:type="pct"/>
            <w:tcBorders>
              <w:top w:val="nil"/>
              <w:left w:val="nil"/>
              <w:bottom w:val="nil"/>
              <w:right w:val="nil"/>
            </w:tcBorders>
            <w:shd w:val="clear" w:color="auto" w:fill="auto"/>
            <w:noWrap/>
            <w:vAlign w:val="bottom"/>
            <w:hideMark/>
          </w:tcPr>
          <w:p w14:paraId="7846FA5B"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(-4.13***)</w:t>
            </w:r>
          </w:p>
        </w:tc>
        <w:tc>
          <w:tcPr>
            <w:tcW w:w="555" w:type="pct"/>
            <w:tcBorders>
              <w:top w:val="nil"/>
              <w:left w:val="nil"/>
              <w:bottom w:val="nil"/>
              <w:right w:val="nil"/>
            </w:tcBorders>
            <w:shd w:val="clear" w:color="auto" w:fill="auto"/>
            <w:noWrap/>
            <w:vAlign w:val="bottom"/>
            <w:hideMark/>
          </w:tcPr>
          <w:p w14:paraId="55FF7E8D"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(-9.79***)</w:t>
            </w:r>
          </w:p>
        </w:tc>
        <w:tc>
          <w:tcPr>
            <w:tcW w:w="541" w:type="pct"/>
            <w:tcBorders>
              <w:top w:val="nil"/>
              <w:left w:val="nil"/>
              <w:bottom w:val="nil"/>
              <w:right w:val="nil"/>
            </w:tcBorders>
            <w:shd w:val="clear" w:color="auto" w:fill="auto"/>
            <w:noWrap/>
            <w:vAlign w:val="bottom"/>
            <w:hideMark/>
          </w:tcPr>
          <w:p w14:paraId="45A6CD0D"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(17.30***)</w:t>
            </w:r>
          </w:p>
        </w:tc>
        <w:tc>
          <w:tcPr>
            <w:tcW w:w="534" w:type="pct"/>
            <w:tcBorders>
              <w:top w:val="nil"/>
              <w:left w:val="nil"/>
              <w:bottom w:val="nil"/>
              <w:right w:val="nil"/>
            </w:tcBorders>
            <w:shd w:val="clear" w:color="auto" w:fill="auto"/>
            <w:noWrap/>
            <w:vAlign w:val="bottom"/>
            <w:hideMark/>
          </w:tcPr>
          <w:p w14:paraId="2B153FCB"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(17.05***)</w:t>
            </w:r>
          </w:p>
        </w:tc>
        <w:tc>
          <w:tcPr>
            <w:tcW w:w="536" w:type="pct"/>
            <w:tcBorders>
              <w:top w:val="nil"/>
              <w:left w:val="nil"/>
              <w:bottom w:val="nil"/>
              <w:right w:val="nil"/>
            </w:tcBorders>
            <w:shd w:val="clear" w:color="auto" w:fill="auto"/>
            <w:noWrap/>
            <w:vAlign w:val="bottom"/>
            <w:hideMark/>
          </w:tcPr>
          <w:p w14:paraId="693D20F1"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(17.34***)</w:t>
            </w:r>
          </w:p>
        </w:tc>
      </w:tr>
      <w:tr w:rsidR="00734A5B" w:rsidRPr="00245E91" w14:paraId="68CF8CAB" w14:textId="77777777" w:rsidTr="00116862">
        <w:trPr>
          <w:trHeight w:val="144"/>
        </w:trPr>
        <w:tc>
          <w:tcPr>
            <w:tcW w:w="708" w:type="pct"/>
            <w:tcBorders>
              <w:top w:val="nil"/>
              <w:left w:val="nil"/>
              <w:bottom w:val="nil"/>
              <w:right w:val="nil"/>
            </w:tcBorders>
            <w:shd w:val="clear" w:color="auto" w:fill="auto"/>
            <w:noWrap/>
            <w:vAlign w:val="bottom"/>
            <w:hideMark/>
          </w:tcPr>
          <w:p w14:paraId="63ABF7CC" w14:textId="77777777" w:rsidR="00734A5B" w:rsidRPr="00245E91" w:rsidRDefault="00734A5B"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MKBK</w:t>
            </w:r>
          </w:p>
        </w:tc>
        <w:tc>
          <w:tcPr>
            <w:tcW w:w="524" w:type="pct"/>
            <w:tcBorders>
              <w:top w:val="nil"/>
              <w:left w:val="nil"/>
              <w:bottom w:val="nil"/>
              <w:right w:val="nil"/>
            </w:tcBorders>
            <w:shd w:val="clear" w:color="auto" w:fill="auto"/>
            <w:noWrap/>
            <w:vAlign w:val="bottom"/>
            <w:hideMark/>
          </w:tcPr>
          <w:p w14:paraId="574E41D9"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0.008</w:t>
            </w:r>
          </w:p>
        </w:tc>
        <w:tc>
          <w:tcPr>
            <w:tcW w:w="536" w:type="pct"/>
            <w:tcBorders>
              <w:top w:val="nil"/>
              <w:left w:val="nil"/>
              <w:bottom w:val="nil"/>
              <w:right w:val="nil"/>
            </w:tcBorders>
            <w:shd w:val="clear" w:color="auto" w:fill="auto"/>
            <w:noWrap/>
            <w:vAlign w:val="bottom"/>
            <w:hideMark/>
          </w:tcPr>
          <w:p w14:paraId="7040FB85"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-0.023</w:t>
            </w:r>
          </w:p>
        </w:tc>
        <w:tc>
          <w:tcPr>
            <w:tcW w:w="536" w:type="pct"/>
            <w:tcBorders>
              <w:top w:val="nil"/>
              <w:left w:val="nil"/>
              <w:bottom w:val="nil"/>
              <w:right w:val="nil"/>
            </w:tcBorders>
            <w:shd w:val="clear" w:color="auto" w:fill="auto"/>
            <w:noWrap/>
            <w:vAlign w:val="bottom"/>
            <w:hideMark/>
          </w:tcPr>
          <w:p w14:paraId="07FE076B"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-0.033</w:t>
            </w:r>
          </w:p>
        </w:tc>
        <w:tc>
          <w:tcPr>
            <w:tcW w:w="530" w:type="pct"/>
            <w:tcBorders>
              <w:top w:val="nil"/>
              <w:left w:val="nil"/>
              <w:bottom w:val="nil"/>
              <w:right w:val="nil"/>
            </w:tcBorders>
            <w:shd w:val="clear" w:color="auto" w:fill="auto"/>
            <w:noWrap/>
            <w:vAlign w:val="bottom"/>
            <w:hideMark/>
          </w:tcPr>
          <w:p w14:paraId="376F4F24"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-0.016</w:t>
            </w:r>
          </w:p>
        </w:tc>
        <w:tc>
          <w:tcPr>
            <w:tcW w:w="555" w:type="pct"/>
            <w:tcBorders>
              <w:top w:val="nil"/>
              <w:left w:val="nil"/>
              <w:bottom w:val="nil"/>
              <w:right w:val="nil"/>
            </w:tcBorders>
            <w:shd w:val="clear" w:color="auto" w:fill="auto"/>
            <w:noWrap/>
            <w:vAlign w:val="bottom"/>
            <w:hideMark/>
          </w:tcPr>
          <w:p w14:paraId="443BE58E"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-0.030</w:t>
            </w:r>
          </w:p>
        </w:tc>
        <w:tc>
          <w:tcPr>
            <w:tcW w:w="541" w:type="pct"/>
            <w:tcBorders>
              <w:top w:val="nil"/>
              <w:left w:val="nil"/>
              <w:bottom w:val="nil"/>
              <w:right w:val="nil"/>
            </w:tcBorders>
            <w:shd w:val="clear" w:color="auto" w:fill="auto"/>
            <w:noWrap/>
            <w:vAlign w:val="bottom"/>
            <w:hideMark/>
          </w:tcPr>
          <w:p w14:paraId="48E24B62"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0.007</w:t>
            </w:r>
          </w:p>
        </w:tc>
        <w:tc>
          <w:tcPr>
            <w:tcW w:w="534" w:type="pct"/>
            <w:tcBorders>
              <w:top w:val="nil"/>
              <w:left w:val="nil"/>
              <w:bottom w:val="nil"/>
              <w:right w:val="nil"/>
            </w:tcBorders>
            <w:shd w:val="clear" w:color="auto" w:fill="auto"/>
            <w:noWrap/>
            <w:vAlign w:val="bottom"/>
            <w:hideMark/>
          </w:tcPr>
          <w:p w14:paraId="2C72BD6D"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0.019</w:t>
            </w:r>
          </w:p>
        </w:tc>
        <w:tc>
          <w:tcPr>
            <w:tcW w:w="536" w:type="pct"/>
            <w:tcBorders>
              <w:top w:val="nil"/>
              <w:left w:val="nil"/>
              <w:bottom w:val="nil"/>
              <w:right w:val="nil"/>
            </w:tcBorders>
            <w:shd w:val="clear" w:color="auto" w:fill="auto"/>
            <w:noWrap/>
            <w:vAlign w:val="bottom"/>
            <w:hideMark/>
          </w:tcPr>
          <w:p w14:paraId="48D9DBBC"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0.019</w:t>
            </w:r>
          </w:p>
        </w:tc>
      </w:tr>
      <w:tr w:rsidR="00734A5B" w:rsidRPr="00245E91" w14:paraId="28756580" w14:textId="77777777" w:rsidTr="00116862">
        <w:trPr>
          <w:trHeight w:val="144"/>
        </w:trPr>
        <w:tc>
          <w:tcPr>
            <w:tcW w:w="708" w:type="pct"/>
            <w:tcBorders>
              <w:top w:val="nil"/>
              <w:left w:val="nil"/>
              <w:bottom w:val="nil"/>
              <w:right w:val="nil"/>
            </w:tcBorders>
            <w:shd w:val="clear" w:color="auto" w:fill="auto"/>
            <w:noWrap/>
            <w:vAlign w:val="bottom"/>
            <w:hideMark/>
          </w:tcPr>
          <w:p w14:paraId="7D545FFF" w14:textId="77777777" w:rsidR="00734A5B" w:rsidRPr="00245E91" w:rsidRDefault="00734A5B" w:rsidP="00116862">
            <w:pPr>
              <w:spacing w:after="0" w:line="240" w:lineRule="auto"/>
              <w:contextualSpacing/>
              <w:rPr>
                <w:rFonts w:ascii="Times New Roman" w:eastAsia="Times New Roman" w:hAnsi="Times New Roman"/>
                <w:i/>
                <w:color w:val="000000"/>
                <w:sz w:val="15"/>
                <w:szCs w:val="15"/>
              </w:rPr>
            </w:pPr>
          </w:p>
        </w:tc>
        <w:tc>
          <w:tcPr>
            <w:tcW w:w="524" w:type="pct"/>
            <w:tcBorders>
              <w:top w:val="nil"/>
              <w:left w:val="nil"/>
              <w:bottom w:val="nil"/>
              <w:right w:val="nil"/>
            </w:tcBorders>
            <w:shd w:val="clear" w:color="auto" w:fill="auto"/>
            <w:noWrap/>
            <w:vAlign w:val="bottom"/>
            <w:hideMark/>
          </w:tcPr>
          <w:p w14:paraId="28F3BEB6"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(0.269)</w:t>
            </w:r>
          </w:p>
        </w:tc>
        <w:tc>
          <w:tcPr>
            <w:tcW w:w="536" w:type="pct"/>
            <w:tcBorders>
              <w:top w:val="nil"/>
              <w:left w:val="nil"/>
              <w:bottom w:val="nil"/>
              <w:right w:val="nil"/>
            </w:tcBorders>
            <w:shd w:val="clear" w:color="auto" w:fill="auto"/>
            <w:noWrap/>
            <w:vAlign w:val="bottom"/>
            <w:hideMark/>
          </w:tcPr>
          <w:p w14:paraId="29E8165F"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(-1.078)</w:t>
            </w:r>
          </w:p>
        </w:tc>
        <w:tc>
          <w:tcPr>
            <w:tcW w:w="536" w:type="pct"/>
            <w:tcBorders>
              <w:top w:val="nil"/>
              <w:left w:val="nil"/>
              <w:bottom w:val="nil"/>
              <w:right w:val="nil"/>
            </w:tcBorders>
            <w:shd w:val="clear" w:color="auto" w:fill="auto"/>
            <w:noWrap/>
            <w:vAlign w:val="bottom"/>
            <w:hideMark/>
          </w:tcPr>
          <w:p w14:paraId="47AF1493"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(-1.685*)</w:t>
            </w:r>
          </w:p>
        </w:tc>
        <w:tc>
          <w:tcPr>
            <w:tcW w:w="530" w:type="pct"/>
            <w:tcBorders>
              <w:top w:val="nil"/>
              <w:left w:val="nil"/>
              <w:bottom w:val="nil"/>
              <w:right w:val="nil"/>
            </w:tcBorders>
            <w:shd w:val="clear" w:color="auto" w:fill="auto"/>
            <w:noWrap/>
            <w:vAlign w:val="bottom"/>
            <w:hideMark/>
          </w:tcPr>
          <w:p w14:paraId="22B531FB"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(-0.550)</w:t>
            </w:r>
          </w:p>
        </w:tc>
        <w:tc>
          <w:tcPr>
            <w:tcW w:w="555" w:type="pct"/>
            <w:tcBorders>
              <w:top w:val="nil"/>
              <w:left w:val="nil"/>
              <w:bottom w:val="nil"/>
              <w:right w:val="nil"/>
            </w:tcBorders>
            <w:shd w:val="clear" w:color="auto" w:fill="auto"/>
            <w:noWrap/>
            <w:vAlign w:val="bottom"/>
            <w:hideMark/>
          </w:tcPr>
          <w:p w14:paraId="1C4B3736"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(-1.364)</w:t>
            </w:r>
          </w:p>
        </w:tc>
        <w:tc>
          <w:tcPr>
            <w:tcW w:w="541" w:type="pct"/>
            <w:tcBorders>
              <w:top w:val="nil"/>
              <w:left w:val="nil"/>
              <w:bottom w:val="nil"/>
              <w:right w:val="nil"/>
            </w:tcBorders>
            <w:shd w:val="clear" w:color="auto" w:fill="auto"/>
            <w:noWrap/>
            <w:vAlign w:val="bottom"/>
            <w:hideMark/>
          </w:tcPr>
          <w:p w14:paraId="0C91E1F8"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(0.327)</w:t>
            </w:r>
          </w:p>
        </w:tc>
        <w:tc>
          <w:tcPr>
            <w:tcW w:w="534" w:type="pct"/>
            <w:tcBorders>
              <w:top w:val="nil"/>
              <w:left w:val="nil"/>
              <w:bottom w:val="nil"/>
              <w:right w:val="nil"/>
            </w:tcBorders>
            <w:shd w:val="clear" w:color="auto" w:fill="auto"/>
            <w:noWrap/>
            <w:vAlign w:val="bottom"/>
            <w:hideMark/>
          </w:tcPr>
          <w:p w14:paraId="5396A848"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(0.848)</w:t>
            </w:r>
          </w:p>
        </w:tc>
        <w:tc>
          <w:tcPr>
            <w:tcW w:w="536" w:type="pct"/>
            <w:tcBorders>
              <w:top w:val="nil"/>
              <w:left w:val="nil"/>
              <w:bottom w:val="nil"/>
              <w:right w:val="nil"/>
            </w:tcBorders>
            <w:shd w:val="clear" w:color="auto" w:fill="auto"/>
            <w:noWrap/>
            <w:vAlign w:val="bottom"/>
            <w:hideMark/>
          </w:tcPr>
          <w:p w14:paraId="55C2AD0B"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(0.853)</w:t>
            </w:r>
          </w:p>
        </w:tc>
      </w:tr>
      <w:tr w:rsidR="00734A5B" w:rsidRPr="00245E91" w14:paraId="2B935B3D" w14:textId="77777777" w:rsidTr="00116862">
        <w:trPr>
          <w:trHeight w:val="144"/>
        </w:trPr>
        <w:tc>
          <w:tcPr>
            <w:tcW w:w="708" w:type="pct"/>
            <w:tcBorders>
              <w:top w:val="nil"/>
              <w:left w:val="nil"/>
              <w:bottom w:val="nil"/>
              <w:right w:val="nil"/>
            </w:tcBorders>
            <w:shd w:val="clear" w:color="auto" w:fill="auto"/>
            <w:noWrap/>
            <w:vAlign w:val="bottom"/>
          </w:tcPr>
          <w:p w14:paraId="3AC3A58F" w14:textId="77777777" w:rsidR="00734A5B" w:rsidRPr="00245E91" w:rsidRDefault="00734A5B"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LIQUIDITY</w:t>
            </w:r>
          </w:p>
        </w:tc>
        <w:tc>
          <w:tcPr>
            <w:tcW w:w="524" w:type="pct"/>
            <w:tcBorders>
              <w:top w:val="nil"/>
              <w:left w:val="nil"/>
              <w:bottom w:val="nil"/>
              <w:right w:val="nil"/>
            </w:tcBorders>
            <w:shd w:val="clear" w:color="auto" w:fill="auto"/>
            <w:noWrap/>
            <w:vAlign w:val="bottom"/>
          </w:tcPr>
          <w:p w14:paraId="7EB3326A"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-0.041</w:t>
            </w:r>
          </w:p>
        </w:tc>
        <w:tc>
          <w:tcPr>
            <w:tcW w:w="536" w:type="pct"/>
            <w:tcBorders>
              <w:top w:val="nil"/>
              <w:left w:val="nil"/>
              <w:bottom w:val="nil"/>
              <w:right w:val="nil"/>
            </w:tcBorders>
            <w:shd w:val="clear" w:color="auto" w:fill="auto"/>
            <w:noWrap/>
            <w:vAlign w:val="bottom"/>
          </w:tcPr>
          <w:p w14:paraId="3BA21A0C"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0.010</w:t>
            </w:r>
          </w:p>
        </w:tc>
        <w:tc>
          <w:tcPr>
            <w:tcW w:w="536" w:type="pct"/>
            <w:tcBorders>
              <w:top w:val="nil"/>
              <w:left w:val="nil"/>
              <w:bottom w:val="nil"/>
              <w:right w:val="nil"/>
            </w:tcBorders>
            <w:shd w:val="clear" w:color="auto" w:fill="auto"/>
            <w:noWrap/>
            <w:vAlign w:val="bottom"/>
          </w:tcPr>
          <w:p w14:paraId="54CE1CD8"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0.023</w:t>
            </w:r>
          </w:p>
        </w:tc>
        <w:tc>
          <w:tcPr>
            <w:tcW w:w="530" w:type="pct"/>
            <w:tcBorders>
              <w:top w:val="nil"/>
              <w:left w:val="nil"/>
              <w:bottom w:val="nil"/>
              <w:right w:val="nil"/>
            </w:tcBorders>
            <w:shd w:val="clear" w:color="auto" w:fill="auto"/>
            <w:noWrap/>
            <w:vAlign w:val="bottom"/>
          </w:tcPr>
          <w:p w14:paraId="0235662F"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-0.021</w:t>
            </w:r>
          </w:p>
        </w:tc>
        <w:tc>
          <w:tcPr>
            <w:tcW w:w="555" w:type="pct"/>
            <w:tcBorders>
              <w:top w:val="nil"/>
              <w:left w:val="nil"/>
              <w:bottom w:val="nil"/>
              <w:right w:val="nil"/>
            </w:tcBorders>
            <w:shd w:val="clear" w:color="auto" w:fill="auto"/>
            <w:noWrap/>
            <w:vAlign w:val="bottom"/>
          </w:tcPr>
          <w:p w14:paraId="559DD923"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-0.008</w:t>
            </w:r>
          </w:p>
        </w:tc>
        <w:tc>
          <w:tcPr>
            <w:tcW w:w="541" w:type="pct"/>
            <w:tcBorders>
              <w:top w:val="nil"/>
              <w:left w:val="nil"/>
              <w:bottom w:val="nil"/>
              <w:right w:val="nil"/>
            </w:tcBorders>
            <w:shd w:val="clear" w:color="auto" w:fill="auto"/>
            <w:noWrap/>
            <w:vAlign w:val="bottom"/>
          </w:tcPr>
          <w:p w14:paraId="239FF92C"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0.014</w:t>
            </w:r>
          </w:p>
        </w:tc>
        <w:tc>
          <w:tcPr>
            <w:tcW w:w="534" w:type="pct"/>
            <w:tcBorders>
              <w:top w:val="nil"/>
              <w:left w:val="nil"/>
              <w:bottom w:val="nil"/>
              <w:right w:val="nil"/>
            </w:tcBorders>
            <w:shd w:val="clear" w:color="auto" w:fill="auto"/>
            <w:noWrap/>
            <w:vAlign w:val="bottom"/>
          </w:tcPr>
          <w:p w14:paraId="4B26D537"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0.012</w:t>
            </w:r>
          </w:p>
        </w:tc>
        <w:tc>
          <w:tcPr>
            <w:tcW w:w="536" w:type="pct"/>
            <w:tcBorders>
              <w:top w:val="nil"/>
              <w:left w:val="nil"/>
              <w:bottom w:val="nil"/>
              <w:right w:val="nil"/>
            </w:tcBorders>
            <w:shd w:val="clear" w:color="auto" w:fill="auto"/>
            <w:noWrap/>
            <w:vAlign w:val="bottom"/>
          </w:tcPr>
          <w:p w14:paraId="2BCE7CB8"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0.012</w:t>
            </w:r>
          </w:p>
        </w:tc>
      </w:tr>
      <w:tr w:rsidR="00734A5B" w:rsidRPr="00245E91" w14:paraId="1A315E44" w14:textId="77777777" w:rsidTr="00116862">
        <w:trPr>
          <w:trHeight w:val="144"/>
        </w:trPr>
        <w:tc>
          <w:tcPr>
            <w:tcW w:w="708" w:type="pct"/>
            <w:tcBorders>
              <w:top w:val="nil"/>
              <w:left w:val="nil"/>
              <w:bottom w:val="nil"/>
              <w:right w:val="nil"/>
            </w:tcBorders>
            <w:shd w:val="clear" w:color="auto" w:fill="auto"/>
            <w:noWrap/>
            <w:vAlign w:val="bottom"/>
          </w:tcPr>
          <w:p w14:paraId="4F1FF612" w14:textId="77777777" w:rsidR="00734A5B" w:rsidRPr="00245E91" w:rsidRDefault="00734A5B" w:rsidP="00116862">
            <w:pPr>
              <w:spacing w:after="0" w:line="240" w:lineRule="auto"/>
              <w:contextualSpacing/>
              <w:rPr>
                <w:rFonts w:ascii="Times New Roman" w:eastAsia="Times New Roman" w:hAnsi="Times New Roman"/>
                <w:i/>
                <w:color w:val="000000"/>
                <w:sz w:val="15"/>
                <w:szCs w:val="15"/>
              </w:rPr>
            </w:pPr>
          </w:p>
        </w:tc>
        <w:tc>
          <w:tcPr>
            <w:tcW w:w="524" w:type="pct"/>
            <w:tcBorders>
              <w:top w:val="nil"/>
              <w:left w:val="nil"/>
              <w:bottom w:val="nil"/>
              <w:right w:val="nil"/>
            </w:tcBorders>
            <w:shd w:val="clear" w:color="auto" w:fill="auto"/>
            <w:noWrap/>
            <w:vAlign w:val="bottom"/>
          </w:tcPr>
          <w:p w14:paraId="182FF240"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(-1.884*)</w:t>
            </w:r>
          </w:p>
        </w:tc>
        <w:tc>
          <w:tcPr>
            <w:tcW w:w="536" w:type="pct"/>
            <w:tcBorders>
              <w:top w:val="nil"/>
              <w:left w:val="nil"/>
              <w:bottom w:val="nil"/>
              <w:right w:val="nil"/>
            </w:tcBorders>
            <w:shd w:val="clear" w:color="auto" w:fill="auto"/>
            <w:noWrap/>
            <w:vAlign w:val="bottom"/>
          </w:tcPr>
          <w:p w14:paraId="026D2F56"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(0.496)</w:t>
            </w:r>
          </w:p>
        </w:tc>
        <w:tc>
          <w:tcPr>
            <w:tcW w:w="536" w:type="pct"/>
            <w:tcBorders>
              <w:top w:val="nil"/>
              <w:left w:val="nil"/>
              <w:bottom w:val="nil"/>
              <w:right w:val="nil"/>
            </w:tcBorders>
            <w:shd w:val="clear" w:color="auto" w:fill="auto"/>
            <w:noWrap/>
            <w:vAlign w:val="bottom"/>
          </w:tcPr>
          <w:p w14:paraId="31BD9E8E"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(1.062)</w:t>
            </w:r>
          </w:p>
        </w:tc>
        <w:tc>
          <w:tcPr>
            <w:tcW w:w="530" w:type="pct"/>
            <w:tcBorders>
              <w:top w:val="nil"/>
              <w:left w:val="nil"/>
              <w:bottom w:val="nil"/>
              <w:right w:val="nil"/>
            </w:tcBorders>
            <w:shd w:val="clear" w:color="auto" w:fill="auto"/>
            <w:noWrap/>
            <w:vAlign w:val="bottom"/>
          </w:tcPr>
          <w:p w14:paraId="52787CC9"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(-0.947)</w:t>
            </w:r>
          </w:p>
        </w:tc>
        <w:tc>
          <w:tcPr>
            <w:tcW w:w="555" w:type="pct"/>
            <w:tcBorders>
              <w:top w:val="nil"/>
              <w:left w:val="nil"/>
              <w:bottom w:val="nil"/>
              <w:right w:val="nil"/>
            </w:tcBorders>
            <w:shd w:val="clear" w:color="auto" w:fill="auto"/>
            <w:noWrap/>
            <w:vAlign w:val="bottom"/>
          </w:tcPr>
          <w:p w14:paraId="73581BA2"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(-0.377)</w:t>
            </w:r>
          </w:p>
        </w:tc>
        <w:tc>
          <w:tcPr>
            <w:tcW w:w="541" w:type="pct"/>
            <w:tcBorders>
              <w:top w:val="nil"/>
              <w:left w:val="nil"/>
              <w:bottom w:val="nil"/>
              <w:right w:val="nil"/>
            </w:tcBorders>
            <w:shd w:val="clear" w:color="auto" w:fill="auto"/>
            <w:noWrap/>
            <w:vAlign w:val="bottom"/>
          </w:tcPr>
          <w:p w14:paraId="16291648"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(0.662)</w:t>
            </w:r>
          </w:p>
        </w:tc>
        <w:tc>
          <w:tcPr>
            <w:tcW w:w="534" w:type="pct"/>
            <w:tcBorders>
              <w:top w:val="nil"/>
              <w:left w:val="nil"/>
              <w:bottom w:val="nil"/>
              <w:right w:val="nil"/>
            </w:tcBorders>
            <w:shd w:val="clear" w:color="auto" w:fill="auto"/>
            <w:noWrap/>
            <w:vAlign w:val="bottom"/>
          </w:tcPr>
          <w:p w14:paraId="41488885"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(0.549)</w:t>
            </w:r>
          </w:p>
        </w:tc>
        <w:tc>
          <w:tcPr>
            <w:tcW w:w="536" w:type="pct"/>
            <w:tcBorders>
              <w:top w:val="nil"/>
              <w:left w:val="nil"/>
              <w:bottom w:val="nil"/>
              <w:right w:val="nil"/>
            </w:tcBorders>
            <w:shd w:val="clear" w:color="auto" w:fill="auto"/>
            <w:noWrap/>
            <w:vAlign w:val="bottom"/>
          </w:tcPr>
          <w:p w14:paraId="16AA3148"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(0.547)</w:t>
            </w:r>
          </w:p>
        </w:tc>
      </w:tr>
      <w:tr w:rsidR="00734A5B" w:rsidRPr="00245E91" w14:paraId="74D5E0B4" w14:textId="77777777" w:rsidTr="00116862">
        <w:trPr>
          <w:trHeight w:val="144"/>
        </w:trPr>
        <w:tc>
          <w:tcPr>
            <w:tcW w:w="708" w:type="pct"/>
            <w:tcBorders>
              <w:top w:val="nil"/>
              <w:left w:val="nil"/>
              <w:bottom w:val="nil"/>
              <w:right w:val="nil"/>
            </w:tcBorders>
            <w:shd w:val="clear" w:color="auto" w:fill="auto"/>
            <w:noWrap/>
            <w:vAlign w:val="bottom"/>
          </w:tcPr>
          <w:p w14:paraId="72FA18A3" w14:textId="77777777" w:rsidR="00734A5B" w:rsidRPr="00245E91" w:rsidRDefault="00734A5B"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STOCKISSUE</w:t>
            </w:r>
          </w:p>
        </w:tc>
        <w:tc>
          <w:tcPr>
            <w:tcW w:w="524" w:type="pct"/>
            <w:tcBorders>
              <w:top w:val="nil"/>
              <w:left w:val="nil"/>
              <w:bottom w:val="nil"/>
              <w:right w:val="nil"/>
            </w:tcBorders>
            <w:shd w:val="clear" w:color="auto" w:fill="auto"/>
            <w:noWrap/>
            <w:vAlign w:val="bottom"/>
          </w:tcPr>
          <w:p w14:paraId="7F901F6B"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-0.034</w:t>
            </w:r>
          </w:p>
        </w:tc>
        <w:tc>
          <w:tcPr>
            <w:tcW w:w="536" w:type="pct"/>
            <w:tcBorders>
              <w:top w:val="nil"/>
              <w:left w:val="nil"/>
              <w:bottom w:val="nil"/>
              <w:right w:val="nil"/>
            </w:tcBorders>
            <w:shd w:val="clear" w:color="auto" w:fill="auto"/>
            <w:noWrap/>
            <w:vAlign w:val="bottom"/>
          </w:tcPr>
          <w:p w14:paraId="571255F6"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-0.009</w:t>
            </w:r>
          </w:p>
        </w:tc>
        <w:tc>
          <w:tcPr>
            <w:tcW w:w="536" w:type="pct"/>
            <w:tcBorders>
              <w:top w:val="nil"/>
              <w:left w:val="nil"/>
              <w:bottom w:val="nil"/>
              <w:right w:val="nil"/>
            </w:tcBorders>
            <w:shd w:val="clear" w:color="auto" w:fill="auto"/>
            <w:noWrap/>
            <w:vAlign w:val="bottom"/>
          </w:tcPr>
          <w:p w14:paraId="7578B593"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0.038</w:t>
            </w:r>
          </w:p>
        </w:tc>
        <w:tc>
          <w:tcPr>
            <w:tcW w:w="530" w:type="pct"/>
            <w:tcBorders>
              <w:top w:val="nil"/>
              <w:left w:val="nil"/>
              <w:bottom w:val="nil"/>
              <w:right w:val="nil"/>
            </w:tcBorders>
            <w:shd w:val="clear" w:color="auto" w:fill="auto"/>
            <w:noWrap/>
            <w:vAlign w:val="bottom"/>
          </w:tcPr>
          <w:p w14:paraId="32DAC83B"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-0.025</w:t>
            </w:r>
          </w:p>
        </w:tc>
        <w:tc>
          <w:tcPr>
            <w:tcW w:w="555" w:type="pct"/>
            <w:tcBorders>
              <w:top w:val="nil"/>
              <w:left w:val="nil"/>
              <w:bottom w:val="nil"/>
              <w:right w:val="nil"/>
            </w:tcBorders>
            <w:shd w:val="clear" w:color="auto" w:fill="auto"/>
            <w:noWrap/>
            <w:vAlign w:val="bottom"/>
          </w:tcPr>
          <w:p w14:paraId="0E4054C8"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-0.006</w:t>
            </w:r>
          </w:p>
        </w:tc>
        <w:tc>
          <w:tcPr>
            <w:tcW w:w="541" w:type="pct"/>
            <w:tcBorders>
              <w:top w:val="nil"/>
              <w:left w:val="nil"/>
              <w:bottom w:val="nil"/>
              <w:right w:val="nil"/>
            </w:tcBorders>
            <w:shd w:val="clear" w:color="auto" w:fill="auto"/>
            <w:noWrap/>
            <w:vAlign w:val="bottom"/>
          </w:tcPr>
          <w:p w14:paraId="55012BDC"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0.027</w:t>
            </w:r>
          </w:p>
        </w:tc>
        <w:tc>
          <w:tcPr>
            <w:tcW w:w="534" w:type="pct"/>
            <w:tcBorders>
              <w:top w:val="nil"/>
              <w:left w:val="nil"/>
              <w:bottom w:val="nil"/>
              <w:right w:val="nil"/>
            </w:tcBorders>
            <w:shd w:val="clear" w:color="auto" w:fill="auto"/>
            <w:noWrap/>
            <w:vAlign w:val="bottom"/>
          </w:tcPr>
          <w:p w14:paraId="28FC8166"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0.034</w:t>
            </w:r>
          </w:p>
        </w:tc>
        <w:tc>
          <w:tcPr>
            <w:tcW w:w="536" w:type="pct"/>
            <w:tcBorders>
              <w:top w:val="nil"/>
              <w:left w:val="nil"/>
              <w:bottom w:val="nil"/>
              <w:right w:val="nil"/>
            </w:tcBorders>
            <w:shd w:val="clear" w:color="auto" w:fill="auto"/>
            <w:noWrap/>
            <w:vAlign w:val="bottom"/>
          </w:tcPr>
          <w:p w14:paraId="79FCDDCC"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0.034</w:t>
            </w:r>
          </w:p>
        </w:tc>
      </w:tr>
      <w:tr w:rsidR="00734A5B" w:rsidRPr="00245E91" w14:paraId="4E3DBD25" w14:textId="77777777" w:rsidTr="00116862">
        <w:trPr>
          <w:trHeight w:val="144"/>
        </w:trPr>
        <w:tc>
          <w:tcPr>
            <w:tcW w:w="708" w:type="pct"/>
            <w:tcBorders>
              <w:top w:val="nil"/>
              <w:left w:val="nil"/>
              <w:bottom w:val="nil"/>
              <w:right w:val="nil"/>
            </w:tcBorders>
            <w:shd w:val="clear" w:color="auto" w:fill="auto"/>
            <w:noWrap/>
            <w:vAlign w:val="bottom"/>
          </w:tcPr>
          <w:p w14:paraId="4C1A547F" w14:textId="77777777" w:rsidR="00734A5B" w:rsidRPr="00245E91" w:rsidRDefault="00734A5B" w:rsidP="00116862">
            <w:pPr>
              <w:spacing w:after="0" w:line="240" w:lineRule="auto"/>
              <w:contextualSpacing/>
              <w:rPr>
                <w:rFonts w:ascii="Times New Roman" w:eastAsia="Times New Roman" w:hAnsi="Times New Roman"/>
                <w:i/>
                <w:color w:val="000000"/>
                <w:sz w:val="15"/>
                <w:szCs w:val="15"/>
              </w:rPr>
            </w:pPr>
          </w:p>
        </w:tc>
        <w:tc>
          <w:tcPr>
            <w:tcW w:w="524" w:type="pct"/>
            <w:tcBorders>
              <w:top w:val="nil"/>
              <w:left w:val="nil"/>
              <w:bottom w:val="nil"/>
              <w:right w:val="nil"/>
            </w:tcBorders>
            <w:shd w:val="clear" w:color="auto" w:fill="auto"/>
            <w:noWrap/>
            <w:vAlign w:val="bottom"/>
          </w:tcPr>
          <w:p w14:paraId="292876C3"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(-1.518)</w:t>
            </w:r>
          </w:p>
        </w:tc>
        <w:tc>
          <w:tcPr>
            <w:tcW w:w="536" w:type="pct"/>
            <w:tcBorders>
              <w:top w:val="nil"/>
              <w:left w:val="nil"/>
              <w:bottom w:val="nil"/>
              <w:right w:val="nil"/>
            </w:tcBorders>
            <w:shd w:val="clear" w:color="auto" w:fill="auto"/>
            <w:noWrap/>
            <w:vAlign w:val="bottom"/>
          </w:tcPr>
          <w:p w14:paraId="1060DC87"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(-0.449)</w:t>
            </w:r>
          </w:p>
        </w:tc>
        <w:tc>
          <w:tcPr>
            <w:tcW w:w="536" w:type="pct"/>
            <w:tcBorders>
              <w:top w:val="nil"/>
              <w:left w:val="nil"/>
              <w:bottom w:val="nil"/>
              <w:right w:val="nil"/>
            </w:tcBorders>
            <w:shd w:val="clear" w:color="auto" w:fill="auto"/>
            <w:noWrap/>
            <w:vAlign w:val="bottom"/>
          </w:tcPr>
          <w:p w14:paraId="6EF8D7AB"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(2.272**)</w:t>
            </w:r>
          </w:p>
        </w:tc>
        <w:tc>
          <w:tcPr>
            <w:tcW w:w="530" w:type="pct"/>
            <w:tcBorders>
              <w:top w:val="nil"/>
              <w:left w:val="nil"/>
              <w:bottom w:val="nil"/>
              <w:right w:val="nil"/>
            </w:tcBorders>
            <w:shd w:val="clear" w:color="auto" w:fill="auto"/>
            <w:noWrap/>
            <w:vAlign w:val="bottom"/>
          </w:tcPr>
          <w:p w14:paraId="5B76B6E7"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(-0.902)</w:t>
            </w:r>
          </w:p>
        </w:tc>
        <w:tc>
          <w:tcPr>
            <w:tcW w:w="555" w:type="pct"/>
            <w:tcBorders>
              <w:top w:val="nil"/>
              <w:left w:val="nil"/>
              <w:bottom w:val="nil"/>
              <w:right w:val="nil"/>
            </w:tcBorders>
            <w:shd w:val="clear" w:color="auto" w:fill="auto"/>
            <w:noWrap/>
            <w:vAlign w:val="bottom"/>
          </w:tcPr>
          <w:p w14:paraId="74539874"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(-0.243)</w:t>
            </w:r>
          </w:p>
        </w:tc>
        <w:tc>
          <w:tcPr>
            <w:tcW w:w="541" w:type="pct"/>
            <w:tcBorders>
              <w:top w:val="nil"/>
              <w:left w:val="nil"/>
              <w:bottom w:val="nil"/>
              <w:right w:val="nil"/>
            </w:tcBorders>
            <w:shd w:val="clear" w:color="auto" w:fill="auto"/>
            <w:noWrap/>
            <w:vAlign w:val="bottom"/>
          </w:tcPr>
          <w:p w14:paraId="460C807E"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(1.638)</w:t>
            </w:r>
          </w:p>
        </w:tc>
        <w:tc>
          <w:tcPr>
            <w:tcW w:w="534" w:type="pct"/>
            <w:tcBorders>
              <w:top w:val="nil"/>
              <w:left w:val="nil"/>
              <w:bottom w:val="nil"/>
              <w:right w:val="nil"/>
            </w:tcBorders>
            <w:shd w:val="clear" w:color="auto" w:fill="auto"/>
            <w:noWrap/>
            <w:vAlign w:val="bottom"/>
          </w:tcPr>
          <w:p w14:paraId="68AA4068"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(2.035**)</w:t>
            </w:r>
          </w:p>
        </w:tc>
        <w:tc>
          <w:tcPr>
            <w:tcW w:w="536" w:type="pct"/>
            <w:tcBorders>
              <w:top w:val="nil"/>
              <w:left w:val="nil"/>
              <w:bottom w:val="nil"/>
              <w:right w:val="nil"/>
            </w:tcBorders>
            <w:shd w:val="clear" w:color="auto" w:fill="auto"/>
            <w:noWrap/>
            <w:vAlign w:val="bottom"/>
          </w:tcPr>
          <w:p w14:paraId="6675BF6E"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(2.025**)</w:t>
            </w:r>
          </w:p>
        </w:tc>
      </w:tr>
      <w:tr w:rsidR="00734A5B" w:rsidRPr="00245E91" w14:paraId="30B8D847" w14:textId="77777777" w:rsidTr="00116862">
        <w:trPr>
          <w:trHeight w:val="144"/>
        </w:trPr>
        <w:tc>
          <w:tcPr>
            <w:tcW w:w="708" w:type="pct"/>
            <w:tcBorders>
              <w:top w:val="nil"/>
              <w:left w:val="nil"/>
              <w:bottom w:val="nil"/>
              <w:right w:val="nil"/>
            </w:tcBorders>
            <w:shd w:val="clear" w:color="auto" w:fill="auto"/>
            <w:noWrap/>
            <w:vAlign w:val="bottom"/>
          </w:tcPr>
          <w:p w14:paraId="318E1AA5" w14:textId="77777777" w:rsidR="00734A5B" w:rsidRPr="00245E91" w:rsidRDefault="00734A5B"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DEBTISSUE</w:t>
            </w:r>
          </w:p>
        </w:tc>
        <w:tc>
          <w:tcPr>
            <w:tcW w:w="524" w:type="pct"/>
            <w:tcBorders>
              <w:top w:val="nil"/>
              <w:left w:val="nil"/>
              <w:bottom w:val="nil"/>
              <w:right w:val="nil"/>
            </w:tcBorders>
            <w:shd w:val="clear" w:color="auto" w:fill="auto"/>
            <w:noWrap/>
            <w:vAlign w:val="bottom"/>
          </w:tcPr>
          <w:p w14:paraId="33A0FC7E"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-0.040</w:t>
            </w:r>
          </w:p>
        </w:tc>
        <w:tc>
          <w:tcPr>
            <w:tcW w:w="536" w:type="pct"/>
            <w:tcBorders>
              <w:top w:val="nil"/>
              <w:left w:val="nil"/>
              <w:bottom w:val="nil"/>
              <w:right w:val="nil"/>
            </w:tcBorders>
            <w:shd w:val="clear" w:color="auto" w:fill="auto"/>
            <w:noWrap/>
            <w:vAlign w:val="bottom"/>
          </w:tcPr>
          <w:p w14:paraId="42032B5D"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0.016</w:t>
            </w:r>
          </w:p>
        </w:tc>
        <w:tc>
          <w:tcPr>
            <w:tcW w:w="536" w:type="pct"/>
            <w:tcBorders>
              <w:top w:val="nil"/>
              <w:left w:val="nil"/>
              <w:bottom w:val="nil"/>
              <w:right w:val="nil"/>
            </w:tcBorders>
            <w:shd w:val="clear" w:color="auto" w:fill="auto"/>
            <w:noWrap/>
            <w:vAlign w:val="bottom"/>
          </w:tcPr>
          <w:p w14:paraId="0EA37477"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-0.035</w:t>
            </w:r>
          </w:p>
        </w:tc>
        <w:tc>
          <w:tcPr>
            <w:tcW w:w="530" w:type="pct"/>
            <w:tcBorders>
              <w:top w:val="nil"/>
              <w:left w:val="nil"/>
              <w:bottom w:val="nil"/>
              <w:right w:val="nil"/>
            </w:tcBorders>
            <w:shd w:val="clear" w:color="auto" w:fill="auto"/>
            <w:noWrap/>
            <w:vAlign w:val="bottom"/>
          </w:tcPr>
          <w:p w14:paraId="2FB7BF5D"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-0.018</w:t>
            </w:r>
          </w:p>
        </w:tc>
        <w:tc>
          <w:tcPr>
            <w:tcW w:w="555" w:type="pct"/>
            <w:tcBorders>
              <w:top w:val="nil"/>
              <w:left w:val="nil"/>
              <w:bottom w:val="nil"/>
              <w:right w:val="nil"/>
            </w:tcBorders>
            <w:shd w:val="clear" w:color="auto" w:fill="auto"/>
            <w:noWrap/>
            <w:vAlign w:val="bottom"/>
          </w:tcPr>
          <w:p w14:paraId="37352D39"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-0.028</w:t>
            </w:r>
          </w:p>
        </w:tc>
        <w:tc>
          <w:tcPr>
            <w:tcW w:w="541" w:type="pct"/>
            <w:tcBorders>
              <w:top w:val="nil"/>
              <w:left w:val="nil"/>
              <w:bottom w:val="nil"/>
              <w:right w:val="nil"/>
            </w:tcBorders>
            <w:shd w:val="clear" w:color="auto" w:fill="auto"/>
            <w:noWrap/>
            <w:vAlign w:val="bottom"/>
          </w:tcPr>
          <w:p w14:paraId="0E14C6C4"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-0.011</w:t>
            </w:r>
          </w:p>
        </w:tc>
        <w:tc>
          <w:tcPr>
            <w:tcW w:w="534" w:type="pct"/>
            <w:tcBorders>
              <w:top w:val="nil"/>
              <w:left w:val="nil"/>
              <w:bottom w:val="nil"/>
              <w:right w:val="nil"/>
            </w:tcBorders>
            <w:shd w:val="clear" w:color="auto" w:fill="auto"/>
            <w:noWrap/>
            <w:vAlign w:val="bottom"/>
          </w:tcPr>
          <w:p w14:paraId="4E1A05A0"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-0.016</w:t>
            </w:r>
          </w:p>
        </w:tc>
        <w:tc>
          <w:tcPr>
            <w:tcW w:w="536" w:type="pct"/>
            <w:tcBorders>
              <w:top w:val="nil"/>
              <w:left w:val="nil"/>
              <w:bottom w:val="nil"/>
              <w:right w:val="nil"/>
            </w:tcBorders>
            <w:shd w:val="clear" w:color="auto" w:fill="auto"/>
            <w:noWrap/>
            <w:vAlign w:val="bottom"/>
          </w:tcPr>
          <w:p w14:paraId="57569C59"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-0.016</w:t>
            </w:r>
          </w:p>
        </w:tc>
      </w:tr>
      <w:tr w:rsidR="00734A5B" w:rsidRPr="00245E91" w14:paraId="092548B8" w14:textId="77777777" w:rsidTr="00116862">
        <w:trPr>
          <w:trHeight w:val="144"/>
        </w:trPr>
        <w:tc>
          <w:tcPr>
            <w:tcW w:w="708" w:type="pct"/>
            <w:tcBorders>
              <w:top w:val="nil"/>
              <w:left w:val="nil"/>
              <w:bottom w:val="nil"/>
              <w:right w:val="nil"/>
            </w:tcBorders>
            <w:shd w:val="clear" w:color="auto" w:fill="auto"/>
            <w:noWrap/>
            <w:vAlign w:val="bottom"/>
          </w:tcPr>
          <w:p w14:paraId="3E4DDC62" w14:textId="77777777" w:rsidR="00734A5B" w:rsidRPr="00245E91" w:rsidRDefault="00734A5B" w:rsidP="00116862">
            <w:pPr>
              <w:spacing w:after="0" w:line="240" w:lineRule="auto"/>
              <w:contextualSpacing/>
              <w:rPr>
                <w:rFonts w:ascii="Times New Roman" w:eastAsia="Times New Roman" w:hAnsi="Times New Roman"/>
                <w:i/>
                <w:color w:val="000000"/>
                <w:sz w:val="15"/>
                <w:szCs w:val="15"/>
              </w:rPr>
            </w:pPr>
          </w:p>
        </w:tc>
        <w:tc>
          <w:tcPr>
            <w:tcW w:w="524" w:type="pct"/>
            <w:tcBorders>
              <w:top w:val="nil"/>
              <w:left w:val="nil"/>
              <w:bottom w:val="nil"/>
              <w:right w:val="nil"/>
            </w:tcBorders>
            <w:shd w:val="clear" w:color="auto" w:fill="auto"/>
            <w:noWrap/>
            <w:vAlign w:val="bottom"/>
          </w:tcPr>
          <w:p w14:paraId="4C0C651B"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(-1.622)</w:t>
            </w:r>
          </w:p>
        </w:tc>
        <w:tc>
          <w:tcPr>
            <w:tcW w:w="536" w:type="pct"/>
            <w:tcBorders>
              <w:top w:val="nil"/>
              <w:left w:val="nil"/>
              <w:bottom w:val="nil"/>
              <w:right w:val="nil"/>
            </w:tcBorders>
            <w:shd w:val="clear" w:color="auto" w:fill="auto"/>
            <w:noWrap/>
            <w:vAlign w:val="bottom"/>
          </w:tcPr>
          <w:p w14:paraId="128F9DEB"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(0.650)</w:t>
            </w:r>
          </w:p>
        </w:tc>
        <w:tc>
          <w:tcPr>
            <w:tcW w:w="536" w:type="pct"/>
            <w:tcBorders>
              <w:top w:val="nil"/>
              <w:left w:val="nil"/>
              <w:bottom w:val="nil"/>
              <w:right w:val="nil"/>
            </w:tcBorders>
            <w:shd w:val="clear" w:color="auto" w:fill="auto"/>
            <w:noWrap/>
            <w:vAlign w:val="bottom"/>
          </w:tcPr>
          <w:p w14:paraId="2AAA036F"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(-1.704*)</w:t>
            </w:r>
          </w:p>
        </w:tc>
        <w:tc>
          <w:tcPr>
            <w:tcW w:w="530" w:type="pct"/>
            <w:tcBorders>
              <w:top w:val="nil"/>
              <w:left w:val="nil"/>
              <w:bottom w:val="nil"/>
              <w:right w:val="nil"/>
            </w:tcBorders>
            <w:shd w:val="clear" w:color="auto" w:fill="auto"/>
            <w:noWrap/>
            <w:vAlign w:val="bottom"/>
          </w:tcPr>
          <w:p w14:paraId="5752829A"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(-0.672)</w:t>
            </w:r>
          </w:p>
        </w:tc>
        <w:tc>
          <w:tcPr>
            <w:tcW w:w="555" w:type="pct"/>
            <w:tcBorders>
              <w:top w:val="nil"/>
              <w:left w:val="nil"/>
              <w:bottom w:val="nil"/>
              <w:right w:val="nil"/>
            </w:tcBorders>
            <w:shd w:val="clear" w:color="auto" w:fill="auto"/>
            <w:noWrap/>
            <w:vAlign w:val="bottom"/>
          </w:tcPr>
          <w:p w14:paraId="13694084"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(-1.091)</w:t>
            </w:r>
          </w:p>
        </w:tc>
        <w:tc>
          <w:tcPr>
            <w:tcW w:w="541" w:type="pct"/>
            <w:tcBorders>
              <w:top w:val="nil"/>
              <w:left w:val="nil"/>
              <w:bottom w:val="nil"/>
              <w:right w:val="nil"/>
            </w:tcBorders>
            <w:shd w:val="clear" w:color="auto" w:fill="auto"/>
            <w:noWrap/>
            <w:vAlign w:val="bottom"/>
          </w:tcPr>
          <w:p w14:paraId="47DCB104"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(-0.623)</w:t>
            </w:r>
          </w:p>
        </w:tc>
        <w:tc>
          <w:tcPr>
            <w:tcW w:w="534" w:type="pct"/>
            <w:tcBorders>
              <w:top w:val="nil"/>
              <w:left w:val="nil"/>
              <w:bottom w:val="nil"/>
              <w:right w:val="nil"/>
            </w:tcBorders>
            <w:shd w:val="clear" w:color="auto" w:fill="auto"/>
            <w:noWrap/>
            <w:vAlign w:val="bottom"/>
          </w:tcPr>
          <w:p w14:paraId="787FAE9B"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(-0.869)</w:t>
            </w:r>
          </w:p>
        </w:tc>
        <w:tc>
          <w:tcPr>
            <w:tcW w:w="536" w:type="pct"/>
            <w:tcBorders>
              <w:top w:val="nil"/>
              <w:left w:val="nil"/>
              <w:bottom w:val="nil"/>
              <w:right w:val="nil"/>
            </w:tcBorders>
            <w:shd w:val="clear" w:color="auto" w:fill="auto"/>
            <w:noWrap/>
            <w:vAlign w:val="bottom"/>
          </w:tcPr>
          <w:p w14:paraId="555A6D70"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(-0.870)</w:t>
            </w:r>
          </w:p>
        </w:tc>
      </w:tr>
      <w:tr w:rsidR="00734A5B" w:rsidRPr="00245E91" w14:paraId="6F1C635C" w14:textId="77777777" w:rsidTr="00116862">
        <w:trPr>
          <w:trHeight w:val="144"/>
        </w:trPr>
        <w:tc>
          <w:tcPr>
            <w:tcW w:w="708" w:type="pct"/>
            <w:tcBorders>
              <w:top w:val="nil"/>
              <w:left w:val="nil"/>
              <w:bottom w:val="nil"/>
              <w:right w:val="nil"/>
            </w:tcBorders>
            <w:shd w:val="clear" w:color="auto" w:fill="auto"/>
            <w:noWrap/>
            <w:vAlign w:val="bottom"/>
            <w:hideMark/>
          </w:tcPr>
          <w:p w14:paraId="766364F3" w14:textId="77777777" w:rsidR="00734A5B" w:rsidRPr="00245E91" w:rsidRDefault="00734A5B"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BIG8</w:t>
            </w:r>
          </w:p>
        </w:tc>
        <w:tc>
          <w:tcPr>
            <w:tcW w:w="524" w:type="pct"/>
            <w:tcBorders>
              <w:top w:val="nil"/>
              <w:left w:val="nil"/>
              <w:bottom w:val="nil"/>
              <w:right w:val="nil"/>
            </w:tcBorders>
            <w:shd w:val="clear" w:color="auto" w:fill="auto"/>
            <w:noWrap/>
            <w:vAlign w:val="bottom"/>
            <w:hideMark/>
          </w:tcPr>
          <w:p w14:paraId="5E24C1A0"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0.029</w:t>
            </w:r>
          </w:p>
        </w:tc>
        <w:tc>
          <w:tcPr>
            <w:tcW w:w="536" w:type="pct"/>
            <w:tcBorders>
              <w:top w:val="nil"/>
              <w:left w:val="nil"/>
              <w:bottom w:val="nil"/>
              <w:right w:val="nil"/>
            </w:tcBorders>
            <w:shd w:val="clear" w:color="auto" w:fill="auto"/>
            <w:noWrap/>
            <w:vAlign w:val="bottom"/>
            <w:hideMark/>
          </w:tcPr>
          <w:p w14:paraId="43250100"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-0.011</w:t>
            </w:r>
          </w:p>
        </w:tc>
        <w:tc>
          <w:tcPr>
            <w:tcW w:w="536" w:type="pct"/>
            <w:tcBorders>
              <w:top w:val="nil"/>
              <w:left w:val="nil"/>
              <w:bottom w:val="nil"/>
              <w:right w:val="nil"/>
            </w:tcBorders>
            <w:shd w:val="clear" w:color="auto" w:fill="auto"/>
            <w:noWrap/>
            <w:vAlign w:val="bottom"/>
            <w:hideMark/>
          </w:tcPr>
          <w:p w14:paraId="7DA429B9"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-0.026</w:t>
            </w:r>
          </w:p>
        </w:tc>
        <w:tc>
          <w:tcPr>
            <w:tcW w:w="530" w:type="pct"/>
            <w:tcBorders>
              <w:top w:val="nil"/>
              <w:left w:val="nil"/>
              <w:bottom w:val="nil"/>
              <w:right w:val="nil"/>
            </w:tcBorders>
            <w:shd w:val="clear" w:color="auto" w:fill="auto"/>
            <w:noWrap/>
            <w:vAlign w:val="bottom"/>
            <w:hideMark/>
          </w:tcPr>
          <w:p w14:paraId="1DE19E69"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0.014</w:t>
            </w:r>
          </w:p>
        </w:tc>
        <w:tc>
          <w:tcPr>
            <w:tcW w:w="555" w:type="pct"/>
            <w:tcBorders>
              <w:top w:val="nil"/>
              <w:left w:val="nil"/>
              <w:bottom w:val="nil"/>
              <w:right w:val="nil"/>
            </w:tcBorders>
            <w:shd w:val="clear" w:color="auto" w:fill="auto"/>
            <w:noWrap/>
            <w:vAlign w:val="bottom"/>
            <w:hideMark/>
          </w:tcPr>
          <w:p w14:paraId="7386F3E3"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0.005</w:t>
            </w:r>
          </w:p>
        </w:tc>
        <w:tc>
          <w:tcPr>
            <w:tcW w:w="541" w:type="pct"/>
            <w:tcBorders>
              <w:top w:val="nil"/>
              <w:left w:val="nil"/>
              <w:bottom w:val="nil"/>
              <w:right w:val="nil"/>
            </w:tcBorders>
            <w:shd w:val="clear" w:color="auto" w:fill="auto"/>
            <w:noWrap/>
            <w:vAlign w:val="bottom"/>
            <w:hideMark/>
          </w:tcPr>
          <w:p w14:paraId="1B475230"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-0.055</w:t>
            </w:r>
          </w:p>
        </w:tc>
        <w:tc>
          <w:tcPr>
            <w:tcW w:w="534" w:type="pct"/>
            <w:tcBorders>
              <w:top w:val="nil"/>
              <w:left w:val="nil"/>
              <w:bottom w:val="nil"/>
              <w:right w:val="nil"/>
            </w:tcBorders>
            <w:shd w:val="clear" w:color="auto" w:fill="auto"/>
            <w:noWrap/>
            <w:vAlign w:val="bottom"/>
            <w:hideMark/>
          </w:tcPr>
          <w:p w14:paraId="1A28C5B2"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-0.053</w:t>
            </w:r>
          </w:p>
        </w:tc>
        <w:tc>
          <w:tcPr>
            <w:tcW w:w="536" w:type="pct"/>
            <w:tcBorders>
              <w:top w:val="nil"/>
              <w:left w:val="nil"/>
              <w:bottom w:val="nil"/>
              <w:right w:val="nil"/>
            </w:tcBorders>
            <w:shd w:val="clear" w:color="auto" w:fill="auto"/>
            <w:noWrap/>
            <w:vAlign w:val="bottom"/>
            <w:hideMark/>
          </w:tcPr>
          <w:p w14:paraId="2934F15E"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-0.053</w:t>
            </w:r>
          </w:p>
        </w:tc>
      </w:tr>
      <w:tr w:rsidR="00734A5B" w:rsidRPr="00245E91" w14:paraId="22BF4DF7" w14:textId="77777777" w:rsidTr="00116862">
        <w:trPr>
          <w:trHeight w:val="144"/>
        </w:trPr>
        <w:tc>
          <w:tcPr>
            <w:tcW w:w="708" w:type="pct"/>
            <w:tcBorders>
              <w:top w:val="nil"/>
              <w:left w:val="nil"/>
              <w:bottom w:val="nil"/>
              <w:right w:val="nil"/>
            </w:tcBorders>
            <w:shd w:val="clear" w:color="auto" w:fill="auto"/>
            <w:noWrap/>
            <w:vAlign w:val="bottom"/>
            <w:hideMark/>
          </w:tcPr>
          <w:p w14:paraId="2F1CB3D0" w14:textId="77777777" w:rsidR="00734A5B" w:rsidRPr="00245E91" w:rsidRDefault="00734A5B" w:rsidP="00116862">
            <w:pPr>
              <w:spacing w:after="0" w:line="240" w:lineRule="auto"/>
              <w:contextualSpacing/>
              <w:rPr>
                <w:rFonts w:ascii="Times New Roman" w:eastAsia="Times New Roman" w:hAnsi="Times New Roman"/>
                <w:i/>
                <w:color w:val="000000"/>
                <w:sz w:val="15"/>
                <w:szCs w:val="15"/>
              </w:rPr>
            </w:pPr>
          </w:p>
        </w:tc>
        <w:tc>
          <w:tcPr>
            <w:tcW w:w="524" w:type="pct"/>
            <w:tcBorders>
              <w:top w:val="nil"/>
              <w:left w:val="nil"/>
              <w:bottom w:val="nil"/>
              <w:right w:val="nil"/>
            </w:tcBorders>
            <w:shd w:val="clear" w:color="auto" w:fill="auto"/>
            <w:noWrap/>
            <w:vAlign w:val="bottom"/>
            <w:hideMark/>
          </w:tcPr>
          <w:p w14:paraId="7B2B01E9"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(1.004)</w:t>
            </w:r>
          </w:p>
        </w:tc>
        <w:tc>
          <w:tcPr>
            <w:tcW w:w="536" w:type="pct"/>
            <w:tcBorders>
              <w:top w:val="nil"/>
              <w:left w:val="nil"/>
              <w:bottom w:val="nil"/>
              <w:right w:val="nil"/>
            </w:tcBorders>
            <w:shd w:val="clear" w:color="auto" w:fill="auto"/>
            <w:noWrap/>
            <w:vAlign w:val="bottom"/>
            <w:hideMark/>
          </w:tcPr>
          <w:p w14:paraId="3BF52F32"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(-0.427)</w:t>
            </w:r>
          </w:p>
        </w:tc>
        <w:tc>
          <w:tcPr>
            <w:tcW w:w="536" w:type="pct"/>
            <w:tcBorders>
              <w:top w:val="nil"/>
              <w:left w:val="nil"/>
              <w:bottom w:val="nil"/>
              <w:right w:val="nil"/>
            </w:tcBorders>
            <w:shd w:val="clear" w:color="auto" w:fill="auto"/>
            <w:noWrap/>
            <w:vAlign w:val="bottom"/>
            <w:hideMark/>
          </w:tcPr>
          <w:p w14:paraId="48206C34"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(-1.029)</w:t>
            </w:r>
          </w:p>
        </w:tc>
        <w:tc>
          <w:tcPr>
            <w:tcW w:w="530" w:type="pct"/>
            <w:tcBorders>
              <w:top w:val="nil"/>
              <w:left w:val="nil"/>
              <w:bottom w:val="nil"/>
              <w:right w:val="nil"/>
            </w:tcBorders>
            <w:shd w:val="clear" w:color="auto" w:fill="auto"/>
            <w:noWrap/>
            <w:vAlign w:val="bottom"/>
            <w:hideMark/>
          </w:tcPr>
          <w:p w14:paraId="1EE3D4F8"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(0.472)</w:t>
            </w:r>
          </w:p>
        </w:tc>
        <w:tc>
          <w:tcPr>
            <w:tcW w:w="555" w:type="pct"/>
            <w:tcBorders>
              <w:top w:val="nil"/>
              <w:left w:val="nil"/>
              <w:bottom w:val="nil"/>
              <w:right w:val="nil"/>
            </w:tcBorders>
            <w:shd w:val="clear" w:color="auto" w:fill="auto"/>
            <w:noWrap/>
            <w:vAlign w:val="bottom"/>
            <w:hideMark/>
          </w:tcPr>
          <w:p w14:paraId="256DEBE9"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(0.162)</w:t>
            </w:r>
          </w:p>
        </w:tc>
        <w:tc>
          <w:tcPr>
            <w:tcW w:w="541" w:type="pct"/>
            <w:tcBorders>
              <w:top w:val="nil"/>
              <w:left w:val="nil"/>
              <w:bottom w:val="nil"/>
              <w:right w:val="nil"/>
            </w:tcBorders>
            <w:shd w:val="clear" w:color="auto" w:fill="auto"/>
            <w:noWrap/>
            <w:vAlign w:val="bottom"/>
            <w:hideMark/>
          </w:tcPr>
          <w:p w14:paraId="05001DDE"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(-2.555**)</w:t>
            </w:r>
          </w:p>
        </w:tc>
        <w:tc>
          <w:tcPr>
            <w:tcW w:w="534" w:type="pct"/>
            <w:tcBorders>
              <w:top w:val="nil"/>
              <w:left w:val="nil"/>
              <w:bottom w:val="nil"/>
              <w:right w:val="nil"/>
            </w:tcBorders>
            <w:shd w:val="clear" w:color="auto" w:fill="auto"/>
            <w:noWrap/>
            <w:vAlign w:val="bottom"/>
            <w:hideMark/>
          </w:tcPr>
          <w:p w14:paraId="7086876A"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(-2.401**)</w:t>
            </w:r>
          </w:p>
        </w:tc>
        <w:tc>
          <w:tcPr>
            <w:tcW w:w="536" w:type="pct"/>
            <w:tcBorders>
              <w:top w:val="nil"/>
              <w:left w:val="nil"/>
              <w:bottom w:val="nil"/>
              <w:right w:val="nil"/>
            </w:tcBorders>
            <w:shd w:val="clear" w:color="auto" w:fill="auto"/>
            <w:noWrap/>
            <w:vAlign w:val="bottom"/>
            <w:hideMark/>
          </w:tcPr>
          <w:p w14:paraId="7405EF6E"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(-2.407**)</w:t>
            </w:r>
          </w:p>
        </w:tc>
      </w:tr>
      <w:tr w:rsidR="00734A5B" w:rsidRPr="00245E91" w14:paraId="76C30503" w14:textId="77777777" w:rsidTr="00116862">
        <w:trPr>
          <w:trHeight w:val="144"/>
        </w:trPr>
        <w:tc>
          <w:tcPr>
            <w:tcW w:w="708" w:type="pct"/>
            <w:tcBorders>
              <w:top w:val="nil"/>
              <w:left w:val="nil"/>
              <w:bottom w:val="nil"/>
              <w:right w:val="nil"/>
            </w:tcBorders>
            <w:shd w:val="clear" w:color="auto" w:fill="auto"/>
            <w:noWrap/>
            <w:vAlign w:val="bottom"/>
            <w:hideMark/>
          </w:tcPr>
          <w:p w14:paraId="201ED213" w14:textId="77777777" w:rsidR="00734A5B" w:rsidRPr="00245E91" w:rsidRDefault="00734A5B"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TENURE</w:t>
            </w:r>
          </w:p>
        </w:tc>
        <w:tc>
          <w:tcPr>
            <w:tcW w:w="524" w:type="pct"/>
            <w:tcBorders>
              <w:top w:val="nil"/>
              <w:left w:val="nil"/>
              <w:bottom w:val="nil"/>
              <w:right w:val="nil"/>
            </w:tcBorders>
            <w:shd w:val="clear" w:color="auto" w:fill="auto"/>
            <w:noWrap/>
            <w:vAlign w:val="bottom"/>
            <w:hideMark/>
          </w:tcPr>
          <w:p w14:paraId="596DF878"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0.052</w:t>
            </w:r>
          </w:p>
        </w:tc>
        <w:tc>
          <w:tcPr>
            <w:tcW w:w="536" w:type="pct"/>
            <w:tcBorders>
              <w:top w:val="nil"/>
              <w:left w:val="nil"/>
              <w:bottom w:val="nil"/>
              <w:right w:val="nil"/>
            </w:tcBorders>
            <w:shd w:val="clear" w:color="auto" w:fill="auto"/>
            <w:noWrap/>
            <w:vAlign w:val="bottom"/>
            <w:hideMark/>
          </w:tcPr>
          <w:p w14:paraId="6AE1FE11"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0.014</w:t>
            </w:r>
          </w:p>
        </w:tc>
        <w:tc>
          <w:tcPr>
            <w:tcW w:w="536" w:type="pct"/>
            <w:tcBorders>
              <w:top w:val="nil"/>
              <w:left w:val="nil"/>
              <w:bottom w:val="nil"/>
              <w:right w:val="nil"/>
            </w:tcBorders>
            <w:shd w:val="clear" w:color="auto" w:fill="auto"/>
            <w:noWrap/>
            <w:vAlign w:val="bottom"/>
            <w:hideMark/>
          </w:tcPr>
          <w:p w14:paraId="7ADCB048"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0.005</w:t>
            </w:r>
          </w:p>
        </w:tc>
        <w:tc>
          <w:tcPr>
            <w:tcW w:w="530" w:type="pct"/>
            <w:tcBorders>
              <w:top w:val="nil"/>
              <w:left w:val="nil"/>
              <w:bottom w:val="nil"/>
              <w:right w:val="nil"/>
            </w:tcBorders>
            <w:shd w:val="clear" w:color="auto" w:fill="auto"/>
            <w:noWrap/>
            <w:vAlign w:val="bottom"/>
            <w:hideMark/>
          </w:tcPr>
          <w:p w14:paraId="7F63BFC0"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0.053</w:t>
            </w:r>
          </w:p>
        </w:tc>
        <w:tc>
          <w:tcPr>
            <w:tcW w:w="555" w:type="pct"/>
            <w:tcBorders>
              <w:top w:val="nil"/>
              <w:left w:val="nil"/>
              <w:bottom w:val="nil"/>
              <w:right w:val="nil"/>
            </w:tcBorders>
            <w:shd w:val="clear" w:color="auto" w:fill="auto"/>
            <w:noWrap/>
            <w:vAlign w:val="bottom"/>
            <w:hideMark/>
          </w:tcPr>
          <w:p w14:paraId="30C023DC"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0.053</w:t>
            </w:r>
          </w:p>
        </w:tc>
        <w:tc>
          <w:tcPr>
            <w:tcW w:w="541" w:type="pct"/>
            <w:tcBorders>
              <w:top w:val="nil"/>
              <w:left w:val="nil"/>
              <w:bottom w:val="nil"/>
              <w:right w:val="nil"/>
            </w:tcBorders>
            <w:shd w:val="clear" w:color="auto" w:fill="auto"/>
            <w:noWrap/>
            <w:vAlign w:val="bottom"/>
            <w:hideMark/>
          </w:tcPr>
          <w:p w14:paraId="562C732E"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0.031</w:t>
            </w:r>
          </w:p>
        </w:tc>
        <w:tc>
          <w:tcPr>
            <w:tcW w:w="534" w:type="pct"/>
            <w:tcBorders>
              <w:top w:val="nil"/>
              <w:left w:val="nil"/>
              <w:bottom w:val="nil"/>
              <w:right w:val="nil"/>
            </w:tcBorders>
            <w:shd w:val="clear" w:color="auto" w:fill="auto"/>
            <w:noWrap/>
            <w:vAlign w:val="bottom"/>
            <w:hideMark/>
          </w:tcPr>
          <w:p w14:paraId="024B97C3"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0.026</w:t>
            </w:r>
          </w:p>
        </w:tc>
        <w:tc>
          <w:tcPr>
            <w:tcW w:w="536" w:type="pct"/>
            <w:tcBorders>
              <w:top w:val="nil"/>
              <w:left w:val="nil"/>
              <w:bottom w:val="nil"/>
              <w:right w:val="nil"/>
            </w:tcBorders>
            <w:shd w:val="clear" w:color="auto" w:fill="auto"/>
            <w:noWrap/>
            <w:vAlign w:val="bottom"/>
            <w:hideMark/>
          </w:tcPr>
          <w:p w14:paraId="2909C478"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0.026</w:t>
            </w:r>
          </w:p>
        </w:tc>
      </w:tr>
      <w:tr w:rsidR="00734A5B" w:rsidRPr="00245E91" w14:paraId="185F4775" w14:textId="77777777" w:rsidTr="00116862">
        <w:trPr>
          <w:trHeight w:val="144"/>
        </w:trPr>
        <w:tc>
          <w:tcPr>
            <w:tcW w:w="708" w:type="pct"/>
            <w:tcBorders>
              <w:top w:val="nil"/>
              <w:left w:val="nil"/>
              <w:bottom w:val="nil"/>
              <w:right w:val="nil"/>
            </w:tcBorders>
            <w:shd w:val="clear" w:color="auto" w:fill="auto"/>
            <w:noWrap/>
            <w:vAlign w:val="bottom"/>
            <w:hideMark/>
          </w:tcPr>
          <w:p w14:paraId="32A437A1" w14:textId="77777777" w:rsidR="00734A5B" w:rsidRPr="00245E91" w:rsidRDefault="00734A5B" w:rsidP="00116862">
            <w:pPr>
              <w:spacing w:after="0" w:line="240" w:lineRule="auto"/>
              <w:contextualSpacing/>
              <w:rPr>
                <w:rFonts w:ascii="Times New Roman" w:eastAsia="Times New Roman" w:hAnsi="Times New Roman"/>
                <w:i/>
                <w:color w:val="000000"/>
                <w:sz w:val="15"/>
                <w:szCs w:val="15"/>
              </w:rPr>
            </w:pPr>
          </w:p>
        </w:tc>
        <w:tc>
          <w:tcPr>
            <w:tcW w:w="524" w:type="pct"/>
            <w:tcBorders>
              <w:top w:val="nil"/>
              <w:left w:val="nil"/>
              <w:bottom w:val="nil"/>
              <w:right w:val="nil"/>
            </w:tcBorders>
            <w:shd w:val="clear" w:color="auto" w:fill="auto"/>
            <w:noWrap/>
            <w:vAlign w:val="bottom"/>
            <w:hideMark/>
          </w:tcPr>
          <w:p w14:paraId="60F6F8EC"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(1.481)</w:t>
            </w:r>
          </w:p>
        </w:tc>
        <w:tc>
          <w:tcPr>
            <w:tcW w:w="536" w:type="pct"/>
            <w:tcBorders>
              <w:top w:val="nil"/>
              <w:left w:val="nil"/>
              <w:bottom w:val="nil"/>
              <w:right w:val="nil"/>
            </w:tcBorders>
            <w:shd w:val="clear" w:color="auto" w:fill="auto"/>
            <w:noWrap/>
            <w:vAlign w:val="bottom"/>
            <w:hideMark/>
          </w:tcPr>
          <w:p w14:paraId="7DB862FA"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(0.574)</w:t>
            </w:r>
          </w:p>
        </w:tc>
        <w:tc>
          <w:tcPr>
            <w:tcW w:w="536" w:type="pct"/>
            <w:tcBorders>
              <w:top w:val="nil"/>
              <w:left w:val="nil"/>
              <w:bottom w:val="nil"/>
              <w:right w:val="nil"/>
            </w:tcBorders>
            <w:shd w:val="clear" w:color="auto" w:fill="auto"/>
            <w:noWrap/>
            <w:vAlign w:val="bottom"/>
            <w:hideMark/>
          </w:tcPr>
          <w:p w14:paraId="25BA0A95"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(0.200)</w:t>
            </w:r>
          </w:p>
        </w:tc>
        <w:tc>
          <w:tcPr>
            <w:tcW w:w="530" w:type="pct"/>
            <w:tcBorders>
              <w:top w:val="nil"/>
              <w:left w:val="nil"/>
              <w:bottom w:val="nil"/>
              <w:right w:val="nil"/>
            </w:tcBorders>
            <w:shd w:val="clear" w:color="auto" w:fill="auto"/>
            <w:noWrap/>
            <w:vAlign w:val="bottom"/>
            <w:hideMark/>
          </w:tcPr>
          <w:p w14:paraId="6D34B00C"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(1.924*)</w:t>
            </w:r>
          </w:p>
        </w:tc>
        <w:tc>
          <w:tcPr>
            <w:tcW w:w="555" w:type="pct"/>
            <w:tcBorders>
              <w:top w:val="nil"/>
              <w:left w:val="nil"/>
              <w:bottom w:val="nil"/>
              <w:right w:val="nil"/>
            </w:tcBorders>
            <w:shd w:val="clear" w:color="auto" w:fill="auto"/>
            <w:noWrap/>
            <w:vAlign w:val="bottom"/>
            <w:hideMark/>
          </w:tcPr>
          <w:p w14:paraId="1952A5DC"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(2.265**)</w:t>
            </w:r>
          </w:p>
        </w:tc>
        <w:tc>
          <w:tcPr>
            <w:tcW w:w="541" w:type="pct"/>
            <w:tcBorders>
              <w:top w:val="nil"/>
              <w:left w:val="nil"/>
              <w:bottom w:val="nil"/>
              <w:right w:val="nil"/>
            </w:tcBorders>
            <w:shd w:val="clear" w:color="auto" w:fill="auto"/>
            <w:noWrap/>
            <w:vAlign w:val="bottom"/>
            <w:hideMark/>
          </w:tcPr>
          <w:p w14:paraId="12B1B92C"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(1.761*)</w:t>
            </w:r>
          </w:p>
        </w:tc>
        <w:tc>
          <w:tcPr>
            <w:tcW w:w="534" w:type="pct"/>
            <w:tcBorders>
              <w:top w:val="nil"/>
              <w:left w:val="nil"/>
              <w:bottom w:val="nil"/>
              <w:right w:val="nil"/>
            </w:tcBorders>
            <w:shd w:val="clear" w:color="auto" w:fill="auto"/>
            <w:noWrap/>
            <w:vAlign w:val="bottom"/>
            <w:hideMark/>
          </w:tcPr>
          <w:p w14:paraId="47199511"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(1.525)</w:t>
            </w:r>
          </w:p>
        </w:tc>
        <w:tc>
          <w:tcPr>
            <w:tcW w:w="536" w:type="pct"/>
            <w:tcBorders>
              <w:top w:val="nil"/>
              <w:left w:val="nil"/>
              <w:bottom w:val="nil"/>
              <w:right w:val="nil"/>
            </w:tcBorders>
            <w:shd w:val="clear" w:color="auto" w:fill="auto"/>
            <w:noWrap/>
            <w:vAlign w:val="bottom"/>
            <w:hideMark/>
          </w:tcPr>
          <w:p w14:paraId="3B787CFA"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(1.459)</w:t>
            </w:r>
          </w:p>
        </w:tc>
      </w:tr>
      <w:tr w:rsidR="00734A5B" w:rsidRPr="00245E91" w14:paraId="5E49527D" w14:textId="77777777" w:rsidTr="00116862">
        <w:trPr>
          <w:trHeight w:val="144"/>
        </w:trPr>
        <w:tc>
          <w:tcPr>
            <w:tcW w:w="708" w:type="pct"/>
            <w:tcBorders>
              <w:top w:val="nil"/>
              <w:left w:val="nil"/>
              <w:bottom w:val="nil"/>
              <w:right w:val="nil"/>
            </w:tcBorders>
            <w:shd w:val="clear" w:color="auto" w:fill="auto"/>
            <w:noWrap/>
            <w:vAlign w:val="bottom"/>
            <w:hideMark/>
          </w:tcPr>
          <w:p w14:paraId="1A4515AB" w14:textId="77777777" w:rsidR="00734A5B" w:rsidRPr="00245E91" w:rsidRDefault="00734A5B"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INSTOWN</w:t>
            </w:r>
          </w:p>
        </w:tc>
        <w:tc>
          <w:tcPr>
            <w:tcW w:w="524" w:type="pct"/>
            <w:tcBorders>
              <w:top w:val="nil"/>
              <w:left w:val="nil"/>
              <w:bottom w:val="nil"/>
              <w:right w:val="nil"/>
            </w:tcBorders>
            <w:shd w:val="clear" w:color="auto" w:fill="auto"/>
            <w:noWrap/>
            <w:vAlign w:val="bottom"/>
            <w:hideMark/>
          </w:tcPr>
          <w:p w14:paraId="675D0381"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0.038</w:t>
            </w:r>
          </w:p>
        </w:tc>
        <w:tc>
          <w:tcPr>
            <w:tcW w:w="536" w:type="pct"/>
            <w:tcBorders>
              <w:top w:val="nil"/>
              <w:left w:val="nil"/>
              <w:bottom w:val="nil"/>
              <w:right w:val="nil"/>
            </w:tcBorders>
            <w:shd w:val="clear" w:color="auto" w:fill="auto"/>
            <w:noWrap/>
            <w:vAlign w:val="bottom"/>
            <w:hideMark/>
          </w:tcPr>
          <w:p w14:paraId="765C6984"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0.053</w:t>
            </w:r>
          </w:p>
        </w:tc>
        <w:tc>
          <w:tcPr>
            <w:tcW w:w="536" w:type="pct"/>
            <w:tcBorders>
              <w:top w:val="nil"/>
              <w:left w:val="nil"/>
              <w:bottom w:val="nil"/>
              <w:right w:val="nil"/>
            </w:tcBorders>
            <w:shd w:val="clear" w:color="auto" w:fill="auto"/>
            <w:noWrap/>
            <w:vAlign w:val="bottom"/>
            <w:hideMark/>
          </w:tcPr>
          <w:p w14:paraId="5248DE3E"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-0.012</w:t>
            </w:r>
          </w:p>
        </w:tc>
        <w:tc>
          <w:tcPr>
            <w:tcW w:w="530" w:type="pct"/>
            <w:tcBorders>
              <w:top w:val="nil"/>
              <w:left w:val="nil"/>
              <w:bottom w:val="nil"/>
              <w:right w:val="nil"/>
            </w:tcBorders>
            <w:shd w:val="clear" w:color="auto" w:fill="auto"/>
            <w:noWrap/>
            <w:vAlign w:val="bottom"/>
            <w:hideMark/>
          </w:tcPr>
          <w:p w14:paraId="5082E2F0"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0.059</w:t>
            </w:r>
          </w:p>
        </w:tc>
        <w:tc>
          <w:tcPr>
            <w:tcW w:w="555" w:type="pct"/>
            <w:tcBorders>
              <w:top w:val="nil"/>
              <w:left w:val="nil"/>
              <w:bottom w:val="nil"/>
              <w:right w:val="nil"/>
            </w:tcBorders>
            <w:shd w:val="clear" w:color="auto" w:fill="auto"/>
            <w:noWrap/>
            <w:vAlign w:val="bottom"/>
            <w:hideMark/>
          </w:tcPr>
          <w:p w14:paraId="4848F90A"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0.047</w:t>
            </w:r>
          </w:p>
        </w:tc>
        <w:tc>
          <w:tcPr>
            <w:tcW w:w="541" w:type="pct"/>
            <w:tcBorders>
              <w:top w:val="nil"/>
              <w:left w:val="nil"/>
              <w:bottom w:val="nil"/>
              <w:right w:val="nil"/>
            </w:tcBorders>
            <w:shd w:val="clear" w:color="auto" w:fill="auto"/>
            <w:noWrap/>
            <w:vAlign w:val="bottom"/>
            <w:hideMark/>
          </w:tcPr>
          <w:p w14:paraId="3286C508"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-0.017</w:t>
            </w:r>
          </w:p>
        </w:tc>
        <w:tc>
          <w:tcPr>
            <w:tcW w:w="534" w:type="pct"/>
            <w:tcBorders>
              <w:top w:val="nil"/>
              <w:left w:val="nil"/>
              <w:bottom w:val="nil"/>
              <w:right w:val="nil"/>
            </w:tcBorders>
            <w:shd w:val="clear" w:color="auto" w:fill="auto"/>
            <w:noWrap/>
            <w:vAlign w:val="bottom"/>
            <w:hideMark/>
          </w:tcPr>
          <w:p w14:paraId="774199EC"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-0.014</w:t>
            </w:r>
          </w:p>
        </w:tc>
        <w:tc>
          <w:tcPr>
            <w:tcW w:w="536" w:type="pct"/>
            <w:tcBorders>
              <w:top w:val="nil"/>
              <w:left w:val="nil"/>
              <w:bottom w:val="nil"/>
              <w:right w:val="nil"/>
            </w:tcBorders>
            <w:shd w:val="clear" w:color="auto" w:fill="auto"/>
            <w:noWrap/>
            <w:vAlign w:val="bottom"/>
            <w:hideMark/>
          </w:tcPr>
          <w:p w14:paraId="2ABAE0A8"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-0.014</w:t>
            </w:r>
          </w:p>
        </w:tc>
      </w:tr>
      <w:tr w:rsidR="00734A5B" w:rsidRPr="00245E91" w14:paraId="0C3D97A2" w14:textId="77777777" w:rsidTr="00116862">
        <w:trPr>
          <w:trHeight w:val="144"/>
        </w:trPr>
        <w:tc>
          <w:tcPr>
            <w:tcW w:w="708" w:type="pct"/>
            <w:tcBorders>
              <w:top w:val="nil"/>
              <w:left w:val="nil"/>
              <w:bottom w:val="nil"/>
              <w:right w:val="nil"/>
            </w:tcBorders>
            <w:shd w:val="clear" w:color="auto" w:fill="auto"/>
            <w:noWrap/>
            <w:vAlign w:val="bottom"/>
            <w:hideMark/>
          </w:tcPr>
          <w:p w14:paraId="3DEE6DDC" w14:textId="77777777" w:rsidR="00734A5B" w:rsidRPr="00245E91" w:rsidRDefault="00734A5B" w:rsidP="00116862">
            <w:pPr>
              <w:spacing w:after="0" w:line="240" w:lineRule="auto"/>
              <w:contextualSpacing/>
              <w:rPr>
                <w:rFonts w:ascii="Times New Roman" w:eastAsia="Times New Roman" w:hAnsi="Times New Roman"/>
                <w:i/>
                <w:color w:val="000000"/>
                <w:sz w:val="15"/>
                <w:szCs w:val="15"/>
              </w:rPr>
            </w:pPr>
          </w:p>
        </w:tc>
        <w:tc>
          <w:tcPr>
            <w:tcW w:w="524" w:type="pct"/>
            <w:tcBorders>
              <w:top w:val="nil"/>
              <w:left w:val="nil"/>
              <w:bottom w:val="nil"/>
              <w:right w:val="nil"/>
            </w:tcBorders>
            <w:shd w:val="clear" w:color="auto" w:fill="auto"/>
            <w:noWrap/>
            <w:vAlign w:val="bottom"/>
            <w:hideMark/>
          </w:tcPr>
          <w:p w14:paraId="7EF972B3"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(1.205)</w:t>
            </w:r>
          </w:p>
        </w:tc>
        <w:tc>
          <w:tcPr>
            <w:tcW w:w="536" w:type="pct"/>
            <w:tcBorders>
              <w:top w:val="nil"/>
              <w:left w:val="nil"/>
              <w:bottom w:val="nil"/>
              <w:right w:val="nil"/>
            </w:tcBorders>
            <w:shd w:val="clear" w:color="auto" w:fill="auto"/>
            <w:noWrap/>
            <w:vAlign w:val="bottom"/>
            <w:hideMark/>
          </w:tcPr>
          <w:p w14:paraId="42B23ECE"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(1.812*)</w:t>
            </w:r>
          </w:p>
        </w:tc>
        <w:tc>
          <w:tcPr>
            <w:tcW w:w="536" w:type="pct"/>
            <w:tcBorders>
              <w:top w:val="nil"/>
              <w:left w:val="nil"/>
              <w:bottom w:val="nil"/>
              <w:right w:val="nil"/>
            </w:tcBorders>
            <w:shd w:val="clear" w:color="auto" w:fill="auto"/>
            <w:noWrap/>
            <w:vAlign w:val="bottom"/>
            <w:hideMark/>
          </w:tcPr>
          <w:p w14:paraId="4B202F64"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(-0.487)</w:t>
            </w:r>
          </w:p>
        </w:tc>
        <w:tc>
          <w:tcPr>
            <w:tcW w:w="530" w:type="pct"/>
            <w:tcBorders>
              <w:top w:val="nil"/>
              <w:left w:val="nil"/>
              <w:bottom w:val="nil"/>
              <w:right w:val="nil"/>
            </w:tcBorders>
            <w:shd w:val="clear" w:color="auto" w:fill="auto"/>
            <w:noWrap/>
            <w:vAlign w:val="bottom"/>
            <w:hideMark/>
          </w:tcPr>
          <w:p w14:paraId="2CC6DEE7"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(1.694*)</w:t>
            </w:r>
          </w:p>
        </w:tc>
        <w:tc>
          <w:tcPr>
            <w:tcW w:w="555" w:type="pct"/>
            <w:tcBorders>
              <w:top w:val="nil"/>
              <w:left w:val="nil"/>
              <w:bottom w:val="nil"/>
              <w:right w:val="nil"/>
            </w:tcBorders>
            <w:shd w:val="clear" w:color="auto" w:fill="auto"/>
            <w:noWrap/>
            <w:vAlign w:val="bottom"/>
            <w:hideMark/>
          </w:tcPr>
          <w:p w14:paraId="64621A02"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(1.757*)</w:t>
            </w:r>
          </w:p>
        </w:tc>
        <w:tc>
          <w:tcPr>
            <w:tcW w:w="541" w:type="pct"/>
            <w:tcBorders>
              <w:top w:val="nil"/>
              <w:left w:val="nil"/>
              <w:bottom w:val="nil"/>
              <w:right w:val="nil"/>
            </w:tcBorders>
            <w:shd w:val="clear" w:color="auto" w:fill="auto"/>
            <w:noWrap/>
            <w:vAlign w:val="bottom"/>
            <w:hideMark/>
          </w:tcPr>
          <w:p w14:paraId="228CB39E"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(-0.910)</w:t>
            </w:r>
          </w:p>
        </w:tc>
        <w:tc>
          <w:tcPr>
            <w:tcW w:w="534" w:type="pct"/>
            <w:tcBorders>
              <w:top w:val="nil"/>
              <w:left w:val="nil"/>
              <w:bottom w:val="nil"/>
              <w:right w:val="nil"/>
            </w:tcBorders>
            <w:shd w:val="clear" w:color="auto" w:fill="auto"/>
            <w:noWrap/>
            <w:vAlign w:val="bottom"/>
            <w:hideMark/>
          </w:tcPr>
          <w:p w14:paraId="0AD375AA"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(-0.711)</w:t>
            </w:r>
          </w:p>
        </w:tc>
        <w:tc>
          <w:tcPr>
            <w:tcW w:w="536" w:type="pct"/>
            <w:tcBorders>
              <w:top w:val="nil"/>
              <w:left w:val="nil"/>
              <w:bottom w:val="nil"/>
              <w:right w:val="nil"/>
            </w:tcBorders>
            <w:shd w:val="clear" w:color="auto" w:fill="auto"/>
            <w:noWrap/>
            <w:vAlign w:val="bottom"/>
            <w:hideMark/>
          </w:tcPr>
          <w:p w14:paraId="6D55B640"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(-0.728)</w:t>
            </w:r>
          </w:p>
        </w:tc>
      </w:tr>
      <w:tr w:rsidR="00734A5B" w:rsidRPr="00245E91" w14:paraId="56BAF6AF" w14:textId="77777777" w:rsidTr="00116862">
        <w:trPr>
          <w:trHeight w:val="144"/>
        </w:trPr>
        <w:tc>
          <w:tcPr>
            <w:tcW w:w="708" w:type="pct"/>
            <w:tcBorders>
              <w:top w:val="nil"/>
              <w:left w:val="nil"/>
              <w:bottom w:val="nil"/>
              <w:right w:val="nil"/>
            </w:tcBorders>
            <w:shd w:val="clear" w:color="auto" w:fill="auto"/>
            <w:noWrap/>
            <w:vAlign w:val="bottom"/>
            <w:hideMark/>
          </w:tcPr>
          <w:p w14:paraId="31EEE85C" w14:textId="77777777" w:rsidR="00734A5B" w:rsidRPr="00245E91" w:rsidRDefault="00734A5B"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NUMANALYST</w:t>
            </w:r>
          </w:p>
        </w:tc>
        <w:tc>
          <w:tcPr>
            <w:tcW w:w="524" w:type="pct"/>
            <w:tcBorders>
              <w:top w:val="nil"/>
              <w:left w:val="nil"/>
              <w:bottom w:val="nil"/>
              <w:right w:val="nil"/>
            </w:tcBorders>
            <w:shd w:val="clear" w:color="auto" w:fill="auto"/>
            <w:noWrap/>
            <w:vAlign w:val="bottom"/>
            <w:hideMark/>
          </w:tcPr>
          <w:p w14:paraId="3554E857"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-0.046</w:t>
            </w:r>
          </w:p>
        </w:tc>
        <w:tc>
          <w:tcPr>
            <w:tcW w:w="536" w:type="pct"/>
            <w:tcBorders>
              <w:top w:val="nil"/>
              <w:left w:val="nil"/>
              <w:bottom w:val="nil"/>
              <w:right w:val="nil"/>
            </w:tcBorders>
            <w:shd w:val="clear" w:color="auto" w:fill="auto"/>
            <w:noWrap/>
            <w:vAlign w:val="bottom"/>
            <w:hideMark/>
          </w:tcPr>
          <w:p w14:paraId="1562200F"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-0.060</w:t>
            </w:r>
          </w:p>
        </w:tc>
        <w:tc>
          <w:tcPr>
            <w:tcW w:w="536" w:type="pct"/>
            <w:tcBorders>
              <w:top w:val="nil"/>
              <w:left w:val="nil"/>
              <w:bottom w:val="nil"/>
              <w:right w:val="nil"/>
            </w:tcBorders>
            <w:shd w:val="clear" w:color="auto" w:fill="auto"/>
            <w:noWrap/>
            <w:vAlign w:val="bottom"/>
            <w:hideMark/>
          </w:tcPr>
          <w:p w14:paraId="707499BE"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-0.023</w:t>
            </w:r>
          </w:p>
        </w:tc>
        <w:tc>
          <w:tcPr>
            <w:tcW w:w="530" w:type="pct"/>
            <w:tcBorders>
              <w:top w:val="nil"/>
              <w:left w:val="nil"/>
              <w:bottom w:val="nil"/>
              <w:right w:val="nil"/>
            </w:tcBorders>
            <w:shd w:val="clear" w:color="auto" w:fill="auto"/>
            <w:noWrap/>
            <w:vAlign w:val="bottom"/>
            <w:hideMark/>
          </w:tcPr>
          <w:p w14:paraId="443AF400"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-0.062</w:t>
            </w:r>
          </w:p>
        </w:tc>
        <w:tc>
          <w:tcPr>
            <w:tcW w:w="555" w:type="pct"/>
            <w:tcBorders>
              <w:top w:val="nil"/>
              <w:left w:val="nil"/>
              <w:bottom w:val="nil"/>
              <w:right w:val="nil"/>
            </w:tcBorders>
            <w:shd w:val="clear" w:color="auto" w:fill="auto"/>
            <w:noWrap/>
            <w:vAlign w:val="bottom"/>
            <w:hideMark/>
          </w:tcPr>
          <w:p w14:paraId="24AF8615"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-0.069</w:t>
            </w:r>
          </w:p>
        </w:tc>
        <w:tc>
          <w:tcPr>
            <w:tcW w:w="541" w:type="pct"/>
            <w:tcBorders>
              <w:top w:val="nil"/>
              <w:left w:val="nil"/>
              <w:bottom w:val="nil"/>
              <w:right w:val="nil"/>
            </w:tcBorders>
            <w:shd w:val="clear" w:color="auto" w:fill="auto"/>
            <w:noWrap/>
            <w:vAlign w:val="bottom"/>
            <w:hideMark/>
          </w:tcPr>
          <w:p w14:paraId="7CB7A48C"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0.029</w:t>
            </w:r>
          </w:p>
        </w:tc>
        <w:tc>
          <w:tcPr>
            <w:tcW w:w="534" w:type="pct"/>
            <w:tcBorders>
              <w:top w:val="nil"/>
              <w:left w:val="nil"/>
              <w:bottom w:val="nil"/>
              <w:right w:val="nil"/>
            </w:tcBorders>
            <w:shd w:val="clear" w:color="auto" w:fill="auto"/>
            <w:noWrap/>
            <w:vAlign w:val="bottom"/>
            <w:hideMark/>
          </w:tcPr>
          <w:p w14:paraId="2C3095A8"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0.033</w:t>
            </w:r>
          </w:p>
        </w:tc>
        <w:tc>
          <w:tcPr>
            <w:tcW w:w="536" w:type="pct"/>
            <w:tcBorders>
              <w:top w:val="nil"/>
              <w:left w:val="nil"/>
              <w:bottom w:val="nil"/>
              <w:right w:val="nil"/>
            </w:tcBorders>
            <w:shd w:val="clear" w:color="auto" w:fill="auto"/>
            <w:noWrap/>
            <w:vAlign w:val="bottom"/>
            <w:hideMark/>
          </w:tcPr>
          <w:p w14:paraId="5EEA1F2D"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0.032</w:t>
            </w:r>
          </w:p>
        </w:tc>
      </w:tr>
      <w:tr w:rsidR="00734A5B" w:rsidRPr="00245E91" w14:paraId="6F871AEE" w14:textId="77777777" w:rsidTr="00116862">
        <w:trPr>
          <w:trHeight w:val="144"/>
        </w:trPr>
        <w:tc>
          <w:tcPr>
            <w:tcW w:w="708" w:type="pct"/>
            <w:tcBorders>
              <w:top w:val="nil"/>
              <w:left w:val="nil"/>
              <w:bottom w:val="nil"/>
              <w:right w:val="nil"/>
            </w:tcBorders>
            <w:shd w:val="clear" w:color="auto" w:fill="auto"/>
            <w:noWrap/>
            <w:vAlign w:val="bottom"/>
            <w:hideMark/>
          </w:tcPr>
          <w:p w14:paraId="5D9682A5" w14:textId="77777777" w:rsidR="00734A5B" w:rsidRPr="00245E91" w:rsidRDefault="00734A5B" w:rsidP="00116862">
            <w:pPr>
              <w:spacing w:after="0" w:line="240" w:lineRule="auto"/>
              <w:contextualSpacing/>
              <w:rPr>
                <w:rFonts w:ascii="Times New Roman" w:eastAsia="Times New Roman" w:hAnsi="Times New Roman"/>
                <w:i/>
                <w:color w:val="000000"/>
                <w:sz w:val="15"/>
                <w:szCs w:val="15"/>
              </w:rPr>
            </w:pPr>
          </w:p>
        </w:tc>
        <w:tc>
          <w:tcPr>
            <w:tcW w:w="524" w:type="pct"/>
            <w:tcBorders>
              <w:top w:val="nil"/>
              <w:left w:val="nil"/>
              <w:bottom w:val="nil"/>
              <w:right w:val="nil"/>
            </w:tcBorders>
            <w:shd w:val="clear" w:color="auto" w:fill="auto"/>
            <w:noWrap/>
            <w:vAlign w:val="bottom"/>
            <w:hideMark/>
          </w:tcPr>
          <w:p w14:paraId="721EE36F"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(-1.537)</w:t>
            </w:r>
          </w:p>
        </w:tc>
        <w:tc>
          <w:tcPr>
            <w:tcW w:w="536" w:type="pct"/>
            <w:tcBorders>
              <w:top w:val="nil"/>
              <w:left w:val="nil"/>
              <w:bottom w:val="nil"/>
              <w:right w:val="nil"/>
            </w:tcBorders>
            <w:shd w:val="clear" w:color="auto" w:fill="auto"/>
            <w:noWrap/>
            <w:vAlign w:val="bottom"/>
            <w:hideMark/>
          </w:tcPr>
          <w:p w14:paraId="2607FDF4"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(-2.114**)</w:t>
            </w:r>
          </w:p>
        </w:tc>
        <w:tc>
          <w:tcPr>
            <w:tcW w:w="536" w:type="pct"/>
            <w:tcBorders>
              <w:top w:val="nil"/>
              <w:left w:val="nil"/>
              <w:bottom w:val="nil"/>
              <w:right w:val="nil"/>
            </w:tcBorders>
            <w:shd w:val="clear" w:color="auto" w:fill="auto"/>
            <w:noWrap/>
            <w:vAlign w:val="bottom"/>
            <w:hideMark/>
          </w:tcPr>
          <w:p w14:paraId="1BA65162"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(-0.972)</w:t>
            </w:r>
          </w:p>
        </w:tc>
        <w:tc>
          <w:tcPr>
            <w:tcW w:w="530" w:type="pct"/>
            <w:tcBorders>
              <w:top w:val="nil"/>
              <w:left w:val="nil"/>
              <w:bottom w:val="nil"/>
              <w:right w:val="nil"/>
            </w:tcBorders>
            <w:shd w:val="clear" w:color="auto" w:fill="auto"/>
            <w:noWrap/>
            <w:vAlign w:val="bottom"/>
            <w:hideMark/>
          </w:tcPr>
          <w:p w14:paraId="568CEAFA"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(-2.008**)</w:t>
            </w:r>
          </w:p>
        </w:tc>
        <w:tc>
          <w:tcPr>
            <w:tcW w:w="555" w:type="pct"/>
            <w:tcBorders>
              <w:top w:val="nil"/>
              <w:left w:val="nil"/>
              <w:bottom w:val="nil"/>
              <w:right w:val="nil"/>
            </w:tcBorders>
            <w:shd w:val="clear" w:color="auto" w:fill="auto"/>
            <w:noWrap/>
            <w:vAlign w:val="bottom"/>
            <w:hideMark/>
          </w:tcPr>
          <w:p w14:paraId="771F5282"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(-2.468**)</w:t>
            </w:r>
          </w:p>
        </w:tc>
        <w:tc>
          <w:tcPr>
            <w:tcW w:w="541" w:type="pct"/>
            <w:tcBorders>
              <w:top w:val="nil"/>
              <w:left w:val="nil"/>
              <w:bottom w:val="nil"/>
              <w:right w:val="nil"/>
            </w:tcBorders>
            <w:shd w:val="clear" w:color="auto" w:fill="auto"/>
            <w:noWrap/>
            <w:vAlign w:val="bottom"/>
            <w:hideMark/>
          </w:tcPr>
          <w:p w14:paraId="07AD2F54"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(1.539)</w:t>
            </w:r>
          </w:p>
        </w:tc>
        <w:tc>
          <w:tcPr>
            <w:tcW w:w="534" w:type="pct"/>
            <w:tcBorders>
              <w:top w:val="nil"/>
              <w:left w:val="nil"/>
              <w:bottom w:val="nil"/>
              <w:right w:val="nil"/>
            </w:tcBorders>
            <w:shd w:val="clear" w:color="auto" w:fill="auto"/>
            <w:noWrap/>
            <w:vAlign w:val="bottom"/>
            <w:hideMark/>
          </w:tcPr>
          <w:p w14:paraId="19FD64C9"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(1.865*)</w:t>
            </w:r>
          </w:p>
        </w:tc>
        <w:tc>
          <w:tcPr>
            <w:tcW w:w="536" w:type="pct"/>
            <w:tcBorders>
              <w:top w:val="nil"/>
              <w:left w:val="nil"/>
              <w:bottom w:val="nil"/>
              <w:right w:val="nil"/>
            </w:tcBorders>
            <w:shd w:val="clear" w:color="auto" w:fill="auto"/>
            <w:noWrap/>
            <w:vAlign w:val="bottom"/>
            <w:hideMark/>
          </w:tcPr>
          <w:p w14:paraId="2910407F"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(1.837*)</w:t>
            </w:r>
          </w:p>
        </w:tc>
      </w:tr>
      <w:tr w:rsidR="00734A5B" w:rsidRPr="00245E91" w14:paraId="5DE5D9CC" w14:textId="77777777" w:rsidTr="00116862">
        <w:trPr>
          <w:trHeight w:val="144"/>
        </w:trPr>
        <w:tc>
          <w:tcPr>
            <w:tcW w:w="708" w:type="pct"/>
            <w:tcBorders>
              <w:top w:val="nil"/>
              <w:left w:val="nil"/>
              <w:bottom w:val="nil"/>
              <w:right w:val="nil"/>
            </w:tcBorders>
            <w:shd w:val="clear" w:color="auto" w:fill="auto"/>
            <w:noWrap/>
            <w:vAlign w:val="bottom"/>
            <w:hideMark/>
          </w:tcPr>
          <w:p w14:paraId="2D2111A6" w14:textId="77777777" w:rsidR="00734A5B" w:rsidRPr="00245E91" w:rsidRDefault="00734A5B"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SOX</w:t>
            </w:r>
          </w:p>
        </w:tc>
        <w:tc>
          <w:tcPr>
            <w:tcW w:w="524" w:type="pct"/>
            <w:tcBorders>
              <w:top w:val="nil"/>
              <w:left w:val="nil"/>
              <w:bottom w:val="nil"/>
              <w:right w:val="nil"/>
            </w:tcBorders>
            <w:shd w:val="clear" w:color="auto" w:fill="auto"/>
            <w:noWrap/>
            <w:vAlign w:val="bottom"/>
            <w:hideMark/>
          </w:tcPr>
          <w:p w14:paraId="68AEEA70"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0.267</w:t>
            </w:r>
          </w:p>
        </w:tc>
        <w:tc>
          <w:tcPr>
            <w:tcW w:w="536" w:type="pct"/>
            <w:tcBorders>
              <w:top w:val="nil"/>
              <w:left w:val="nil"/>
              <w:bottom w:val="nil"/>
              <w:right w:val="nil"/>
            </w:tcBorders>
            <w:shd w:val="clear" w:color="auto" w:fill="auto"/>
            <w:noWrap/>
            <w:vAlign w:val="bottom"/>
            <w:hideMark/>
          </w:tcPr>
          <w:p w14:paraId="1964C26D"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-0.356</w:t>
            </w:r>
          </w:p>
        </w:tc>
        <w:tc>
          <w:tcPr>
            <w:tcW w:w="536" w:type="pct"/>
            <w:tcBorders>
              <w:top w:val="nil"/>
              <w:left w:val="nil"/>
              <w:bottom w:val="nil"/>
              <w:right w:val="nil"/>
            </w:tcBorders>
            <w:shd w:val="clear" w:color="auto" w:fill="auto"/>
            <w:noWrap/>
            <w:vAlign w:val="bottom"/>
            <w:hideMark/>
          </w:tcPr>
          <w:p w14:paraId="49838D1D"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-0.448</w:t>
            </w:r>
          </w:p>
        </w:tc>
        <w:tc>
          <w:tcPr>
            <w:tcW w:w="530" w:type="pct"/>
            <w:tcBorders>
              <w:top w:val="nil"/>
              <w:left w:val="nil"/>
              <w:bottom w:val="nil"/>
              <w:right w:val="nil"/>
            </w:tcBorders>
            <w:shd w:val="clear" w:color="auto" w:fill="auto"/>
            <w:noWrap/>
            <w:vAlign w:val="bottom"/>
            <w:hideMark/>
          </w:tcPr>
          <w:p w14:paraId="56C9703E"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-0.018</w:t>
            </w:r>
          </w:p>
        </w:tc>
        <w:tc>
          <w:tcPr>
            <w:tcW w:w="555" w:type="pct"/>
            <w:tcBorders>
              <w:top w:val="nil"/>
              <w:left w:val="nil"/>
              <w:bottom w:val="nil"/>
              <w:right w:val="nil"/>
            </w:tcBorders>
            <w:shd w:val="clear" w:color="auto" w:fill="auto"/>
            <w:noWrap/>
            <w:vAlign w:val="bottom"/>
            <w:hideMark/>
          </w:tcPr>
          <w:p w14:paraId="08E3EB25"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-0.289</w:t>
            </w:r>
          </w:p>
        </w:tc>
        <w:tc>
          <w:tcPr>
            <w:tcW w:w="541" w:type="pct"/>
            <w:tcBorders>
              <w:top w:val="nil"/>
              <w:left w:val="nil"/>
              <w:bottom w:val="nil"/>
              <w:right w:val="nil"/>
            </w:tcBorders>
            <w:shd w:val="clear" w:color="auto" w:fill="auto"/>
            <w:noWrap/>
            <w:vAlign w:val="bottom"/>
            <w:hideMark/>
          </w:tcPr>
          <w:p w14:paraId="2AC09E25"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0.176</w:t>
            </w:r>
          </w:p>
        </w:tc>
        <w:tc>
          <w:tcPr>
            <w:tcW w:w="534" w:type="pct"/>
            <w:tcBorders>
              <w:top w:val="nil"/>
              <w:left w:val="nil"/>
              <w:bottom w:val="nil"/>
              <w:right w:val="nil"/>
            </w:tcBorders>
            <w:shd w:val="clear" w:color="auto" w:fill="auto"/>
            <w:noWrap/>
            <w:vAlign w:val="bottom"/>
            <w:hideMark/>
          </w:tcPr>
          <w:p w14:paraId="3A7FB1A8"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0.222</w:t>
            </w:r>
          </w:p>
        </w:tc>
        <w:tc>
          <w:tcPr>
            <w:tcW w:w="536" w:type="pct"/>
            <w:tcBorders>
              <w:top w:val="nil"/>
              <w:left w:val="nil"/>
              <w:bottom w:val="nil"/>
              <w:right w:val="nil"/>
            </w:tcBorders>
            <w:shd w:val="clear" w:color="auto" w:fill="auto"/>
            <w:noWrap/>
            <w:vAlign w:val="bottom"/>
            <w:hideMark/>
          </w:tcPr>
          <w:p w14:paraId="4FCF470F"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0.222</w:t>
            </w:r>
          </w:p>
        </w:tc>
      </w:tr>
      <w:tr w:rsidR="00734A5B" w:rsidRPr="00245E91" w14:paraId="1CC7CE9C" w14:textId="77777777" w:rsidTr="00116862">
        <w:trPr>
          <w:trHeight w:val="144"/>
        </w:trPr>
        <w:tc>
          <w:tcPr>
            <w:tcW w:w="708" w:type="pct"/>
            <w:tcBorders>
              <w:top w:val="nil"/>
              <w:left w:val="nil"/>
              <w:bottom w:val="nil"/>
              <w:right w:val="nil"/>
            </w:tcBorders>
            <w:shd w:val="clear" w:color="auto" w:fill="auto"/>
            <w:noWrap/>
            <w:vAlign w:val="bottom"/>
            <w:hideMark/>
          </w:tcPr>
          <w:p w14:paraId="55E14EA9" w14:textId="77777777" w:rsidR="00734A5B" w:rsidRPr="00245E91" w:rsidRDefault="00734A5B" w:rsidP="00116862">
            <w:pPr>
              <w:spacing w:after="0" w:line="240" w:lineRule="auto"/>
              <w:contextualSpacing/>
              <w:rPr>
                <w:rFonts w:ascii="Times New Roman" w:eastAsia="Times New Roman" w:hAnsi="Times New Roman"/>
                <w:i/>
                <w:color w:val="000000"/>
                <w:sz w:val="15"/>
                <w:szCs w:val="15"/>
              </w:rPr>
            </w:pPr>
          </w:p>
        </w:tc>
        <w:tc>
          <w:tcPr>
            <w:tcW w:w="524" w:type="pct"/>
            <w:tcBorders>
              <w:top w:val="nil"/>
              <w:left w:val="nil"/>
              <w:bottom w:val="nil"/>
              <w:right w:val="nil"/>
            </w:tcBorders>
            <w:shd w:val="clear" w:color="auto" w:fill="auto"/>
            <w:noWrap/>
            <w:vAlign w:val="bottom"/>
            <w:hideMark/>
          </w:tcPr>
          <w:p w14:paraId="3F938448"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(1.166)</w:t>
            </w:r>
          </w:p>
        </w:tc>
        <w:tc>
          <w:tcPr>
            <w:tcW w:w="536" w:type="pct"/>
            <w:tcBorders>
              <w:top w:val="nil"/>
              <w:left w:val="nil"/>
              <w:bottom w:val="nil"/>
              <w:right w:val="nil"/>
            </w:tcBorders>
            <w:shd w:val="clear" w:color="auto" w:fill="auto"/>
            <w:noWrap/>
            <w:vAlign w:val="bottom"/>
            <w:hideMark/>
          </w:tcPr>
          <w:p w14:paraId="1946A4A9"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(-2.370**)</w:t>
            </w:r>
          </w:p>
        </w:tc>
        <w:tc>
          <w:tcPr>
            <w:tcW w:w="536" w:type="pct"/>
            <w:tcBorders>
              <w:top w:val="nil"/>
              <w:left w:val="nil"/>
              <w:bottom w:val="nil"/>
              <w:right w:val="nil"/>
            </w:tcBorders>
            <w:shd w:val="clear" w:color="auto" w:fill="auto"/>
            <w:noWrap/>
            <w:vAlign w:val="bottom"/>
            <w:hideMark/>
          </w:tcPr>
          <w:p w14:paraId="4627AD74"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(-2.737***)</w:t>
            </w:r>
          </w:p>
        </w:tc>
        <w:tc>
          <w:tcPr>
            <w:tcW w:w="530" w:type="pct"/>
            <w:tcBorders>
              <w:top w:val="nil"/>
              <w:left w:val="nil"/>
              <w:bottom w:val="nil"/>
              <w:right w:val="nil"/>
            </w:tcBorders>
            <w:shd w:val="clear" w:color="auto" w:fill="auto"/>
            <w:noWrap/>
            <w:vAlign w:val="bottom"/>
            <w:hideMark/>
          </w:tcPr>
          <w:p w14:paraId="7B360E9C"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(-0.083)</w:t>
            </w:r>
          </w:p>
        </w:tc>
        <w:tc>
          <w:tcPr>
            <w:tcW w:w="555" w:type="pct"/>
            <w:tcBorders>
              <w:top w:val="nil"/>
              <w:left w:val="nil"/>
              <w:bottom w:val="nil"/>
              <w:right w:val="nil"/>
            </w:tcBorders>
            <w:shd w:val="clear" w:color="auto" w:fill="auto"/>
            <w:noWrap/>
            <w:vAlign w:val="bottom"/>
            <w:hideMark/>
          </w:tcPr>
          <w:p w14:paraId="63DB5DD9"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(-1.846*)</w:t>
            </w:r>
          </w:p>
        </w:tc>
        <w:tc>
          <w:tcPr>
            <w:tcW w:w="541" w:type="pct"/>
            <w:tcBorders>
              <w:top w:val="nil"/>
              <w:left w:val="nil"/>
              <w:bottom w:val="nil"/>
              <w:right w:val="nil"/>
            </w:tcBorders>
            <w:shd w:val="clear" w:color="auto" w:fill="auto"/>
            <w:noWrap/>
            <w:vAlign w:val="bottom"/>
            <w:hideMark/>
          </w:tcPr>
          <w:p w14:paraId="71AC2C50"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(1.341)</w:t>
            </w:r>
          </w:p>
        </w:tc>
        <w:tc>
          <w:tcPr>
            <w:tcW w:w="534" w:type="pct"/>
            <w:tcBorders>
              <w:top w:val="nil"/>
              <w:left w:val="nil"/>
              <w:bottom w:val="nil"/>
              <w:right w:val="nil"/>
            </w:tcBorders>
            <w:shd w:val="clear" w:color="auto" w:fill="auto"/>
            <w:noWrap/>
            <w:vAlign w:val="bottom"/>
            <w:hideMark/>
          </w:tcPr>
          <w:p w14:paraId="752CFB23"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(1.672*)</w:t>
            </w:r>
          </w:p>
        </w:tc>
        <w:tc>
          <w:tcPr>
            <w:tcW w:w="536" w:type="pct"/>
            <w:tcBorders>
              <w:top w:val="nil"/>
              <w:left w:val="nil"/>
              <w:bottom w:val="nil"/>
              <w:right w:val="nil"/>
            </w:tcBorders>
            <w:shd w:val="clear" w:color="auto" w:fill="auto"/>
            <w:noWrap/>
            <w:vAlign w:val="bottom"/>
            <w:hideMark/>
          </w:tcPr>
          <w:p w14:paraId="59AB5424"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(1.693*)</w:t>
            </w:r>
          </w:p>
        </w:tc>
      </w:tr>
      <w:tr w:rsidR="00734A5B" w:rsidRPr="00245E91" w14:paraId="67B5DB62" w14:textId="77777777" w:rsidTr="00116862">
        <w:trPr>
          <w:trHeight w:val="144"/>
        </w:trPr>
        <w:tc>
          <w:tcPr>
            <w:tcW w:w="708" w:type="pct"/>
            <w:tcBorders>
              <w:top w:val="nil"/>
              <w:left w:val="nil"/>
              <w:bottom w:val="nil"/>
              <w:right w:val="nil"/>
            </w:tcBorders>
            <w:shd w:val="clear" w:color="auto" w:fill="auto"/>
            <w:noWrap/>
            <w:vAlign w:val="bottom"/>
            <w:hideMark/>
          </w:tcPr>
          <w:p w14:paraId="384DEEDE" w14:textId="77777777" w:rsidR="00734A5B" w:rsidRPr="00245E91" w:rsidRDefault="00734A5B"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RESID_RM1</w:t>
            </w:r>
          </w:p>
        </w:tc>
        <w:tc>
          <w:tcPr>
            <w:tcW w:w="524" w:type="pct"/>
            <w:tcBorders>
              <w:top w:val="nil"/>
              <w:left w:val="nil"/>
              <w:bottom w:val="nil"/>
              <w:right w:val="nil"/>
            </w:tcBorders>
            <w:shd w:val="clear" w:color="auto" w:fill="auto"/>
            <w:noWrap/>
            <w:vAlign w:val="bottom"/>
            <w:hideMark/>
          </w:tcPr>
          <w:p w14:paraId="20D19D55" w14:textId="77777777" w:rsidR="00734A5B" w:rsidRPr="00245E91" w:rsidRDefault="00734A5B" w:rsidP="00116862">
            <w:pPr>
              <w:spacing w:line="240" w:lineRule="auto"/>
              <w:ind w:right="-153"/>
              <w:contextualSpacing/>
              <w:rPr>
                <w:rFonts w:ascii="Times New Roman" w:hAnsi="Times New Roman"/>
                <w:color w:val="000000"/>
                <w:sz w:val="15"/>
                <w:szCs w:val="15"/>
              </w:rPr>
            </w:pPr>
          </w:p>
        </w:tc>
        <w:tc>
          <w:tcPr>
            <w:tcW w:w="536" w:type="pct"/>
            <w:tcBorders>
              <w:top w:val="nil"/>
              <w:left w:val="nil"/>
              <w:bottom w:val="nil"/>
              <w:right w:val="nil"/>
            </w:tcBorders>
            <w:shd w:val="clear" w:color="auto" w:fill="auto"/>
            <w:noWrap/>
            <w:vAlign w:val="bottom"/>
            <w:hideMark/>
          </w:tcPr>
          <w:p w14:paraId="248D81D3" w14:textId="77777777" w:rsidR="00734A5B" w:rsidRPr="00245E91" w:rsidRDefault="00734A5B" w:rsidP="00116862">
            <w:pPr>
              <w:spacing w:line="240" w:lineRule="auto"/>
              <w:contextualSpacing/>
              <w:rPr>
                <w:rFonts w:ascii="Times New Roman" w:hAnsi="Times New Roman"/>
                <w:sz w:val="15"/>
                <w:szCs w:val="15"/>
              </w:rPr>
            </w:pPr>
          </w:p>
        </w:tc>
        <w:tc>
          <w:tcPr>
            <w:tcW w:w="536" w:type="pct"/>
            <w:tcBorders>
              <w:top w:val="nil"/>
              <w:left w:val="nil"/>
              <w:bottom w:val="nil"/>
              <w:right w:val="nil"/>
            </w:tcBorders>
            <w:shd w:val="clear" w:color="auto" w:fill="auto"/>
            <w:noWrap/>
            <w:vAlign w:val="bottom"/>
            <w:hideMark/>
          </w:tcPr>
          <w:p w14:paraId="63BA3B1D" w14:textId="77777777" w:rsidR="00734A5B" w:rsidRPr="00245E91" w:rsidRDefault="00734A5B" w:rsidP="00116862">
            <w:pPr>
              <w:spacing w:line="240" w:lineRule="auto"/>
              <w:contextualSpacing/>
              <w:rPr>
                <w:rFonts w:ascii="Times New Roman" w:hAnsi="Times New Roman"/>
                <w:sz w:val="15"/>
                <w:szCs w:val="15"/>
              </w:rPr>
            </w:pPr>
          </w:p>
        </w:tc>
        <w:tc>
          <w:tcPr>
            <w:tcW w:w="530" w:type="pct"/>
            <w:tcBorders>
              <w:top w:val="nil"/>
              <w:left w:val="nil"/>
              <w:bottom w:val="nil"/>
              <w:right w:val="nil"/>
            </w:tcBorders>
            <w:shd w:val="clear" w:color="auto" w:fill="auto"/>
            <w:noWrap/>
            <w:vAlign w:val="bottom"/>
            <w:hideMark/>
          </w:tcPr>
          <w:p w14:paraId="7A7AC1F7" w14:textId="77777777" w:rsidR="00734A5B" w:rsidRPr="00245E91" w:rsidRDefault="00734A5B" w:rsidP="00116862">
            <w:pPr>
              <w:spacing w:line="240" w:lineRule="auto"/>
              <w:contextualSpacing/>
              <w:rPr>
                <w:rFonts w:ascii="Times New Roman" w:hAnsi="Times New Roman"/>
                <w:sz w:val="15"/>
                <w:szCs w:val="15"/>
              </w:rPr>
            </w:pPr>
          </w:p>
        </w:tc>
        <w:tc>
          <w:tcPr>
            <w:tcW w:w="555" w:type="pct"/>
            <w:tcBorders>
              <w:top w:val="nil"/>
              <w:left w:val="nil"/>
              <w:bottom w:val="nil"/>
              <w:right w:val="nil"/>
            </w:tcBorders>
            <w:shd w:val="clear" w:color="auto" w:fill="auto"/>
            <w:noWrap/>
            <w:vAlign w:val="bottom"/>
            <w:hideMark/>
          </w:tcPr>
          <w:p w14:paraId="5270194A" w14:textId="77777777" w:rsidR="00734A5B" w:rsidRPr="00245E91" w:rsidRDefault="00734A5B" w:rsidP="00116862">
            <w:pPr>
              <w:spacing w:line="240" w:lineRule="auto"/>
              <w:contextualSpacing/>
              <w:rPr>
                <w:rFonts w:ascii="Times New Roman" w:hAnsi="Times New Roman"/>
                <w:sz w:val="15"/>
                <w:szCs w:val="15"/>
              </w:rPr>
            </w:pPr>
          </w:p>
        </w:tc>
        <w:tc>
          <w:tcPr>
            <w:tcW w:w="541" w:type="pct"/>
            <w:tcBorders>
              <w:top w:val="nil"/>
              <w:left w:val="nil"/>
              <w:bottom w:val="nil"/>
              <w:right w:val="nil"/>
            </w:tcBorders>
            <w:shd w:val="clear" w:color="auto" w:fill="auto"/>
            <w:noWrap/>
            <w:vAlign w:val="bottom"/>
            <w:hideMark/>
          </w:tcPr>
          <w:p w14:paraId="31870FC3" w14:textId="77777777" w:rsidR="00734A5B" w:rsidRPr="00245E91" w:rsidRDefault="00734A5B" w:rsidP="00116862">
            <w:pPr>
              <w:spacing w:line="240" w:lineRule="auto"/>
              <w:contextualSpacing/>
              <w:rPr>
                <w:rFonts w:ascii="Times New Roman" w:hAnsi="Times New Roman"/>
                <w:sz w:val="15"/>
                <w:szCs w:val="15"/>
              </w:rPr>
            </w:pPr>
          </w:p>
        </w:tc>
        <w:tc>
          <w:tcPr>
            <w:tcW w:w="534" w:type="pct"/>
            <w:tcBorders>
              <w:top w:val="nil"/>
              <w:left w:val="nil"/>
              <w:bottom w:val="nil"/>
              <w:right w:val="nil"/>
            </w:tcBorders>
            <w:shd w:val="clear" w:color="auto" w:fill="auto"/>
            <w:noWrap/>
            <w:vAlign w:val="bottom"/>
            <w:hideMark/>
          </w:tcPr>
          <w:p w14:paraId="25748A8D"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0.126</w:t>
            </w:r>
          </w:p>
        </w:tc>
        <w:tc>
          <w:tcPr>
            <w:tcW w:w="536" w:type="pct"/>
            <w:tcBorders>
              <w:top w:val="nil"/>
              <w:left w:val="nil"/>
              <w:bottom w:val="nil"/>
              <w:right w:val="nil"/>
            </w:tcBorders>
            <w:shd w:val="clear" w:color="auto" w:fill="auto"/>
            <w:noWrap/>
            <w:vAlign w:val="bottom"/>
            <w:hideMark/>
          </w:tcPr>
          <w:p w14:paraId="02F40D7B" w14:textId="77777777" w:rsidR="00734A5B" w:rsidRPr="00245E91" w:rsidRDefault="00734A5B" w:rsidP="00116862">
            <w:pPr>
              <w:spacing w:line="240" w:lineRule="auto"/>
              <w:contextualSpacing/>
              <w:rPr>
                <w:rFonts w:ascii="Times New Roman" w:hAnsi="Times New Roman"/>
                <w:color w:val="000000"/>
                <w:sz w:val="15"/>
                <w:szCs w:val="15"/>
              </w:rPr>
            </w:pPr>
          </w:p>
        </w:tc>
      </w:tr>
      <w:tr w:rsidR="00734A5B" w:rsidRPr="00245E91" w14:paraId="7E288C62" w14:textId="77777777" w:rsidTr="00116862">
        <w:trPr>
          <w:trHeight w:val="144"/>
        </w:trPr>
        <w:tc>
          <w:tcPr>
            <w:tcW w:w="708" w:type="pct"/>
            <w:tcBorders>
              <w:top w:val="nil"/>
              <w:left w:val="nil"/>
              <w:bottom w:val="nil"/>
              <w:right w:val="nil"/>
            </w:tcBorders>
            <w:shd w:val="clear" w:color="auto" w:fill="auto"/>
            <w:noWrap/>
            <w:vAlign w:val="bottom"/>
            <w:hideMark/>
          </w:tcPr>
          <w:p w14:paraId="46AE252E" w14:textId="77777777" w:rsidR="00734A5B" w:rsidRPr="00245E91" w:rsidRDefault="00734A5B" w:rsidP="00116862">
            <w:pPr>
              <w:spacing w:after="0" w:line="240" w:lineRule="auto"/>
              <w:contextualSpacing/>
              <w:rPr>
                <w:rFonts w:ascii="Times New Roman" w:eastAsia="Times New Roman" w:hAnsi="Times New Roman"/>
                <w:i/>
                <w:sz w:val="15"/>
                <w:szCs w:val="15"/>
              </w:rPr>
            </w:pPr>
          </w:p>
        </w:tc>
        <w:tc>
          <w:tcPr>
            <w:tcW w:w="524" w:type="pct"/>
            <w:tcBorders>
              <w:top w:val="nil"/>
              <w:left w:val="nil"/>
              <w:bottom w:val="nil"/>
              <w:right w:val="nil"/>
            </w:tcBorders>
            <w:shd w:val="clear" w:color="auto" w:fill="auto"/>
            <w:noWrap/>
            <w:vAlign w:val="bottom"/>
            <w:hideMark/>
          </w:tcPr>
          <w:p w14:paraId="21D539BE" w14:textId="77777777" w:rsidR="00734A5B" w:rsidRPr="00245E91" w:rsidRDefault="00734A5B" w:rsidP="00116862">
            <w:pPr>
              <w:spacing w:line="240" w:lineRule="auto"/>
              <w:ind w:right="-153"/>
              <w:contextualSpacing/>
              <w:rPr>
                <w:rFonts w:ascii="Times New Roman" w:hAnsi="Times New Roman"/>
                <w:sz w:val="15"/>
                <w:szCs w:val="15"/>
              </w:rPr>
            </w:pPr>
          </w:p>
        </w:tc>
        <w:tc>
          <w:tcPr>
            <w:tcW w:w="536" w:type="pct"/>
            <w:tcBorders>
              <w:top w:val="nil"/>
              <w:left w:val="nil"/>
              <w:bottom w:val="nil"/>
              <w:right w:val="nil"/>
            </w:tcBorders>
            <w:shd w:val="clear" w:color="auto" w:fill="auto"/>
            <w:noWrap/>
            <w:vAlign w:val="bottom"/>
            <w:hideMark/>
          </w:tcPr>
          <w:p w14:paraId="0C14F44F" w14:textId="77777777" w:rsidR="00734A5B" w:rsidRPr="00245E91" w:rsidRDefault="00734A5B" w:rsidP="00116862">
            <w:pPr>
              <w:spacing w:line="240" w:lineRule="auto"/>
              <w:contextualSpacing/>
              <w:rPr>
                <w:rFonts w:ascii="Times New Roman" w:hAnsi="Times New Roman"/>
                <w:sz w:val="15"/>
                <w:szCs w:val="15"/>
              </w:rPr>
            </w:pPr>
          </w:p>
        </w:tc>
        <w:tc>
          <w:tcPr>
            <w:tcW w:w="536" w:type="pct"/>
            <w:tcBorders>
              <w:top w:val="nil"/>
              <w:left w:val="nil"/>
              <w:bottom w:val="nil"/>
              <w:right w:val="nil"/>
            </w:tcBorders>
            <w:shd w:val="clear" w:color="auto" w:fill="auto"/>
            <w:noWrap/>
            <w:vAlign w:val="bottom"/>
            <w:hideMark/>
          </w:tcPr>
          <w:p w14:paraId="1AED3CB7" w14:textId="77777777" w:rsidR="00734A5B" w:rsidRPr="00245E91" w:rsidRDefault="00734A5B" w:rsidP="00116862">
            <w:pPr>
              <w:spacing w:line="240" w:lineRule="auto"/>
              <w:contextualSpacing/>
              <w:rPr>
                <w:rFonts w:ascii="Times New Roman" w:hAnsi="Times New Roman"/>
                <w:sz w:val="15"/>
                <w:szCs w:val="15"/>
              </w:rPr>
            </w:pPr>
          </w:p>
        </w:tc>
        <w:tc>
          <w:tcPr>
            <w:tcW w:w="530" w:type="pct"/>
            <w:tcBorders>
              <w:top w:val="nil"/>
              <w:left w:val="nil"/>
              <w:bottom w:val="nil"/>
              <w:right w:val="nil"/>
            </w:tcBorders>
            <w:shd w:val="clear" w:color="auto" w:fill="auto"/>
            <w:noWrap/>
            <w:vAlign w:val="bottom"/>
            <w:hideMark/>
          </w:tcPr>
          <w:p w14:paraId="1A3EECEF" w14:textId="77777777" w:rsidR="00734A5B" w:rsidRPr="00245E91" w:rsidRDefault="00734A5B" w:rsidP="00116862">
            <w:pPr>
              <w:spacing w:line="240" w:lineRule="auto"/>
              <w:contextualSpacing/>
              <w:rPr>
                <w:rFonts w:ascii="Times New Roman" w:hAnsi="Times New Roman"/>
                <w:sz w:val="15"/>
                <w:szCs w:val="15"/>
              </w:rPr>
            </w:pPr>
          </w:p>
        </w:tc>
        <w:tc>
          <w:tcPr>
            <w:tcW w:w="555" w:type="pct"/>
            <w:tcBorders>
              <w:top w:val="nil"/>
              <w:left w:val="nil"/>
              <w:bottom w:val="nil"/>
              <w:right w:val="nil"/>
            </w:tcBorders>
            <w:shd w:val="clear" w:color="auto" w:fill="auto"/>
            <w:noWrap/>
            <w:vAlign w:val="bottom"/>
            <w:hideMark/>
          </w:tcPr>
          <w:p w14:paraId="7B1445FE" w14:textId="77777777" w:rsidR="00734A5B" w:rsidRPr="00245E91" w:rsidRDefault="00734A5B" w:rsidP="00116862">
            <w:pPr>
              <w:spacing w:line="240" w:lineRule="auto"/>
              <w:contextualSpacing/>
              <w:rPr>
                <w:rFonts w:ascii="Times New Roman" w:hAnsi="Times New Roman"/>
                <w:sz w:val="15"/>
                <w:szCs w:val="15"/>
              </w:rPr>
            </w:pPr>
          </w:p>
        </w:tc>
        <w:tc>
          <w:tcPr>
            <w:tcW w:w="541" w:type="pct"/>
            <w:tcBorders>
              <w:top w:val="nil"/>
              <w:left w:val="nil"/>
              <w:bottom w:val="nil"/>
              <w:right w:val="nil"/>
            </w:tcBorders>
            <w:shd w:val="clear" w:color="auto" w:fill="auto"/>
            <w:noWrap/>
            <w:vAlign w:val="bottom"/>
            <w:hideMark/>
          </w:tcPr>
          <w:p w14:paraId="53CE11D1" w14:textId="77777777" w:rsidR="00734A5B" w:rsidRPr="00245E91" w:rsidRDefault="00734A5B" w:rsidP="00116862">
            <w:pPr>
              <w:spacing w:line="240" w:lineRule="auto"/>
              <w:contextualSpacing/>
              <w:rPr>
                <w:rFonts w:ascii="Times New Roman" w:hAnsi="Times New Roman"/>
                <w:sz w:val="15"/>
                <w:szCs w:val="15"/>
              </w:rPr>
            </w:pPr>
          </w:p>
        </w:tc>
        <w:tc>
          <w:tcPr>
            <w:tcW w:w="534" w:type="pct"/>
            <w:tcBorders>
              <w:top w:val="nil"/>
              <w:left w:val="nil"/>
              <w:bottom w:val="nil"/>
              <w:right w:val="nil"/>
            </w:tcBorders>
            <w:shd w:val="clear" w:color="auto" w:fill="auto"/>
            <w:noWrap/>
            <w:vAlign w:val="bottom"/>
            <w:hideMark/>
          </w:tcPr>
          <w:p w14:paraId="238E522C"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(4.174***)</w:t>
            </w:r>
          </w:p>
        </w:tc>
        <w:tc>
          <w:tcPr>
            <w:tcW w:w="536" w:type="pct"/>
            <w:tcBorders>
              <w:top w:val="nil"/>
              <w:left w:val="nil"/>
              <w:bottom w:val="nil"/>
              <w:right w:val="nil"/>
            </w:tcBorders>
            <w:shd w:val="clear" w:color="auto" w:fill="auto"/>
            <w:noWrap/>
            <w:vAlign w:val="bottom"/>
            <w:hideMark/>
          </w:tcPr>
          <w:p w14:paraId="25F33442" w14:textId="77777777" w:rsidR="00734A5B" w:rsidRPr="00245E91" w:rsidRDefault="00734A5B" w:rsidP="00116862">
            <w:pPr>
              <w:spacing w:line="240" w:lineRule="auto"/>
              <w:contextualSpacing/>
              <w:rPr>
                <w:rFonts w:ascii="Times New Roman" w:hAnsi="Times New Roman"/>
                <w:color w:val="000000"/>
                <w:sz w:val="15"/>
                <w:szCs w:val="15"/>
              </w:rPr>
            </w:pPr>
          </w:p>
        </w:tc>
      </w:tr>
      <w:tr w:rsidR="00734A5B" w:rsidRPr="00245E91" w14:paraId="1452D38D" w14:textId="77777777" w:rsidTr="00116862">
        <w:trPr>
          <w:trHeight w:val="144"/>
        </w:trPr>
        <w:tc>
          <w:tcPr>
            <w:tcW w:w="708" w:type="pct"/>
            <w:tcBorders>
              <w:top w:val="nil"/>
              <w:left w:val="nil"/>
              <w:bottom w:val="nil"/>
              <w:right w:val="nil"/>
            </w:tcBorders>
            <w:shd w:val="clear" w:color="auto" w:fill="auto"/>
            <w:noWrap/>
            <w:vAlign w:val="bottom"/>
            <w:hideMark/>
          </w:tcPr>
          <w:p w14:paraId="749E8595" w14:textId="77777777" w:rsidR="00734A5B" w:rsidRPr="00245E91" w:rsidRDefault="00734A5B"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RESID_RM2</w:t>
            </w:r>
          </w:p>
        </w:tc>
        <w:tc>
          <w:tcPr>
            <w:tcW w:w="524" w:type="pct"/>
            <w:tcBorders>
              <w:top w:val="nil"/>
              <w:left w:val="nil"/>
              <w:bottom w:val="nil"/>
              <w:right w:val="nil"/>
            </w:tcBorders>
            <w:shd w:val="clear" w:color="auto" w:fill="auto"/>
            <w:noWrap/>
            <w:vAlign w:val="bottom"/>
            <w:hideMark/>
          </w:tcPr>
          <w:p w14:paraId="00779A3F" w14:textId="77777777" w:rsidR="00734A5B" w:rsidRPr="00245E91" w:rsidRDefault="00734A5B" w:rsidP="00116862">
            <w:pPr>
              <w:spacing w:line="240" w:lineRule="auto"/>
              <w:ind w:right="-153"/>
              <w:contextualSpacing/>
              <w:rPr>
                <w:rFonts w:ascii="Times New Roman" w:hAnsi="Times New Roman"/>
                <w:sz w:val="15"/>
                <w:szCs w:val="15"/>
              </w:rPr>
            </w:pPr>
          </w:p>
        </w:tc>
        <w:tc>
          <w:tcPr>
            <w:tcW w:w="536" w:type="pct"/>
            <w:tcBorders>
              <w:top w:val="nil"/>
              <w:left w:val="nil"/>
              <w:bottom w:val="nil"/>
              <w:right w:val="nil"/>
            </w:tcBorders>
            <w:shd w:val="clear" w:color="auto" w:fill="auto"/>
            <w:noWrap/>
            <w:vAlign w:val="bottom"/>
            <w:hideMark/>
          </w:tcPr>
          <w:p w14:paraId="076512C5" w14:textId="77777777" w:rsidR="00734A5B" w:rsidRPr="00245E91" w:rsidRDefault="00734A5B" w:rsidP="00116862">
            <w:pPr>
              <w:spacing w:line="240" w:lineRule="auto"/>
              <w:contextualSpacing/>
              <w:rPr>
                <w:rFonts w:ascii="Times New Roman" w:hAnsi="Times New Roman"/>
                <w:sz w:val="15"/>
                <w:szCs w:val="15"/>
              </w:rPr>
            </w:pPr>
          </w:p>
        </w:tc>
        <w:tc>
          <w:tcPr>
            <w:tcW w:w="536" w:type="pct"/>
            <w:tcBorders>
              <w:top w:val="nil"/>
              <w:left w:val="nil"/>
              <w:bottom w:val="nil"/>
              <w:right w:val="nil"/>
            </w:tcBorders>
            <w:shd w:val="clear" w:color="auto" w:fill="auto"/>
            <w:noWrap/>
            <w:vAlign w:val="bottom"/>
            <w:hideMark/>
          </w:tcPr>
          <w:p w14:paraId="4B8DC5AA" w14:textId="77777777" w:rsidR="00734A5B" w:rsidRPr="00245E91" w:rsidRDefault="00734A5B" w:rsidP="00116862">
            <w:pPr>
              <w:spacing w:line="240" w:lineRule="auto"/>
              <w:contextualSpacing/>
              <w:rPr>
                <w:rFonts w:ascii="Times New Roman" w:hAnsi="Times New Roman"/>
                <w:sz w:val="15"/>
                <w:szCs w:val="15"/>
              </w:rPr>
            </w:pPr>
          </w:p>
        </w:tc>
        <w:tc>
          <w:tcPr>
            <w:tcW w:w="530" w:type="pct"/>
            <w:tcBorders>
              <w:top w:val="nil"/>
              <w:left w:val="nil"/>
              <w:bottom w:val="nil"/>
              <w:right w:val="nil"/>
            </w:tcBorders>
            <w:shd w:val="clear" w:color="auto" w:fill="auto"/>
            <w:noWrap/>
            <w:vAlign w:val="bottom"/>
            <w:hideMark/>
          </w:tcPr>
          <w:p w14:paraId="18E4F5A5" w14:textId="77777777" w:rsidR="00734A5B" w:rsidRPr="00245E91" w:rsidRDefault="00734A5B" w:rsidP="00116862">
            <w:pPr>
              <w:spacing w:line="240" w:lineRule="auto"/>
              <w:contextualSpacing/>
              <w:rPr>
                <w:rFonts w:ascii="Times New Roman" w:hAnsi="Times New Roman"/>
                <w:sz w:val="15"/>
                <w:szCs w:val="15"/>
              </w:rPr>
            </w:pPr>
          </w:p>
        </w:tc>
        <w:tc>
          <w:tcPr>
            <w:tcW w:w="555" w:type="pct"/>
            <w:tcBorders>
              <w:top w:val="nil"/>
              <w:left w:val="nil"/>
              <w:bottom w:val="nil"/>
              <w:right w:val="nil"/>
            </w:tcBorders>
            <w:shd w:val="clear" w:color="auto" w:fill="auto"/>
            <w:noWrap/>
            <w:vAlign w:val="bottom"/>
            <w:hideMark/>
          </w:tcPr>
          <w:p w14:paraId="22B085DF" w14:textId="77777777" w:rsidR="00734A5B" w:rsidRPr="00245E91" w:rsidRDefault="00734A5B" w:rsidP="00116862">
            <w:pPr>
              <w:spacing w:line="240" w:lineRule="auto"/>
              <w:contextualSpacing/>
              <w:rPr>
                <w:rFonts w:ascii="Times New Roman" w:hAnsi="Times New Roman"/>
                <w:sz w:val="15"/>
                <w:szCs w:val="15"/>
              </w:rPr>
            </w:pPr>
          </w:p>
        </w:tc>
        <w:tc>
          <w:tcPr>
            <w:tcW w:w="541" w:type="pct"/>
            <w:tcBorders>
              <w:top w:val="nil"/>
              <w:left w:val="nil"/>
              <w:bottom w:val="nil"/>
              <w:right w:val="nil"/>
            </w:tcBorders>
            <w:shd w:val="clear" w:color="auto" w:fill="auto"/>
            <w:noWrap/>
            <w:vAlign w:val="bottom"/>
            <w:hideMark/>
          </w:tcPr>
          <w:p w14:paraId="690C8810" w14:textId="77777777" w:rsidR="00734A5B" w:rsidRPr="00245E91" w:rsidRDefault="00734A5B" w:rsidP="00116862">
            <w:pPr>
              <w:spacing w:line="240" w:lineRule="auto"/>
              <w:contextualSpacing/>
              <w:rPr>
                <w:rFonts w:ascii="Times New Roman" w:hAnsi="Times New Roman"/>
                <w:sz w:val="15"/>
                <w:szCs w:val="15"/>
              </w:rPr>
            </w:pPr>
          </w:p>
        </w:tc>
        <w:tc>
          <w:tcPr>
            <w:tcW w:w="534" w:type="pct"/>
            <w:tcBorders>
              <w:top w:val="nil"/>
              <w:left w:val="nil"/>
              <w:bottom w:val="nil"/>
              <w:right w:val="nil"/>
            </w:tcBorders>
            <w:shd w:val="clear" w:color="auto" w:fill="auto"/>
            <w:noWrap/>
            <w:vAlign w:val="bottom"/>
            <w:hideMark/>
          </w:tcPr>
          <w:p w14:paraId="20CCB5AA" w14:textId="77777777" w:rsidR="00734A5B" w:rsidRPr="00245E91" w:rsidRDefault="00734A5B" w:rsidP="00116862">
            <w:pPr>
              <w:spacing w:line="240" w:lineRule="auto"/>
              <w:contextualSpacing/>
              <w:rPr>
                <w:rFonts w:ascii="Times New Roman" w:hAnsi="Times New Roman"/>
                <w:sz w:val="15"/>
                <w:szCs w:val="15"/>
              </w:rPr>
            </w:pPr>
          </w:p>
        </w:tc>
        <w:tc>
          <w:tcPr>
            <w:tcW w:w="536" w:type="pct"/>
            <w:tcBorders>
              <w:top w:val="nil"/>
              <w:left w:val="nil"/>
              <w:bottom w:val="nil"/>
              <w:right w:val="nil"/>
            </w:tcBorders>
            <w:shd w:val="clear" w:color="auto" w:fill="auto"/>
            <w:noWrap/>
            <w:vAlign w:val="bottom"/>
            <w:hideMark/>
          </w:tcPr>
          <w:p w14:paraId="68620B27"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0.140</w:t>
            </w:r>
          </w:p>
        </w:tc>
      </w:tr>
      <w:tr w:rsidR="00734A5B" w:rsidRPr="00245E91" w14:paraId="4F3A127D" w14:textId="77777777" w:rsidTr="00116862">
        <w:trPr>
          <w:trHeight w:val="144"/>
        </w:trPr>
        <w:tc>
          <w:tcPr>
            <w:tcW w:w="708" w:type="pct"/>
            <w:tcBorders>
              <w:top w:val="nil"/>
              <w:left w:val="nil"/>
              <w:bottom w:val="nil"/>
              <w:right w:val="nil"/>
            </w:tcBorders>
            <w:shd w:val="clear" w:color="auto" w:fill="auto"/>
            <w:noWrap/>
            <w:vAlign w:val="bottom"/>
            <w:hideMark/>
          </w:tcPr>
          <w:p w14:paraId="488A8FC7" w14:textId="77777777" w:rsidR="00734A5B" w:rsidRPr="00245E91" w:rsidRDefault="00734A5B" w:rsidP="00116862">
            <w:pPr>
              <w:spacing w:after="0" w:line="240" w:lineRule="auto"/>
              <w:contextualSpacing/>
              <w:rPr>
                <w:rFonts w:ascii="Times New Roman" w:eastAsia="Times New Roman" w:hAnsi="Times New Roman"/>
                <w:color w:val="000000"/>
                <w:sz w:val="15"/>
                <w:szCs w:val="15"/>
              </w:rPr>
            </w:pPr>
          </w:p>
        </w:tc>
        <w:tc>
          <w:tcPr>
            <w:tcW w:w="524" w:type="pct"/>
            <w:tcBorders>
              <w:top w:val="nil"/>
              <w:left w:val="nil"/>
              <w:bottom w:val="nil"/>
              <w:right w:val="nil"/>
            </w:tcBorders>
            <w:shd w:val="clear" w:color="auto" w:fill="auto"/>
            <w:noWrap/>
            <w:vAlign w:val="bottom"/>
            <w:hideMark/>
          </w:tcPr>
          <w:p w14:paraId="06BAB10B" w14:textId="77777777" w:rsidR="00734A5B" w:rsidRPr="00245E91" w:rsidRDefault="00734A5B" w:rsidP="00116862">
            <w:pPr>
              <w:spacing w:line="240" w:lineRule="auto"/>
              <w:ind w:right="-153"/>
              <w:contextualSpacing/>
              <w:rPr>
                <w:rFonts w:ascii="Times New Roman" w:hAnsi="Times New Roman"/>
                <w:color w:val="000000"/>
                <w:sz w:val="15"/>
                <w:szCs w:val="15"/>
              </w:rPr>
            </w:pPr>
          </w:p>
        </w:tc>
        <w:tc>
          <w:tcPr>
            <w:tcW w:w="536" w:type="pct"/>
            <w:tcBorders>
              <w:top w:val="nil"/>
              <w:left w:val="nil"/>
              <w:bottom w:val="nil"/>
              <w:right w:val="nil"/>
            </w:tcBorders>
            <w:shd w:val="clear" w:color="auto" w:fill="auto"/>
            <w:noWrap/>
            <w:vAlign w:val="bottom"/>
            <w:hideMark/>
          </w:tcPr>
          <w:p w14:paraId="4326AE1D" w14:textId="77777777" w:rsidR="00734A5B" w:rsidRPr="00245E91" w:rsidRDefault="00734A5B" w:rsidP="00116862">
            <w:pPr>
              <w:spacing w:line="240" w:lineRule="auto"/>
              <w:contextualSpacing/>
              <w:rPr>
                <w:rFonts w:ascii="Times New Roman" w:hAnsi="Times New Roman"/>
                <w:sz w:val="15"/>
                <w:szCs w:val="15"/>
              </w:rPr>
            </w:pPr>
          </w:p>
        </w:tc>
        <w:tc>
          <w:tcPr>
            <w:tcW w:w="536" w:type="pct"/>
            <w:tcBorders>
              <w:top w:val="nil"/>
              <w:left w:val="nil"/>
              <w:bottom w:val="nil"/>
              <w:right w:val="nil"/>
            </w:tcBorders>
            <w:shd w:val="clear" w:color="auto" w:fill="auto"/>
            <w:noWrap/>
            <w:vAlign w:val="bottom"/>
            <w:hideMark/>
          </w:tcPr>
          <w:p w14:paraId="3DF27470" w14:textId="77777777" w:rsidR="00734A5B" w:rsidRPr="00245E91" w:rsidRDefault="00734A5B" w:rsidP="00116862">
            <w:pPr>
              <w:spacing w:line="240" w:lineRule="auto"/>
              <w:contextualSpacing/>
              <w:rPr>
                <w:rFonts w:ascii="Times New Roman" w:hAnsi="Times New Roman"/>
                <w:sz w:val="15"/>
                <w:szCs w:val="15"/>
              </w:rPr>
            </w:pPr>
          </w:p>
        </w:tc>
        <w:tc>
          <w:tcPr>
            <w:tcW w:w="530" w:type="pct"/>
            <w:tcBorders>
              <w:top w:val="nil"/>
              <w:left w:val="nil"/>
              <w:bottom w:val="nil"/>
              <w:right w:val="nil"/>
            </w:tcBorders>
            <w:shd w:val="clear" w:color="auto" w:fill="auto"/>
            <w:noWrap/>
            <w:vAlign w:val="bottom"/>
            <w:hideMark/>
          </w:tcPr>
          <w:p w14:paraId="1969C7BA" w14:textId="77777777" w:rsidR="00734A5B" w:rsidRPr="00245E91" w:rsidRDefault="00734A5B" w:rsidP="00116862">
            <w:pPr>
              <w:spacing w:line="240" w:lineRule="auto"/>
              <w:contextualSpacing/>
              <w:rPr>
                <w:rFonts w:ascii="Times New Roman" w:hAnsi="Times New Roman"/>
                <w:sz w:val="15"/>
                <w:szCs w:val="15"/>
              </w:rPr>
            </w:pPr>
          </w:p>
        </w:tc>
        <w:tc>
          <w:tcPr>
            <w:tcW w:w="555" w:type="pct"/>
            <w:tcBorders>
              <w:top w:val="nil"/>
              <w:left w:val="nil"/>
              <w:bottom w:val="nil"/>
              <w:right w:val="nil"/>
            </w:tcBorders>
            <w:shd w:val="clear" w:color="auto" w:fill="auto"/>
            <w:noWrap/>
            <w:vAlign w:val="bottom"/>
            <w:hideMark/>
          </w:tcPr>
          <w:p w14:paraId="0A1FF8A6" w14:textId="77777777" w:rsidR="00734A5B" w:rsidRPr="00245E91" w:rsidRDefault="00734A5B" w:rsidP="00116862">
            <w:pPr>
              <w:spacing w:line="240" w:lineRule="auto"/>
              <w:contextualSpacing/>
              <w:rPr>
                <w:rFonts w:ascii="Times New Roman" w:hAnsi="Times New Roman"/>
                <w:sz w:val="15"/>
                <w:szCs w:val="15"/>
              </w:rPr>
            </w:pPr>
          </w:p>
        </w:tc>
        <w:tc>
          <w:tcPr>
            <w:tcW w:w="541" w:type="pct"/>
            <w:tcBorders>
              <w:top w:val="nil"/>
              <w:left w:val="nil"/>
              <w:bottom w:val="nil"/>
              <w:right w:val="nil"/>
            </w:tcBorders>
            <w:shd w:val="clear" w:color="auto" w:fill="auto"/>
            <w:noWrap/>
            <w:vAlign w:val="bottom"/>
            <w:hideMark/>
          </w:tcPr>
          <w:p w14:paraId="0792B620" w14:textId="77777777" w:rsidR="00734A5B" w:rsidRPr="00245E91" w:rsidRDefault="00734A5B" w:rsidP="00116862">
            <w:pPr>
              <w:spacing w:line="240" w:lineRule="auto"/>
              <w:contextualSpacing/>
              <w:rPr>
                <w:rFonts w:ascii="Times New Roman" w:hAnsi="Times New Roman"/>
                <w:sz w:val="15"/>
                <w:szCs w:val="15"/>
              </w:rPr>
            </w:pPr>
          </w:p>
        </w:tc>
        <w:tc>
          <w:tcPr>
            <w:tcW w:w="534" w:type="pct"/>
            <w:tcBorders>
              <w:top w:val="nil"/>
              <w:left w:val="nil"/>
              <w:bottom w:val="nil"/>
              <w:right w:val="nil"/>
            </w:tcBorders>
            <w:shd w:val="clear" w:color="auto" w:fill="auto"/>
            <w:noWrap/>
            <w:vAlign w:val="bottom"/>
            <w:hideMark/>
          </w:tcPr>
          <w:p w14:paraId="2261977C" w14:textId="77777777" w:rsidR="00734A5B" w:rsidRPr="00245E91" w:rsidRDefault="00734A5B" w:rsidP="00116862">
            <w:pPr>
              <w:spacing w:line="240" w:lineRule="auto"/>
              <w:contextualSpacing/>
              <w:rPr>
                <w:rFonts w:ascii="Times New Roman" w:hAnsi="Times New Roman"/>
                <w:sz w:val="15"/>
                <w:szCs w:val="15"/>
              </w:rPr>
            </w:pPr>
          </w:p>
        </w:tc>
        <w:tc>
          <w:tcPr>
            <w:tcW w:w="536" w:type="pct"/>
            <w:tcBorders>
              <w:top w:val="nil"/>
              <w:left w:val="nil"/>
              <w:bottom w:val="nil"/>
              <w:right w:val="nil"/>
            </w:tcBorders>
            <w:shd w:val="clear" w:color="auto" w:fill="auto"/>
            <w:noWrap/>
            <w:vAlign w:val="bottom"/>
            <w:hideMark/>
          </w:tcPr>
          <w:p w14:paraId="14FD29D2"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(6.151***)</w:t>
            </w:r>
          </w:p>
        </w:tc>
      </w:tr>
      <w:tr w:rsidR="00734A5B" w:rsidRPr="00245E91" w14:paraId="293DA5CA" w14:textId="77777777" w:rsidTr="00116862">
        <w:trPr>
          <w:trHeight w:val="144"/>
        </w:trPr>
        <w:tc>
          <w:tcPr>
            <w:tcW w:w="708" w:type="pct"/>
            <w:tcBorders>
              <w:top w:val="nil"/>
              <w:left w:val="nil"/>
              <w:bottom w:val="nil"/>
              <w:right w:val="nil"/>
            </w:tcBorders>
            <w:shd w:val="clear" w:color="auto" w:fill="auto"/>
            <w:noWrap/>
            <w:vAlign w:val="bottom"/>
            <w:hideMark/>
          </w:tcPr>
          <w:p w14:paraId="01E41DE8" w14:textId="77777777" w:rsidR="00734A5B" w:rsidRPr="00245E91" w:rsidRDefault="00734A5B" w:rsidP="00116862">
            <w:pPr>
              <w:spacing w:after="0" w:line="240" w:lineRule="auto"/>
              <w:contextualSpacing/>
              <w:rPr>
                <w:rFonts w:ascii="Times New Roman" w:eastAsia="Times New Roman" w:hAnsi="Times New Roman"/>
                <w:color w:val="000000"/>
                <w:sz w:val="15"/>
                <w:szCs w:val="15"/>
              </w:rPr>
            </w:pPr>
          </w:p>
        </w:tc>
        <w:tc>
          <w:tcPr>
            <w:tcW w:w="524" w:type="pct"/>
            <w:tcBorders>
              <w:top w:val="nil"/>
              <w:left w:val="nil"/>
              <w:bottom w:val="nil"/>
              <w:right w:val="nil"/>
            </w:tcBorders>
            <w:shd w:val="clear" w:color="auto" w:fill="auto"/>
            <w:noWrap/>
            <w:vAlign w:val="bottom"/>
            <w:hideMark/>
          </w:tcPr>
          <w:p w14:paraId="275BEE40" w14:textId="77777777" w:rsidR="00734A5B" w:rsidRPr="00245E91" w:rsidRDefault="00734A5B" w:rsidP="00116862">
            <w:pPr>
              <w:spacing w:line="240" w:lineRule="auto"/>
              <w:ind w:right="-153"/>
              <w:contextualSpacing/>
              <w:rPr>
                <w:rFonts w:ascii="Times New Roman" w:hAnsi="Times New Roman"/>
                <w:color w:val="000000"/>
                <w:sz w:val="15"/>
                <w:szCs w:val="15"/>
              </w:rPr>
            </w:pPr>
          </w:p>
        </w:tc>
        <w:tc>
          <w:tcPr>
            <w:tcW w:w="536" w:type="pct"/>
            <w:tcBorders>
              <w:top w:val="nil"/>
              <w:left w:val="nil"/>
              <w:bottom w:val="nil"/>
              <w:right w:val="nil"/>
            </w:tcBorders>
            <w:shd w:val="clear" w:color="auto" w:fill="auto"/>
            <w:noWrap/>
            <w:vAlign w:val="bottom"/>
            <w:hideMark/>
          </w:tcPr>
          <w:p w14:paraId="0CCFE419" w14:textId="77777777" w:rsidR="00734A5B" w:rsidRPr="00245E91" w:rsidRDefault="00734A5B" w:rsidP="00116862">
            <w:pPr>
              <w:spacing w:line="240" w:lineRule="auto"/>
              <w:contextualSpacing/>
              <w:rPr>
                <w:rFonts w:ascii="Times New Roman" w:hAnsi="Times New Roman"/>
                <w:sz w:val="15"/>
                <w:szCs w:val="15"/>
              </w:rPr>
            </w:pPr>
          </w:p>
        </w:tc>
        <w:tc>
          <w:tcPr>
            <w:tcW w:w="536" w:type="pct"/>
            <w:tcBorders>
              <w:top w:val="nil"/>
              <w:left w:val="nil"/>
              <w:bottom w:val="nil"/>
              <w:right w:val="nil"/>
            </w:tcBorders>
            <w:shd w:val="clear" w:color="auto" w:fill="auto"/>
            <w:noWrap/>
            <w:vAlign w:val="bottom"/>
            <w:hideMark/>
          </w:tcPr>
          <w:p w14:paraId="1E6E4B35" w14:textId="77777777" w:rsidR="00734A5B" w:rsidRPr="00245E91" w:rsidRDefault="00734A5B" w:rsidP="00116862">
            <w:pPr>
              <w:spacing w:line="240" w:lineRule="auto"/>
              <w:contextualSpacing/>
              <w:rPr>
                <w:rFonts w:ascii="Times New Roman" w:hAnsi="Times New Roman"/>
                <w:sz w:val="15"/>
                <w:szCs w:val="15"/>
              </w:rPr>
            </w:pPr>
          </w:p>
        </w:tc>
        <w:tc>
          <w:tcPr>
            <w:tcW w:w="530" w:type="pct"/>
            <w:tcBorders>
              <w:top w:val="nil"/>
              <w:left w:val="nil"/>
              <w:bottom w:val="nil"/>
              <w:right w:val="nil"/>
            </w:tcBorders>
            <w:shd w:val="clear" w:color="auto" w:fill="auto"/>
            <w:noWrap/>
            <w:vAlign w:val="bottom"/>
            <w:hideMark/>
          </w:tcPr>
          <w:p w14:paraId="0847E59B" w14:textId="77777777" w:rsidR="00734A5B" w:rsidRPr="00245E91" w:rsidRDefault="00734A5B" w:rsidP="00116862">
            <w:pPr>
              <w:spacing w:line="240" w:lineRule="auto"/>
              <w:contextualSpacing/>
              <w:rPr>
                <w:rFonts w:ascii="Times New Roman" w:hAnsi="Times New Roman"/>
                <w:sz w:val="15"/>
                <w:szCs w:val="15"/>
              </w:rPr>
            </w:pPr>
          </w:p>
        </w:tc>
        <w:tc>
          <w:tcPr>
            <w:tcW w:w="555" w:type="pct"/>
            <w:tcBorders>
              <w:top w:val="nil"/>
              <w:left w:val="nil"/>
              <w:bottom w:val="nil"/>
              <w:right w:val="nil"/>
            </w:tcBorders>
            <w:shd w:val="clear" w:color="auto" w:fill="auto"/>
            <w:noWrap/>
            <w:vAlign w:val="bottom"/>
            <w:hideMark/>
          </w:tcPr>
          <w:p w14:paraId="49402B5F" w14:textId="77777777" w:rsidR="00734A5B" w:rsidRPr="00245E91" w:rsidRDefault="00734A5B" w:rsidP="00116862">
            <w:pPr>
              <w:spacing w:line="240" w:lineRule="auto"/>
              <w:contextualSpacing/>
              <w:rPr>
                <w:rFonts w:ascii="Times New Roman" w:hAnsi="Times New Roman"/>
                <w:sz w:val="15"/>
                <w:szCs w:val="15"/>
              </w:rPr>
            </w:pPr>
          </w:p>
        </w:tc>
        <w:tc>
          <w:tcPr>
            <w:tcW w:w="541" w:type="pct"/>
            <w:tcBorders>
              <w:top w:val="nil"/>
              <w:left w:val="nil"/>
              <w:bottom w:val="nil"/>
              <w:right w:val="nil"/>
            </w:tcBorders>
            <w:shd w:val="clear" w:color="auto" w:fill="auto"/>
            <w:noWrap/>
            <w:vAlign w:val="bottom"/>
            <w:hideMark/>
          </w:tcPr>
          <w:p w14:paraId="3DCCC0F7" w14:textId="77777777" w:rsidR="00734A5B" w:rsidRPr="00245E91" w:rsidRDefault="00734A5B" w:rsidP="00116862">
            <w:pPr>
              <w:spacing w:line="240" w:lineRule="auto"/>
              <w:contextualSpacing/>
              <w:rPr>
                <w:rFonts w:ascii="Times New Roman" w:hAnsi="Times New Roman"/>
                <w:sz w:val="15"/>
                <w:szCs w:val="15"/>
              </w:rPr>
            </w:pPr>
          </w:p>
        </w:tc>
        <w:tc>
          <w:tcPr>
            <w:tcW w:w="534" w:type="pct"/>
            <w:tcBorders>
              <w:top w:val="nil"/>
              <w:left w:val="nil"/>
              <w:bottom w:val="nil"/>
              <w:right w:val="nil"/>
            </w:tcBorders>
            <w:shd w:val="clear" w:color="auto" w:fill="auto"/>
            <w:noWrap/>
            <w:vAlign w:val="bottom"/>
            <w:hideMark/>
          </w:tcPr>
          <w:p w14:paraId="73139B52" w14:textId="77777777" w:rsidR="00734A5B" w:rsidRPr="00245E91" w:rsidRDefault="00734A5B" w:rsidP="00116862">
            <w:pPr>
              <w:spacing w:line="240" w:lineRule="auto"/>
              <w:contextualSpacing/>
              <w:rPr>
                <w:rFonts w:ascii="Times New Roman" w:hAnsi="Times New Roman"/>
                <w:sz w:val="15"/>
                <w:szCs w:val="15"/>
              </w:rPr>
            </w:pPr>
          </w:p>
        </w:tc>
        <w:tc>
          <w:tcPr>
            <w:tcW w:w="536" w:type="pct"/>
            <w:tcBorders>
              <w:top w:val="nil"/>
              <w:left w:val="nil"/>
              <w:bottom w:val="nil"/>
              <w:right w:val="nil"/>
            </w:tcBorders>
            <w:shd w:val="clear" w:color="auto" w:fill="auto"/>
            <w:noWrap/>
            <w:vAlign w:val="bottom"/>
            <w:hideMark/>
          </w:tcPr>
          <w:p w14:paraId="523A7F97" w14:textId="77777777" w:rsidR="00734A5B" w:rsidRPr="00245E91" w:rsidRDefault="00734A5B" w:rsidP="00116862">
            <w:pPr>
              <w:spacing w:line="240" w:lineRule="auto"/>
              <w:contextualSpacing/>
              <w:rPr>
                <w:rFonts w:ascii="Times New Roman" w:hAnsi="Times New Roman"/>
                <w:sz w:val="15"/>
                <w:szCs w:val="15"/>
              </w:rPr>
            </w:pPr>
          </w:p>
        </w:tc>
      </w:tr>
      <w:tr w:rsidR="00734A5B" w:rsidRPr="00245E91" w14:paraId="639F284E" w14:textId="77777777" w:rsidTr="00116862">
        <w:trPr>
          <w:trHeight w:val="144"/>
        </w:trPr>
        <w:tc>
          <w:tcPr>
            <w:tcW w:w="708" w:type="pct"/>
            <w:tcBorders>
              <w:top w:val="nil"/>
              <w:left w:val="nil"/>
              <w:bottom w:val="nil"/>
              <w:right w:val="nil"/>
            </w:tcBorders>
            <w:shd w:val="clear" w:color="auto" w:fill="auto"/>
            <w:noWrap/>
            <w:vAlign w:val="bottom"/>
            <w:hideMark/>
          </w:tcPr>
          <w:p w14:paraId="3D0DF95F" w14:textId="77777777" w:rsidR="00734A5B" w:rsidRPr="00245E91" w:rsidRDefault="00734A5B" w:rsidP="00116862">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Adj. R-squared</w:t>
            </w:r>
          </w:p>
        </w:tc>
        <w:tc>
          <w:tcPr>
            <w:tcW w:w="524" w:type="pct"/>
            <w:tcBorders>
              <w:top w:val="nil"/>
              <w:left w:val="nil"/>
              <w:bottom w:val="nil"/>
              <w:right w:val="nil"/>
            </w:tcBorders>
            <w:shd w:val="clear" w:color="auto" w:fill="auto"/>
            <w:noWrap/>
            <w:vAlign w:val="bottom"/>
            <w:hideMark/>
          </w:tcPr>
          <w:p w14:paraId="5C2473D2"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0.09</w:t>
            </w:r>
          </w:p>
        </w:tc>
        <w:tc>
          <w:tcPr>
            <w:tcW w:w="536" w:type="pct"/>
            <w:tcBorders>
              <w:top w:val="nil"/>
              <w:left w:val="nil"/>
              <w:bottom w:val="nil"/>
              <w:right w:val="nil"/>
            </w:tcBorders>
            <w:shd w:val="clear" w:color="auto" w:fill="auto"/>
            <w:noWrap/>
            <w:vAlign w:val="bottom"/>
            <w:hideMark/>
          </w:tcPr>
          <w:p w14:paraId="7D7C35F9"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0.18</w:t>
            </w:r>
          </w:p>
        </w:tc>
        <w:tc>
          <w:tcPr>
            <w:tcW w:w="536" w:type="pct"/>
            <w:tcBorders>
              <w:top w:val="nil"/>
              <w:left w:val="nil"/>
              <w:bottom w:val="nil"/>
              <w:right w:val="nil"/>
            </w:tcBorders>
            <w:shd w:val="clear" w:color="auto" w:fill="auto"/>
            <w:noWrap/>
            <w:vAlign w:val="bottom"/>
            <w:hideMark/>
          </w:tcPr>
          <w:p w14:paraId="212F86DF"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0.15</w:t>
            </w:r>
          </w:p>
        </w:tc>
        <w:tc>
          <w:tcPr>
            <w:tcW w:w="530" w:type="pct"/>
            <w:tcBorders>
              <w:top w:val="nil"/>
              <w:left w:val="nil"/>
              <w:bottom w:val="nil"/>
              <w:right w:val="nil"/>
            </w:tcBorders>
            <w:shd w:val="clear" w:color="auto" w:fill="auto"/>
            <w:noWrap/>
            <w:vAlign w:val="bottom"/>
            <w:hideMark/>
          </w:tcPr>
          <w:p w14:paraId="3755E4C4"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0.10</w:t>
            </w:r>
          </w:p>
        </w:tc>
        <w:tc>
          <w:tcPr>
            <w:tcW w:w="555" w:type="pct"/>
            <w:tcBorders>
              <w:top w:val="nil"/>
              <w:left w:val="nil"/>
              <w:bottom w:val="nil"/>
              <w:right w:val="nil"/>
            </w:tcBorders>
            <w:shd w:val="clear" w:color="auto" w:fill="auto"/>
            <w:noWrap/>
            <w:vAlign w:val="bottom"/>
            <w:hideMark/>
          </w:tcPr>
          <w:p w14:paraId="7535FF2D"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0.14</w:t>
            </w:r>
          </w:p>
        </w:tc>
        <w:tc>
          <w:tcPr>
            <w:tcW w:w="541" w:type="pct"/>
            <w:tcBorders>
              <w:top w:val="nil"/>
              <w:left w:val="nil"/>
              <w:bottom w:val="nil"/>
              <w:right w:val="nil"/>
            </w:tcBorders>
            <w:shd w:val="clear" w:color="auto" w:fill="auto"/>
            <w:noWrap/>
            <w:vAlign w:val="bottom"/>
            <w:hideMark/>
          </w:tcPr>
          <w:p w14:paraId="338B6898"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0.18</w:t>
            </w:r>
          </w:p>
        </w:tc>
        <w:tc>
          <w:tcPr>
            <w:tcW w:w="534" w:type="pct"/>
            <w:tcBorders>
              <w:top w:val="nil"/>
              <w:left w:val="nil"/>
              <w:bottom w:val="nil"/>
              <w:right w:val="nil"/>
            </w:tcBorders>
            <w:shd w:val="clear" w:color="auto" w:fill="auto"/>
            <w:noWrap/>
            <w:vAlign w:val="bottom"/>
            <w:hideMark/>
          </w:tcPr>
          <w:p w14:paraId="063863D1"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0.21</w:t>
            </w:r>
          </w:p>
        </w:tc>
        <w:tc>
          <w:tcPr>
            <w:tcW w:w="536" w:type="pct"/>
            <w:tcBorders>
              <w:top w:val="nil"/>
              <w:left w:val="nil"/>
              <w:bottom w:val="nil"/>
              <w:right w:val="nil"/>
            </w:tcBorders>
            <w:shd w:val="clear" w:color="auto" w:fill="auto"/>
            <w:noWrap/>
            <w:vAlign w:val="bottom"/>
            <w:hideMark/>
          </w:tcPr>
          <w:p w14:paraId="3C59FF2D"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0.21</w:t>
            </w:r>
          </w:p>
        </w:tc>
      </w:tr>
      <w:tr w:rsidR="00734A5B" w:rsidRPr="00245E91" w14:paraId="0DC60846" w14:textId="77777777" w:rsidTr="00116862">
        <w:trPr>
          <w:trHeight w:val="144"/>
        </w:trPr>
        <w:tc>
          <w:tcPr>
            <w:tcW w:w="708" w:type="pct"/>
            <w:tcBorders>
              <w:top w:val="nil"/>
              <w:left w:val="nil"/>
              <w:bottom w:val="nil"/>
              <w:right w:val="nil"/>
            </w:tcBorders>
            <w:shd w:val="clear" w:color="auto" w:fill="auto"/>
            <w:noWrap/>
            <w:vAlign w:val="bottom"/>
            <w:hideMark/>
          </w:tcPr>
          <w:p w14:paraId="6BDA12B2" w14:textId="77777777" w:rsidR="00734A5B" w:rsidRPr="00245E91" w:rsidRDefault="00734A5B" w:rsidP="00116862">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Year fixed effect</w:t>
            </w:r>
          </w:p>
        </w:tc>
        <w:tc>
          <w:tcPr>
            <w:tcW w:w="524" w:type="pct"/>
            <w:tcBorders>
              <w:top w:val="nil"/>
              <w:left w:val="nil"/>
              <w:bottom w:val="nil"/>
              <w:right w:val="nil"/>
            </w:tcBorders>
            <w:shd w:val="clear" w:color="auto" w:fill="auto"/>
            <w:noWrap/>
            <w:hideMark/>
          </w:tcPr>
          <w:p w14:paraId="280C391E"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6" w:type="pct"/>
            <w:tcBorders>
              <w:top w:val="nil"/>
              <w:left w:val="nil"/>
              <w:bottom w:val="nil"/>
              <w:right w:val="nil"/>
            </w:tcBorders>
            <w:shd w:val="clear" w:color="auto" w:fill="auto"/>
            <w:noWrap/>
            <w:hideMark/>
          </w:tcPr>
          <w:p w14:paraId="77F7F083"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6" w:type="pct"/>
            <w:tcBorders>
              <w:top w:val="nil"/>
              <w:left w:val="nil"/>
              <w:bottom w:val="nil"/>
              <w:right w:val="nil"/>
            </w:tcBorders>
            <w:shd w:val="clear" w:color="auto" w:fill="auto"/>
            <w:noWrap/>
            <w:hideMark/>
          </w:tcPr>
          <w:p w14:paraId="7DD2CFC4"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0" w:type="pct"/>
            <w:tcBorders>
              <w:top w:val="nil"/>
              <w:left w:val="nil"/>
              <w:bottom w:val="nil"/>
              <w:right w:val="nil"/>
            </w:tcBorders>
            <w:shd w:val="clear" w:color="auto" w:fill="auto"/>
            <w:noWrap/>
            <w:hideMark/>
          </w:tcPr>
          <w:p w14:paraId="1B798DEA"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55" w:type="pct"/>
            <w:tcBorders>
              <w:top w:val="nil"/>
              <w:left w:val="nil"/>
              <w:bottom w:val="nil"/>
              <w:right w:val="nil"/>
            </w:tcBorders>
            <w:shd w:val="clear" w:color="auto" w:fill="auto"/>
            <w:noWrap/>
            <w:hideMark/>
          </w:tcPr>
          <w:p w14:paraId="2145F94A"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41" w:type="pct"/>
            <w:tcBorders>
              <w:top w:val="nil"/>
              <w:left w:val="nil"/>
              <w:bottom w:val="nil"/>
              <w:right w:val="nil"/>
            </w:tcBorders>
            <w:shd w:val="clear" w:color="auto" w:fill="auto"/>
            <w:noWrap/>
            <w:vAlign w:val="bottom"/>
            <w:hideMark/>
          </w:tcPr>
          <w:p w14:paraId="147956F7"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4" w:type="pct"/>
            <w:tcBorders>
              <w:top w:val="nil"/>
              <w:left w:val="nil"/>
              <w:bottom w:val="nil"/>
              <w:right w:val="nil"/>
            </w:tcBorders>
            <w:shd w:val="clear" w:color="auto" w:fill="auto"/>
            <w:noWrap/>
            <w:vAlign w:val="bottom"/>
            <w:hideMark/>
          </w:tcPr>
          <w:p w14:paraId="0E09F55C"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6" w:type="pct"/>
            <w:tcBorders>
              <w:top w:val="nil"/>
              <w:left w:val="nil"/>
              <w:bottom w:val="nil"/>
              <w:right w:val="nil"/>
            </w:tcBorders>
            <w:shd w:val="clear" w:color="auto" w:fill="auto"/>
            <w:noWrap/>
            <w:vAlign w:val="bottom"/>
            <w:hideMark/>
          </w:tcPr>
          <w:p w14:paraId="2F1683AB"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r>
      <w:tr w:rsidR="00734A5B" w:rsidRPr="00245E91" w14:paraId="2B758E6B" w14:textId="77777777" w:rsidTr="00116862">
        <w:trPr>
          <w:trHeight w:val="144"/>
        </w:trPr>
        <w:tc>
          <w:tcPr>
            <w:tcW w:w="708" w:type="pct"/>
            <w:tcBorders>
              <w:top w:val="nil"/>
              <w:left w:val="nil"/>
              <w:right w:val="nil"/>
            </w:tcBorders>
            <w:shd w:val="clear" w:color="auto" w:fill="auto"/>
            <w:noWrap/>
            <w:vAlign w:val="bottom"/>
            <w:hideMark/>
          </w:tcPr>
          <w:p w14:paraId="01380E0C" w14:textId="77777777" w:rsidR="00734A5B" w:rsidRPr="00245E91" w:rsidRDefault="00734A5B" w:rsidP="00116862">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Clustered by firm</w:t>
            </w:r>
          </w:p>
        </w:tc>
        <w:tc>
          <w:tcPr>
            <w:tcW w:w="524" w:type="pct"/>
            <w:tcBorders>
              <w:top w:val="nil"/>
              <w:left w:val="nil"/>
              <w:right w:val="nil"/>
            </w:tcBorders>
            <w:shd w:val="clear" w:color="auto" w:fill="auto"/>
            <w:noWrap/>
            <w:vAlign w:val="bottom"/>
            <w:hideMark/>
          </w:tcPr>
          <w:p w14:paraId="5E7F80B4"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6" w:type="pct"/>
            <w:tcBorders>
              <w:top w:val="nil"/>
              <w:left w:val="nil"/>
              <w:right w:val="nil"/>
            </w:tcBorders>
            <w:shd w:val="clear" w:color="auto" w:fill="auto"/>
            <w:noWrap/>
            <w:vAlign w:val="bottom"/>
            <w:hideMark/>
          </w:tcPr>
          <w:p w14:paraId="5C7968E2"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6" w:type="pct"/>
            <w:tcBorders>
              <w:top w:val="nil"/>
              <w:left w:val="nil"/>
              <w:right w:val="nil"/>
            </w:tcBorders>
            <w:shd w:val="clear" w:color="auto" w:fill="auto"/>
            <w:noWrap/>
            <w:vAlign w:val="bottom"/>
            <w:hideMark/>
          </w:tcPr>
          <w:p w14:paraId="38B99632"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0" w:type="pct"/>
            <w:tcBorders>
              <w:top w:val="nil"/>
              <w:left w:val="nil"/>
              <w:right w:val="nil"/>
            </w:tcBorders>
            <w:shd w:val="clear" w:color="auto" w:fill="auto"/>
            <w:noWrap/>
            <w:vAlign w:val="bottom"/>
            <w:hideMark/>
          </w:tcPr>
          <w:p w14:paraId="42C3CBD0"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55" w:type="pct"/>
            <w:tcBorders>
              <w:top w:val="nil"/>
              <w:left w:val="nil"/>
              <w:right w:val="nil"/>
            </w:tcBorders>
            <w:shd w:val="clear" w:color="auto" w:fill="auto"/>
            <w:noWrap/>
            <w:vAlign w:val="bottom"/>
            <w:hideMark/>
          </w:tcPr>
          <w:p w14:paraId="6C6EC79F"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41" w:type="pct"/>
            <w:tcBorders>
              <w:top w:val="nil"/>
              <w:left w:val="nil"/>
              <w:right w:val="nil"/>
            </w:tcBorders>
            <w:shd w:val="clear" w:color="auto" w:fill="auto"/>
            <w:noWrap/>
            <w:vAlign w:val="bottom"/>
            <w:hideMark/>
          </w:tcPr>
          <w:p w14:paraId="70ED0F87"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4" w:type="pct"/>
            <w:tcBorders>
              <w:top w:val="nil"/>
              <w:left w:val="nil"/>
              <w:right w:val="nil"/>
            </w:tcBorders>
            <w:shd w:val="clear" w:color="auto" w:fill="auto"/>
            <w:noWrap/>
            <w:vAlign w:val="bottom"/>
            <w:hideMark/>
          </w:tcPr>
          <w:p w14:paraId="5179961E"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6" w:type="pct"/>
            <w:tcBorders>
              <w:top w:val="nil"/>
              <w:left w:val="nil"/>
              <w:right w:val="nil"/>
            </w:tcBorders>
            <w:shd w:val="clear" w:color="auto" w:fill="auto"/>
            <w:noWrap/>
            <w:vAlign w:val="bottom"/>
            <w:hideMark/>
          </w:tcPr>
          <w:p w14:paraId="4080E247"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r>
      <w:tr w:rsidR="00734A5B" w:rsidRPr="00245E91" w14:paraId="4F517E87" w14:textId="77777777" w:rsidTr="00116862">
        <w:trPr>
          <w:trHeight w:val="144"/>
        </w:trPr>
        <w:tc>
          <w:tcPr>
            <w:tcW w:w="708" w:type="pct"/>
            <w:tcBorders>
              <w:top w:val="nil"/>
              <w:left w:val="nil"/>
              <w:bottom w:val="single" w:sz="4" w:space="0" w:color="auto"/>
              <w:right w:val="nil"/>
            </w:tcBorders>
            <w:shd w:val="clear" w:color="auto" w:fill="auto"/>
            <w:noWrap/>
            <w:vAlign w:val="bottom"/>
            <w:hideMark/>
          </w:tcPr>
          <w:p w14:paraId="57E5636E" w14:textId="77777777" w:rsidR="00734A5B" w:rsidRPr="00245E91" w:rsidRDefault="00734A5B" w:rsidP="00116862">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Observations</w:t>
            </w:r>
          </w:p>
        </w:tc>
        <w:tc>
          <w:tcPr>
            <w:tcW w:w="524" w:type="pct"/>
            <w:tcBorders>
              <w:top w:val="nil"/>
              <w:left w:val="nil"/>
              <w:bottom w:val="single" w:sz="4" w:space="0" w:color="auto"/>
              <w:right w:val="nil"/>
            </w:tcBorders>
            <w:shd w:val="clear" w:color="auto" w:fill="auto"/>
            <w:noWrap/>
            <w:vAlign w:val="bottom"/>
            <w:hideMark/>
          </w:tcPr>
          <w:p w14:paraId="16245485" w14:textId="77777777" w:rsidR="00734A5B" w:rsidRPr="00245E91" w:rsidRDefault="00734A5B" w:rsidP="00116862">
            <w:pPr>
              <w:spacing w:line="240" w:lineRule="auto"/>
              <w:ind w:right="-153"/>
              <w:contextualSpacing/>
              <w:rPr>
                <w:rFonts w:ascii="Times New Roman" w:hAnsi="Times New Roman"/>
                <w:color w:val="000000"/>
                <w:sz w:val="15"/>
                <w:szCs w:val="15"/>
              </w:rPr>
            </w:pPr>
            <w:r w:rsidRPr="00245E91">
              <w:rPr>
                <w:rFonts w:ascii="Times New Roman" w:hAnsi="Times New Roman"/>
                <w:color w:val="000000"/>
                <w:sz w:val="15"/>
                <w:szCs w:val="15"/>
              </w:rPr>
              <w:t>6,051</w:t>
            </w:r>
          </w:p>
        </w:tc>
        <w:tc>
          <w:tcPr>
            <w:tcW w:w="536" w:type="pct"/>
            <w:tcBorders>
              <w:top w:val="nil"/>
              <w:left w:val="nil"/>
              <w:bottom w:val="single" w:sz="4" w:space="0" w:color="auto"/>
              <w:right w:val="nil"/>
            </w:tcBorders>
            <w:shd w:val="clear" w:color="auto" w:fill="auto"/>
            <w:noWrap/>
            <w:vAlign w:val="bottom"/>
            <w:hideMark/>
          </w:tcPr>
          <w:p w14:paraId="0ACB38D4"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6,695</w:t>
            </w:r>
          </w:p>
        </w:tc>
        <w:tc>
          <w:tcPr>
            <w:tcW w:w="536" w:type="pct"/>
            <w:tcBorders>
              <w:top w:val="nil"/>
              <w:left w:val="nil"/>
              <w:bottom w:val="single" w:sz="4" w:space="0" w:color="auto"/>
              <w:right w:val="nil"/>
            </w:tcBorders>
            <w:shd w:val="clear" w:color="auto" w:fill="auto"/>
            <w:noWrap/>
            <w:vAlign w:val="bottom"/>
            <w:hideMark/>
          </w:tcPr>
          <w:p w14:paraId="314FCD92"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6,744</w:t>
            </w:r>
          </w:p>
        </w:tc>
        <w:tc>
          <w:tcPr>
            <w:tcW w:w="530" w:type="pct"/>
            <w:tcBorders>
              <w:top w:val="nil"/>
              <w:left w:val="nil"/>
              <w:bottom w:val="single" w:sz="4" w:space="0" w:color="auto"/>
              <w:right w:val="nil"/>
            </w:tcBorders>
            <w:shd w:val="clear" w:color="auto" w:fill="auto"/>
            <w:noWrap/>
            <w:vAlign w:val="bottom"/>
            <w:hideMark/>
          </w:tcPr>
          <w:p w14:paraId="5D8E287D"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5,977</w:t>
            </w:r>
          </w:p>
        </w:tc>
        <w:tc>
          <w:tcPr>
            <w:tcW w:w="555" w:type="pct"/>
            <w:tcBorders>
              <w:top w:val="nil"/>
              <w:left w:val="nil"/>
              <w:bottom w:val="single" w:sz="4" w:space="0" w:color="auto"/>
              <w:right w:val="nil"/>
            </w:tcBorders>
            <w:shd w:val="clear" w:color="auto" w:fill="auto"/>
            <w:noWrap/>
            <w:vAlign w:val="bottom"/>
            <w:hideMark/>
          </w:tcPr>
          <w:p w14:paraId="31B42412"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5,931</w:t>
            </w:r>
          </w:p>
        </w:tc>
        <w:tc>
          <w:tcPr>
            <w:tcW w:w="541" w:type="pct"/>
            <w:tcBorders>
              <w:top w:val="nil"/>
              <w:left w:val="nil"/>
              <w:bottom w:val="single" w:sz="4" w:space="0" w:color="auto"/>
              <w:right w:val="nil"/>
            </w:tcBorders>
            <w:shd w:val="clear" w:color="auto" w:fill="auto"/>
            <w:noWrap/>
            <w:vAlign w:val="bottom"/>
            <w:hideMark/>
          </w:tcPr>
          <w:p w14:paraId="66D88627"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6,723</w:t>
            </w:r>
          </w:p>
        </w:tc>
        <w:tc>
          <w:tcPr>
            <w:tcW w:w="534" w:type="pct"/>
            <w:tcBorders>
              <w:top w:val="nil"/>
              <w:left w:val="nil"/>
              <w:bottom w:val="single" w:sz="4" w:space="0" w:color="auto"/>
              <w:right w:val="nil"/>
            </w:tcBorders>
            <w:shd w:val="clear" w:color="auto" w:fill="auto"/>
            <w:noWrap/>
            <w:vAlign w:val="bottom"/>
            <w:hideMark/>
          </w:tcPr>
          <w:p w14:paraId="1B9F682D"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5,913</w:t>
            </w:r>
          </w:p>
        </w:tc>
        <w:tc>
          <w:tcPr>
            <w:tcW w:w="536" w:type="pct"/>
            <w:tcBorders>
              <w:top w:val="nil"/>
              <w:left w:val="nil"/>
              <w:bottom w:val="single" w:sz="4" w:space="0" w:color="auto"/>
              <w:right w:val="nil"/>
            </w:tcBorders>
            <w:shd w:val="clear" w:color="auto" w:fill="auto"/>
            <w:noWrap/>
            <w:vAlign w:val="bottom"/>
            <w:hideMark/>
          </w:tcPr>
          <w:p w14:paraId="4D6C504D" w14:textId="77777777" w:rsidR="00734A5B" w:rsidRPr="00245E91" w:rsidRDefault="00734A5B"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5,913</w:t>
            </w:r>
          </w:p>
        </w:tc>
      </w:tr>
    </w:tbl>
    <w:p w14:paraId="5FE89DBD" w14:textId="6F1754D1" w:rsidR="0054060B" w:rsidRPr="00245E91" w:rsidRDefault="0054060B">
      <w:pPr>
        <w:spacing w:after="0" w:line="240" w:lineRule="auto"/>
        <w:rPr>
          <w:rFonts w:ascii="Times New Roman" w:hAnsi="Times New Roman"/>
          <w:b/>
          <w:sz w:val="15"/>
          <w:szCs w:val="15"/>
        </w:rPr>
      </w:pPr>
      <w:r w:rsidRPr="00245E91">
        <w:rPr>
          <w:rFonts w:ascii="Times New Roman" w:hAnsi="Times New Roman"/>
          <w:sz w:val="15"/>
          <w:szCs w:val="15"/>
        </w:rPr>
        <w:br w:type="page"/>
      </w:r>
      <w:r w:rsidRPr="00245E91">
        <w:rPr>
          <w:rFonts w:ascii="Times New Roman" w:hAnsi="Times New Roman"/>
          <w:b/>
          <w:sz w:val="15"/>
          <w:szCs w:val="15"/>
        </w:rPr>
        <w:t xml:space="preserve">Table 5 - Cross-Sectional Analyses of </w:t>
      </w:r>
      <w:r w:rsidR="003F429F" w:rsidRPr="00245E91">
        <w:rPr>
          <w:rFonts w:ascii="Times New Roman" w:hAnsi="Times New Roman"/>
          <w:b/>
          <w:sz w:val="15"/>
          <w:szCs w:val="15"/>
        </w:rPr>
        <w:t xml:space="preserve">Real Activity </w:t>
      </w:r>
      <w:r w:rsidRPr="00245E91">
        <w:rPr>
          <w:rFonts w:ascii="Times New Roman" w:hAnsi="Times New Roman"/>
          <w:b/>
          <w:sz w:val="15"/>
          <w:szCs w:val="15"/>
        </w:rPr>
        <w:t xml:space="preserve">Earnings Management – </w:t>
      </w:r>
      <w:r w:rsidR="003F429F" w:rsidRPr="00245E91">
        <w:rPr>
          <w:rFonts w:ascii="Times New Roman" w:hAnsi="Times New Roman"/>
          <w:b/>
          <w:sz w:val="15"/>
          <w:szCs w:val="15"/>
        </w:rPr>
        <w:t>Different Matching Criteria</w:t>
      </w:r>
      <w:r w:rsidRPr="00245E91">
        <w:rPr>
          <w:rFonts w:ascii="Times New Roman" w:hAnsi="Times New Roman"/>
          <w:b/>
          <w:sz w:val="15"/>
          <w:szCs w:val="15"/>
        </w:rPr>
        <w:t xml:space="preserve"> </w:t>
      </w:r>
    </w:p>
    <w:p w14:paraId="0E93FE54" w14:textId="3458D737" w:rsidR="0054060B" w:rsidRPr="00245E91" w:rsidRDefault="0054060B" w:rsidP="00CC124C">
      <w:pPr>
        <w:spacing w:after="0" w:line="240" w:lineRule="auto"/>
        <w:rPr>
          <w:rFonts w:ascii="Times New Roman" w:eastAsia="Times New Roman" w:hAnsi="Times New Roman"/>
          <w:sz w:val="15"/>
          <w:szCs w:val="15"/>
        </w:rPr>
      </w:pPr>
      <w:r w:rsidRPr="00245E91">
        <w:rPr>
          <w:rFonts w:ascii="Times New Roman" w:eastAsia="Times New Roman" w:hAnsi="Times New Roman"/>
          <w:color w:val="000000"/>
          <w:sz w:val="15"/>
          <w:szCs w:val="15"/>
        </w:rPr>
        <w:t xml:space="preserve">The dependent variables are </w:t>
      </w:r>
      <w:r w:rsidRPr="00245E91">
        <w:rPr>
          <w:rFonts w:ascii="Times New Roman" w:eastAsia="Times New Roman" w:hAnsi="Times New Roman"/>
          <w:i/>
          <w:sz w:val="15"/>
          <w:szCs w:val="15"/>
        </w:rPr>
        <w:t>RM1</w:t>
      </w:r>
      <w:r w:rsidR="0064774A" w:rsidRPr="00245E91">
        <w:rPr>
          <w:rFonts w:ascii="Times New Roman" w:eastAsia="Times New Roman" w:hAnsi="Times New Roman"/>
          <w:i/>
          <w:sz w:val="15"/>
          <w:szCs w:val="15"/>
        </w:rPr>
        <w:t>, i.e.,</w:t>
      </w:r>
      <w:r w:rsidRPr="00245E91">
        <w:rPr>
          <w:rFonts w:ascii="Times New Roman" w:eastAsia="Times New Roman" w:hAnsi="Times New Roman"/>
          <w:sz w:val="15"/>
          <w:szCs w:val="15"/>
        </w:rPr>
        <w:t xml:space="preserve"> the sum of </w:t>
      </w:r>
      <w:r w:rsidRPr="00245E91">
        <w:rPr>
          <w:rFonts w:ascii="Times New Roman" w:eastAsia="Times New Roman" w:hAnsi="Times New Roman"/>
          <w:i/>
          <w:sz w:val="15"/>
          <w:szCs w:val="15"/>
        </w:rPr>
        <w:t>RDISX</w:t>
      </w:r>
      <w:r w:rsidRPr="00245E91">
        <w:rPr>
          <w:rFonts w:ascii="Times New Roman" w:eastAsia="Times New Roman" w:hAnsi="Times New Roman"/>
          <w:sz w:val="15"/>
          <w:szCs w:val="15"/>
        </w:rPr>
        <w:t xml:space="preserve"> and </w:t>
      </w:r>
      <w:r w:rsidRPr="00245E91">
        <w:rPr>
          <w:rFonts w:ascii="Times New Roman" w:eastAsia="Times New Roman" w:hAnsi="Times New Roman"/>
          <w:i/>
          <w:sz w:val="15"/>
          <w:szCs w:val="15"/>
        </w:rPr>
        <w:t>RPROD</w:t>
      </w:r>
      <w:r w:rsidR="0064774A" w:rsidRPr="00245E91">
        <w:rPr>
          <w:rFonts w:ascii="Times New Roman" w:eastAsia="Times New Roman" w:hAnsi="Times New Roman"/>
          <w:i/>
          <w:sz w:val="15"/>
          <w:szCs w:val="15"/>
        </w:rPr>
        <w:t xml:space="preserve">, and </w:t>
      </w:r>
      <w:r w:rsidRPr="00245E91">
        <w:rPr>
          <w:rFonts w:ascii="Times New Roman" w:eastAsia="Times New Roman" w:hAnsi="Times New Roman"/>
          <w:i/>
          <w:sz w:val="15"/>
          <w:szCs w:val="15"/>
        </w:rPr>
        <w:t>RM2</w:t>
      </w:r>
      <w:r w:rsidR="0064774A" w:rsidRPr="00245E91">
        <w:rPr>
          <w:rFonts w:ascii="Times New Roman" w:eastAsia="Times New Roman" w:hAnsi="Times New Roman"/>
          <w:i/>
          <w:sz w:val="15"/>
          <w:szCs w:val="15"/>
        </w:rPr>
        <w:t xml:space="preserve">, i.e., </w:t>
      </w:r>
      <w:r w:rsidRPr="00245E91">
        <w:rPr>
          <w:rFonts w:ascii="Times New Roman" w:eastAsia="Times New Roman" w:hAnsi="Times New Roman"/>
          <w:sz w:val="15"/>
          <w:szCs w:val="15"/>
        </w:rPr>
        <w:t xml:space="preserve">the sum of </w:t>
      </w:r>
      <w:r w:rsidRPr="00245E91">
        <w:rPr>
          <w:rFonts w:ascii="Times New Roman" w:eastAsia="Times New Roman" w:hAnsi="Times New Roman"/>
          <w:i/>
          <w:sz w:val="15"/>
          <w:szCs w:val="15"/>
        </w:rPr>
        <w:t>RDISX</w:t>
      </w:r>
      <w:r w:rsidRPr="00245E91">
        <w:rPr>
          <w:rFonts w:ascii="Times New Roman" w:eastAsia="Times New Roman" w:hAnsi="Times New Roman"/>
          <w:sz w:val="15"/>
          <w:szCs w:val="15"/>
        </w:rPr>
        <w:t xml:space="preserve">, </w:t>
      </w:r>
      <w:r w:rsidRPr="00245E91">
        <w:rPr>
          <w:rFonts w:ascii="Times New Roman" w:eastAsia="Times New Roman" w:hAnsi="Times New Roman"/>
          <w:i/>
          <w:sz w:val="15"/>
          <w:szCs w:val="15"/>
        </w:rPr>
        <w:t>RPROD</w:t>
      </w:r>
      <w:r w:rsidRPr="00245E91">
        <w:rPr>
          <w:rFonts w:ascii="Times New Roman" w:eastAsia="Times New Roman" w:hAnsi="Times New Roman"/>
          <w:sz w:val="15"/>
          <w:szCs w:val="15"/>
        </w:rPr>
        <w:t xml:space="preserve"> and </w:t>
      </w:r>
      <w:r w:rsidRPr="00245E91">
        <w:rPr>
          <w:rFonts w:ascii="Times New Roman" w:eastAsia="Times New Roman" w:hAnsi="Times New Roman"/>
          <w:i/>
          <w:sz w:val="15"/>
          <w:szCs w:val="15"/>
        </w:rPr>
        <w:t>RCFO</w:t>
      </w:r>
      <w:r w:rsidRPr="00245E91">
        <w:rPr>
          <w:rFonts w:ascii="Times New Roman" w:eastAsia="Times New Roman" w:hAnsi="Times New Roman"/>
          <w:sz w:val="15"/>
          <w:szCs w:val="15"/>
        </w:rPr>
        <w:t>.</w:t>
      </w:r>
      <w:r w:rsidRPr="00245E91">
        <w:rPr>
          <w:rFonts w:ascii="Times New Roman" w:eastAsia="Times New Roman" w:hAnsi="Times New Roman"/>
          <w:i/>
          <w:sz w:val="15"/>
          <w:szCs w:val="15"/>
        </w:rPr>
        <w:t xml:space="preserve"> MLP</w:t>
      </w:r>
      <w:r w:rsidRPr="00245E91">
        <w:rPr>
          <w:rFonts w:ascii="Times New Roman" w:eastAsia="Times New Roman" w:hAnsi="Times New Roman"/>
          <w:sz w:val="15"/>
          <w:szCs w:val="15"/>
        </w:rPr>
        <w:t xml:space="preserve"> is the dummy variable for MLP firms. </w:t>
      </w:r>
      <w:r w:rsidRPr="00245E91">
        <w:rPr>
          <w:rFonts w:ascii="Times New Roman" w:eastAsia="Times New Roman" w:hAnsi="Times New Roman"/>
          <w:i/>
          <w:sz w:val="15"/>
          <w:szCs w:val="15"/>
        </w:rPr>
        <w:t xml:space="preserve">LN(Assets) </w:t>
      </w:r>
      <w:r w:rsidRPr="00245E91">
        <w:rPr>
          <w:rFonts w:ascii="Times New Roman" w:eastAsia="Times New Roman" w:hAnsi="Times New Roman"/>
          <w:sz w:val="15"/>
          <w:szCs w:val="15"/>
        </w:rPr>
        <w:t xml:space="preserve">is the natural log of total assets. </w:t>
      </w:r>
      <w:r w:rsidRPr="00245E91">
        <w:rPr>
          <w:rFonts w:ascii="Times New Roman" w:eastAsia="Times New Roman" w:hAnsi="Times New Roman"/>
          <w:i/>
          <w:sz w:val="15"/>
          <w:szCs w:val="15"/>
        </w:rPr>
        <w:t>MKTSHARE</w:t>
      </w:r>
      <w:r w:rsidRPr="00245E91">
        <w:rPr>
          <w:rFonts w:ascii="Times New Roman" w:eastAsia="Times New Roman" w:hAnsi="Times New Roman"/>
          <w:sz w:val="15"/>
          <w:szCs w:val="15"/>
        </w:rPr>
        <w:t xml:space="preserve"> is the ratio of firm sales to total sales of all firms in the same industry. </w:t>
      </w:r>
      <w:r w:rsidRPr="00245E91">
        <w:rPr>
          <w:rFonts w:ascii="Times New Roman" w:eastAsia="Times New Roman" w:hAnsi="Times New Roman"/>
          <w:i/>
          <w:sz w:val="15"/>
          <w:szCs w:val="15"/>
        </w:rPr>
        <w:t>DEBT</w:t>
      </w:r>
      <w:r w:rsidRPr="00245E91">
        <w:rPr>
          <w:rFonts w:ascii="Times New Roman" w:eastAsia="Times New Roman" w:hAnsi="Times New Roman"/>
          <w:sz w:val="15"/>
          <w:szCs w:val="15"/>
        </w:rPr>
        <w:t xml:space="preserve"> is the ratio of debt-to-assets. </w:t>
      </w:r>
      <w:r w:rsidRPr="00245E91">
        <w:rPr>
          <w:rFonts w:ascii="Times New Roman" w:eastAsia="Times New Roman" w:hAnsi="Times New Roman"/>
          <w:i/>
          <w:sz w:val="15"/>
          <w:szCs w:val="15"/>
        </w:rPr>
        <w:t>NOA</w:t>
      </w:r>
      <w:r w:rsidRPr="00245E91">
        <w:rPr>
          <w:rFonts w:ascii="Times New Roman" w:eastAsia="Times New Roman" w:hAnsi="Times New Roman"/>
          <w:sz w:val="15"/>
          <w:szCs w:val="15"/>
        </w:rPr>
        <w:t xml:space="preserve"> is net operating assets and is calculated as total assets minus cash and short-term investment scaled by total assets. </w:t>
      </w:r>
      <w:r w:rsidRPr="00245E91">
        <w:rPr>
          <w:rFonts w:ascii="Times New Roman" w:eastAsia="Times New Roman" w:hAnsi="Times New Roman"/>
          <w:i/>
          <w:sz w:val="15"/>
          <w:szCs w:val="15"/>
        </w:rPr>
        <w:t>OPERCYCLE</w:t>
      </w:r>
      <w:r w:rsidRPr="00245E91">
        <w:rPr>
          <w:rFonts w:ascii="Times New Roman" w:hAnsi="Times New Roman"/>
          <w:sz w:val="15"/>
          <w:szCs w:val="15"/>
        </w:rPr>
        <w:t xml:space="preserve"> </w:t>
      </w:r>
      <w:r w:rsidRPr="00245E91">
        <w:rPr>
          <w:rFonts w:ascii="Times New Roman" w:eastAsia="Times New Roman" w:hAnsi="Times New Roman"/>
          <w:sz w:val="15"/>
          <w:szCs w:val="15"/>
        </w:rPr>
        <w:t xml:space="preserve">is the days of receivable plus the days of inventory less the days of payable at the beginning of the year. </w:t>
      </w:r>
      <w:r w:rsidRPr="00245E91">
        <w:rPr>
          <w:rFonts w:ascii="Times New Roman" w:eastAsia="Times New Roman" w:hAnsi="Times New Roman"/>
          <w:i/>
          <w:sz w:val="15"/>
          <w:szCs w:val="15"/>
        </w:rPr>
        <w:t>ROA</w:t>
      </w:r>
      <w:r w:rsidRPr="00245E91">
        <w:rPr>
          <w:rFonts w:ascii="Times New Roman" w:eastAsia="Times New Roman" w:hAnsi="Times New Roman"/>
          <w:sz w:val="15"/>
          <w:szCs w:val="15"/>
        </w:rPr>
        <w:t xml:space="preserve"> is net income to total assets ratio. </w:t>
      </w:r>
      <w:r w:rsidRPr="00245E91">
        <w:rPr>
          <w:rFonts w:ascii="Times New Roman" w:eastAsia="Times New Roman" w:hAnsi="Times New Roman"/>
          <w:i/>
          <w:sz w:val="15"/>
          <w:szCs w:val="15"/>
        </w:rPr>
        <w:t>MKBK</w:t>
      </w:r>
      <w:r w:rsidRPr="00245E91">
        <w:rPr>
          <w:rFonts w:ascii="Times New Roman" w:eastAsia="Times New Roman" w:hAnsi="Times New Roman"/>
          <w:sz w:val="15"/>
          <w:szCs w:val="15"/>
        </w:rPr>
        <w:t xml:space="preserve"> is the market-to-book ratio of equity. </w:t>
      </w:r>
      <w:r w:rsidRPr="00245E91">
        <w:rPr>
          <w:rFonts w:ascii="Times New Roman" w:eastAsia="Times New Roman" w:hAnsi="Times New Roman"/>
          <w:i/>
          <w:sz w:val="15"/>
          <w:szCs w:val="15"/>
        </w:rPr>
        <w:t>LIQUIDITY</w:t>
      </w:r>
      <w:r w:rsidRPr="00245E91">
        <w:rPr>
          <w:rFonts w:ascii="Times New Roman" w:eastAsia="Times New Roman" w:hAnsi="Times New Roman"/>
          <w:sz w:val="15"/>
          <w:szCs w:val="15"/>
        </w:rPr>
        <w:t xml:space="preserve"> is the average of the ratio of monthly trading volume to shares outstanding in the year. </w:t>
      </w:r>
      <w:r w:rsidRPr="00245E91">
        <w:rPr>
          <w:rFonts w:ascii="Times New Roman" w:eastAsia="Times New Roman" w:hAnsi="Times New Roman"/>
          <w:i/>
          <w:sz w:val="15"/>
          <w:szCs w:val="15"/>
        </w:rPr>
        <w:t>STOCKISSUE</w:t>
      </w:r>
      <w:r w:rsidRPr="00245E91">
        <w:rPr>
          <w:rFonts w:ascii="Times New Roman" w:eastAsia="Times New Roman" w:hAnsi="Times New Roman"/>
          <w:sz w:val="15"/>
          <w:szCs w:val="15"/>
        </w:rPr>
        <w:t xml:space="preserve"> is the ratio of the amount of sales of common stock and preferred stock in the year to the market capitalization of the firm. </w:t>
      </w:r>
      <w:r w:rsidRPr="00245E91">
        <w:rPr>
          <w:rFonts w:ascii="Times New Roman" w:eastAsia="Times New Roman" w:hAnsi="Times New Roman"/>
          <w:i/>
          <w:sz w:val="15"/>
          <w:szCs w:val="15"/>
        </w:rPr>
        <w:t>DEBISSUE</w:t>
      </w:r>
      <w:r w:rsidRPr="00245E91">
        <w:rPr>
          <w:rFonts w:ascii="Times New Roman" w:eastAsia="Times New Roman" w:hAnsi="Times New Roman"/>
          <w:sz w:val="15"/>
          <w:szCs w:val="15"/>
        </w:rPr>
        <w:t xml:space="preserve"> is the ratio of the amount of long-term debt issuance to the firm’s assets. </w:t>
      </w:r>
      <w:r w:rsidRPr="00245E91">
        <w:rPr>
          <w:rFonts w:ascii="Times New Roman" w:eastAsia="Times New Roman" w:hAnsi="Times New Roman"/>
          <w:i/>
          <w:sz w:val="15"/>
          <w:szCs w:val="15"/>
        </w:rPr>
        <w:t>BIG8</w:t>
      </w:r>
      <w:r w:rsidRPr="00245E91">
        <w:rPr>
          <w:rFonts w:ascii="Times New Roman" w:eastAsia="Times New Roman" w:hAnsi="Times New Roman"/>
          <w:sz w:val="15"/>
          <w:szCs w:val="15"/>
        </w:rPr>
        <w:t xml:space="preserve"> is the dummy variable for firms with auditors in the top 8. </w:t>
      </w:r>
      <w:r w:rsidRPr="00245E91">
        <w:rPr>
          <w:rFonts w:ascii="Times New Roman" w:eastAsia="Times New Roman" w:hAnsi="Times New Roman"/>
          <w:i/>
          <w:sz w:val="15"/>
          <w:szCs w:val="15"/>
        </w:rPr>
        <w:t>TENURE</w:t>
      </w:r>
      <w:r w:rsidRPr="00245E91">
        <w:rPr>
          <w:rFonts w:ascii="Times New Roman" w:eastAsia="Times New Roman" w:hAnsi="Times New Roman"/>
          <w:sz w:val="15"/>
          <w:szCs w:val="15"/>
        </w:rPr>
        <w:t xml:space="preserve"> is the number of years the auditor has audited the client. </w:t>
      </w:r>
      <w:r w:rsidRPr="00245E91">
        <w:rPr>
          <w:rFonts w:ascii="Times New Roman" w:eastAsia="Times New Roman" w:hAnsi="Times New Roman"/>
          <w:i/>
          <w:sz w:val="15"/>
          <w:szCs w:val="15"/>
        </w:rPr>
        <w:t>INSTOWN</w:t>
      </w:r>
      <w:r w:rsidRPr="00245E91">
        <w:rPr>
          <w:rFonts w:ascii="Times New Roman" w:hAnsi="Times New Roman"/>
          <w:sz w:val="15"/>
          <w:szCs w:val="15"/>
        </w:rPr>
        <w:t xml:space="preserve"> </w:t>
      </w:r>
      <w:r w:rsidRPr="00245E91">
        <w:rPr>
          <w:rFonts w:ascii="Times New Roman" w:eastAsia="Times New Roman" w:hAnsi="Times New Roman"/>
          <w:sz w:val="15"/>
          <w:szCs w:val="15"/>
        </w:rPr>
        <w:t xml:space="preserve">is the percentage of institutional ownership at the beginning of year. </w:t>
      </w:r>
      <w:r w:rsidRPr="00245E91">
        <w:rPr>
          <w:rFonts w:ascii="Times New Roman" w:eastAsia="Times New Roman" w:hAnsi="Times New Roman"/>
          <w:i/>
          <w:sz w:val="15"/>
          <w:szCs w:val="15"/>
        </w:rPr>
        <w:t>NUMANALYST</w:t>
      </w:r>
      <w:r w:rsidRPr="00245E91">
        <w:rPr>
          <w:rFonts w:ascii="Times New Roman" w:eastAsia="Times New Roman" w:hAnsi="Times New Roman"/>
          <w:sz w:val="15"/>
          <w:szCs w:val="15"/>
        </w:rPr>
        <w:t xml:space="preserve"> is the number of analysts following the firm.</w:t>
      </w:r>
      <w:r w:rsidRPr="00245E91">
        <w:rPr>
          <w:rFonts w:ascii="Times New Roman" w:hAnsi="Times New Roman"/>
          <w:sz w:val="15"/>
          <w:szCs w:val="15"/>
        </w:rPr>
        <w:t xml:space="preserve"> </w:t>
      </w:r>
      <w:r w:rsidRPr="00245E91">
        <w:rPr>
          <w:rFonts w:ascii="Times New Roman" w:eastAsia="Times New Roman" w:hAnsi="Times New Roman"/>
          <w:i/>
          <w:sz w:val="15"/>
          <w:szCs w:val="15"/>
        </w:rPr>
        <w:t>RESID_RM1</w:t>
      </w:r>
      <w:r w:rsidRPr="00245E91">
        <w:rPr>
          <w:rFonts w:ascii="Times New Roman" w:eastAsia="Times New Roman" w:hAnsi="Times New Roman"/>
          <w:sz w:val="15"/>
          <w:szCs w:val="15"/>
        </w:rPr>
        <w:t xml:space="preserve"> and </w:t>
      </w:r>
      <w:r w:rsidRPr="00245E91">
        <w:rPr>
          <w:rFonts w:ascii="Times New Roman" w:eastAsia="Times New Roman" w:hAnsi="Times New Roman"/>
          <w:i/>
          <w:sz w:val="15"/>
          <w:szCs w:val="15"/>
        </w:rPr>
        <w:t>RESID_RM2</w:t>
      </w:r>
      <w:r w:rsidRPr="00245E91">
        <w:rPr>
          <w:rFonts w:ascii="Times New Roman" w:eastAsia="Times New Roman" w:hAnsi="Times New Roman"/>
          <w:sz w:val="15"/>
          <w:szCs w:val="15"/>
        </w:rPr>
        <w:t xml:space="preserve"> are the residuals from Models 4 and 5. *, **, and *** indicate the significance levels of 10%, 5% and 1%, respectively.</w:t>
      </w:r>
    </w:p>
    <w:tbl>
      <w:tblPr>
        <w:tblStyle w:val="TableGrid"/>
        <w:tblW w:w="1296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0"/>
        <w:gridCol w:w="888"/>
        <w:gridCol w:w="978"/>
        <w:gridCol w:w="978"/>
        <w:gridCol w:w="978"/>
        <w:gridCol w:w="858"/>
        <w:gridCol w:w="990"/>
        <w:gridCol w:w="968"/>
        <w:gridCol w:w="971"/>
        <w:gridCol w:w="965"/>
        <w:gridCol w:w="965"/>
        <w:gridCol w:w="901"/>
        <w:gridCol w:w="972"/>
        <w:gridCol w:w="18"/>
      </w:tblGrid>
      <w:tr w:rsidR="00533393" w:rsidRPr="00245E91" w14:paraId="754F7AC3" w14:textId="77777777" w:rsidTr="00533393">
        <w:tc>
          <w:tcPr>
            <w:tcW w:w="1530" w:type="dxa"/>
            <w:gridSpan w:val="2"/>
          </w:tcPr>
          <w:p w14:paraId="56D98AC9" w14:textId="77777777" w:rsidR="00533393" w:rsidRPr="00245E91" w:rsidRDefault="00533393" w:rsidP="00672311">
            <w:pPr>
              <w:spacing w:after="0" w:line="240" w:lineRule="auto"/>
              <w:rPr>
                <w:rFonts w:ascii="Times New Roman" w:hAnsi="Times New Roman"/>
                <w:sz w:val="15"/>
                <w:szCs w:val="15"/>
              </w:rPr>
            </w:pPr>
          </w:p>
        </w:tc>
        <w:tc>
          <w:tcPr>
            <w:tcW w:w="5670" w:type="dxa"/>
            <w:gridSpan w:val="6"/>
            <w:tcBorders>
              <w:top w:val="single" w:sz="4" w:space="0" w:color="auto"/>
              <w:right w:val="single" w:sz="4" w:space="0" w:color="auto"/>
            </w:tcBorders>
          </w:tcPr>
          <w:p w14:paraId="72AE293E" w14:textId="77777777" w:rsidR="00533393" w:rsidRPr="00245E91" w:rsidRDefault="00533393" w:rsidP="00F7612D">
            <w:pPr>
              <w:spacing w:after="0" w:line="240" w:lineRule="auto"/>
              <w:ind w:left="-105"/>
              <w:jc w:val="center"/>
              <w:rPr>
                <w:rFonts w:ascii="Times New Roman" w:hAnsi="Times New Roman"/>
                <w:sz w:val="15"/>
                <w:szCs w:val="15"/>
              </w:rPr>
            </w:pPr>
            <w:r w:rsidRPr="00245E91">
              <w:rPr>
                <w:rFonts w:ascii="Times New Roman" w:hAnsi="Times New Roman"/>
                <w:b/>
                <w:bCs/>
                <w:i/>
                <w:iCs/>
                <w:sz w:val="15"/>
                <w:szCs w:val="15"/>
              </w:rPr>
              <w:t>Dependent variable = RM1</w:t>
            </w:r>
          </w:p>
        </w:tc>
        <w:tc>
          <w:tcPr>
            <w:tcW w:w="5760" w:type="dxa"/>
            <w:gridSpan w:val="7"/>
            <w:tcBorders>
              <w:left w:val="single" w:sz="4" w:space="0" w:color="auto"/>
            </w:tcBorders>
          </w:tcPr>
          <w:p w14:paraId="1E7122C4" w14:textId="77777777" w:rsidR="00533393" w:rsidRPr="00245E91" w:rsidRDefault="00533393" w:rsidP="00F7612D">
            <w:pPr>
              <w:spacing w:after="0" w:line="240" w:lineRule="auto"/>
              <w:jc w:val="center"/>
              <w:rPr>
                <w:rFonts w:ascii="Times New Roman" w:hAnsi="Times New Roman"/>
                <w:sz w:val="15"/>
                <w:szCs w:val="15"/>
              </w:rPr>
            </w:pPr>
            <w:r w:rsidRPr="00245E91">
              <w:rPr>
                <w:rFonts w:ascii="Times New Roman" w:hAnsi="Times New Roman"/>
                <w:b/>
                <w:bCs/>
                <w:i/>
                <w:iCs/>
                <w:sz w:val="15"/>
                <w:szCs w:val="15"/>
              </w:rPr>
              <w:t>Dependent variable = RM2</w:t>
            </w:r>
          </w:p>
        </w:tc>
      </w:tr>
      <w:tr w:rsidR="00533393" w:rsidRPr="00245E91" w14:paraId="03CE4ED3" w14:textId="77777777" w:rsidTr="00D83DD8">
        <w:tblPrEx>
          <w:tblBorders>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440" w:type="dxa"/>
            <w:tcBorders>
              <w:top w:val="nil"/>
              <w:left w:val="nil"/>
              <w:bottom w:val="single" w:sz="4" w:space="0" w:color="auto"/>
              <w:right w:val="nil"/>
            </w:tcBorders>
          </w:tcPr>
          <w:p w14:paraId="7DA184BF" w14:textId="77777777" w:rsidR="00533393" w:rsidRPr="00245E91" w:rsidRDefault="00533393" w:rsidP="00672311">
            <w:pPr>
              <w:spacing w:after="0" w:line="240" w:lineRule="auto"/>
              <w:ind w:right="-104"/>
              <w:rPr>
                <w:rFonts w:ascii="Times New Roman" w:eastAsia="Times New Roman" w:hAnsi="Times New Roman"/>
                <w:sz w:val="15"/>
                <w:szCs w:val="15"/>
              </w:rPr>
            </w:pPr>
            <w:r w:rsidRPr="00245E91">
              <w:rPr>
                <w:rFonts w:ascii="Times New Roman" w:eastAsia="Times New Roman" w:hAnsi="Times New Roman"/>
                <w:b/>
                <w:i/>
                <w:color w:val="000000"/>
                <w:sz w:val="15"/>
                <w:szCs w:val="15"/>
              </w:rPr>
              <w:t>Variables</w:t>
            </w:r>
          </w:p>
        </w:tc>
        <w:tc>
          <w:tcPr>
            <w:tcW w:w="978" w:type="dxa"/>
            <w:gridSpan w:val="2"/>
            <w:tcBorders>
              <w:top w:val="nil"/>
              <w:left w:val="nil"/>
              <w:bottom w:val="single" w:sz="4" w:space="0" w:color="auto"/>
              <w:right w:val="nil"/>
            </w:tcBorders>
          </w:tcPr>
          <w:p w14:paraId="386E9337" w14:textId="77777777" w:rsidR="00533393" w:rsidRPr="00245E91" w:rsidRDefault="00533393" w:rsidP="00672311">
            <w:pPr>
              <w:spacing w:after="0" w:line="240" w:lineRule="auto"/>
              <w:ind w:right="-31"/>
              <w:rPr>
                <w:rFonts w:ascii="Times New Roman" w:eastAsia="Times New Roman" w:hAnsi="Times New Roman"/>
                <w:sz w:val="15"/>
                <w:szCs w:val="15"/>
              </w:rPr>
            </w:pPr>
            <w:r w:rsidRPr="00245E91">
              <w:rPr>
                <w:rFonts w:ascii="Times New Roman" w:hAnsi="Times New Roman"/>
                <w:b/>
                <w:bCs/>
                <w:i/>
                <w:iCs/>
                <w:sz w:val="15"/>
                <w:szCs w:val="15"/>
              </w:rPr>
              <w:t>Assets</w:t>
            </w:r>
          </w:p>
        </w:tc>
        <w:tc>
          <w:tcPr>
            <w:tcW w:w="978" w:type="dxa"/>
            <w:tcBorders>
              <w:top w:val="nil"/>
              <w:left w:val="nil"/>
              <w:bottom w:val="single" w:sz="4" w:space="0" w:color="auto"/>
              <w:right w:val="nil"/>
            </w:tcBorders>
          </w:tcPr>
          <w:p w14:paraId="05127A54" w14:textId="77777777" w:rsidR="00533393" w:rsidRPr="00245E91" w:rsidRDefault="00533393" w:rsidP="00672311">
            <w:pPr>
              <w:spacing w:after="0" w:line="240" w:lineRule="auto"/>
              <w:ind w:left="-100" w:right="-138"/>
              <w:rPr>
                <w:rFonts w:ascii="Times New Roman" w:eastAsia="Times New Roman" w:hAnsi="Times New Roman"/>
                <w:sz w:val="15"/>
                <w:szCs w:val="15"/>
              </w:rPr>
            </w:pPr>
            <w:r w:rsidRPr="00245E91">
              <w:rPr>
                <w:rFonts w:ascii="Times New Roman" w:hAnsi="Times New Roman"/>
                <w:b/>
                <w:bCs/>
                <w:i/>
                <w:iCs/>
                <w:sz w:val="15"/>
                <w:szCs w:val="15"/>
              </w:rPr>
              <w:t>Market Cap.</w:t>
            </w:r>
          </w:p>
        </w:tc>
        <w:tc>
          <w:tcPr>
            <w:tcW w:w="978" w:type="dxa"/>
            <w:tcBorders>
              <w:top w:val="nil"/>
              <w:left w:val="nil"/>
              <w:bottom w:val="single" w:sz="4" w:space="0" w:color="auto"/>
              <w:right w:val="nil"/>
            </w:tcBorders>
          </w:tcPr>
          <w:p w14:paraId="30EB97B9" w14:textId="77777777" w:rsidR="00533393" w:rsidRPr="00245E91" w:rsidRDefault="00533393" w:rsidP="00672311">
            <w:pPr>
              <w:spacing w:after="0" w:line="240" w:lineRule="auto"/>
              <w:ind w:right="-52"/>
              <w:rPr>
                <w:rFonts w:ascii="Times New Roman" w:eastAsia="Times New Roman" w:hAnsi="Times New Roman"/>
                <w:sz w:val="15"/>
                <w:szCs w:val="15"/>
              </w:rPr>
            </w:pPr>
            <w:r w:rsidRPr="00245E91">
              <w:rPr>
                <w:rFonts w:ascii="Times New Roman" w:hAnsi="Times New Roman"/>
                <w:b/>
                <w:bCs/>
                <w:i/>
                <w:iCs/>
                <w:sz w:val="15"/>
                <w:szCs w:val="15"/>
              </w:rPr>
              <w:t>M/B Ratio</w:t>
            </w:r>
          </w:p>
        </w:tc>
        <w:tc>
          <w:tcPr>
            <w:tcW w:w="978" w:type="dxa"/>
            <w:tcBorders>
              <w:top w:val="nil"/>
              <w:left w:val="nil"/>
              <w:bottom w:val="single" w:sz="4" w:space="0" w:color="auto"/>
              <w:right w:val="nil"/>
            </w:tcBorders>
          </w:tcPr>
          <w:p w14:paraId="59285851" w14:textId="77777777" w:rsidR="00533393" w:rsidRPr="00245E91" w:rsidRDefault="00533393" w:rsidP="00672311">
            <w:pPr>
              <w:spacing w:after="0" w:line="240" w:lineRule="auto"/>
              <w:ind w:right="-159"/>
              <w:rPr>
                <w:rFonts w:ascii="Times New Roman" w:eastAsia="Times New Roman" w:hAnsi="Times New Roman"/>
                <w:sz w:val="15"/>
                <w:szCs w:val="15"/>
              </w:rPr>
            </w:pPr>
            <w:r w:rsidRPr="00245E91">
              <w:rPr>
                <w:rFonts w:ascii="Times New Roman" w:hAnsi="Times New Roman"/>
                <w:b/>
                <w:bCs/>
                <w:i/>
                <w:iCs/>
                <w:sz w:val="15"/>
                <w:szCs w:val="15"/>
              </w:rPr>
              <w:t>Debt Ratio</w:t>
            </w:r>
          </w:p>
        </w:tc>
        <w:tc>
          <w:tcPr>
            <w:tcW w:w="858" w:type="dxa"/>
            <w:tcBorders>
              <w:top w:val="nil"/>
              <w:left w:val="nil"/>
              <w:bottom w:val="single" w:sz="4" w:space="0" w:color="auto"/>
              <w:right w:val="nil"/>
            </w:tcBorders>
          </w:tcPr>
          <w:p w14:paraId="7BD0F988" w14:textId="77777777" w:rsidR="00533393" w:rsidRPr="00245E91" w:rsidRDefault="00533393" w:rsidP="00672311">
            <w:pPr>
              <w:spacing w:after="0" w:line="240" w:lineRule="auto"/>
              <w:ind w:left="-62" w:right="-73"/>
              <w:rPr>
                <w:rFonts w:ascii="Times New Roman" w:eastAsia="Times New Roman" w:hAnsi="Times New Roman"/>
                <w:sz w:val="15"/>
                <w:szCs w:val="15"/>
              </w:rPr>
            </w:pPr>
            <w:r w:rsidRPr="00245E91">
              <w:rPr>
                <w:rFonts w:ascii="Times New Roman" w:hAnsi="Times New Roman"/>
                <w:b/>
                <w:bCs/>
                <w:i/>
                <w:iCs/>
                <w:sz w:val="15"/>
                <w:szCs w:val="15"/>
              </w:rPr>
              <w:t>ROA</w:t>
            </w:r>
          </w:p>
        </w:tc>
        <w:tc>
          <w:tcPr>
            <w:tcW w:w="990" w:type="dxa"/>
            <w:tcBorders>
              <w:top w:val="nil"/>
              <w:left w:val="nil"/>
              <w:bottom w:val="single" w:sz="4" w:space="0" w:color="auto"/>
              <w:right w:val="single" w:sz="4" w:space="0" w:color="auto"/>
            </w:tcBorders>
          </w:tcPr>
          <w:p w14:paraId="1B01DC02" w14:textId="77777777" w:rsidR="00533393" w:rsidRPr="00245E91" w:rsidRDefault="00533393" w:rsidP="00672311">
            <w:pPr>
              <w:spacing w:after="0" w:line="240" w:lineRule="auto"/>
              <w:ind w:left="-105" w:right="-106"/>
              <w:rPr>
                <w:rFonts w:ascii="Times New Roman" w:eastAsia="Times New Roman" w:hAnsi="Times New Roman"/>
                <w:b/>
                <w:i/>
                <w:sz w:val="15"/>
                <w:szCs w:val="15"/>
              </w:rPr>
            </w:pPr>
            <w:r w:rsidRPr="00245E91">
              <w:rPr>
                <w:rFonts w:ascii="Times New Roman" w:eastAsia="Times New Roman" w:hAnsi="Times New Roman"/>
                <w:b/>
                <w:i/>
                <w:sz w:val="15"/>
                <w:szCs w:val="15"/>
              </w:rPr>
              <w:t>Sales Growth</w:t>
            </w:r>
          </w:p>
        </w:tc>
        <w:tc>
          <w:tcPr>
            <w:tcW w:w="968" w:type="dxa"/>
            <w:tcBorders>
              <w:top w:val="nil"/>
              <w:left w:val="single" w:sz="4" w:space="0" w:color="auto"/>
              <w:bottom w:val="single" w:sz="4" w:space="0" w:color="auto"/>
              <w:right w:val="nil"/>
            </w:tcBorders>
          </w:tcPr>
          <w:p w14:paraId="3161E71C"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b/>
                <w:bCs/>
                <w:i/>
                <w:iCs/>
                <w:sz w:val="15"/>
                <w:szCs w:val="15"/>
              </w:rPr>
              <w:t>Assets</w:t>
            </w:r>
          </w:p>
        </w:tc>
        <w:tc>
          <w:tcPr>
            <w:tcW w:w="971" w:type="dxa"/>
            <w:tcBorders>
              <w:top w:val="nil"/>
              <w:left w:val="nil"/>
              <w:bottom w:val="single" w:sz="4" w:space="0" w:color="auto"/>
              <w:right w:val="nil"/>
            </w:tcBorders>
          </w:tcPr>
          <w:p w14:paraId="13EBE15C" w14:textId="77777777" w:rsidR="00533393" w:rsidRPr="00245E91" w:rsidRDefault="00533393" w:rsidP="00672311">
            <w:pPr>
              <w:spacing w:after="0" w:line="240" w:lineRule="auto"/>
              <w:ind w:left="-87" w:right="-151"/>
              <w:rPr>
                <w:rFonts w:ascii="Times New Roman" w:eastAsia="Times New Roman" w:hAnsi="Times New Roman"/>
                <w:sz w:val="15"/>
                <w:szCs w:val="15"/>
              </w:rPr>
            </w:pPr>
            <w:r w:rsidRPr="00245E91">
              <w:rPr>
                <w:rFonts w:ascii="Times New Roman" w:hAnsi="Times New Roman"/>
                <w:b/>
                <w:bCs/>
                <w:i/>
                <w:iCs/>
                <w:sz w:val="15"/>
                <w:szCs w:val="15"/>
              </w:rPr>
              <w:t>Market Cap.</w:t>
            </w:r>
          </w:p>
        </w:tc>
        <w:tc>
          <w:tcPr>
            <w:tcW w:w="965" w:type="dxa"/>
            <w:tcBorders>
              <w:top w:val="nil"/>
              <w:left w:val="nil"/>
              <w:bottom w:val="single" w:sz="4" w:space="0" w:color="auto"/>
              <w:right w:val="nil"/>
            </w:tcBorders>
          </w:tcPr>
          <w:p w14:paraId="5B314523" w14:textId="77777777" w:rsidR="00533393" w:rsidRPr="00245E91" w:rsidRDefault="00533393" w:rsidP="00672311">
            <w:pPr>
              <w:spacing w:after="0" w:line="240" w:lineRule="auto"/>
              <w:ind w:right="-168"/>
              <w:rPr>
                <w:rFonts w:ascii="Times New Roman" w:eastAsia="Times New Roman" w:hAnsi="Times New Roman"/>
                <w:sz w:val="15"/>
                <w:szCs w:val="15"/>
              </w:rPr>
            </w:pPr>
            <w:r w:rsidRPr="00245E91">
              <w:rPr>
                <w:rFonts w:ascii="Times New Roman" w:hAnsi="Times New Roman"/>
                <w:b/>
                <w:bCs/>
                <w:i/>
                <w:iCs/>
                <w:sz w:val="15"/>
                <w:szCs w:val="15"/>
              </w:rPr>
              <w:t>M/B Ratio</w:t>
            </w:r>
          </w:p>
        </w:tc>
        <w:tc>
          <w:tcPr>
            <w:tcW w:w="965" w:type="dxa"/>
            <w:tcBorders>
              <w:top w:val="nil"/>
              <w:left w:val="nil"/>
              <w:bottom w:val="single" w:sz="4" w:space="0" w:color="auto"/>
              <w:right w:val="nil"/>
            </w:tcBorders>
          </w:tcPr>
          <w:p w14:paraId="0C362AD5"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b/>
                <w:bCs/>
                <w:i/>
                <w:iCs/>
                <w:sz w:val="15"/>
                <w:szCs w:val="15"/>
              </w:rPr>
              <w:t>Debt Ratio</w:t>
            </w:r>
          </w:p>
        </w:tc>
        <w:tc>
          <w:tcPr>
            <w:tcW w:w="901" w:type="dxa"/>
            <w:tcBorders>
              <w:top w:val="nil"/>
              <w:left w:val="nil"/>
              <w:bottom w:val="single" w:sz="4" w:space="0" w:color="auto"/>
              <w:right w:val="nil"/>
            </w:tcBorders>
          </w:tcPr>
          <w:p w14:paraId="1515DC10" w14:textId="77777777" w:rsidR="00533393" w:rsidRPr="00245E91" w:rsidRDefault="00533393" w:rsidP="00672311">
            <w:pPr>
              <w:spacing w:after="0" w:line="240" w:lineRule="auto"/>
              <w:ind w:right="-138"/>
              <w:rPr>
                <w:rFonts w:ascii="Times New Roman" w:eastAsia="Times New Roman" w:hAnsi="Times New Roman"/>
                <w:sz w:val="15"/>
                <w:szCs w:val="15"/>
              </w:rPr>
            </w:pPr>
            <w:r w:rsidRPr="00245E91">
              <w:rPr>
                <w:rFonts w:ascii="Times New Roman" w:hAnsi="Times New Roman"/>
                <w:b/>
                <w:bCs/>
                <w:i/>
                <w:iCs/>
                <w:sz w:val="15"/>
                <w:szCs w:val="15"/>
              </w:rPr>
              <w:t>ROA</w:t>
            </w:r>
          </w:p>
        </w:tc>
        <w:tc>
          <w:tcPr>
            <w:tcW w:w="972" w:type="dxa"/>
            <w:tcBorders>
              <w:top w:val="nil"/>
              <w:left w:val="nil"/>
              <w:bottom w:val="single" w:sz="4" w:space="0" w:color="auto"/>
              <w:right w:val="nil"/>
            </w:tcBorders>
          </w:tcPr>
          <w:p w14:paraId="02A80B83" w14:textId="77777777" w:rsidR="00533393" w:rsidRPr="00245E91" w:rsidRDefault="00533393" w:rsidP="00672311">
            <w:pPr>
              <w:spacing w:after="0" w:line="240" w:lineRule="auto"/>
              <w:ind w:left="-108" w:right="-104"/>
              <w:rPr>
                <w:rFonts w:ascii="Times New Roman" w:eastAsia="Times New Roman" w:hAnsi="Times New Roman"/>
                <w:sz w:val="15"/>
                <w:szCs w:val="15"/>
              </w:rPr>
            </w:pPr>
            <w:r w:rsidRPr="00245E91">
              <w:rPr>
                <w:rFonts w:ascii="Times New Roman" w:eastAsia="Times New Roman" w:hAnsi="Times New Roman"/>
                <w:b/>
                <w:i/>
                <w:sz w:val="15"/>
                <w:szCs w:val="15"/>
              </w:rPr>
              <w:t>Sales Growth</w:t>
            </w:r>
          </w:p>
        </w:tc>
      </w:tr>
      <w:tr w:rsidR="00533393" w:rsidRPr="00245E91" w14:paraId="08F37148" w14:textId="77777777" w:rsidTr="00D83DD8">
        <w:tblPrEx>
          <w:tblBorders>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440" w:type="dxa"/>
            <w:tcBorders>
              <w:top w:val="nil"/>
              <w:left w:val="nil"/>
              <w:bottom w:val="nil"/>
              <w:right w:val="nil"/>
            </w:tcBorders>
          </w:tcPr>
          <w:p w14:paraId="4807ECBC" w14:textId="77777777" w:rsidR="00533393" w:rsidRPr="00245E91" w:rsidRDefault="00533393" w:rsidP="00672311">
            <w:pPr>
              <w:spacing w:after="0" w:line="240" w:lineRule="auto"/>
              <w:ind w:right="-104"/>
              <w:rPr>
                <w:rFonts w:ascii="Times New Roman" w:eastAsia="Times New Roman" w:hAnsi="Times New Roman"/>
                <w:sz w:val="15"/>
                <w:szCs w:val="15"/>
              </w:rPr>
            </w:pPr>
            <w:r w:rsidRPr="00245E91">
              <w:rPr>
                <w:rFonts w:ascii="Times New Roman" w:hAnsi="Times New Roman"/>
                <w:sz w:val="15"/>
                <w:szCs w:val="15"/>
              </w:rPr>
              <w:t>Constant</w:t>
            </w:r>
          </w:p>
        </w:tc>
        <w:tc>
          <w:tcPr>
            <w:tcW w:w="978" w:type="dxa"/>
            <w:gridSpan w:val="2"/>
            <w:tcBorders>
              <w:top w:val="nil"/>
              <w:left w:val="nil"/>
              <w:bottom w:val="nil"/>
              <w:right w:val="nil"/>
            </w:tcBorders>
          </w:tcPr>
          <w:p w14:paraId="7311CB33" w14:textId="77777777" w:rsidR="00533393" w:rsidRPr="00245E91" w:rsidRDefault="00533393" w:rsidP="00672311">
            <w:pPr>
              <w:spacing w:after="0" w:line="240" w:lineRule="auto"/>
              <w:ind w:right="-31"/>
              <w:rPr>
                <w:rFonts w:ascii="Times New Roman" w:hAnsi="Times New Roman"/>
                <w:sz w:val="15"/>
                <w:szCs w:val="15"/>
              </w:rPr>
            </w:pPr>
            <w:r w:rsidRPr="00245E91">
              <w:rPr>
                <w:rFonts w:ascii="Times New Roman" w:hAnsi="Times New Roman"/>
                <w:sz w:val="15"/>
                <w:szCs w:val="15"/>
              </w:rPr>
              <w:t>0.135</w:t>
            </w:r>
          </w:p>
          <w:p w14:paraId="0CAD5ABE" w14:textId="77777777" w:rsidR="00533393" w:rsidRPr="00245E91" w:rsidRDefault="00533393" w:rsidP="00672311">
            <w:pPr>
              <w:spacing w:after="0" w:line="240" w:lineRule="auto"/>
              <w:ind w:right="-31"/>
              <w:rPr>
                <w:rFonts w:ascii="Times New Roman" w:eastAsia="Times New Roman" w:hAnsi="Times New Roman"/>
                <w:sz w:val="15"/>
                <w:szCs w:val="15"/>
              </w:rPr>
            </w:pPr>
            <w:r w:rsidRPr="00245E91">
              <w:rPr>
                <w:rFonts w:ascii="Times New Roman" w:hAnsi="Times New Roman"/>
                <w:sz w:val="15"/>
                <w:szCs w:val="15"/>
              </w:rPr>
              <w:t>(0.78 )</w:t>
            </w:r>
          </w:p>
        </w:tc>
        <w:tc>
          <w:tcPr>
            <w:tcW w:w="978" w:type="dxa"/>
            <w:tcBorders>
              <w:top w:val="nil"/>
              <w:left w:val="nil"/>
              <w:bottom w:val="nil"/>
              <w:right w:val="nil"/>
            </w:tcBorders>
          </w:tcPr>
          <w:p w14:paraId="717EDE32" w14:textId="77777777" w:rsidR="00533393" w:rsidRPr="00245E91" w:rsidRDefault="00533393" w:rsidP="00672311">
            <w:pPr>
              <w:spacing w:after="0" w:line="240" w:lineRule="auto"/>
              <w:ind w:left="-100" w:right="-138"/>
              <w:rPr>
                <w:rFonts w:ascii="Times New Roman" w:hAnsi="Times New Roman"/>
                <w:sz w:val="15"/>
                <w:szCs w:val="15"/>
              </w:rPr>
            </w:pPr>
            <w:r w:rsidRPr="00245E91">
              <w:rPr>
                <w:rFonts w:ascii="Times New Roman" w:hAnsi="Times New Roman"/>
                <w:sz w:val="15"/>
                <w:szCs w:val="15"/>
              </w:rPr>
              <w:t>0.160</w:t>
            </w:r>
          </w:p>
          <w:p w14:paraId="2B1F26B1" w14:textId="77777777" w:rsidR="00533393" w:rsidRPr="00245E91" w:rsidRDefault="00533393" w:rsidP="00672311">
            <w:pPr>
              <w:spacing w:after="0" w:line="240" w:lineRule="auto"/>
              <w:ind w:left="-100" w:right="-138"/>
              <w:rPr>
                <w:rFonts w:ascii="Times New Roman" w:eastAsia="Times New Roman" w:hAnsi="Times New Roman"/>
                <w:sz w:val="15"/>
                <w:szCs w:val="15"/>
              </w:rPr>
            </w:pPr>
            <w:r w:rsidRPr="00245E91">
              <w:rPr>
                <w:rFonts w:ascii="Times New Roman" w:hAnsi="Times New Roman"/>
                <w:sz w:val="15"/>
                <w:szCs w:val="15"/>
              </w:rPr>
              <w:t>(0.80)</w:t>
            </w:r>
          </w:p>
        </w:tc>
        <w:tc>
          <w:tcPr>
            <w:tcW w:w="978" w:type="dxa"/>
            <w:tcBorders>
              <w:top w:val="nil"/>
              <w:left w:val="nil"/>
              <w:bottom w:val="nil"/>
              <w:right w:val="nil"/>
            </w:tcBorders>
          </w:tcPr>
          <w:p w14:paraId="651C17F6" w14:textId="77777777" w:rsidR="00533393" w:rsidRPr="00245E91" w:rsidRDefault="00533393" w:rsidP="00672311">
            <w:pPr>
              <w:spacing w:after="0" w:line="240" w:lineRule="auto"/>
              <w:ind w:left="-23" w:right="-52"/>
              <w:rPr>
                <w:rFonts w:ascii="Times New Roman" w:hAnsi="Times New Roman"/>
                <w:sz w:val="15"/>
                <w:szCs w:val="15"/>
              </w:rPr>
            </w:pPr>
            <w:r w:rsidRPr="00245E91">
              <w:rPr>
                <w:rFonts w:ascii="Times New Roman" w:hAnsi="Times New Roman"/>
                <w:sz w:val="15"/>
                <w:szCs w:val="15"/>
              </w:rPr>
              <w:t>-0.123</w:t>
            </w:r>
          </w:p>
          <w:p w14:paraId="01D01309" w14:textId="77777777" w:rsidR="00533393" w:rsidRPr="00245E91" w:rsidRDefault="00533393" w:rsidP="00672311">
            <w:pPr>
              <w:spacing w:after="0" w:line="240" w:lineRule="auto"/>
              <w:ind w:right="-52"/>
              <w:rPr>
                <w:rFonts w:ascii="Times New Roman" w:eastAsia="Times New Roman" w:hAnsi="Times New Roman"/>
                <w:sz w:val="15"/>
                <w:szCs w:val="15"/>
              </w:rPr>
            </w:pPr>
            <w:r w:rsidRPr="00245E91">
              <w:rPr>
                <w:rFonts w:ascii="Times New Roman" w:hAnsi="Times New Roman"/>
                <w:sz w:val="15"/>
                <w:szCs w:val="15"/>
              </w:rPr>
              <w:t>(-0.69)</w:t>
            </w:r>
          </w:p>
        </w:tc>
        <w:tc>
          <w:tcPr>
            <w:tcW w:w="978" w:type="dxa"/>
            <w:tcBorders>
              <w:top w:val="nil"/>
              <w:left w:val="nil"/>
              <w:bottom w:val="nil"/>
              <w:right w:val="nil"/>
            </w:tcBorders>
          </w:tcPr>
          <w:p w14:paraId="2676EB81" w14:textId="77777777" w:rsidR="00533393" w:rsidRPr="00245E91" w:rsidRDefault="00533393" w:rsidP="00672311">
            <w:pPr>
              <w:spacing w:after="0" w:line="240" w:lineRule="auto"/>
              <w:ind w:left="-23" w:right="-159"/>
              <w:rPr>
                <w:rFonts w:ascii="Times New Roman" w:hAnsi="Times New Roman"/>
                <w:sz w:val="15"/>
                <w:szCs w:val="15"/>
              </w:rPr>
            </w:pPr>
            <w:r w:rsidRPr="00245E91">
              <w:rPr>
                <w:rFonts w:ascii="Times New Roman" w:hAnsi="Times New Roman"/>
                <w:sz w:val="15"/>
                <w:szCs w:val="15"/>
              </w:rPr>
              <w:t>-0.123</w:t>
            </w:r>
          </w:p>
          <w:p w14:paraId="3B35864A" w14:textId="77777777" w:rsidR="00533393" w:rsidRPr="00245E91" w:rsidRDefault="00533393" w:rsidP="00672311">
            <w:pPr>
              <w:spacing w:after="0" w:line="240" w:lineRule="auto"/>
              <w:ind w:right="-159"/>
              <w:rPr>
                <w:rFonts w:ascii="Times New Roman" w:eastAsia="Times New Roman" w:hAnsi="Times New Roman"/>
                <w:sz w:val="15"/>
                <w:szCs w:val="15"/>
              </w:rPr>
            </w:pPr>
            <w:r w:rsidRPr="00245E91">
              <w:rPr>
                <w:rFonts w:ascii="Times New Roman" w:hAnsi="Times New Roman"/>
                <w:sz w:val="15"/>
                <w:szCs w:val="15"/>
              </w:rPr>
              <w:t>(-0.69)</w:t>
            </w:r>
          </w:p>
        </w:tc>
        <w:tc>
          <w:tcPr>
            <w:tcW w:w="858" w:type="dxa"/>
            <w:tcBorders>
              <w:top w:val="nil"/>
              <w:left w:val="nil"/>
              <w:bottom w:val="nil"/>
              <w:right w:val="nil"/>
            </w:tcBorders>
          </w:tcPr>
          <w:p w14:paraId="0F6D87DF" w14:textId="77777777" w:rsidR="00533393" w:rsidRPr="00245E91" w:rsidRDefault="00533393" w:rsidP="00672311">
            <w:pPr>
              <w:spacing w:after="0" w:line="240" w:lineRule="auto"/>
              <w:ind w:left="-62" w:right="-73"/>
              <w:rPr>
                <w:rFonts w:ascii="Times New Roman" w:hAnsi="Times New Roman"/>
                <w:sz w:val="15"/>
                <w:szCs w:val="15"/>
              </w:rPr>
            </w:pPr>
            <w:r w:rsidRPr="00245E91">
              <w:rPr>
                <w:rFonts w:ascii="Times New Roman" w:hAnsi="Times New Roman"/>
                <w:sz w:val="15"/>
                <w:szCs w:val="15"/>
              </w:rPr>
              <w:t>0.002</w:t>
            </w:r>
          </w:p>
          <w:p w14:paraId="78023852" w14:textId="77777777" w:rsidR="00533393" w:rsidRPr="00245E91" w:rsidRDefault="00533393" w:rsidP="00672311">
            <w:pPr>
              <w:spacing w:after="0" w:line="240" w:lineRule="auto"/>
              <w:ind w:left="-62" w:right="-73"/>
              <w:rPr>
                <w:rFonts w:ascii="Times New Roman" w:eastAsia="Times New Roman" w:hAnsi="Times New Roman"/>
                <w:sz w:val="15"/>
                <w:szCs w:val="15"/>
              </w:rPr>
            </w:pPr>
            <w:r w:rsidRPr="00245E91">
              <w:rPr>
                <w:rFonts w:ascii="Times New Roman" w:hAnsi="Times New Roman"/>
                <w:sz w:val="15"/>
                <w:szCs w:val="15"/>
              </w:rPr>
              <w:t>(0.02)</w:t>
            </w:r>
          </w:p>
        </w:tc>
        <w:tc>
          <w:tcPr>
            <w:tcW w:w="990" w:type="dxa"/>
            <w:tcBorders>
              <w:top w:val="nil"/>
              <w:left w:val="nil"/>
              <w:bottom w:val="nil"/>
              <w:right w:val="single" w:sz="4" w:space="0" w:color="auto"/>
            </w:tcBorders>
          </w:tcPr>
          <w:p w14:paraId="0837987B" w14:textId="77777777" w:rsidR="00533393" w:rsidRPr="00245E91" w:rsidRDefault="00533393" w:rsidP="00672311">
            <w:pPr>
              <w:spacing w:after="0" w:line="240" w:lineRule="auto"/>
              <w:ind w:left="-23" w:right="-106"/>
              <w:rPr>
                <w:rFonts w:ascii="Times New Roman" w:hAnsi="Times New Roman"/>
                <w:sz w:val="15"/>
                <w:szCs w:val="15"/>
              </w:rPr>
            </w:pPr>
            <w:r w:rsidRPr="00245E91">
              <w:rPr>
                <w:rFonts w:ascii="Times New Roman" w:hAnsi="Times New Roman"/>
                <w:sz w:val="15"/>
                <w:szCs w:val="15"/>
              </w:rPr>
              <w:t>-0.575</w:t>
            </w:r>
          </w:p>
          <w:p w14:paraId="57E14F5E"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(-2.76***)</w:t>
            </w:r>
          </w:p>
        </w:tc>
        <w:tc>
          <w:tcPr>
            <w:tcW w:w="968" w:type="dxa"/>
            <w:tcBorders>
              <w:top w:val="nil"/>
              <w:left w:val="single" w:sz="4" w:space="0" w:color="auto"/>
              <w:bottom w:val="nil"/>
              <w:right w:val="nil"/>
            </w:tcBorders>
          </w:tcPr>
          <w:p w14:paraId="79AEBB30" w14:textId="77777777" w:rsidR="00533393" w:rsidRPr="00245E91" w:rsidRDefault="00533393" w:rsidP="00672311">
            <w:pPr>
              <w:spacing w:after="0" w:line="240" w:lineRule="auto"/>
              <w:ind w:left="-23" w:right="-61"/>
              <w:rPr>
                <w:rFonts w:ascii="Times New Roman" w:hAnsi="Times New Roman"/>
                <w:sz w:val="15"/>
                <w:szCs w:val="15"/>
              </w:rPr>
            </w:pPr>
            <w:r w:rsidRPr="00245E91">
              <w:rPr>
                <w:rFonts w:ascii="Times New Roman" w:hAnsi="Times New Roman"/>
                <w:sz w:val="15"/>
                <w:szCs w:val="15"/>
              </w:rPr>
              <w:t>0.106</w:t>
            </w:r>
          </w:p>
          <w:p w14:paraId="3F500BCF"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(0.60)</w:t>
            </w:r>
          </w:p>
        </w:tc>
        <w:tc>
          <w:tcPr>
            <w:tcW w:w="971" w:type="dxa"/>
            <w:tcBorders>
              <w:top w:val="nil"/>
              <w:left w:val="nil"/>
              <w:bottom w:val="nil"/>
              <w:right w:val="nil"/>
            </w:tcBorders>
          </w:tcPr>
          <w:p w14:paraId="7CE1E946" w14:textId="77777777" w:rsidR="00533393" w:rsidRPr="00245E91" w:rsidRDefault="00533393" w:rsidP="00672311">
            <w:pPr>
              <w:spacing w:after="0" w:line="240" w:lineRule="auto"/>
              <w:ind w:left="-87" w:right="-151"/>
              <w:rPr>
                <w:rFonts w:ascii="Times New Roman" w:hAnsi="Times New Roman"/>
                <w:sz w:val="15"/>
                <w:szCs w:val="15"/>
              </w:rPr>
            </w:pPr>
            <w:r w:rsidRPr="00245E91">
              <w:rPr>
                <w:rFonts w:ascii="Times New Roman" w:hAnsi="Times New Roman"/>
                <w:sz w:val="15"/>
                <w:szCs w:val="15"/>
              </w:rPr>
              <w:t>0.097</w:t>
            </w:r>
          </w:p>
          <w:p w14:paraId="01BF23E9" w14:textId="77777777" w:rsidR="00533393" w:rsidRPr="00245E91" w:rsidRDefault="00533393" w:rsidP="00672311">
            <w:pPr>
              <w:spacing w:after="0" w:line="240" w:lineRule="auto"/>
              <w:ind w:left="-87" w:right="-151"/>
              <w:rPr>
                <w:rFonts w:ascii="Times New Roman" w:eastAsia="Times New Roman" w:hAnsi="Times New Roman"/>
                <w:sz w:val="15"/>
                <w:szCs w:val="15"/>
              </w:rPr>
            </w:pPr>
            <w:r w:rsidRPr="00245E91">
              <w:rPr>
                <w:rFonts w:ascii="Times New Roman" w:hAnsi="Times New Roman"/>
                <w:sz w:val="15"/>
                <w:szCs w:val="15"/>
              </w:rPr>
              <w:t>(0.49)</w:t>
            </w:r>
          </w:p>
        </w:tc>
        <w:tc>
          <w:tcPr>
            <w:tcW w:w="965" w:type="dxa"/>
            <w:tcBorders>
              <w:top w:val="nil"/>
              <w:left w:val="nil"/>
              <w:bottom w:val="nil"/>
              <w:right w:val="nil"/>
            </w:tcBorders>
          </w:tcPr>
          <w:p w14:paraId="1CD15054" w14:textId="77777777" w:rsidR="00533393" w:rsidRPr="00245E91" w:rsidRDefault="00533393" w:rsidP="00672311">
            <w:pPr>
              <w:spacing w:after="0" w:line="240" w:lineRule="auto"/>
              <w:ind w:left="-38" w:right="-168"/>
              <w:rPr>
                <w:rFonts w:ascii="Times New Roman" w:hAnsi="Times New Roman"/>
                <w:sz w:val="15"/>
                <w:szCs w:val="15"/>
              </w:rPr>
            </w:pPr>
            <w:r w:rsidRPr="00245E91">
              <w:rPr>
                <w:rFonts w:ascii="Times New Roman" w:hAnsi="Times New Roman"/>
                <w:sz w:val="15"/>
                <w:szCs w:val="15"/>
              </w:rPr>
              <w:t>-0.069</w:t>
            </w:r>
          </w:p>
          <w:p w14:paraId="25036037" w14:textId="77777777" w:rsidR="00533393" w:rsidRPr="00245E91" w:rsidRDefault="00533393" w:rsidP="00672311">
            <w:pPr>
              <w:spacing w:after="0" w:line="240" w:lineRule="auto"/>
              <w:ind w:right="-168"/>
              <w:rPr>
                <w:rFonts w:ascii="Times New Roman" w:eastAsia="Times New Roman" w:hAnsi="Times New Roman"/>
                <w:sz w:val="15"/>
                <w:szCs w:val="15"/>
              </w:rPr>
            </w:pPr>
            <w:r w:rsidRPr="00245E91">
              <w:rPr>
                <w:rFonts w:ascii="Times New Roman" w:hAnsi="Times New Roman"/>
                <w:sz w:val="15"/>
                <w:szCs w:val="15"/>
              </w:rPr>
              <w:t>(-0.38)</w:t>
            </w:r>
          </w:p>
        </w:tc>
        <w:tc>
          <w:tcPr>
            <w:tcW w:w="965" w:type="dxa"/>
            <w:tcBorders>
              <w:top w:val="nil"/>
              <w:left w:val="nil"/>
              <w:bottom w:val="nil"/>
              <w:right w:val="nil"/>
            </w:tcBorders>
          </w:tcPr>
          <w:p w14:paraId="0D8EE338" w14:textId="77777777" w:rsidR="00533393" w:rsidRPr="00245E91" w:rsidRDefault="00533393" w:rsidP="00672311">
            <w:pPr>
              <w:spacing w:after="0" w:line="240" w:lineRule="auto"/>
              <w:ind w:left="-24"/>
              <w:rPr>
                <w:rFonts w:ascii="Times New Roman" w:hAnsi="Times New Roman"/>
                <w:sz w:val="15"/>
                <w:szCs w:val="15"/>
              </w:rPr>
            </w:pPr>
            <w:r w:rsidRPr="00245E91">
              <w:rPr>
                <w:rFonts w:ascii="Times New Roman" w:hAnsi="Times New Roman"/>
                <w:sz w:val="15"/>
                <w:szCs w:val="15"/>
              </w:rPr>
              <w:t>-0.069</w:t>
            </w:r>
          </w:p>
          <w:p w14:paraId="3DAF8887"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(-0.38)</w:t>
            </w:r>
          </w:p>
        </w:tc>
        <w:tc>
          <w:tcPr>
            <w:tcW w:w="901" w:type="dxa"/>
            <w:tcBorders>
              <w:top w:val="nil"/>
              <w:left w:val="nil"/>
              <w:bottom w:val="nil"/>
              <w:right w:val="nil"/>
            </w:tcBorders>
          </w:tcPr>
          <w:p w14:paraId="12156AD4" w14:textId="77777777" w:rsidR="00533393" w:rsidRPr="00245E91" w:rsidRDefault="00533393" w:rsidP="00672311">
            <w:pPr>
              <w:spacing w:after="0" w:line="240" w:lineRule="auto"/>
              <w:ind w:left="-114" w:right="-138"/>
              <w:rPr>
                <w:rFonts w:ascii="Times New Roman" w:hAnsi="Times New Roman"/>
                <w:sz w:val="15"/>
                <w:szCs w:val="15"/>
              </w:rPr>
            </w:pPr>
            <w:r w:rsidRPr="00245E91">
              <w:rPr>
                <w:rFonts w:ascii="Times New Roman" w:hAnsi="Times New Roman"/>
                <w:sz w:val="15"/>
                <w:szCs w:val="15"/>
              </w:rPr>
              <w:t>0.175</w:t>
            </w:r>
          </w:p>
          <w:p w14:paraId="5AAFFAF1" w14:textId="77777777" w:rsidR="00533393" w:rsidRPr="00245E91" w:rsidRDefault="00533393" w:rsidP="00672311">
            <w:pPr>
              <w:spacing w:after="0" w:line="240" w:lineRule="auto"/>
              <w:ind w:right="-138"/>
              <w:rPr>
                <w:rFonts w:ascii="Times New Roman" w:eastAsia="Times New Roman" w:hAnsi="Times New Roman"/>
                <w:sz w:val="15"/>
                <w:szCs w:val="15"/>
              </w:rPr>
            </w:pPr>
            <w:r w:rsidRPr="00245E91">
              <w:rPr>
                <w:rFonts w:ascii="Times New Roman" w:hAnsi="Times New Roman"/>
                <w:sz w:val="15"/>
                <w:szCs w:val="15"/>
              </w:rPr>
              <w:t>(1.44)</w:t>
            </w:r>
          </w:p>
        </w:tc>
        <w:tc>
          <w:tcPr>
            <w:tcW w:w="972" w:type="dxa"/>
            <w:tcBorders>
              <w:top w:val="nil"/>
              <w:left w:val="nil"/>
              <w:bottom w:val="nil"/>
              <w:right w:val="nil"/>
            </w:tcBorders>
          </w:tcPr>
          <w:p w14:paraId="2C3AC4AC" w14:textId="77777777" w:rsidR="00533393" w:rsidRPr="00245E91" w:rsidRDefault="00533393" w:rsidP="00672311">
            <w:pPr>
              <w:spacing w:after="0" w:line="240" w:lineRule="auto"/>
              <w:ind w:left="-108" w:right="-104"/>
              <w:rPr>
                <w:rFonts w:ascii="Times New Roman" w:hAnsi="Times New Roman"/>
                <w:sz w:val="15"/>
                <w:szCs w:val="15"/>
              </w:rPr>
            </w:pPr>
            <w:r w:rsidRPr="00245E91">
              <w:rPr>
                <w:rFonts w:ascii="Times New Roman" w:hAnsi="Times New Roman"/>
                <w:sz w:val="15"/>
                <w:szCs w:val="15"/>
              </w:rPr>
              <w:t>-0.515</w:t>
            </w:r>
          </w:p>
          <w:p w14:paraId="6597BB25" w14:textId="77777777" w:rsidR="00533393" w:rsidRPr="00245E91" w:rsidRDefault="00533393" w:rsidP="00672311">
            <w:pPr>
              <w:spacing w:after="0" w:line="240" w:lineRule="auto"/>
              <w:ind w:left="-108" w:right="-104"/>
              <w:rPr>
                <w:rFonts w:ascii="Times New Roman" w:eastAsia="Times New Roman" w:hAnsi="Times New Roman"/>
                <w:sz w:val="15"/>
                <w:szCs w:val="15"/>
              </w:rPr>
            </w:pPr>
            <w:r w:rsidRPr="00245E91">
              <w:rPr>
                <w:rFonts w:ascii="Times New Roman" w:hAnsi="Times New Roman"/>
                <w:sz w:val="15"/>
                <w:szCs w:val="15"/>
              </w:rPr>
              <w:t>(-2.38**)</w:t>
            </w:r>
          </w:p>
        </w:tc>
      </w:tr>
      <w:tr w:rsidR="00533393" w:rsidRPr="00245E91" w14:paraId="5B765717" w14:textId="77777777" w:rsidTr="00672311">
        <w:tblPrEx>
          <w:tblBorders>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440" w:type="dxa"/>
            <w:tcBorders>
              <w:top w:val="nil"/>
              <w:left w:val="nil"/>
              <w:bottom w:val="nil"/>
              <w:right w:val="nil"/>
            </w:tcBorders>
          </w:tcPr>
          <w:p w14:paraId="7E4D8DC7" w14:textId="77777777" w:rsidR="00533393" w:rsidRPr="00245E91" w:rsidRDefault="00533393" w:rsidP="00672311">
            <w:pPr>
              <w:spacing w:after="0" w:line="240" w:lineRule="auto"/>
              <w:ind w:right="-104"/>
              <w:rPr>
                <w:rFonts w:ascii="Times New Roman" w:eastAsia="Times New Roman" w:hAnsi="Times New Roman"/>
                <w:sz w:val="15"/>
                <w:szCs w:val="15"/>
              </w:rPr>
            </w:pPr>
            <w:r w:rsidRPr="00245E91">
              <w:rPr>
                <w:rFonts w:ascii="Times New Roman" w:hAnsi="Times New Roman"/>
                <w:sz w:val="15"/>
                <w:szCs w:val="15"/>
              </w:rPr>
              <w:t>MLP</w:t>
            </w:r>
          </w:p>
        </w:tc>
        <w:tc>
          <w:tcPr>
            <w:tcW w:w="978" w:type="dxa"/>
            <w:gridSpan w:val="2"/>
            <w:tcBorders>
              <w:top w:val="nil"/>
              <w:left w:val="nil"/>
              <w:bottom w:val="nil"/>
              <w:right w:val="nil"/>
            </w:tcBorders>
          </w:tcPr>
          <w:p w14:paraId="0044F519" w14:textId="77777777" w:rsidR="00533393" w:rsidRPr="00245E91" w:rsidRDefault="00533393" w:rsidP="00672311">
            <w:pPr>
              <w:spacing w:after="0" w:line="240" w:lineRule="auto"/>
              <w:ind w:right="-31"/>
              <w:rPr>
                <w:rFonts w:ascii="Times New Roman" w:hAnsi="Times New Roman"/>
                <w:sz w:val="15"/>
                <w:szCs w:val="15"/>
              </w:rPr>
            </w:pPr>
            <w:r w:rsidRPr="00245E91">
              <w:rPr>
                <w:rFonts w:ascii="Times New Roman" w:hAnsi="Times New Roman"/>
                <w:sz w:val="15"/>
                <w:szCs w:val="15"/>
              </w:rPr>
              <w:t>0.102</w:t>
            </w:r>
          </w:p>
          <w:p w14:paraId="707B5F79" w14:textId="77777777" w:rsidR="00533393" w:rsidRPr="00245E91" w:rsidRDefault="00533393" w:rsidP="00672311">
            <w:pPr>
              <w:spacing w:after="0" w:line="240" w:lineRule="auto"/>
              <w:ind w:right="-31"/>
              <w:rPr>
                <w:rFonts w:ascii="Times New Roman" w:eastAsia="Times New Roman" w:hAnsi="Times New Roman"/>
                <w:sz w:val="15"/>
                <w:szCs w:val="15"/>
              </w:rPr>
            </w:pPr>
            <w:r w:rsidRPr="00245E91">
              <w:rPr>
                <w:rFonts w:ascii="Times New Roman" w:hAnsi="Times New Roman"/>
                <w:sz w:val="15"/>
                <w:szCs w:val="15"/>
              </w:rPr>
              <w:t>(2.37**)</w:t>
            </w:r>
          </w:p>
        </w:tc>
        <w:tc>
          <w:tcPr>
            <w:tcW w:w="978" w:type="dxa"/>
            <w:tcBorders>
              <w:top w:val="nil"/>
              <w:left w:val="nil"/>
              <w:bottom w:val="nil"/>
              <w:right w:val="nil"/>
            </w:tcBorders>
          </w:tcPr>
          <w:p w14:paraId="480AA948" w14:textId="77777777" w:rsidR="00533393" w:rsidRPr="00245E91" w:rsidRDefault="00533393" w:rsidP="00672311">
            <w:pPr>
              <w:spacing w:after="0" w:line="240" w:lineRule="auto"/>
              <w:ind w:left="-100" w:right="-138"/>
              <w:rPr>
                <w:rFonts w:ascii="Times New Roman" w:hAnsi="Times New Roman"/>
                <w:sz w:val="15"/>
                <w:szCs w:val="15"/>
              </w:rPr>
            </w:pPr>
            <w:r w:rsidRPr="00245E91">
              <w:rPr>
                <w:rFonts w:ascii="Times New Roman" w:hAnsi="Times New Roman"/>
                <w:sz w:val="15"/>
                <w:szCs w:val="15"/>
              </w:rPr>
              <w:t>0.088</w:t>
            </w:r>
          </w:p>
          <w:p w14:paraId="5C0D0ED7" w14:textId="77777777" w:rsidR="00533393" w:rsidRPr="00245E91" w:rsidRDefault="00533393" w:rsidP="00672311">
            <w:pPr>
              <w:spacing w:after="0" w:line="240" w:lineRule="auto"/>
              <w:ind w:left="-100" w:right="-138"/>
              <w:rPr>
                <w:rFonts w:ascii="Times New Roman" w:eastAsia="Times New Roman" w:hAnsi="Times New Roman"/>
                <w:sz w:val="15"/>
                <w:szCs w:val="15"/>
              </w:rPr>
            </w:pPr>
            <w:r w:rsidRPr="00245E91">
              <w:rPr>
                <w:rFonts w:ascii="Times New Roman" w:hAnsi="Times New Roman"/>
                <w:sz w:val="15"/>
                <w:szCs w:val="15"/>
              </w:rPr>
              <w:t>(2.08**)</w:t>
            </w:r>
          </w:p>
        </w:tc>
        <w:tc>
          <w:tcPr>
            <w:tcW w:w="978" w:type="dxa"/>
            <w:tcBorders>
              <w:top w:val="nil"/>
              <w:left w:val="nil"/>
              <w:bottom w:val="nil"/>
              <w:right w:val="nil"/>
            </w:tcBorders>
          </w:tcPr>
          <w:p w14:paraId="7BFF2638" w14:textId="77777777" w:rsidR="00533393" w:rsidRPr="00245E91" w:rsidRDefault="00533393" w:rsidP="00672311">
            <w:pPr>
              <w:spacing w:after="0" w:line="240" w:lineRule="auto"/>
              <w:ind w:left="-23" w:right="-52"/>
              <w:rPr>
                <w:rFonts w:ascii="Times New Roman" w:hAnsi="Times New Roman"/>
                <w:sz w:val="15"/>
                <w:szCs w:val="15"/>
              </w:rPr>
            </w:pPr>
            <w:r w:rsidRPr="00245E91">
              <w:rPr>
                <w:rFonts w:ascii="Times New Roman" w:hAnsi="Times New Roman"/>
                <w:sz w:val="15"/>
                <w:szCs w:val="15"/>
              </w:rPr>
              <w:t>0.082</w:t>
            </w:r>
          </w:p>
          <w:p w14:paraId="066A2390" w14:textId="77777777" w:rsidR="00533393" w:rsidRPr="00245E91" w:rsidRDefault="00533393" w:rsidP="00672311">
            <w:pPr>
              <w:spacing w:after="0" w:line="240" w:lineRule="auto"/>
              <w:ind w:right="-52"/>
              <w:rPr>
                <w:rFonts w:ascii="Times New Roman" w:eastAsia="Times New Roman" w:hAnsi="Times New Roman"/>
                <w:sz w:val="15"/>
                <w:szCs w:val="15"/>
              </w:rPr>
            </w:pPr>
            <w:r w:rsidRPr="00245E91">
              <w:rPr>
                <w:rFonts w:ascii="Times New Roman" w:hAnsi="Times New Roman"/>
                <w:sz w:val="15"/>
                <w:szCs w:val="15"/>
              </w:rPr>
              <w:t>(1.83*)</w:t>
            </w:r>
          </w:p>
        </w:tc>
        <w:tc>
          <w:tcPr>
            <w:tcW w:w="978" w:type="dxa"/>
            <w:tcBorders>
              <w:top w:val="nil"/>
              <w:left w:val="nil"/>
              <w:bottom w:val="nil"/>
              <w:right w:val="nil"/>
            </w:tcBorders>
          </w:tcPr>
          <w:p w14:paraId="30E31079" w14:textId="77777777" w:rsidR="00533393" w:rsidRPr="00245E91" w:rsidRDefault="00533393" w:rsidP="00672311">
            <w:pPr>
              <w:spacing w:after="0" w:line="240" w:lineRule="auto"/>
              <w:ind w:left="-23" w:right="-159"/>
              <w:rPr>
                <w:rFonts w:ascii="Times New Roman" w:hAnsi="Times New Roman"/>
                <w:sz w:val="15"/>
                <w:szCs w:val="15"/>
              </w:rPr>
            </w:pPr>
            <w:r w:rsidRPr="00245E91">
              <w:rPr>
                <w:rFonts w:ascii="Times New Roman" w:hAnsi="Times New Roman"/>
                <w:sz w:val="15"/>
                <w:szCs w:val="15"/>
              </w:rPr>
              <w:t>0.082</w:t>
            </w:r>
          </w:p>
          <w:p w14:paraId="11FBBE89" w14:textId="77777777" w:rsidR="00533393" w:rsidRPr="00245E91" w:rsidRDefault="00533393" w:rsidP="00672311">
            <w:pPr>
              <w:spacing w:after="0" w:line="240" w:lineRule="auto"/>
              <w:ind w:right="-159"/>
              <w:rPr>
                <w:rFonts w:ascii="Times New Roman" w:eastAsia="Times New Roman" w:hAnsi="Times New Roman"/>
                <w:sz w:val="15"/>
                <w:szCs w:val="15"/>
              </w:rPr>
            </w:pPr>
            <w:r w:rsidRPr="00245E91">
              <w:rPr>
                <w:rFonts w:ascii="Times New Roman" w:hAnsi="Times New Roman"/>
                <w:sz w:val="15"/>
                <w:szCs w:val="15"/>
              </w:rPr>
              <w:t>(1.83*)</w:t>
            </w:r>
          </w:p>
        </w:tc>
        <w:tc>
          <w:tcPr>
            <w:tcW w:w="858" w:type="dxa"/>
            <w:tcBorders>
              <w:top w:val="nil"/>
              <w:left w:val="nil"/>
              <w:bottom w:val="nil"/>
              <w:right w:val="nil"/>
            </w:tcBorders>
          </w:tcPr>
          <w:p w14:paraId="01C959AD" w14:textId="77777777" w:rsidR="00533393" w:rsidRPr="00245E91" w:rsidRDefault="00533393" w:rsidP="00672311">
            <w:pPr>
              <w:spacing w:after="0" w:line="240" w:lineRule="auto"/>
              <w:ind w:left="-62" w:right="-73"/>
              <w:rPr>
                <w:rFonts w:ascii="Times New Roman" w:hAnsi="Times New Roman"/>
                <w:sz w:val="15"/>
                <w:szCs w:val="15"/>
              </w:rPr>
            </w:pPr>
            <w:r w:rsidRPr="00245E91">
              <w:rPr>
                <w:rFonts w:ascii="Times New Roman" w:hAnsi="Times New Roman"/>
                <w:sz w:val="15"/>
                <w:szCs w:val="15"/>
              </w:rPr>
              <w:t>0.066</w:t>
            </w:r>
          </w:p>
          <w:p w14:paraId="2481F566" w14:textId="77777777" w:rsidR="00533393" w:rsidRPr="00245E91" w:rsidRDefault="00533393" w:rsidP="00672311">
            <w:pPr>
              <w:spacing w:after="0" w:line="240" w:lineRule="auto"/>
              <w:ind w:left="-62" w:right="-73"/>
              <w:rPr>
                <w:rFonts w:ascii="Times New Roman" w:eastAsia="Times New Roman" w:hAnsi="Times New Roman"/>
                <w:sz w:val="15"/>
                <w:szCs w:val="15"/>
              </w:rPr>
            </w:pPr>
            <w:r w:rsidRPr="00245E91">
              <w:rPr>
                <w:rFonts w:ascii="Times New Roman" w:hAnsi="Times New Roman"/>
                <w:sz w:val="15"/>
                <w:szCs w:val="15"/>
              </w:rPr>
              <w:t>(2.25**)</w:t>
            </w:r>
          </w:p>
        </w:tc>
        <w:tc>
          <w:tcPr>
            <w:tcW w:w="990" w:type="dxa"/>
            <w:tcBorders>
              <w:top w:val="nil"/>
              <w:left w:val="nil"/>
              <w:bottom w:val="nil"/>
              <w:right w:val="single" w:sz="4" w:space="0" w:color="auto"/>
            </w:tcBorders>
          </w:tcPr>
          <w:p w14:paraId="28B022B3" w14:textId="77777777" w:rsidR="00533393" w:rsidRPr="00245E91" w:rsidRDefault="00533393" w:rsidP="00672311">
            <w:pPr>
              <w:spacing w:after="0" w:line="240" w:lineRule="auto"/>
              <w:ind w:left="-23" w:right="-106"/>
              <w:rPr>
                <w:rFonts w:ascii="Times New Roman" w:hAnsi="Times New Roman"/>
                <w:sz w:val="15"/>
                <w:szCs w:val="15"/>
              </w:rPr>
            </w:pPr>
            <w:r w:rsidRPr="00245E91">
              <w:rPr>
                <w:rFonts w:ascii="Times New Roman" w:hAnsi="Times New Roman"/>
                <w:sz w:val="15"/>
                <w:szCs w:val="15"/>
              </w:rPr>
              <w:t>0.085</w:t>
            </w:r>
          </w:p>
          <w:p w14:paraId="082FF2F0"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(2.18**)</w:t>
            </w:r>
          </w:p>
        </w:tc>
        <w:tc>
          <w:tcPr>
            <w:tcW w:w="968" w:type="dxa"/>
            <w:tcBorders>
              <w:top w:val="nil"/>
              <w:left w:val="single" w:sz="4" w:space="0" w:color="auto"/>
              <w:bottom w:val="nil"/>
              <w:right w:val="nil"/>
            </w:tcBorders>
          </w:tcPr>
          <w:p w14:paraId="3287A6B9" w14:textId="77777777" w:rsidR="00533393" w:rsidRPr="00245E91" w:rsidRDefault="00533393" w:rsidP="00672311">
            <w:pPr>
              <w:spacing w:after="0" w:line="240" w:lineRule="auto"/>
              <w:ind w:left="-23" w:right="-61"/>
              <w:rPr>
                <w:rFonts w:ascii="Times New Roman" w:hAnsi="Times New Roman"/>
                <w:sz w:val="15"/>
                <w:szCs w:val="15"/>
              </w:rPr>
            </w:pPr>
            <w:r w:rsidRPr="00245E91">
              <w:rPr>
                <w:rFonts w:ascii="Times New Roman" w:hAnsi="Times New Roman"/>
                <w:sz w:val="15"/>
                <w:szCs w:val="15"/>
              </w:rPr>
              <w:t>0.103</w:t>
            </w:r>
          </w:p>
          <w:p w14:paraId="1913D044"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(2.55**)</w:t>
            </w:r>
          </w:p>
        </w:tc>
        <w:tc>
          <w:tcPr>
            <w:tcW w:w="971" w:type="dxa"/>
            <w:tcBorders>
              <w:top w:val="nil"/>
              <w:left w:val="nil"/>
              <w:bottom w:val="nil"/>
              <w:right w:val="nil"/>
            </w:tcBorders>
          </w:tcPr>
          <w:p w14:paraId="28297801" w14:textId="77777777" w:rsidR="00533393" w:rsidRPr="00245E91" w:rsidRDefault="00533393" w:rsidP="00672311">
            <w:pPr>
              <w:spacing w:after="0" w:line="240" w:lineRule="auto"/>
              <w:ind w:left="-87" w:right="-151"/>
              <w:rPr>
                <w:rFonts w:ascii="Times New Roman" w:hAnsi="Times New Roman"/>
                <w:sz w:val="15"/>
                <w:szCs w:val="15"/>
              </w:rPr>
            </w:pPr>
            <w:r w:rsidRPr="00245E91">
              <w:rPr>
                <w:rFonts w:ascii="Times New Roman" w:hAnsi="Times New Roman"/>
                <w:sz w:val="15"/>
                <w:szCs w:val="15"/>
              </w:rPr>
              <w:t>0.106</w:t>
            </w:r>
          </w:p>
          <w:p w14:paraId="59ED73C9" w14:textId="77777777" w:rsidR="00533393" w:rsidRPr="00245E91" w:rsidRDefault="00533393" w:rsidP="00672311">
            <w:pPr>
              <w:spacing w:after="0" w:line="240" w:lineRule="auto"/>
              <w:ind w:left="-87" w:right="-151"/>
              <w:rPr>
                <w:rFonts w:ascii="Times New Roman" w:eastAsia="Times New Roman" w:hAnsi="Times New Roman"/>
                <w:sz w:val="15"/>
                <w:szCs w:val="15"/>
              </w:rPr>
            </w:pPr>
            <w:r w:rsidRPr="00245E91">
              <w:rPr>
                <w:rFonts w:ascii="Times New Roman" w:hAnsi="Times New Roman"/>
                <w:sz w:val="15"/>
                <w:szCs w:val="15"/>
              </w:rPr>
              <w:t>(2.61***)</w:t>
            </w:r>
          </w:p>
        </w:tc>
        <w:tc>
          <w:tcPr>
            <w:tcW w:w="965" w:type="dxa"/>
            <w:tcBorders>
              <w:top w:val="nil"/>
              <w:left w:val="nil"/>
              <w:bottom w:val="nil"/>
              <w:right w:val="nil"/>
            </w:tcBorders>
          </w:tcPr>
          <w:p w14:paraId="057FD36B" w14:textId="77777777" w:rsidR="00533393" w:rsidRPr="00245E91" w:rsidRDefault="00533393" w:rsidP="00672311">
            <w:pPr>
              <w:spacing w:after="0" w:line="240" w:lineRule="auto"/>
              <w:ind w:left="-38" w:right="-168"/>
              <w:rPr>
                <w:rFonts w:ascii="Times New Roman" w:hAnsi="Times New Roman"/>
                <w:sz w:val="15"/>
                <w:szCs w:val="15"/>
              </w:rPr>
            </w:pPr>
            <w:r w:rsidRPr="00245E91">
              <w:rPr>
                <w:rFonts w:ascii="Times New Roman" w:hAnsi="Times New Roman"/>
                <w:sz w:val="15"/>
                <w:szCs w:val="15"/>
              </w:rPr>
              <w:t>0.105</w:t>
            </w:r>
          </w:p>
          <w:p w14:paraId="13DE6AD8" w14:textId="77777777" w:rsidR="00533393" w:rsidRPr="00245E91" w:rsidRDefault="00533393" w:rsidP="00672311">
            <w:pPr>
              <w:spacing w:after="0" w:line="240" w:lineRule="auto"/>
              <w:ind w:right="-168"/>
              <w:rPr>
                <w:rFonts w:ascii="Times New Roman" w:eastAsia="Times New Roman" w:hAnsi="Times New Roman"/>
                <w:sz w:val="15"/>
                <w:szCs w:val="15"/>
              </w:rPr>
            </w:pPr>
            <w:r w:rsidRPr="00245E91">
              <w:rPr>
                <w:rFonts w:ascii="Times New Roman" w:hAnsi="Times New Roman"/>
                <w:sz w:val="15"/>
                <w:szCs w:val="15"/>
              </w:rPr>
              <w:t>(2.36**)</w:t>
            </w:r>
          </w:p>
        </w:tc>
        <w:tc>
          <w:tcPr>
            <w:tcW w:w="965" w:type="dxa"/>
            <w:tcBorders>
              <w:top w:val="nil"/>
              <w:left w:val="nil"/>
              <w:bottom w:val="nil"/>
              <w:right w:val="nil"/>
            </w:tcBorders>
          </w:tcPr>
          <w:p w14:paraId="56B59212" w14:textId="77777777" w:rsidR="00533393" w:rsidRPr="00245E91" w:rsidRDefault="00533393" w:rsidP="00672311">
            <w:pPr>
              <w:spacing w:after="0" w:line="240" w:lineRule="auto"/>
              <w:ind w:left="-24"/>
              <w:rPr>
                <w:rFonts w:ascii="Times New Roman" w:hAnsi="Times New Roman"/>
                <w:sz w:val="15"/>
                <w:szCs w:val="15"/>
              </w:rPr>
            </w:pPr>
            <w:r w:rsidRPr="00245E91">
              <w:rPr>
                <w:rFonts w:ascii="Times New Roman" w:hAnsi="Times New Roman"/>
                <w:sz w:val="15"/>
                <w:szCs w:val="15"/>
              </w:rPr>
              <w:t>0.105</w:t>
            </w:r>
          </w:p>
          <w:p w14:paraId="0EB19FD3"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(2.36**)</w:t>
            </w:r>
          </w:p>
        </w:tc>
        <w:tc>
          <w:tcPr>
            <w:tcW w:w="901" w:type="dxa"/>
            <w:tcBorders>
              <w:top w:val="nil"/>
              <w:left w:val="nil"/>
              <w:bottom w:val="nil"/>
              <w:right w:val="nil"/>
            </w:tcBorders>
          </w:tcPr>
          <w:p w14:paraId="4F4D089D" w14:textId="77777777" w:rsidR="00533393" w:rsidRPr="00245E91" w:rsidRDefault="00533393" w:rsidP="00672311">
            <w:pPr>
              <w:spacing w:after="0" w:line="240" w:lineRule="auto"/>
              <w:ind w:left="-114" w:right="-138"/>
              <w:rPr>
                <w:rFonts w:ascii="Times New Roman" w:hAnsi="Times New Roman"/>
                <w:sz w:val="15"/>
                <w:szCs w:val="15"/>
              </w:rPr>
            </w:pPr>
            <w:r w:rsidRPr="00245E91">
              <w:rPr>
                <w:rFonts w:ascii="Times New Roman" w:hAnsi="Times New Roman"/>
                <w:sz w:val="15"/>
                <w:szCs w:val="15"/>
              </w:rPr>
              <w:t>0.096</w:t>
            </w:r>
          </w:p>
          <w:p w14:paraId="59505A42" w14:textId="77777777" w:rsidR="00533393" w:rsidRPr="00245E91" w:rsidRDefault="00533393" w:rsidP="00672311">
            <w:pPr>
              <w:spacing w:after="0" w:line="240" w:lineRule="auto"/>
              <w:ind w:right="-138"/>
              <w:rPr>
                <w:rFonts w:ascii="Times New Roman" w:eastAsia="Times New Roman" w:hAnsi="Times New Roman"/>
                <w:sz w:val="15"/>
                <w:szCs w:val="15"/>
              </w:rPr>
            </w:pPr>
            <w:r w:rsidRPr="00245E91">
              <w:rPr>
                <w:rFonts w:ascii="Times New Roman" w:hAnsi="Times New Roman"/>
                <w:sz w:val="15"/>
                <w:szCs w:val="15"/>
              </w:rPr>
              <w:t>(2.51**)</w:t>
            </w:r>
          </w:p>
        </w:tc>
        <w:tc>
          <w:tcPr>
            <w:tcW w:w="972" w:type="dxa"/>
            <w:tcBorders>
              <w:top w:val="nil"/>
              <w:left w:val="nil"/>
              <w:bottom w:val="nil"/>
              <w:right w:val="nil"/>
            </w:tcBorders>
          </w:tcPr>
          <w:p w14:paraId="7AA36D0A" w14:textId="77777777" w:rsidR="00533393" w:rsidRPr="00245E91" w:rsidRDefault="00533393" w:rsidP="00672311">
            <w:pPr>
              <w:spacing w:after="0" w:line="240" w:lineRule="auto"/>
              <w:ind w:left="-108" w:right="-104"/>
              <w:rPr>
                <w:rFonts w:ascii="Times New Roman" w:hAnsi="Times New Roman"/>
                <w:sz w:val="15"/>
                <w:szCs w:val="15"/>
              </w:rPr>
            </w:pPr>
            <w:r w:rsidRPr="00245E91">
              <w:rPr>
                <w:rFonts w:ascii="Times New Roman" w:hAnsi="Times New Roman"/>
                <w:sz w:val="15"/>
                <w:szCs w:val="15"/>
              </w:rPr>
              <w:t>0.088</w:t>
            </w:r>
          </w:p>
          <w:p w14:paraId="6A9B1B61" w14:textId="77777777" w:rsidR="00533393" w:rsidRPr="00245E91" w:rsidRDefault="00533393" w:rsidP="00672311">
            <w:pPr>
              <w:spacing w:after="0" w:line="240" w:lineRule="auto"/>
              <w:ind w:left="-108" w:right="-104"/>
              <w:rPr>
                <w:rFonts w:ascii="Times New Roman" w:eastAsia="Times New Roman" w:hAnsi="Times New Roman"/>
                <w:sz w:val="15"/>
                <w:szCs w:val="15"/>
              </w:rPr>
            </w:pPr>
            <w:r w:rsidRPr="00245E91">
              <w:rPr>
                <w:rFonts w:ascii="Times New Roman" w:hAnsi="Times New Roman"/>
                <w:sz w:val="15"/>
                <w:szCs w:val="15"/>
              </w:rPr>
              <w:t>(2.18**)</w:t>
            </w:r>
          </w:p>
        </w:tc>
      </w:tr>
      <w:tr w:rsidR="00533393" w:rsidRPr="00245E91" w14:paraId="0C914591" w14:textId="77777777" w:rsidTr="00672311">
        <w:tblPrEx>
          <w:tblBorders>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440" w:type="dxa"/>
            <w:tcBorders>
              <w:top w:val="nil"/>
              <w:left w:val="nil"/>
              <w:bottom w:val="nil"/>
              <w:right w:val="nil"/>
            </w:tcBorders>
          </w:tcPr>
          <w:p w14:paraId="65F7FB0C" w14:textId="77777777" w:rsidR="00533393" w:rsidRPr="00245E91" w:rsidRDefault="00533393" w:rsidP="00672311">
            <w:pPr>
              <w:spacing w:after="0" w:line="240" w:lineRule="auto"/>
              <w:ind w:right="-104"/>
              <w:rPr>
                <w:rFonts w:ascii="Times New Roman" w:eastAsia="Times New Roman" w:hAnsi="Times New Roman"/>
                <w:sz w:val="15"/>
                <w:szCs w:val="15"/>
              </w:rPr>
            </w:pPr>
            <w:r w:rsidRPr="00245E91">
              <w:rPr>
                <w:rFonts w:ascii="Times New Roman" w:hAnsi="Times New Roman"/>
                <w:sz w:val="15"/>
                <w:szCs w:val="15"/>
              </w:rPr>
              <w:t>LN(Assets)</w:t>
            </w:r>
          </w:p>
        </w:tc>
        <w:tc>
          <w:tcPr>
            <w:tcW w:w="978" w:type="dxa"/>
            <w:gridSpan w:val="2"/>
            <w:tcBorders>
              <w:top w:val="nil"/>
              <w:left w:val="nil"/>
              <w:bottom w:val="nil"/>
              <w:right w:val="nil"/>
            </w:tcBorders>
          </w:tcPr>
          <w:p w14:paraId="7566F890" w14:textId="77777777" w:rsidR="00533393" w:rsidRPr="00245E91" w:rsidRDefault="00533393" w:rsidP="00672311">
            <w:pPr>
              <w:spacing w:after="0" w:line="240" w:lineRule="auto"/>
              <w:ind w:right="-31"/>
              <w:rPr>
                <w:rFonts w:ascii="Times New Roman" w:hAnsi="Times New Roman"/>
                <w:sz w:val="15"/>
                <w:szCs w:val="15"/>
              </w:rPr>
            </w:pPr>
            <w:r w:rsidRPr="00245E91">
              <w:rPr>
                <w:rFonts w:ascii="Times New Roman" w:hAnsi="Times New Roman"/>
                <w:sz w:val="15"/>
                <w:szCs w:val="15"/>
              </w:rPr>
              <w:t>0.015</w:t>
            </w:r>
          </w:p>
          <w:p w14:paraId="0A5A9A29" w14:textId="77777777" w:rsidR="00533393" w:rsidRPr="00245E91" w:rsidRDefault="00533393" w:rsidP="00672311">
            <w:pPr>
              <w:spacing w:after="0" w:line="240" w:lineRule="auto"/>
              <w:ind w:right="-31"/>
              <w:rPr>
                <w:rFonts w:ascii="Times New Roman" w:eastAsia="Times New Roman" w:hAnsi="Times New Roman"/>
                <w:sz w:val="15"/>
                <w:szCs w:val="15"/>
              </w:rPr>
            </w:pPr>
            <w:r w:rsidRPr="00245E91">
              <w:rPr>
                <w:rFonts w:ascii="Times New Roman" w:hAnsi="Times New Roman"/>
                <w:sz w:val="15"/>
                <w:szCs w:val="15"/>
              </w:rPr>
              <w:t>(0.41)</w:t>
            </w:r>
          </w:p>
        </w:tc>
        <w:tc>
          <w:tcPr>
            <w:tcW w:w="978" w:type="dxa"/>
            <w:tcBorders>
              <w:top w:val="nil"/>
              <w:left w:val="nil"/>
              <w:bottom w:val="nil"/>
              <w:right w:val="nil"/>
            </w:tcBorders>
          </w:tcPr>
          <w:p w14:paraId="50D8D575" w14:textId="77777777" w:rsidR="00533393" w:rsidRPr="00245E91" w:rsidRDefault="00533393" w:rsidP="00672311">
            <w:pPr>
              <w:spacing w:after="0" w:line="240" w:lineRule="auto"/>
              <w:ind w:left="-100" w:right="-138"/>
              <w:rPr>
                <w:rFonts w:ascii="Times New Roman" w:hAnsi="Times New Roman"/>
                <w:sz w:val="15"/>
                <w:szCs w:val="15"/>
              </w:rPr>
            </w:pPr>
            <w:r w:rsidRPr="00245E91">
              <w:rPr>
                <w:rFonts w:ascii="Times New Roman" w:hAnsi="Times New Roman"/>
                <w:sz w:val="15"/>
                <w:szCs w:val="15"/>
              </w:rPr>
              <w:t>-0.039</w:t>
            </w:r>
          </w:p>
          <w:p w14:paraId="2981DD0C" w14:textId="77777777" w:rsidR="00533393" w:rsidRPr="00245E91" w:rsidRDefault="00533393" w:rsidP="00672311">
            <w:pPr>
              <w:spacing w:after="0" w:line="240" w:lineRule="auto"/>
              <w:ind w:left="-100" w:right="-138"/>
              <w:rPr>
                <w:rFonts w:ascii="Times New Roman" w:eastAsia="Times New Roman" w:hAnsi="Times New Roman"/>
                <w:sz w:val="15"/>
                <w:szCs w:val="15"/>
              </w:rPr>
            </w:pPr>
            <w:r w:rsidRPr="00245E91">
              <w:rPr>
                <w:rFonts w:ascii="Times New Roman" w:hAnsi="Times New Roman"/>
                <w:sz w:val="15"/>
                <w:szCs w:val="15"/>
              </w:rPr>
              <w:t>(-0.95)</w:t>
            </w:r>
          </w:p>
        </w:tc>
        <w:tc>
          <w:tcPr>
            <w:tcW w:w="978" w:type="dxa"/>
            <w:tcBorders>
              <w:top w:val="nil"/>
              <w:left w:val="nil"/>
              <w:bottom w:val="nil"/>
              <w:right w:val="nil"/>
            </w:tcBorders>
          </w:tcPr>
          <w:p w14:paraId="7609CC47" w14:textId="77777777" w:rsidR="00533393" w:rsidRPr="00245E91" w:rsidRDefault="00533393" w:rsidP="00672311">
            <w:pPr>
              <w:spacing w:after="0" w:line="240" w:lineRule="auto"/>
              <w:ind w:left="-23" w:right="-52"/>
              <w:rPr>
                <w:rFonts w:ascii="Times New Roman" w:hAnsi="Times New Roman"/>
                <w:sz w:val="15"/>
                <w:szCs w:val="15"/>
              </w:rPr>
            </w:pPr>
            <w:r w:rsidRPr="00245E91">
              <w:rPr>
                <w:rFonts w:ascii="Times New Roman" w:hAnsi="Times New Roman"/>
                <w:sz w:val="15"/>
                <w:szCs w:val="15"/>
              </w:rPr>
              <w:t>0.057</w:t>
            </w:r>
          </w:p>
          <w:p w14:paraId="70EEC576" w14:textId="77777777" w:rsidR="00533393" w:rsidRPr="00245E91" w:rsidRDefault="00533393" w:rsidP="00672311">
            <w:pPr>
              <w:spacing w:after="0" w:line="240" w:lineRule="auto"/>
              <w:ind w:right="-52"/>
              <w:rPr>
                <w:rFonts w:ascii="Times New Roman" w:eastAsia="Times New Roman" w:hAnsi="Times New Roman"/>
                <w:sz w:val="15"/>
                <w:szCs w:val="15"/>
              </w:rPr>
            </w:pPr>
            <w:r w:rsidRPr="00245E91">
              <w:rPr>
                <w:rFonts w:ascii="Times New Roman" w:hAnsi="Times New Roman"/>
                <w:sz w:val="15"/>
                <w:szCs w:val="15"/>
              </w:rPr>
              <w:t>(1.27)</w:t>
            </w:r>
          </w:p>
        </w:tc>
        <w:tc>
          <w:tcPr>
            <w:tcW w:w="978" w:type="dxa"/>
            <w:tcBorders>
              <w:top w:val="nil"/>
              <w:left w:val="nil"/>
              <w:bottom w:val="nil"/>
              <w:right w:val="nil"/>
            </w:tcBorders>
          </w:tcPr>
          <w:p w14:paraId="131A41DF" w14:textId="77777777" w:rsidR="00533393" w:rsidRPr="00245E91" w:rsidRDefault="00533393" w:rsidP="00672311">
            <w:pPr>
              <w:spacing w:after="0" w:line="240" w:lineRule="auto"/>
              <w:ind w:left="-23" w:right="-159"/>
              <w:rPr>
                <w:rFonts w:ascii="Times New Roman" w:hAnsi="Times New Roman"/>
                <w:sz w:val="15"/>
                <w:szCs w:val="15"/>
              </w:rPr>
            </w:pPr>
            <w:r w:rsidRPr="00245E91">
              <w:rPr>
                <w:rFonts w:ascii="Times New Roman" w:hAnsi="Times New Roman"/>
                <w:sz w:val="15"/>
                <w:szCs w:val="15"/>
              </w:rPr>
              <w:t>0.057</w:t>
            </w:r>
          </w:p>
          <w:p w14:paraId="715DC12E" w14:textId="77777777" w:rsidR="00533393" w:rsidRPr="00245E91" w:rsidRDefault="00533393" w:rsidP="00672311">
            <w:pPr>
              <w:spacing w:after="0" w:line="240" w:lineRule="auto"/>
              <w:ind w:right="-159"/>
              <w:rPr>
                <w:rFonts w:ascii="Times New Roman" w:eastAsia="Times New Roman" w:hAnsi="Times New Roman"/>
                <w:sz w:val="15"/>
                <w:szCs w:val="15"/>
              </w:rPr>
            </w:pPr>
            <w:r w:rsidRPr="00245E91">
              <w:rPr>
                <w:rFonts w:ascii="Times New Roman" w:hAnsi="Times New Roman"/>
                <w:sz w:val="15"/>
                <w:szCs w:val="15"/>
              </w:rPr>
              <w:t>(1.27)</w:t>
            </w:r>
          </w:p>
        </w:tc>
        <w:tc>
          <w:tcPr>
            <w:tcW w:w="858" w:type="dxa"/>
            <w:tcBorders>
              <w:top w:val="nil"/>
              <w:left w:val="nil"/>
              <w:bottom w:val="nil"/>
              <w:right w:val="nil"/>
            </w:tcBorders>
          </w:tcPr>
          <w:p w14:paraId="34C8F241" w14:textId="77777777" w:rsidR="00533393" w:rsidRPr="00245E91" w:rsidRDefault="00533393" w:rsidP="00672311">
            <w:pPr>
              <w:spacing w:after="0" w:line="240" w:lineRule="auto"/>
              <w:ind w:left="-62" w:right="-73"/>
              <w:rPr>
                <w:rFonts w:ascii="Times New Roman" w:hAnsi="Times New Roman"/>
                <w:sz w:val="15"/>
                <w:szCs w:val="15"/>
              </w:rPr>
            </w:pPr>
            <w:r w:rsidRPr="00245E91">
              <w:rPr>
                <w:rFonts w:ascii="Times New Roman" w:hAnsi="Times New Roman"/>
                <w:sz w:val="15"/>
                <w:szCs w:val="15"/>
              </w:rPr>
              <w:t>0.006</w:t>
            </w:r>
          </w:p>
          <w:p w14:paraId="1C027ADC" w14:textId="77777777" w:rsidR="00533393" w:rsidRPr="00245E91" w:rsidRDefault="00533393" w:rsidP="00672311">
            <w:pPr>
              <w:spacing w:after="0" w:line="240" w:lineRule="auto"/>
              <w:ind w:left="-62" w:right="-73"/>
              <w:rPr>
                <w:rFonts w:ascii="Times New Roman" w:eastAsia="Times New Roman" w:hAnsi="Times New Roman"/>
                <w:sz w:val="15"/>
                <w:szCs w:val="15"/>
              </w:rPr>
            </w:pPr>
            <w:r w:rsidRPr="00245E91">
              <w:rPr>
                <w:rFonts w:ascii="Times New Roman" w:hAnsi="Times New Roman"/>
                <w:sz w:val="15"/>
                <w:szCs w:val="15"/>
              </w:rPr>
              <w:t>(0.17)</w:t>
            </w:r>
          </w:p>
        </w:tc>
        <w:tc>
          <w:tcPr>
            <w:tcW w:w="990" w:type="dxa"/>
            <w:tcBorders>
              <w:top w:val="nil"/>
              <w:left w:val="nil"/>
              <w:bottom w:val="nil"/>
              <w:right w:val="single" w:sz="4" w:space="0" w:color="auto"/>
            </w:tcBorders>
          </w:tcPr>
          <w:p w14:paraId="26301C32" w14:textId="77777777" w:rsidR="00533393" w:rsidRPr="00245E91" w:rsidRDefault="00533393" w:rsidP="00672311">
            <w:pPr>
              <w:spacing w:after="0" w:line="240" w:lineRule="auto"/>
              <w:ind w:left="-23" w:right="-106"/>
              <w:rPr>
                <w:rFonts w:ascii="Times New Roman" w:hAnsi="Times New Roman"/>
                <w:sz w:val="15"/>
                <w:szCs w:val="15"/>
              </w:rPr>
            </w:pPr>
            <w:r w:rsidRPr="00245E91">
              <w:rPr>
                <w:rFonts w:ascii="Times New Roman" w:hAnsi="Times New Roman"/>
                <w:sz w:val="15"/>
                <w:szCs w:val="15"/>
              </w:rPr>
              <w:t>0.128</w:t>
            </w:r>
          </w:p>
          <w:p w14:paraId="1EB66E93"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(2.83***)</w:t>
            </w:r>
          </w:p>
        </w:tc>
        <w:tc>
          <w:tcPr>
            <w:tcW w:w="968" w:type="dxa"/>
            <w:tcBorders>
              <w:top w:val="nil"/>
              <w:left w:val="single" w:sz="4" w:space="0" w:color="auto"/>
              <w:bottom w:val="nil"/>
              <w:right w:val="nil"/>
            </w:tcBorders>
          </w:tcPr>
          <w:p w14:paraId="57BCD105" w14:textId="77777777" w:rsidR="00533393" w:rsidRPr="00245E91" w:rsidRDefault="00533393" w:rsidP="00672311">
            <w:pPr>
              <w:spacing w:after="0" w:line="240" w:lineRule="auto"/>
              <w:ind w:left="-23" w:right="-61"/>
              <w:rPr>
                <w:rFonts w:ascii="Times New Roman" w:hAnsi="Times New Roman"/>
                <w:sz w:val="15"/>
                <w:szCs w:val="15"/>
              </w:rPr>
            </w:pPr>
            <w:r w:rsidRPr="00245E91">
              <w:rPr>
                <w:rFonts w:ascii="Times New Roman" w:hAnsi="Times New Roman"/>
                <w:sz w:val="15"/>
                <w:szCs w:val="15"/>
              </w:rPr>
              <w:t>0.014</w:t>
            </w:r>
          </w:p>
          <w:p w14:paraId="01ABA1EF"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(0.31)</w:t>
            </w:r>
          </w:p>
        </w:tc>
        <w:tc>
          <w:tcPr>
            <w:tcW w:w="971" w:type="dxa"/>
            <w:tcBorders>
              <w:top w:val="nil"/>
              <w:left w:val="nil"/>
              <w:bottom w:val="nil"/>
              <w:right w:val="nil"/>
            </w:tcBorders>
          </w:tcPr>
          <w:p w14:paraId="306FFDA1" w14:textId="77777777" w:rsidR="00533393" w:rsidRPr="00245E91" w:rsidRDefault="00533393" w:rsidP="00672311">
            <w:pPr>
              <w:spacing w:after="0" w:line="240" w:lineRule="auto"/>
              <w:ind w:left="-87" w:right="-151"/>
              <w:rPr>
                <w:rFonts w:ascii="Times New Roman" w:hAnsi="Times New Roman"/>
                <w:sz w:val="15"/>
                <w:szCs w:val="15"/>
              </w:rPr>
            </w:pPr>
            <w:r w:rsidRPr="00245E91">
              <w:rPr>
                <w:rFonts w:ascii="Times New Roman" w:hAnsi="Times New Roman"/>
                <w:sz w:val="15"/>
                <w:szCs w:val="15"/>
              </w:rPr>
              <w:t>-0.002</w:t>
            </w:r>
          </w:p>
          <w:p w14:paraId="5361DEFC" w14:textId="77777777" w:rsidR="00533393" w:rsidRPr="00245E91" w:rsidRDefault="00533393" w:rsidP="00672311">
            <w:pPr>
              <w:spacing w:after="0" w:line="240" w:lineRule="auto"/>
              <w:ind w:left="-87" w:right="-151"/>
              <w:rPr>
                <w:rFonts w:ascii="Times New Roman" w:eastAsia="Times New Roman" w:hAnsi="Times New Roman"/>
                <w:sz w:val="15"/>
                <w:szCs w:val="15"/>
              </w:rPr>
            </w:pPr>
            <w:r w:rsidRPr="00245E91">
              <w:rPr>
                <w:rFonts w:ascii="Times New Roman" w:hAnsi="Times New Roman"/>
                <w:sz w:val="15"/>
                <w:szCs w:val="15"/>
              </w:rPr>
              <w:t>(-0.04)</w:t>
            </w:r>
          </w:p>
        </w:tc>
        <w:tc>
          <w:tcPr>
            <w:tcW w:w="965" w:type="dxa"/>
            <w:tcBorders>
              <w:top w:val="nil"/>
              <w:left w:val="nil"/>
              <w:bottom w:val="nil"/>
              <w:right w:val="nil"/>
            </w:tcBorders>
          </w:tcPr>
          <w:p w14:paraId="6CB43DB0" w14:textId="77777777" w:rsidR="00533393" w:rsidRPr="00245E91" w:rsidRDefault="00533393" w:rsidP="00672311">
            <w:pPr>
              <w:spacing w:after="0" w:line="240" w:lineRule="auto"/>
              <w:ind w:left="-38" w:right="-168"/>
              <w:rPr>
                <w:rFonts w:ascii="Times New Roman" w:hAnsi="Times New Roman"/>
                <w:sz w:val="15"/>
                <w:szCs w:val="15"/>
              </w:rPr>
            </w:pPr>
            <w:r w:rsidRPr="00245E91">
              <w:rPr>
                <w:rFonts w:ascii="Times New Roman" w:hAnsi="Times New Roman"/>
                <w:sz w:val="15"/>
                <w:szCs w:val="15"/>
              </w:rPr>
              <w:t>0.038</w:t>
            </w:r>
          </w:p>
          <w:p w14:paraId="59AF8877" w14:textId="77777777" w:rsidR="00533393" w:rsidRPr="00245E91" w:rsidRDefault="00533393" w:rsidP="00672311">
            <w:pPr>
              <w:spacing w:after="0" w:line="240" w:lineRule="auto"/>
              <w:ind w:right="-168"/>
              <w:rPr>
                <w:rFonts w:ascii="Times New Roman" w:eastAsia="Times New Roman" w:hAnsi="Times New Roman"/>
                <w:sz w:val="15"/>
                <w:szCs w:val="15"/>
              </w:rPr>
            </w:pPr>
            <w:r w:rsidRPr="00245E91">
              <w:rPr>
                <w:rFonts w:ascii="Times New Roman" w:hAnsi="Times New Roman"/>
                <w:sz w:val="15"/>
                <w:szCs w:val="15"/>
              </w:rPr>
              <w:t>(0.76)</w:t>
            </w:r>
          </w:p>
        </w:tc>
        <w:tc>
          <w:tcPr>
            <w:tcW w:w="965" w:type="dxa"/>
            <w:tcBorders>
              <w:top w:val="nil"/>
              <w:left w:val="nil"/>
              <w:bottom w:val="nil"/>
              <w:right w:val="nil"/>
            </w:tcBorders>
          </w:tcPr>
          <w:p w14:paraId="3E131D10" w14:textId="77777777" w:rsidR="00533393" w:rsidRPr="00245E91" w:rsidRDefault="00533393" w:rsidP="00672311">
            <w:pPr>
              <w:spacing w:after="0" w:line="240" w:lineRule="auto"/>
              <w:ind w:left="-24"/>
              <w:rPr>
                <w:rFonts w:ascii="Times New Roman" w:hAnsi="Times New Roman"/>
                <w:sz w:val="15"/>
                <w:szCs w:val="15"/>
              </w:rPr>
            </w:pPr>
            <w:r w:rsidRPr="00245E91">
              <w:rPr>
                <w:rFonts w:ascii="Times New Roman" w:hAnsi="Times New Roman"/>
                <w:sz w:val="15"/>
                <w:szCs w:val="15"/>
              </w:rPr>
              <w:t>0.038</w:t>
            </w:r>
          </w:p>
          <w:p w14:paraId="7E4ED4DD"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(0.76)</w:t>
            </w:r>
          </w:p>
        </w:tc>
        <w:tc>
          <w:tcPr>
            <w:tcW w:w="901" w:type="dxa"/>
            <w:tcBorders>
              <w:top w:val="nil"/>
              <w:left w:val="nil"/>
              <w:bottom w:val="nil"/>
              <w:right w:val="nil"/>
            </w:tcBorders>
          </w:tcPr>
          <w:p w14:paraId="31490B43" w14:textId="77777777" w:rsidR="00533393" w:rsidRPr="00245E91" w:rsidRDefault="00533393" w:rsidP="00672311">
            <w:pPr>
              <w:spacing w:after="0" w:line="240" w:lineRule="auto"/>
              <w:ind w:left="-114" w:right="-138"/>
              <w:rPr>
                <w:rFonts w:ascii="Times New Roman" w:hAnsi="Times New Roman"/>
                <w:sz w:val="15"/>
                <w:szCs w:val="15"/>
              </w:rPr>
            </w:pPr>
            <w:r w:rsidRPr="00245E91">
              <w:rPr>
                <w:rFonts w:ascii="Times New Roman" w:hAnsi="Times New Roman"/>
                <w:sz w:val="15"/>
                <w:szCs w:val="15"/>
              </w:rPr>
              <w:t>0.027</w:t>
            </w:r>
          </w:p>
          <w:p w14:paraId="5A41CF3F" w14:textId="77777777" w:rsidR="00533393" w:rsidRPr="00245E91" w:rsidRDefault="00533393" w:rsidP="00672311">
            <w:pPr>
              <w:spacing w:after="0" w:line="240" w:lineRule="auto"/>
              <w:ind w:right="-138"/>
              <w:rPr>
                <w:rFonts w:ascii="Times New Roman" w:eastAsia="Times New Roman" w:hAnsi="Times New Roman"/>
                <w:sz w:val="15"/>
                <w:szCs w:val="15"/>
              </w:rPr>
            </w:pPr>
            <w:r w:rsidRPr="00245E91">
              <w:rPr>
                <w:rFonts w:ascii="Times New Roman" w:hAnsi="Times New Roman"/>
                <w:sz w:val="15"/>
                <w:szCs w:val="15"/>
              </w:rPr>
              <w:t>(0.63)</w:t>
            </w:r>
          </w:p>
        </w:tc>
        <w:tc>
          <w:tcPr>
            <w:tcW w:w="972" w:type="dxa"/>
            <w:tcBorders>
              <w:top w:val="nil"/>
              <w:left w:val="nil"/>
              <w:bottom w:val="nil"/>
              <w:right w:val="nil"/>
            </w:tcBorders>
          </w:tcPr>
          <w:p w14:paraId="29B88FC9" w14:textId="77777777" w:rsidR="00533393" w:rsidRPr="00245E91" w:rsidRDefault="00533393" w:rsidP="00672311">
            <w:pPr>
              <w:spacing w:after="0" w:line="240" w:lineRule="auto"/>
              <w:ind w:left="-108" w:right="-104"/>
              <w:rPr>
                <w:rFonts w:ascii="Times New Roman" w:hAnsi="Times New Roman"/>
                <w:sz w:val="15"/>
                <w:szCs w:val="15"/>
              </w:rPr>
            </w:pPr>
            <w:r w:rsidRPr="00245E91">
              <w:rPr>
                <w:rFonts w:ascii="Times New Roman" w:hAnsi="Times New Roman"/>
                <w:sz w:val="15"/>
                <w:szCs w:val="15"/>
              </w:rPr>
              <w:t>0.104</w:t>
            </w:r>
          </w:p>
          <w:p w14:paraId="2870DB14" w14:textId="77777777" w:rsidR="00533393" w:rsidRPr="00245E91" w:rsidRDefault="00533393" w:rsidP="00672311">
            <w:pPr>
              <w:spacing w:after="0" w:line="240" w:lineRule="auto"/>
              <w:ind w:left="-108" w:right="-104"/>
              <w:rPr>
                <w:rFonts w:ascii="Times New Roman" w:eastAsia="Times New Roman" w:hAnsi="Times New Roman"/>
                <w:sz w:val="15"/>
                <w:szCs w:val="15"/>
              </w:rPr>
            </w:pPr>
            <w:r w:rsidRPr="00245E91">
              <w:rPr>
                <w:rFonts w:ascii="Times New Roman" w:hAnsi="Times New Roman"/>
                <w:sz w:val="15"/>
                <w:szCs w:val="15"/>
              </w:rPr>
              <w:t>(2.12**)</w:t>
            </w:r>
          </w:p>
        </w:tc>
      </w:tr>
      <w:tr w:rsidR="00533393" w:rsidRPr="00245E91" w14:paraId="77DB3243" w14:textId="77777777" w:rsidTr="00672311">
        <w:tblPrEx>
          <w:tblBorders>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440" w:type="dxa"/>
            <w:tcBorders>
              <w:top w:val="nil"/>
              <w:left w:val="nil"/>
              <w:bottom w:val="nil"/>
              <w:right w:val="nil"/>
            </w:tcBorders>
          </w:tcPr>
          <w:p w14:paraId="3C26811A" w14:textId="77777777" w:rsidR="00533393" w:rsidRPr="00245E91" w:rsidRDefault="00533393" w:rsidP="00672311">
            <w:pPr>
              <w:spacing w:after="0" w:line="240" w:lineRule="auto"/>
              <w:ind w:right="-104"/>
              <w:rPr>
                <w:rFonts w:ascii="Times New Roman" w:eastAsia="Times New Roman" w:hAnsi="Times New Roman"/>
                <w:sz w:val="15"/>
                <w:szCs w:val="15"/>
              </w:rPr>
            </w:pPr>
            <w:r w:rsidRPr="00245E91">
              <w:rPr>
                <w:rFonts w:ascii="Times New Roman" w:hAnsi="Times New Roman"/>
                <w:sz w:val="15"/>
                <w:szCs w:val="15"/>
              </w:rPr>
              <w:t>MKTSHARE</w:t>
            </w:r>
          </w:p>
        </w:tc>
        <w:tc>
          <w:tcPr>
            <w:tcW w:w="978" w:type="dxa"/>
            <w:gridSpan w:val="2"/>
            <w:tcBorders>
              <w:top w:val="nil"/>
              <w:left w:val="nil"/>
              <w:bottom w:val="nil"/>
              <w:right w:val="nil"/>
            </w:tcBorders>
          </w:tcPr>
          <w:p w14:paraId="2C33897B" w14:textId="77777777" w:rsidR="00533393" w:rsidRPr="00245E91" w:rsidRDefault="00533393" w:rsidP="00672311">
            <w:pPr>
              <w:spacing w:after="0" w:line="240" w:lineRule="auto"/>
              <w:ind w:right="-31"/>
              <w:rPr>
                <w:rFonts w:ascii="Times New Roman" w:hAnsi="Times New Roman"/>
                <w:sz w:val="15"/>
                <w:szCs w:val="15"/>
              </w:rPr>
            </w:pPr>
            <w:r w:rsidRPr="00245E91">
              <w:rPr>
                <w:rFonts w:ascii="Times New Roman" w:hAnsi="Times New Roman"/>
                <w:sz w:val="15"/>
                <w:szCs w:val="15"/>
              </w:rPr>
              <w:t>0.192</w:t>
            </w:r>
          </w:p>
          <w:p w14:paraId="502DEEA7" w14:textId="77777777" w:rsidR="00533393" w:rsidRPr="00245E91" w:rsidRDefault="00533393" w:rsidP="00672311">
            <w:pPr>
              <w:spacing w:after="0" w:line="240" w:lineRule="auto"/>
              <w:ind w:right="-31"/>
              <w:rPr>
                <w:rFonts w:ascii="Times New Roman" w:eastAsia="Times New Roman" w:hAnsi="Times New Roman"/>
                <w:sz w:val="15"/>
                <w:szCs w:val="15"/>
              </w:rPr>
            </w:pPr>
            <w:r w:rsidRPr="00245E91">
              <w:rPr>
                <w:rFonts w:ascii="Times New Roman" w:hAnsi="Times New Roman"/>
                <w:sz w:val="15"/>
                <w:szCs w:val="15"/>
              </w:rPr>
              <w:t>(4.75***)</w:t>
            </w:r>
          </w:p>
        </w:tc>
        <w:tc>
          <w:tcPr>
            <w:tcW w:w="978" w:type="dxa"/>
            <w:tcBorders>
              <w:top w:val="nil"/>
              <w:left w:val="nil"/>
              <w:bottom w:val="nil"/>
              <w:right w:val="nil"/>
            </w:tcBorders>
          </w:tcPr>
          <w:p w14:paraId="0D2954A3" w14:textId="77777777" w:rsidR="00533393" w:rsidRPr="00245E91" w:rsidRDefault="00533393" w:rsidP="00672311">
            <w:pPr>
              <w:spacing w:after="0" w:line="240" w:lineRule="auto"/>
              <w:ind w:left="-100" w:right="-138"/>
              <w:rPr>
                <w:rFonts w:ascii="Times New Roman" w:hAnsi="Times New Roman"/>
                <w:sz w:val="15"/>
                <w:szCs w:val="15"/>
              </w:rPr>
            </w:pPr>
            <w:r w:rsidRPr="00245E91">
              <w:rPr>
                <w:rFonts w:ascii="Times New Roman" w:hAnsi="Times New Roman"/>
                <w:sz w:val="15"/>
                <w:szCs w:val="15"/>
              </w:rPr>
              <w:t>0.204</w:t>
            </w:r>
          </w:p>
          <w:p w14:paraId="05A0AE23" w14:textId="77777777" w:rsidR="00533393" w:rsidRPr="00245E91" w:rsidRDefault="00533393" w:rsidP="00672311">
            <w:pPr>
              <w:spacing w:after="0" w:line="240" w:lineRule="auto"/>
              <w:ind w:left="-100" w:right="-138"/>
              <w:rPr>
                <w:rFonts w:ascii="Times New Roman" w:eastAsia="Times New Roman" w:hAnsi="Times New Roman"/>
                <w:sz w:val="15"/>
                <w:szCs w:val="15"/>
              </w:rPr>
            </w:pPr>
            <w:r w:rsidRPr="00245E91">
              <w:rPr>
                <w:rFonts w:ascii="Times New Roman" w:hAnsi="Times New Roman"/>
                <w:sz w:val="15"/>
                <w:szCs w:val="15"/>
              </w:rPr>
              <w:t>(4.82***)</w:t>
            </w:r>
          </w:p>
        </w:tc>
        <w:tc>
          <w:tcPr>
            <w:tcW w:w="978" w:type="dxa"/>
            <w:tcBorders>
              <w:top w:val="nil"/>
              <w:left w:val="nil"/>
              <w:bottom w:val="nil"/>
              <w:right w:val="nil"/>
            </w:tcBorders>
          </w:tcPr>
          <w:p w14:paraId="00451BAF" w14:textId="77777777" w:rsidR="00533393" w:rsidRPr="00245E91" w:rsidRDefault="00533393" w:rsidP="00672311">
            <w:pPr>
              <w:spacing w:after="0" w:line="240" w:lineRule="auto"/>
              <w:ind w:left="-23" w:right="-52"/>
              <w:rPr>
                <w:rFonts w:ascii="Times New Roman" w:hAnsi="Times New Roman"/>
                <w:sz w:val="15"/>
                <w:szCs w:val="15"/>
              </w:rPr>
            </w:pPr>
            <w:r w:rsidRPr="00245E91">
              <w:rPr>
                <w:rFonts w:ascii="Times New Roman" w:hAnsi="Times New Roman"/>
                <w:sz w:val="15"/>
                <w:szCs w:val="15"/>
              </w:rPr>
              <w:t>0.153</w:t>
            </w:r>
          </w:p>
          <w:p w14:paraId="7643A711" w14:textId="77777777" w:rsidR="00533393" w:rsidRPr="00245E91" w:rsidRDefault="00533393" w:rsidP="00672311">
            <w:pPr>
              <w:spacing w:after="0" w:line="240" w:lineRule="auto"/>
              <w:ind w:right="-52"/>
              <w:rPr>
                <w:rFonts w:ascii="Times New Roman" w:eastAsia="Times New Roman" w:hAnsi="Times New Roman"/>
                <w:sz w:val="15"/>
                <w:szCs w:val="15"/>
              </w:rPr>
            </w:pPr>
            <w:r w:rsidRPr="00245E91">
              <w:rPr>
                <w:rFonts w:ascii="Times New Roman" w:hAnsi="Times New Roman"/>
                <w:sz w:val="15"/>
                <w:szCs w:val="15"/>
              </w:rPr>
              <w:t>(3.14***)</w:t>
            </w:r>
          </w:p>
        </w:tc>
        <w:tc>
          <w:tcPr>
            <w:tcW w:w="978" w:type="dxa"/>
            <w:tcBorders>
              <w:top w:val="nil"/>
              <w:left w:val="nil"/>
              <w:bottom w:val="nil"/>
              <w:right w:val="nil"/>
            </w:tcBorders>
          </w:tcPr>
          <w:p w14:paraId="1C6D349C" w14:textId="77777777" w:rsidR="00533393" w:rsidRPr="00245E91" w:rsidRDefault="00533393" w:rsidP="00672311">
            <w:pPr>
              <w:spacing w:after="0" w:line="240" w:lineRule="auto"/>
              <w:ind w:left="-23" w:right="-159"/>
              <w:rPr>
                <w:rFonts w:ascii="Times New Roman" w:hAnsi="Times New Roman"/>
                <w:sz w:val="15"/>
                <w:szCs w:val="15"/>
              </w:rPr>
            </w:pPr>
            <w:r w:rsidRPr="00245E91">
              <w:rPr>
                <w:rFonts w:ascii="Times New Roman" w:hAnsi="Times New Roman"/>
                <w:sz w:val="15"/>
                <w:szCs w:val="15"/>
              </w:rPr>
              <w:t>0.153</w:t>
            </w:r>
          </w:p>
          <w:p w14:paraId="24880915" w14:textId="77777777" w:rsidR="00533393" w:rsidRPr="00245E91" w:rsidRDefault="00533393" w:rsidP="00672311">
            <w:pPr>
              <w:spacing w:after="0" w:line="240" w:lineRule="auto"/>
              <w:ind w:right="-159"/>
              <w:rPr>
                <w:rFonts w:ascii="Times New Roman" w:eastAsia="Times New Roman" w:hAnsi="Times New Roman"/>
                <w:sz w:val="15"/>
                <w:szCs w:val="15"/>
              </w:rPr>
            </w:pPr>
            <w:r w:rsidRPr="00245E91">
              <w:rPr>
                <w:rFonts w:ascii="Times New Roman" w:hAnsi="Times New Roman"/>
                <w:sz w:val="15"/>
                <w:szCs w:val="15"/>
              </w:rPr>
              <w:t>(3.14***)</w:t>
            </w:r>
          </w:p>
        </w:tc>
        <w:tc>
          <w:tcPr>
            <w:tcW w:w="858" w:type="dxa"/>
            <w:tcBorders>
              <w:top w:val="nil"/>
              <w:left w:val="nil"/>
              <w:bottom w:val="nil"/>
              <w:right w:val="nil"/>
            </w:tcBorders>
          </w:tcPr>
          <w:p w14:paraId="11D13E41" w14:textId="77777777" w:rsidR="00533393" w:rsidRPr="00245E91" w:rsidRDefault="00533393" w:rsidP="00672311">
            <w:pPr>
              <w:spacing w:after="0" w:line="240" w:lineRule="auto"/>
              <w:ind w:left="-62" w:right="-73"/>
              <w:rPr>
                <w:rFonts w:ascii="Times New Roman" w:hAnsi="Times New Roman"/>
                <w:sz w:val="15"/>
                <w:szCs w:val="15"/>
              </w:rPr>
            </w:pPr>
            <w:r w:rsidRPr="00245E91">
              <w:rPr>
                <w:rFonts w:ascii="Times New Roman" w:hAnsi="Times New Roman"/>
                <w:sz w:val="15"/>
                <w:szCs w:val="15"/>
              </w:rPr>
              <w:t>0.121</w:t>
            </w:r>
          </w:p>
          <w:p w14:paraId="234DEC00" w14:textId="77777777" w:rsidR="00533393" w:rsidRPr="00245E91" w:rsidRDefault="00533393" w:rsidP="00672311">
            <w:pPr>
              <w:spacing w:after="0" w:line="240" w:lineRule="auto"/>
              <w:ind w:left="-62" w:right="-73"/>
              <w:rPr>
                <w:rFonts w:ascii="Times New Roman" w:eastAsia="Times New Roman" w:hAnsi="Times New Roman"/>
                <w:sz w:val="15"/>
                <w:szCs w:val="15"/>
              </w:rPr>
            </w:pPr>
            <w:r w:rsidRPr="00245E91">
              <w:rPr>
                <w:rFonts w:ascii="Times New Roman" w:hAnsi="Times New Roman"/>
                <w:sz w:val="15"/>
                <w:szCs w:val="15"/>
              </w:rPr>
              <w:t>(2.87***)</w:t>
            </w:r>
          </w:p>
        </w:tc>
        <w:tc>
          <w:tcPr>
            <w:tcW w:w="990" w:type="dxa"/>
            <w:tcBorders>
              <w:top w:val="nil"/>
              <w:left w:val="nil"/>
              <w:bottom w:val="nil"/>
              <w:right w:val="single" w:sz="4" w:space="0" w:color="auto"/>
            </w:tcBorders>
          </w:tcPr>
          <w:p w14:paraId="7F63922A" w14:textId="77777777" w:rsidR="00533393" w:rsidRPr="00245E91" w:rsidRDefault="00533393" w:rsidP="00672311">
            <w:pPr>
              <w:spacing w:after="0" w:line="240" w:lineRule="auto"/>
              <w:ind w:left="-23" w:right="-106"/>
              <w:rPr>
                <w:rFonts w:ascii="Times New Roman" w:hAnsi="Times New Roman"/>
                <w:sz w:val="15"/>
                <w:szCs w:val="15"/>
              </w:rPr>
            </w:pPr>
            <w:r w:rsidRPr="00245E91">
              <w:rPr>
                <w:rFonts w:ascii="Times New Roman" w:hAnsi="Times New Roman"/>
                <w:sz w:val="15"/>
                <w:szCs w:val="15"/>
              </w:rPr>
              <w:t>0.110</w:t>
            </w:r>
          </w:p>
          <w:p w14:paraId="29EB511E"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(2.80***)</w:t>
            </w:r>
          </w:p>
        </w:tc>
        <w:tc>
          <w:tcPr>
            <w:tcW w:w="968" w:type="dxa"/>
            <w:tcBorders>
              <w:top w:val="nil"/>
              <w:left w:val="single" w:sz="4" w:space="0" w:color="auto"/>
              <w:bottom w:val="nil"/>
              <w:right w:val="nil"/>
            </w:tcBorders>
          </w:tcPr>
          <w:p w14:paraId="4393A91D" w14:textId="77777777" w:rsidR="00533393" w:rsidRPr="00245E91" w:rsidRDefault="00533393" w:rsidP="00672311">
            <w:pPr>
              <w:spacing w:after="0" w:line="240" w:lineRule="auto"/>
              <w:ind w:left="-23" w:right="-61"/>
              <w:rPr>
                <w:rFonts w:ascii="Times New Roman" w:hAnsi="Times New Roman"/>
                <w:sz w:val="15"/>
                <w:szCs w:val="15"/>
              </w:rPr>
            </w:pPr>
            <w:r w:rsidRPr="00245E91">
              <w:rPr>
                <w:rFonts w:ascii="Times New Roman" w:hAnsi="Times New Roman"/>
                <w:sz w:val="15"/>
                <w:szCs w:val="15"/>
              </w:rPr>
              <w:t>0.175</w:t>
            </w:r>
          </w:p>
          <w:p w14:paraId="12CBA6BD"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(4.49***)</w:t>
            </w:r>
          </w:p>
        </w:tc>
        <w:tc>
          <w:tcPr>
            <w:tcW w:w="971" w:type="dxa"/>
            <w:tcBorders>
              <w:top w:val="nil"/>
              <w:left w:val="nil"/>
              <w:bottom w:val="nil"/>
              <w:right w:val="nil"/>
            </w:tcBorders>
          </w:tcPr>
          <w:p w14:paraId="29C85509" w14:textId="77777777" w:rsidR="00533393" w:rsidRPr="00245E91" w:rsidRDefault="00533393" w:rsidP="00672311">
            <w:pPr>
              <w:spacing w:after="0" w:line="240" w:lineRule="auto"/>
              <w:ind w:left="-87" w:right="-151"/>
              <w:rPr>
                <w:rFonts w:ascii="Times New Roman" w:hAnsi="Times New Roman"/>
                <w:sz w:val="15"/>
                <w:szCs w:val="15"/>
              </w:rPr>
            </w:pPr>
            <w:r w:rsidRPr="00245E91">
              <w:rPr>
                <w:rFonts w:ascii="Times New Roman" w:hAnsi="Times New Roman"/>
                <w:sz w:val="15"/>
                <w:szCs w:val="15"/>
              </w:rPr>
              <w:t>0.183</w:t>
            </w:r>
          </w:p>
          <w:p w14:paraId="057312D7" w14:textId="77777777" w:rsidR="00533393" w:rsidRPr="00245E91" w:rsidRDefault="00533393" w:rsidP="00672311">
            <w:pPr>
              <w:spacing w:after="0" w:line="240" w:lineRule="auto"/>
              <w:ind w:left="-87" w:right="-151"/>
              <w:rPr>
                <w:rFonts w:ascii="Times New Roman" w:eastAsia="Times New Roman" w:hAnsi="Times New Roman"/>
                <w:sz w:val="15"/>
                <w:szCs w:val="15"/>
              </w:rPr>
            </w:pPr>
            <w:r w:rsidRPr="00245E91">
              <w:rPr>
                <w:rFonts w:ascii="Times New Roman" w:hAnsi="Times New Roman"/>
                <w:sz w:val="15"/>
                <w:szCs w:val="15"/>
              </w:rPr>
              <w:t>(4.40***)</w:t>
            </w:r>
          </w:p>
        </w:tc>
        <w:tc>
          <w:tcPr>
            <w:tcW w:w="965" w:type="dxa"/>
            <w:tcBorders>
              <w:top w:val="nil"/>
              <w:left w:val="nil"/>
              <w:bottom w:val="nil"/>
              <w:right w:val="nil"/>
            </w:tcBorders>
          </w:tcPr>
          <w:p w14:paraId="2AA66A0B" w14:textId="77777777" w:rsidR="00533393" w:rsidRPr="00245E91" w:rsidRDefault="00533393" w:rsidP="00672311">
            <w:pPr>
              <w:spacing w:after="0" w:line="240" w:lineRule="auto"/>
              <w:ind w:left="-38" w:right="-168"/>
              <w:rPr>
                <w:rFonts w:ascii="Times New Roman" w:hAnsi="Times New Roman"/>
                <w:sz w:val="15"/>
                <w:szCs w:val="15"/>
              </w:rPr>
            </w:pPr>
            <w:r w:rsidRPr="00245E91">
              <w:rPr>
                <w:rFonts w:ascii="Times New Roman" w:hAnsi="Times New Roman"/>
                <w:sz w:val="15"/>
                <w:szCs w:val="15"/>
              </w:rPr>
              <w:t>0.145</w:t>
            </w:r>
          </w:p>
          <w:p w14:paraId="4D3EFAB7" w14:textId="77777777" w:rsidR="00533393" w:rsidRPr="00245E91" w:rsidRDefault="00533393" w:rsidP="00672311">
            <w:pPr>
              <w:spacing w:after="0" w:line="240" w:lineRule="auto"/>
              <w:ind w:right="-168"/>
              <w:rPr>
                <w:rFonts w:ascii="Times New Roman" w:eastAsia="Times New Roman" w:hAnsi="Times New Roman"/>
                <w:sz w:val="15"/>
                <w:szCs w:val="15"/>
              </w:rPr>
            </w:pPr>
            <w:r w:rsidRPr="00245E91">
              <w:rPr>
                <w:rFonts w:ascii="Times New Roman" w:hAnsi="Times New Roman"/>
                <w:sz w:val="15"/>
                <w:szCs w:val="15"/>
              </w:rPr>
              <w:t>(3.14***)</w:t>
            </w:r>
          </w:p>
        </w:tc>
        <w:tc>
          <w:tcPr>
            <w:tcW w:w="965" w:type="dxa"/>
            <w:tcBorders>
              <w:top w:val="nil"/>
              <w:left w:val="nil"/>
              <w:bottom w:val="nil"/>
              <w:right w:val="nil"/>
            </w:tcBorders>
          </w:tcPr>
          <w:p w14:paraId="04252CB4" w14:textId="77777777" w:rsidR="00533393" w:rsidRPr="00245E91" w:rsidRDefault="00533393" w:rsidP="00672311">
            <w:pPr>
              <w:spacing w:after="0" w:line="240" w:lineRule="auto"/>
              <w:ind w:left="-24"/>
              <w:rPr>
                <w:rFonts w:ascii="Times New Roman" w:hAnsi="Times New Roman"/>
                <w:sz w:val="15"/>
                <w:szCs w:val="15"/>
              </w:rPr>
            </w:pPr>
            <w:r w:rsidRPr="00245E91">
              <w:rPr>
                <w:rFonts w:ascii="Times New Roman" w:hAnsi="Times New Roman"/>
                <w:sz w:val="15"/>
                <w:szCs w:val="15"/>
              </w:rPr>
              <w:t>0.145</w:t>
            </w:r>
          </w:p>
          <w:p w14:paraId="2130B049"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(3.14***)</w:t>
            </w:r>
          </w:p>
        </w:tc>
        <w:tc>
          <w:tcPr>
            <w:tcW w:w="901" w:type="dxa"/>
            <w:tcBorders>
              <w:top w:val="nil"/>
              <w:left w:val="nil"/>
              <w:bottom w:val="nil"/>
              <w:right w:val="nil"/>
            </w:tcBorders>
          </w:tcPr>
          <w:p w14:paraId="63E7B184" w14:textId="77777777" w:rsidR="00533393" w:rsidRPr="00245E91" w:rsidRDefault="00533393" w:rsidP="00672311">
            <w:pPr>
              <w:spacing w:after="0" w:line="240" w:lineRule="auto"/>
              <w:ind w:left="-114" w:right="-138"/>
              <w:rPr>
                <w:rFonts w:ascii="Times New Roman" w:hAnsi="Times New Roman"/>
                <w:sz w:val="15"/>
                <w:szCs w:val="15"/>
              </w:rPr>
            </w:pPr>
            <w:r w:rsidRPr="00245E91">
              <w:rPr>
                <w:rFonts w:ascii="Times New Roman" w:hAnsi="Times New Roman"/>
                <w:sz w:val="15"/>
                <w:szCs w:val="15"/>
              </w:rPr>
              <w:t>0.123</w:t>
            </w:r>
          </w:p>
          <w:p w14:paraId="4A91FC5B" w14:textId="77777777" w:rsidR="00533393" w:rsidRPr="00245E91" w:rsidRDefault="00533393" w:rsidP="00672311">
            <w:pPr>
              <w:spacing w:after="0" w:line="240" w:lineRule="auto"/>
              <w:ind w:right="-138"/>
              <w:rPr>
                <w:rFonts w:ascii="Times New Roman" w:eastAsia="Times New Roman" w:hAnsi="Times New Roman"/>
                <w:sz w:val="15"/>
                <w:szCs w:val="15"/>
              </w:rPr>
            </w:pPr>
            <w:r w:rsidRPr="00245E91">
              <w:rPr>
                <w:rFonts w:ascii="Times New Roman" w:hAnsi="Times New Roman"/>
                <w:sz w:val="15"/>
                <w:szCs w:val="15"/>
              </w:rPr>
              <w:t>(3.12***)</w:t>
            </w:r>
          </w:p>
        </w:tc>
        <w:tc>
          <w:tcPr>
            <w:tcW w:w="972" w:type="dxa"/>
            <w:tcBorders>
              <w:top w:val="nil"/>
              <w:left w:val="nil"/>
              <w:bottom w:val="nil"/>
              <w:right w:val="nil"/>
            </w:tcBorders>
          </w:tcPr>
          <w:p w14:paraId="5D8AFC02" w14:textId="77777777" w:rsidR="00533393" w:rsidRPr="00245E91" w:rsidRDefault="00533393" w:rsidP="00672311">
            <w:pPr>
              <w:spacing w:after="0" w:line="240" w:lineRule="auto"/>
              <w:ind w:left="-108" w:right="-104"/>
              <w:rPr>
                <w:rFonts w:ascii="Times New Roman" w:hAnsi="Times New Roman"/>
                <w:sz w:val="15"/>
                <w:szCs w:val="15"/>
              </w:rPr>
            </w:pPr>
            <w:r w:rsidRPr="00245E91">
              <w:rPr>
                <w:rFonts w:ascii="Times New Roman" w:hAnsi="Times New Roman"/>
                <w:sz w:val="15"/>
                <w:szCs w:val="15"/>
              </w:rPr>
              <w:t>0.124</w:t>
            </w:r>
          </w:p>
          <w:p w14:paraId="37F2C779" w14:textId="77777777" w:rsidR="00533393" w:rsidRPr="00245E91" w:rsidRDefault="00533393" w:rsidP="00672311">
            <w:pPr>
              <w:spacing w:after="0" w:line="240" w:lineRule="auto"/>
              <w:ind w:left="-108" w:right="-104"/>
              <w:rPr>
                <w:rFonts w:ascii="Times New Roman" w:eastAsia="Times New Roman" w:hAnsi="Times New Roman"/>
                <w:sz w:val="15"/>
                <w:szCs w:val="15"/>
              </w:rPr>
            </w:pPr>
            <w:r w:rsidRPr="00245E91">
              <w:rPr>
                <w:rFonts w:ascii="Times New Roman" w:hAnsi="Times New Roman"/>
                <w:sz w:val="15"/>
                <w:szCs w:val="15"/>
              </w:rPr>
              <w:t>(3.37***)</w:t>
            </w:r>
          </w:p>
        </w:tc>
      </w:tr>
      <w:tr w:rsidR="00533393" w:rsidRPr="00245E91" w14:paraId="69182FC6" w14:textId="77777777" w:rsidTr="00672311">
        <w:tblPrEx>
          <w:tblBorders>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440" w:type="dxa"/>
            <w:tcBorders>
              <w:top w:val="nil"/>
              <w:left w:val="nil"/>
              <w:bottom w:val="nil"/>
              <w:right w:val="nil"/>
            </w:tcBorders>
          </w:tcPr>
          <w:p w14:paraId="2F243538" w14:textId="77777777" w:rsidR="00533393" w:rsidRPr="00245E91" w:rsidRDefault="00533393" w:rsidP="00672311">
            <w:pPr>
              <w:spacing w:after="0" w:line="240" w:lineRule="auto"/>
              <w:ind w:right="-104"/>
              <w:rPr>
                <w:rFonts w:ascii="Times New Roman" w:eastAsia="Times New Roman" w:hAnsi="Times New Roman"/>
                <w:sz w:val="15"/>
                <w:szCs w:val="15"/>
              </w:rPr>
            </w:pPr>
            <w:r w:rsidRPr="00245E91">
              <w:rPr>
                <w:rFonts w:ascii="Times New Roman" w:hAnsi="Times New Roman"/>
                <w:sz w:val="15"/>
                <w:szCs w:val="15"/>
              </w:rPr>
              <w:t>DEBT</w:t>
            </w:r>
          </w:p>
        </w:tc>
        <w:tc>
          <w:tcPr>
            <w:tcW w:w="978" w:type="dxa"/>
            <w:gridSpan w:val="2"/>
            <w:tcBorders>
              <w:top w:val="nil"/>
              <w:left w:val="nil"/>
              <w:bottom w:val="nil"/>
              <w:right w:val="nil"/>
            </w:tcBorders>
          </w:tcPr>
          <w:p w14:paraId="1B1A6902" w14:textId="77777777" w:rsidR="00533393" w:rsidRPr="00245E91" w:rsidRDefault="00533393" w:rsidP="00672311">
            <w:pPr>
              <w:spacing w:after="0" w:line="240" w:lineRule="auto"/>
              <w:ind w:right="-31"/>
              <w:rPr>
                <w:rFonts w:ascii="Times New Roman" w:hAnsi="Times New Roman"/>
                <w:sz w:val="15"/>
                <w:szCs w:val="15"/>
              </w:rPr>
            </w:pPr>
            <w:r w:rsidRPr="00245E91">
              <w:rPr>
                <w:rFonts w:ascii="Times New Roman" w:hAnsi="Times New Roman"/>
                <w:sz w:val="15"/>
                <w:szCs w:val="15"/>
              </w:rPr>
              <w:t>0.167</w:t>
            </w:r>
          </w:p>
          <w:p w14:paraId="5F3B2606" w14:textId="77777777" w:rsidR="00533393" w:rsidRPr="00245E91" w:rsidRDefault="00533393" w:rsidP="00672311">
            <w:pPr>
              <w:spacing w:after="0" w:line="240" w:lineRule="auto"/>
              <w:ind w:right="-31"/>
              <w:rPr>
                <w:rFonts w:ascii="Times New Roman" w:eastAsia="Times New Roman" w:hAnsi="Times New Roman"/>
                <w:sz w:val="15"/>
                <w:szCs w:val="15"/>
              </w:rPr>
            </w:pPr>
            <w:r w:rsidRPr="00245E91">
              <w:rPr>
                <w:rFonts w:ascii="Times New Roman" w:hAnsi="Times New Roman"/>
                <w:sz w:val="15"/>
                <w:szCs w:val="15"/>
              </w:rPr>
              <w:t>(4.19***)</w:t>
            </w:r>
          </w:p>
        </w:tc>
        <w:tc>
          <w:tcPr>
            <w:tcW w:w="978" w:type="dxa"/>
            <w:tcBorders>
              <w:top w:val="nil"/>
              <w:left w:val="nil"/>
              <w:bottom w:val="nil"/>
              <w:right w:val="nil"/>
            </w:tcBorders>
          </w:tcPr>
          <w:p w14:paraId="7B2EAC23" w14:textId="77777777" w:rsidR="00533393" w:rsidRPr="00245E91" w:rsidRDefault="00533393" w:rsidP="00672311">
            <w:pPr>
              <w:spacing w:after="0" w:line="240" w:lineRule="auto"/>
              <w:ind w:left="-100" w:right="-138"/>
              <w:rPr>
                <w:rFonts w:ascii="Times New Roman" w:hAnsi="Times New Roman"/>
                <w:sz w:val="15"/>
                <w:szCs w:val="15"/>
              </w:rPr>
            </w:pPr>
            <w:r w:rsidRPr="00245E91">
              <w:rPr>
                <w:rFonts w:ascii="Times New Roman" w:hAnsi="Times New Roman"/>
                <w:sz w:val="15"/>
                <w:szCs w:val="15"/>
              </w:rPr>
              <w:t>0.175</w:t>
            </w:r>
          </w:p>
          <w:p w14:paraId="488EB380" w14:textId="77777777" w:rsidR="00533393" w:rsidRPr="00245E91" w:rsidRDefault="00533393" w:rsidP="00672311">
            <w:pPr>
              <w:spacing w:after="0" w:line="240" w:lineRule="auto"/>
              <w:ind w:left="-100" w:right="-138"/>
              <w:rPr>
                <w:rFonts w:ascii="Times New Roman" w:eastAsia="Times New Roman" w:hAnsi="Times New Roman"/>
                <w:sz w:val="15"/>
                <w:szCs w:val="15"/>
              </w:rPr>
            </w:pPr>
            <w:r w:rsidRPr="00245E91">
              <w:rPr>
                <w:rFonts w:ascii="Times New Roman" w:hAnsi="Times New Roman"/>
                <w:sz w:val="15"/>
                <w:szCs w:val="15"/>
              </w:rPr>
              <w:t>(4.34***)</w:t>
            </w:r>
          </w:p>
        </w:tc>
        <w:tc>
          <w:tcPr>
            <w:tcW w:w="978" w:type="dxa"/>
            <w:tcBorders>
              <w:top w:val="nil"/>
              <w:left w:val="nil"/>
              <w:bottom w:val="nil"/>
              <w:right w:val="nil"/>
            </w:tcBorders>
          </w:tcPr>
          <w:p w14:paraId="258907D9" w14:textId="77777777" w:rsidR="00533393" w:rsidRPr="00245E91" w:rsidRDefault="00533393" w:rsidP="00672311">
            <w:pPr>
              <w:spacing w:after="0" w:line="240" w:lineRule="auto"/>
              <w:ind w:left="-23" w:right="-52"/>
              <w:rPr>
                <w:rFonts w:ascii="Times New Roman" w:hAnsi="Times New Roman"/>
                <w:sz w:val="15"/>
                <w:szCs w:val="15"/>
              </w:rPr>
            </w:pPr>
            <w:r w:rsidRPr="00245E91">
              <w:rPr>
                <w:rFonts w:ascii="Times New Roman" w:hAnsi="Times New Roman"/>
                <w:sz w:val="15"/>
                <w:szCs w:val="15"/>
              </w:rPr>
              <w:t>0.176</w:t>
            </w:r>
          </w:p>
          <w:p w14:paraId="14FEDB36" w14:textId="77777777" w:rsidR="00533393" w:rsidRPr="00245E91" w:rsidRDefault="00533393" w:rsidP="00672311">
            <w:pPr>
              <w:spacing w:after="0" w:line="240" w:lineRule="auto"/>
              <w:ind w:right="-52"/>
              <w:rPr>
                <w:rFonts w:ascii="Times New Roman" w:eastAsia="Times New Roman" w:hAnsi="Times New Roman"/>
                <w:sz w:val="15"/>
                <w:szCs w:val="15"/>
              </w:rPr>
            </w:pPr>
            <w:r w:rsidRPr="00245E91">
              <w:rPr>
                <w:rFonts w:ascii="Times New Roman" w:hAnsi="Times New Roman"/>
                <w:sz w:val="15"/>
                <w:szCs w:val="15"/>
              </w:rPr>
              <w:t>(4.23***)</w:t>
            </w:r>
          </w:p>
        </w:tc>
        <w:tc>
          <w:tcPr>
            <w:tcW w:w="978" w:type="dxa"/>
            <w:tcBorders>
              <w:top w:val="nil"/>
              <w:left w:val="nil"/>
              <w:bottom w:val="nil"/>
              <w:right w:val="nil"/>
            </w:tcBorders>
          </w:tcPr>
          <w:p w14:paraId="102C761F" w14:textId="77777777" w:rsidR="00533393" w:rsidRPr="00245E91" w:rsidRDefault="00533393" w:rsidP="00672311">
            <w:pPr>
              <w:spacing w:after="0" w:line="240" w:lineRule="auto"/>
              <w:ind w:left="-23" w:right="-159"/>
              <w:rPr>
                <w:rFonts w:ascii="Times New Roman" w:hAnsi="Times New Roman"/>
                <w:sz w:val="15"/>
                <w:szCs w:val="15"/>
              </w:rPr>
            </w:pPr>
            <w:r w:rsidRPr="00245E91">
              <w:rPr>
                <w:rFonts w:ascii="Times New Roman" w:hAnsi="Times New Roman"/>
                <w:sz w:val="15"/>
                <w:szCs w:val="15"/>
              </w:rPr>
              <w:t>0.176</w:t>
            </w:r>
          </w:p>
          <w:p w14:paraId="14BC2C07" w14:textId="77777777" w:rsidR="00533393" w:rsidRPr="00245E91" w:rsidRDefault="00533393" w:rsidP="00672311">
            <w:pPr>
              <w:spacing w:after="0" w:line="240" w:lineRule="auto"/>
              <w:ind w:right="-159"/>
              <w:rPr>
                <w:rFonts w:ascii="Times New Roman" w:eastAsia="Times New Roman" w:hAnsi="Times New Roman"/>
                <w:sz w:val="15"/>
                <w:szCs w:val="15"/>
              </w:rPr>
            </w:pPr>
            <w:r w:rsidRPr="00245E91">
              <w:rPr>
                <w:rFonts w:ascii="Times New Roman" w:hAnsi="Times New Roman"/>
                <w:sz w:val="15"/>
                <w:szCs w:val="15"/>
              </w:rPr>
              <w:t>(4.23***)</w:t>
            </w:r>
          </w:p>
        </w:tc>
        <w:tc>
          <w:tcPr>
            <w:tcW w:w="858" w:type="dxa"/>
            <w:tcBorders>
              <w:top w:val="nil"/>
              <w:left w:val="nil"/>
              <w:bottom w:val="nil"/>
              <w:right w:val="nil"/>
            </w:tcBorders>
          </w:tcPr>
          <w:p w14:paraId="11F1B4D4" w14:textId="77777777" w:rsidR="00533393" w:rsidRPr="00245E91" w:rsidRDefault="00533393" w:rsidP="00672311">
            <w:pPr>
              <w:spacing w:after="0" w:line="240" w:lineRule="auto"/>
              <w:ind w:left="-62" w:right="-73"/>
              <w:rPr>
                <w:rFonts w:ascii="Times New Roman" w:hAnsi="Times New Roman"/>
                <w:sz w:val="15"/>
                <w:szCs w:val="15"/>
              </w:rPr>
            </w:pPr>
            <w:r w:rsidRPr="00245E91">
              <w:rPr>
                <w:rFonts w:ascii="Times New Roman" w:hAnsi="Times New Roman"/>
                <w:sz w:val="15"/>
                <w:szCs w:val="15"/>
              </w:rPr>
              <w:t>0.196</w:t>
            </w:r>
          </w:p>
          <w:p w14:paraId="00B2E9E8" w14:textId="77777777" w:rsidR="00533393" w:rsidRPr="00245E91" w:rsidRDefault="00533393" w:rsidP="00672311">
            <w:pPr>
              <w:spacing w:after="0" w:line="240" w:lineRule="auto"/>
              <w:ind w:left="-62" w:right="-73"/>
              <w:rPr>
                <w:rFonts w:ascii="Times New Roman" w:eastAsia="Times New Roman" w:hAnsi="Times New Roman"/>
                <w:sz w:val="15"/>
                <w:szCs w:val="15"/>
              </w:rPr>
            </w:pPr>
            <w:r w:rsidRPr="00245E91">
              <w:rPr>
                <w:rFonts w:ascii="Times New Roman" w:hAnsi="Times New Roman"/>
                <w:sz w:val="15"/>
                <w:szCs w:val="15"/>
              </w:rPr>
              <w:t>(5.08***)</w:t>
            </w:r>
          </w:p>
        </w:tc>
        <w:tc>
          <w:tcPr>
            <w:tcW w:w="990" w:type="dxa"/>
            <w:tcBorders>
              <w:top w:val="nil"/>
              <w:left w:val="nil"/>
              <w:bottom w:val="nil"/>
              <w:right w:val="single" w:sz="4" w:space="0" w:color="auto"/>
            </w:tcBorders>
          </w:tcPr>
          <w:p w14:paraId="6AC4284B" w14:textId="77777777" w:rsidR="00533393" w:rsidRPr="00245E91" w:rsidRDefault="00533393" w:rsidP="00672311">
            <w:pPr>
              <w:spacing w:after="0" w:line="240" w:lineRule="auto"/>
              <w:ind w:left="-23" w:right="-106"/>
              <w:rPr>
                <w:rFonts w:ascii="Times New Roman" w:hAnsi="Times New Roman"/>
                <w:sz w:val="15"/>
                <w:szCs w:val="15"/>
              </w:rPr>
            </w:pPr>
            <w:r w:rsidRPr="00245E91">
              <w:rPr>
                <w:rFonts w:ascii="Times New Roman" w:hAnsi="Times New Roman"/>
                <w:sz w:val="15"/>
                <w:szCs w:val="15"/>
              </w:rPr>
              <w:t>0.256</w:t>
            </w:r>
          </w:p>
          <w:p w14:paraId="024ABC3D"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(5.96***)</w:t>
            </w:r>
          </w:p>
        </w:tc>
        <w:tc>
          <w:tcPr>
            <w:tcW w:w="968" w:type="dxa"/>
            <w:tcBorders>
              <w:top w:val="nil"/>
              <w:left w:val="single" w:sz="4" w:space="0" w:color="auto"/>
              <w:bottom w:val="nil"/>
              <w:right w:val="nil"/>
            </w:tcBorders>
          </w:tcPr>
          <w:p w14:paraId="082419E6" w14:textId="77777777" w:rsidR="00533393" w:rsidRPr="00245E91" w:rsidRDefault="00533393" w:rsidP="00672311">
            <w:pPr>
              <w:spacing w:after="0" w:line="240" w:lineRule="auto"/>
              <w:ind w:left="-23" w:right="-61"/>
              <w:rPr>
                <w:rFonts w:ascii="Times New Roman" w:hAnsi="Times New Roman"/>
                <w:sz w:val="15"/>
                <w:szCs w:val="15"/>
              </w:rPr>
            </w:pPr>
            <w:r w:rsidRPr="00245E91">
              <w:rPr>
                <w:rFonts w:ascii="Times New Roman" w:hAnsi="Times New Roman"/>
                <w:sz w:val="15"/>
                <w:szCs w:val="15"/>
              </w:rPr>
              <w:t>0.184</w:t>
            </w:r>
          </w:p>
          <w:p w14:paraId="6C0246B3"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(4.79***)</w:t>
            </w:r>
          </w:p>
        </w:tc>
        <w:tc>
          <w:tcPr>
            <w:tcW w:w="971" w:type="dxa"/>
            <w:tcBorders>
              <w:top w:val="nil"/>
              <w:left w:val="nil"/>
              <w:bottom w:val="nil"/>
              <w:right w:val="nil"/>
            </w:tcBorders>
          </w:tcPr>
          <w:p w14:paraId="2E5F3010" w14:textId="77777777" w:rsidR="00533393" w:rsidRPr="00245E91" w:rsidRDefault="00533393" w:rsidP="00672311">
            <w:pPr>
              <w:spacing w:after="0" w:line="240" w:lineRule="auto"/>
              <w:ind w:left="-87" w:right="-151"/>
              <w:rPr>
                <w:rFonts w:ascii="Times New Roman" w:hAnsi="Times New Roman"/>
                <w:sz w:val="15"/>
                <w:szCs w:val="15"/>
              </w:rPr>
            </w:pPr>
            <w:r w:rsidRPr="00245E91">
              <w:rPr>
                <w:rFonts w:ascii="Times New Roman" w:hAnsi="Times New Roman"/>
                <w:sz w:val="15"/>
                <w:szCs w:val="15"/>
              </w:rPr>
              <w:t>0.202</w:t>
            </w:r>
          </w:p>
          <w:p w14:paraId="14C3A7DD" w14:textId="77777777" w:rsidR="00533393" w:rsidRPr="00245E91" w:rsidRDefault="00533393" w:rsidP="00672311">
            <w:pPr>
              <w:spacing w:after="0" w:line="240" w:lineRule="auto"/>
              <w:ind w:left="-87" w:right="-151"/>
              <w:rPr>
                <w:rFonts w:ascii="Times New Roman" w:eastAsia="Times New Roman" w:hAnsi="Times New Roman"/>
                <w:sz w:val="15"/>
                <w:szCs w:val="15"/>
              </w:rPr>
            </w:pPr>
            <w:r w:rsidRPr="00245E91">
              <w:rPr>
                <w:rFonts w:ascii="Times New Roman" w:hAnsi="Times New Roman"/>
                <w:sz w:val="15"/>
                <w:szCs w:val="15"/>
              </w:rPr>
              <w:t>(5.14***)</w:t>
            </w:r>
          </w:p>
        </w:tc>
        <w:tc>
          <w:tcPr>
            <w:tcW w:w="965" w:type="dxa"/>
            <w:tcBorders>
              <w:top w:val="nil"/>
              <w:left w:val="nil"/>
              <w:bottom w:val="nil"/>
              <w:right w:val="nil"/>
            </w:tcBorders>
          </w:tcPr>
          <w:p w14:paraId="310B78CA" w14:textId="77777777" w:rsidR="00533393" w:rsidRPr="00245E91" w:rsidRDefault="00533393" w:rsidP="00672311">
            <w:pPr>
              <w:spacing w:after="0" w:line="240" w:lineRule="auto"/>
              <w:ind w:left="-38" w:right="-168"/>
              <w:rPr>
                <w:rFonts w:ascii="Times New Roman" w:hAnsi="Times New Roman"/>
                <w:sz w:val="15"/>
                <w:szCs w:val="15"/>
              </w:rPr>
            </w:pPr>
            <w:r w:rsidRPr="00245E91">
              <w:rPr>
                <w:rFonts w:ascii="Times New Roman" w:hAnsi="Times New Roman"/>
                <w:sz w:val="15"/>
                <w:szCs w:val="15"/>
              </w:rPr>
              <w:t>0.186</w:t>
            </w:r>
          </w:p>
          <w:p w14:paraId="2025BD5E" w14:textId="77777777" w:rsidR="00533393" w:rsidRPr="00245E91" w:rsidRDefault="00533393" w:rsidP="00672311">
            <w:pPr>
              <w:spacing w:after="0" w:line="240" w:lineRule="auto"/>
              <w:ind w:right="-168"/>
              <w:rPr>
                <w:rFonts w:ascii="Times New Roman" w:eastAsia="Times New Roman" w:hAnsi="Times New Roman"/>
                <w:sz w:val="15"/>
                <w:szCs w:val="15"/>
              </w:rPr>
            </w:pPr>
            <w:r w:rsidRPr="00245E91">
              <w:rPr>
                <w:rFonts w:ascii="Times New Roman" w:hAnsi="Times New Roman"/>
                <w:sz w:val="15"/>
                <w:szCs w:val="15"/>
              </w:rPr>
              <w:t>(4.48***)</w:t>
            </w:r>
          </w:p>
        </w:tc>
        <w:tc>
          <w:tcPr>
            <w:tcW w:w="965" w:type="dxa"/>
            <w:tcBorders>
              <w:top w:val="nil"/>
              <w:left w:val="nil"/>
              <w:bottom w:val="nil"/>
              <w:right w:val="nil"/>
            </w:tcBorders>
          </w:tcPr>
          <w:p w14:paraId="62DE8CC6" w14:textId="77777777" w:rsidR="00533393" w:rsidRPr="00245E91" w:rsidRDefault="00533393" w:rsidP="00672311">
            <w:pPr>
              <w:spacing w:after="0" w:line="240" w:lineRule="auto"/>
              <w:ind w:left="-24"/>
              <w:rPr>
                <w:rFonts w:ascii="Times New Roman" w:hAnsi="Times New Roman"/>
                <w:sz w:val="15"/>
                <w:szCs w:val="15"/>
              </w:rPr>
            </w:pPr>
            <w:r w:rsidRPr="00245E91">
              <w:rPr>
                <w:rFonts w:ascii="Times New Roman" w:hAnsi="Times New Roman"/>
                <w:sz w:val="15"/>
                <w:szCs w:val="15"/>
              </w:rPr>
              <w:t>0.186</w:t>
            </w:r>
          </w:p>
          <w:p w14:paraId="0ECB68AA"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(4.48***)</w:t>
            </w:r>
          </w:p>
        </w:tc>
        <w:tc>
          <w:tcPr>
            <w:tcW w:w="901" w:type="dxa"/>
            <w:tcBorders>
              <w:top w:val="nil"/>
              <w:left w:val="nil"/>
              <w:bottom w:val="nil"/>
              <w:right w:val="nil"/>
            </w:tcBorders>
          </w:tcPr>
          <w:p w14:paraId="2C7B0857" w14:textId="77777777" w:rsidR="00533393" w:rsidRPr="00245E91" w:rsidRDefault="00533393" w:rsidP="00672311">
            <w:pPr>
              <w:spacing w:after="0" w:line="240" w:lineRule="auto"/>
              <w:ind w:left="-114" w:right="-138"/>
              <w:rPr>
                <w:rFonts w:ascii="Times New Roman" w:hAnsi="Times New Roman"/>
                <w:sz w:val="15"/>
                <w:szCs w:val="15"/>
              </w:rPr>
            </w:pPr>
            <w:r w:rsidRPr="00245E91">
              <w:rPr>
                <w:rFonts w:ascii="Times New Roman" w:hAnsi="Times New Roman"/>
                <w:sz w:val="15"/>
                <w:szCs w:val="15"/>
              </w:rPr>
              <w:t>0.233</w:t>
            </w:r>
          </w:p>
          <w:p w14:paraId="06FBCF7F" w14:textId="77777777" w:rsidR="00533393" w:rsidRPr="00245E91" w:rsidRDefault="00533393" w:rsidP="00672311">
            <w:pPr>
              <w:spacing w:after="0" w:line="240" w:lineRule="auto"/>
              <w:ind w:right="-138"/>
              <w:rPr>
                <w:rFonts w:ascii="Times New Roman" w:eastAsia="Times New Roman" w:hAnsi="Times New Roman"/>
                <w:sz w:val="15"/>
                <w:szCs w:val="15"/>
              </w:rPr>
            </w:pPr>
            <w:r w:rsidRPr="00245E91">
              <w:rPr>
                <w:rFonts w:ascii="Times New Roman" w:hAnsi="Times New Roman"/>
                <w:sz w:val="15"/>
                <w:szCs w:val="15"/>
              </w:rPr>
              <w:t>(6.11***)</w:t>
            </w:r>
          </w:p>
        </w:tc>
        <w:tc>
          <w:tcPr>
            <w:tcW w:w="972" w:type="dxa"/>
            <w:tcBorders>
              <w:top w:val="nil"/>
              <w:left w:val="nil"/>
              <w:bottom w:val="nil"/>
              <w:right w:val="nil"/>
            </w:tcBorders>
          </w:tcPr>
          <w:p w14:paraId="0553DF1B" w14:textId="77777777" w:rsidR="00533393" w:rsidRPr="00245E91" w:rsidRDefault="00533393" w:rsidP="00672311">
            <w:pPr>
              <w:spacing w:after="0" w:line="240" w:lineRule="auto"/>
              <w:ind w:left="-108" w:right="-104"/>
              <w:rPr>
                <w:rFonts w:ascii="Times New Roman" w:hAnsi="Times New Roman"/>
                <w:sz w:val="15"/>
                <w:szCs w:val="15"/>
              </w:rPr>
            </w:pPr>
            <w:r w:rsidRPr="00245E91">
              <w:rPr>
                <w:rFonts w:ascii="Times New Roman" w:hAnsi="Times New Roman"/>
                <w:sz w:val="15"/>
                <w:szCs w:val="15"/>
              </w:rPr>
              <w:t>0.296</w:t>
            </w:r>
          </w:p>
          <w:p w14:paraId="7DA2C979" w14:textId="77777777" w:rsidR="00533393" w:rsidRPr="00245E91" w:rsidRDefault="00533393" w:rsidP="00672311">
            <w:pPr>
              <w:spacing w:after="0" w:line="240" w:lineRule="auto"/>
              <w:ind w:left="-108" w:right="-104"/>
              <w:rPr>
                <w:rFonts w:ascii="Times New Roman" w:eastAsia="Times New Roman" w:hAnsi="Times New Roman"/>
                <w:sz w:val="15"/>
                <w:szCs w:val="15"/>
              </w:rPr>
            </w:pPr>
            <w:r w:rsidRPr="00245E91">
              <w:rPr>
                <w:rFonts w:ascii="Times New Roman" w:hAnsi="Times New Roman"/>
                <w:sz w:val="15"/>
                <w:szCs w:val="15"/>
              </w:rPr>
              <w:t>(6.92***)</w:t>
            </w:r>
          </w:p>
        </w:tc>
      </w:tr>
      <w:tr w:rsidR="00533393" w:rsidRPr="00245E91" w14:paraId="357C121D" w14:textId="77777777" w:rsidTr="00672311">
        <w:tblPrEx>
          <w:tblBorders>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440" w:type="dxa"/>
            <w:tcBorders>
              <w:top w:val="nil"/>
              <w:left w:val="nil"/>
              <w:bottom w:val="nil"/>
              <w:right w:val="nil"/>
            </w:tcBorders>
          </w:tcPr>
          <w:p w14:paraId="5FEDB2D8" w14:textId="77777777" w:rsidR="00533393" w:rsidRPr="00245E91" w:rsidRDefault="00533393" w:rsidP="00672311">
            <w:pPr>
              <w:spacing w:after="0" w:line="240" w:lineRule="auto"/>
              <w:ind w:right="-104"/>
              <w:rPr>
                <w:rFonts w:ascii="Times New Roman" w:eastAsia="Times New Roman" w:hAnsi="Times New Roman"/>
                <w:sz w:val="15"/>
                <w:szCs w:val="15"/>
              </w:rPr>
            </w:pPr>
            <w:r w:rsidRPr="00245E91">
              <w:rPr>
                <w:rFonts w:ascii="Times New Roman" w:hAnsi="Times New Roman"/>
                <w:sz w:val="15"/>
                <w:szCs w:val="15"/>
              </w:rPr>
              <w:t>NOA</w:t>
            </w:r>
          </w:p>
        </w:tc>
        <w:tc>
          <w:tcPr>
            <w:tcW w:w="978" w:type="dxa"/>
            <w:gridSpan w:val="2"/>
            <w:tcBorders>
              <w:top w:val="nil"/>
              <w:left w:val="nil"/>
              <w:bottom w:val="nil"/>
              <w:right w:val="nil"/>
            </w:tcBorders>
          </w:tcPr>
          <w:p w14:paraId="3CF2E23C" w14:textId="77777777" w:rsidR="00533393" w:rsidRPr="00245E91" w:rsidRDefault="00533393" w:rsidP="00672311">
            <w:pPr>
              <w:spacing w:after="0" w:line="240" w:lineRule="auto"/>
              <w:ind w:right="-31"/>
              <w:rPr>
                <w:rFonts w:ascii="Times New Roman" w:hAnsi="Times New Roman"/>
                <w:sz w:val="15"/>
                <w:szCs w:val="15"/>
              </w:rPr>
            </w:pPr>
            <w:r w:rsidRPr="00245E91">
              <w:rPr>
                <w:rFonts w:ascii="Times New Roman" w:hAnsi="Times New Roman"/>
                <w:sz w:val="15"/>
                <w:szCs w:val="15"/>
              </w:rPr>
              <w:t>-0.050</w:t>
            </w:r>
          </w:p>
          <w:p w14:paraId="4CDDE280" w14:textId="77777777" w:rsidR="00533393" w:rsidRPr="00245E91" w:rsidRDefault="00533393" w:rsidP="00672311">
            <w:pPr>
              <w:spacing w:after="0" w:line="240" w:lineRule="auto"/>
              <w:ind w:right="-31"/>
              <w:rPr>
                <w:rFonts w:ascii="Times New Roman" w:eastAsia="Times New Roman" w:hAnsi="Times New Roman"/>
                <w:sz w:val="15"/>
                <w:szCs w:val="15"/>
              </w:rPr>
            </w:pPr>
            <w:r w:rsidRPr="00245E91">
              <w:rPr>
                <w:rFonts w:ascii="Times New Roman" w:hAnsi="Times New Roman"/>
                <w:sz w:val="15"/>
                <w:szCs w:val="15"/>
              </w:rPr>
              <w:t>(-1.27 )</w:t>
            </w:r>
          </w:p>
        </w:tc>
        <w:tc>
          <w:tcPr>
            <w:tcW w:w="978" w:type="dxa"/>
            <w:tcBorders>
              <w:top w:val="nil"/>
              <w:left w:val="nil"/>
              <w:bottom w:val="nil"/>
              <w:right w:val="nil"/>
            </w:tcBorders>
          </w:tcPr>
          <w:p w14:paraId="77472602" w14:textId="77777777" w:rsidR="00533393" w:rsidRPr="00245E91" w:rsidRDefault="00533393" w:rsidP="00672311">
            <w:pPr>
              <w:spacing w:after="0" w:line="240" w:lineRule="auto"/>
              <w:ind w:left="-100" w:right="-138"/>
              <w:rPr>
                <w:rFonts w:ascii="Times New Roman" w:hAnsi="Times New Roman"/>
                <w:sz w:val="15"/>
                <w:szCs w:val="15"/>
              </w:rPr>
            </w:pPr>
            <w:r w:rsidRPr="00245E91">
              <w:rPr>
                <w:rFonts w:ascii="Times New Roman" w:hAnsi="Times New Roman"/>
                <w:sz w:val="15"/>
                <w:szCs w:val="15"/>
              </w:rPr>
              <w:t>-0.052</w:t>
            </w:r>
          </w:p>
          <w:p w14:paraId="7F8A0EF0" w14:textId="77777777" w:rsidR="00533393" w:rsidRPr="00245E91" w:rsidRDefault="00533393" w:rsidP="00672311">
            <w:pPr>
              <w:spacing w:after="0" w:line="240" w:lineRule="auto"/>
              <w:ind w:left="-100" w:right="-138"/>
              <w:rPr>
                <w:rFonts w:ascii="Times New Roman" w:eastAsia="Times New Roman" w:hAnsi="Times New Roman"/>
                <w:sz w:val="15"/>
                <w:szCs w:val="15"/>
              </w:rPr>
            </w:pPr>
            <w:r w:rsidRPr="00245E91">
              <w:rPr>
                <w:rFonts w:ascii="Times New Roman" w:hAnsi="Times New Roman"/>
                <w:sz w:val="15"/>
                <w:szCs w:val="15"/>
              </w:rPr>
              <w:t>(-1.05 )</w:t>
            </w:r>
          </w:p>
        </w:tc>
        <w:tc>
          <w:tcPr>
            <w:tcW w:w="978" w:type="dxa"/>
            <w:tcBorders>
              <w:top w:val="nil"/>
              <w:left w:val="nil"/>
              <w:bottom w:val="nil"/>
              <w:right w:val="nil"/>
            </w:tcBorders>
          </w:tcPr>
          <w:p w14:paraId="6E6C02E6" w14:textId="77777777" w:rsidR="00533393" w:rsidRPr="00245E91" w:rsidRDefault="00533393" w:rsidP="00672311">
            <w:pPr>
              <w:spacing w:after="0" w:line="240" w:lineRule="auto"/>
              <w:ind w:left="-23" w:right="-52"/>
              <w:rPr>
                <w:rFonts w:ascii="Times New Roman" w:hAnsi="Times New Roman"/>
                <w:sz w:val="15"/>
                <w:szCs w:val="15"/>
              </w:rPr>
            </w:pPr>
            <w:r w:rsidRPr="00245E91">
              <w:rPr>
                <w:rFonts w:ascii="Times New Roman" w:hAnsi="Times New Roman"/>
                <w:sz w:val="15"/>
                <w:szCs w:val="15"/>
              </w:rPr>
              <w:t>-0.051</w:t>
            </w:r>
          </w:p>
          <w:p w14:paraId="40B8192E" w14:textId="77777777" w:rsidR="00533393" w:rsidRPr="00245E91" w:rsidRDefault="00533393" w:rsidP="00672311">
            <w:pPr>
              <w:spacing w:after="0" w:line="240" w:lineRule="auto"/>
              <w:ind w:right="-52"/>
              <w:rPr>
                <w:rFonts w:ascii="Times New Roman" w:eastAsia="Times New Roman" w:hAnsi="Times New Roman"/>
                <w:sz w:val="15"/>
                <w:szCs w:val="15"/>
              </w:rPr>
            </w:pPr>
            <w:r w:rsidRPr="00245E91">
              <w:rPr>
                <w:rFonts w:ascii="Times New Roman" w:hAnsi="Times New Roman"/>
                <w:sz w:val="15"/>
                <w:szCs w:val="15"/>
              </w:rPr>
              <w:t>(-1.10)</w:t>
            </w:r>
          </w:p>
        </w:tc>
        <w:tc>
          <w:tcPr>
            <w:tcW w:w="978" w:type="dxa"/>
            <w:tcBorders>
              <w:top w:val="nil"/>
              <w:left w:val="nil"/>
              <w:bottom w:val="nil"/>
              <w:right w:val="nil"/>
            </w:tcBorders>
          </w:tcPr>
          <w:p w14:paraId="71AADBA4" w14:textId="77777777" w:rsidR="00533393" w:rsidRPr="00245E91" w:rsidRDefault="00533393" w:rsidP="00672311">
            <w:pPr>
              <w:spacing w:after="0" w:line="240" w:lineRule="auto"/>
              <w:ind w:left="-23" w:right="-159"/>
              <w:rPr>
                <w:rFonts w:ascii="Times New Roman" w:hAnsi="Times New Roman"/>
                <w:sz w:val="15"/>
                <w:szCs w:val="15"/>
              </w:rPr>
            </w:pPr>
            <w:r w:rsidRPr="00245E91">
              <w:rPr>
                <w:rFonts w:ascii="Times New Roman" w:hAnsi="Times New Roman"/>
                <w:sz w:val="15"/>
                <w:szCs w:val="15"/>
              </w:rPr>
              <w:t>-0.051</w:t>
            </w:r>
          </w:p>
          <w:p w14:paraId="42B90BED" w14:textId="77777777" w:rsidR="00533393" w:rsidRPr="00245E91" w:rsidRDefault="00533393" w:rsidP="00672311">
            <w:pPr>
              <w:spacing w:after="0" w:line="240" w:lineRule="auto"/>
              <w:ind w:right="-159"/>
              <w:rPr>
                <w:rFonts w:ascii="Times New Roman" w:eastAsia="Times New Roman" w:hAnsi="Times New Roman"/>
                <w:sz w:val="15"/>
                <w:szCs w:val="15"/>
              </w:rPr>
            </w:pPr>
            <w:r w:rsidRPr="00245E91">
              <w:rPr>
                <w:rFonts w:ascii="Times New Roman" w:hAnsi="Times New Roman"/>
                <w:sz w:val="15"/>
                <w:szCs w:val="15"/>
              </w:rPr>
              <w:t>(-1.10)</w:t>
            </w:r>
          </w:p>
        </w:tc>
        <w:tc>
          <w:tcPr>
            <w:tcW w:w="858" w:type="dxa"/>
            <w:tcBorders>
              <w:top w:val="nil"/>
              <w:left w:val="nil"/>
              <w:bottom w:val="nil"/>
              <w:right w:val="nil"/>
            </w:tcBorders>
          </w:tcPr>
          <w:p w14:paraId="500B6BEC" w14:textId="77777777" w:rsidR="00533393" w:rsidRPr="00245E91" w:rsidRDefault="00533393" w:rsidP="00672311">
            <w:pPr>
              <w:spacing w:after="0" w:line="240" w:lineRule="auto"/>
              <w:ind w:left="-62" w:right="-73"/>
              <w:rPr>
                <w:rFonts w:ascii="Times New Roman" w:hAnsi="Times New Roman"/>
                <w:sz w:val="15"/>
                <w:szCs w:val="15"/>
              </w:rPr>
            </w:pPr>
            <w:r w:rsidRPr="00245E91">
              <w:rPr>
                <w:rFonts w:ascii="Times New Roman" w:hAnsi="Times New Roman"/>
                <w:sz w:val="15"/>
                <w:szCs w:val="15"/>
              </w:rPr>
              <w:t>0.009</w:t>
            </w:r>
          </w:p>
          <w:p w14:paraId="61381AFE" w14:textId="77777777" w:rsidR="00533393" w:rsidRPr="00245E91" w:rsidRDefault="00533393" w:rsidP="00672311">
            <w:pPr>
              <w:spacing w:after="0" w:line="240" w:lineRule="auto"/>
              <w:ind w:left="-62" w:right="-73"/>
              <w:rPr>
                <w:rFonts w:ascii="Times New Roman" w:eastAsia="Times New Roman" w:hAnsi="Times New Roman"/>
                <w:sz w:val="15"/>
                <w:szCs w:val="15"/>
              </w:rPr>
            </w:pPr>
            <w:r w:rsidRPr="00245E91">
              <w:rPr>
                <w:rFonts w:ascii="Times New Roman" w:hAnsi="Times New Roman"/>
                <w:sz w:val="15"/>
                <w:szCs w:val="15"/>
              </w:rPr>
              <w:t>(0.26)</w:t>
            </w:r>
          </w:p>
        </w:tc>
        <w:tc>
          <w:tcPr>
            <w:tcW w:w="990" w:type="dxa"/>
            <w:tcBorders>
              <w:top w:val="nil"/>
              <w:left w:val="nil"/>
              <w:bottom w:val="nil"/>
              <w:right w:val="single" w:sz="4" w:space="0" w:color="auto"/>
            </w:tcBorders>
          </w:tcPr>
          <w:p w14:paraId="40706F72" w14:textId="77777777" w:rsidR="00533393" w:rsidRPr="00245E91" w:rsidRDefault="00533393" w:rsidP="00672311">
            <w:pPr>
              <w:spacing w:after="0" w:line="240" w:lineRule="auto"/>
              <w:ind w:left="-23" w:right="-106"/>
              <w:rPr>
                <w:rFonts w:ascii="Times New Roman" w:hAnsi="Times New Roman"/>
                <w:sz w:val="15"/>
                <w:szCs w:val="15"/>
              </w:rPr>
            </w:pPr>
            <w:r w:rsidRPr="00245E91">
              <w:rPr>
                <w:rFonts w:ascii="Times New Roman" w:hAnsi="Times New Roman"/>
                <w:sz w:val="15"/>
                <w:szCs w:val="15"/>
              </w:rPr>
              <w:t>-0.059</w:t>
            </w:r>
          </w:p>
          <w:p w14:paraId="347034D8"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(-1.61)</w:t>
            </w:r>
          </w:p>
        </w:tc>
        <w:tc>
          <w:tcPr>
            <w:tcW w:w="968" w:type="dxa"/>
            <w:tcBorders>
              <w:top w:val="nil"/>
              <w:left w:val="single" w:sz="4" w:space="0" w:color="auto"/>
              <w:bottom w:val="nil"/>
              <w:right w:val="nil"/>
            </w:tcBorders>
          </w:tcPr>
          <w:p w14:paraId="4FA8006F" w14:textId="77777777" w:rsidR="00533393" w:rsidRPr="00245E91" w:rsidRDefault="00533393" w:rsidP="00672311">
            <w:pPr>
              <w:spacing w:after="0" w:line="240" w:lineRule="auto"/>
              <w:ind w:left="-23" w:right="-61"/>
              <w:rPr>
                <w:rFonts w:ascii="Times New Roman" w:hAnsi="Times New Roman"/>
                <w:sz w:val="15"/>
                <w:szCs w:val="15"/>
              </w:rPr>
            </w:pPr>
            <w:r w:rsidRPr="00245E91">
              <w:rPr>
                <w:rFonts w:ascii="Times New Roman" w:hAnsi="Times New Roman"/>
                <w:sz w:val="15"/>
                <w:szCs w:val="15"/>
              </w:rPr>
              <w:t>-0.047</w:t>
            </w:r>
          </w:p>
          <w:p w14:paraId="7B25847A"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(-1.27)</w:t>
            </w:r>
          </w:p>
        </w:tc>
        <w:tc>
          <w:tcPr>
            <w:tcW w:w="971" w:type="dxa"/>
            <w:tcBorders>
              <w:top w:val="nil"/>
              <w:left w:val="nil"/>
              <w:bottom w:val="nil"/>
              <w:right w:val="nil"/>
            </w:tcBorders>
          </w:tcPr>
          <w:p w14:paraId="69583A93" w14:textId="77777777" w:rsidR="00533393" w:rsidRPr="00245E91" w:rsidRDefault="00533393" w:rsidP="00672311">
            <w:pPr>
              <w:spacing w:after="0" w:line="240" w:lineRule="auto"/>
              <w:ind w:left="-87" w:right="-151"/>
              <w:rPr>
                <w:rFonts w:ascii="Times New Roman" w:hAnsi="Times New Roman"/>
                <w:sz w:val="15"/>
                <w:szCs w:val="15"/>
              </w:rPr>
            </w:pPr>
            <w:r w:rsidRPr="00245E91">
              <w:rPr>
                <w:rFonts w:ascii="Times New Roman" w:hAnsi="Times New Roman"/>
                <w:sz w:val="15"/>
                <w:szCs w:val="15"/>
              </w:rPr>
              <w:t>-0.066</w:t>
            </w:r>
          </w:p>
          <w:p w14:paraId="78CBF5C9" w14:textId="77777777" w:rsidR="00533393" w:rsidRPr="00245E91" w:rsidRDefault="00533393" w:rsidP="00672311">
            <w:pPr>
              <w:spacing w:after="0" w:line="240" w:lineRule="auto"/>
              <w:ind w:left="-87" w:right="-151"/>
              <w:rPr>
                <w:rFonts w:ascii="Times New Roman" w:eastAsia="Times New Roman" w:hAnsi="Times New Roman"/>
                <w:sz w:val="15"/>
                <w:szCs w:val="15"/>
              </w:rPr>
            </w:pPr>
            <w:r w:rsidRPr="00245E91">
              <w:rPr>
                <w:rFonts w:ascii="Times New Roman" w:hAnsi="Times New Roman"/>
                <w:sz w:val="15"/>
                <w:szCs w:val="15"/>
              </w:rPr>
              <w:t>(-1.48)</w:t>
            </w:r>
          </w:p>
        </w:tc>
        <w:tc>
          <w:tcPr>
            <w:tcW w:w="965" w:type="dxa"/>
            <w:tcBorders>
              <w:top w:val="nil"/>
              <w:left w:val="nil"/>
              <w:bottom w:val="nil"/>
              <w:right w:val="nil"/>
            </w:tcBorders>
          </w:tcPr>
          <w:p w14:paraId="43A11ECC" w14:textId="77777777" w:rsidR="00533393" w:rsidRPr="00245E91" w:rsidRDefault="00533393" w:rsidP="00672311">
            <w:pPr>
              <w:spacing w:after="0" w:line="240" w:lineRule="auto"/>
              <w:ind w:left="-38" w:right="-168"/>
              <w:rPr>
                <w:rFonts w:ascii="Times New Roman" w:hAnsi="Times New Roman"/>
                <w:sz w:val="15"/>
                <w:szCs w:val="15"/>
              </w:rPr>
            </w:pPr>
            <w:r w:rsidRPr="00245E91">
              <w:rPr>
                <w:rFonts w:ascii="Times New Roman" w:hAnsi="Times New Roman"/>
                <w:sz w:val="15"/>
                <w:szCs w:val="15"/>
              </w:rPr>
              <w:t>-0.047</w:t>
            </w:r>
          </w:p>
          <w:p w14:paraId="17275ED7" w14:textId="77777777" w:rsidR="00533393" w:rsidRPr="00245E91" w:rsidRDefault="00533393" w:rsidP="00672311">
            <w:pPr>
              <w:spacing w:after="0" w:line="240" w:lineRule="auto"/>
              <w:ind w:right="-168"/>
              <w:rPr>
                <w:rFonts w:ascii="Times New Roman" w:eastAsia="Times New Roman" w:hAnsi="Times New Roman"/>
                <w:sz w:val="15"/>
                <w:szCs w:val="15"/>
              </w:rPr>
            </w:pPr>
            <w:r w:rsidRPr="00245E91">
              <w:rPr>
                <w:rFonts w:ascii="Times New Roman" w:hAnsi="Times New Roman"/>
                <w:sz w:val="15"/>
                <w:szCs w:val="15"/>
              </w:rPr>
              <w:t>(-1.11)</w:t>
            </w:r>
          </w:p>
        </w:tc>
        <w:tc>
          <w:tcPr>
            <w:tcW w:w="965" w:type="dxa"/>
            <w:tcBorders>
              <w:top w:val="nil"/>
              <w:left w:val="nil"/>
              <w:bottom w:val="nil"/>
              <w:right w:val="nil"/>
            </w:tcBorders>
          </w:tcPr>
          <w:p w14:paraId="5C6E12B4" w14:textId="77777777" w:rsidR="00533393" w:rsidRPr="00245E91" w:rsidRDefault="00533393" w:rsidP="00672311">
            <w:pPr>
              <w:spacing w:after="0" w:line="240" w:lineRule="auto"/>
              <w:ind w:left="-24"/>
              <w:rPr>
                <w:rFonts w:ascii="Times New Roman" w:hAnsi="Times New Roman"/>
                <w:sz w:val="15"/>
                <w:szCs w:val="15"/>
              </w:rPr>
            </w:pPr>
            <w:r w:rsidRPr="00245E91">
              <w:rPr>
                <w:rFonts w:ascii="Times New Roman" w:hAnsi="Times New Roman"/>
                <w:sz w:val="15"/>
                <w:szCs w:val="15"/>
              </w:rPr>
              <w:t>-0.047</w:t>
            </w:r>
          </w:p>
          <w:p w14:paraId="05D070DD"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(-1.11)</w:t>
            </w:r>
          </w:p>
        </w:tc>
        <w:tc>
          <w:tcPr>
            <w:tcW w:w="901" w:type="dxa"/>
            <w:tcBorders>
              <w:top w:val="nil"/>
              <w:left w:val="nil"/>
              <w:bottom w:val="nil"/>
              <w:right w:val="nil"/>
            </w:tcBorders>
          </w:tcPr>
          <w:p w14:paraId="28869039" w14:textId="77777777" w:rsidR="00533393" w:rsidRPr="00245E91" w:rsidRDefault="00533393" w:rsidP="00672311">
            <w:pPr>
              <w:spacing w:after="0" w:line="240" w:lineRule="auto"/>
              <w:ind w:left="-114" w:right="-138"/>
              <w:rPr>
                <w:rFonts w:ascii="Times New Roman" w:hAnsi="Times New Roman"/>
                <w:sz w:val="15"/>
                <w:szCs w:val="15"/>
              </w:rPr>
            </w:pPr>
            <w:r w:rsidRPr="00245E91">
              <w:rPr>
                <w:rFonts w:ascii="Times New Roman" w:hAnsi="Times New Roman"/>
                <w:sz w:val="15"/>
                <w:szCs w:val="15"/>
              </w:rPr>
              <w:t>-0.037</w:t>
            </w:r>
          </w:p>
          <w:p w14:paraId="4D57AE8D" w14:textId="77777777" w:rsidR="00533393" w:rsidRPr="00245E91" w:rsidRDefault="00533393" w:rsidP="00672311">
            <w:pPr>
              <w:spacing w:after="0" w:line="240" w:lineRule="auto"/>
              <w:ind w:right="-138"/>
              <w:rPr>
                <w:rFonts w:ascii="Times New Roman" w:eastAsia="Times New Roman" w:hAnsi="Times New Roman"/>
                <w:sz w:val="15"/>
                <w:szCs w:val="15"/>
              </w:rPr>
            </w:pPr>
            <w:r w:rsidRPr="00245E91">
              <w:rPr>
                <w:rFonts w:ascii="Times New Roman" w:hAnsi="Times New Roman"/>
                <w:sz w:val="15"/>
                <w:szCs w:val="15"/>
              </w:rPr>
              <w:t>(-1.13)</w:t>
            </w:r>
          </w:p>
        </w:tc>
        <w:tc>
          <w:tcPr>
            <w:tcW w:w="972" w:type="dxa"/>
            <w:tcBorders>
              <w:top w:val="nil"/>
              <w:left w:val="nil"/>
              <w:bottom w:val="nil"/>
              <w:right w:val="nil"/>
            </w:tcBorders>
          </w:tcPr>
          <w:p w14:paraId="37D03AE1" w14:textId="77777777" w:rsidR="00533393" w:rsidRPr="00245E91" w:rsidRDefault="00533393" w:rsidP="00672311">
            <w:pPr>
              <w:spacing w:after="0" w:line="240" w:lineRule="auto"/>
              <w:ind w:left="-108" w:right="-104"/>
              <w:rPr>
                <w:rFonts w:ascii="Times New Roman" w:hAnsi="Times New Roman"/>
                <w:sz w:val="15"/>
                <w:szCs w:val="15"/>
              </w:rPr>
            </w:pPr>
            <w:r w:rsidRPr="00245E91">
              <w:rPr>
                <w:rFonts w:ascii="Times New Roman" w:hAnsi="Times New Roman"/>
                <w:sz w:val="15"/>
                <w:szCs w:val="15"/>
              </w:rPr>
              <w:t>-0.099</w:t>
            </w:r>
          </w:p>
          <w:p w14:paraId="4A6F938B" w14:textId="77777777" w:rsidR="00533393" w:rsidRPr="00245E91" w:rsidRDefault="00533393" w:rsidP="00672311">
            <w:pPr>
              <w:spacing w:after="0" w:line="240" w:lineRule="auto"/>
              <w:ind w:left="-108" w:right="-104"/>
              <w:rPr>
                <w:rFonts w:ascii="Times New Roman" w:eastAsia="Times New Roman" w:hAnsi="Times New Roman"/>
                <w:sz w:val="15"/>
                <w:szCs w:val="15"/>
              </w:rPr>
            </w:pPr>
            <w:r w:rsidRPr="00245E91">
              <w:rPr>
                <w:rFonts w:ascii="Times New Roman" w:hAnsi="Times New Roman"/>
                <w:sz w:val="15"/>
                <w:szCs w:val="15"/>
              </w:rPr>
              <w:t>(-2.65***)</w:t>
            </w:r>
          </w:p>
        </w:tc>
      </w:tr>
      <w:tr w:rsidR="00533393" w:rsidRPr="00245E91" w14:paraId="5E1F8BFA" w14:textId="77777777" w:rsidTr="00672311">
        <w:tblPrEx>
          <w:tblBorders>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440" w:type="dxa"/>
            <w:tcBorders>
              <w:top w:val="nil"/>
              <w:left w:val="nil"/>
              <w:bottom w:val="nil"/>
              <w:right w:val="nil"/>
            </w:tcBorders>
          </w:tcPr>
          <w:p w14:paraId="73CFBB79" w14:textId="77777777" w:rsidR="00533393" w:rsidRPr="00245E91" w:rsidRDefault="00533393" w:rsidP="00672311">
            <w:pPr>
              <w:spacing w:after="0" w:line="240" w:lineRule="auto"/>
              <w:ind w:right="-104"/>
              <w:rPr>
                <w:rFonts w:ascii="Times New Roman" w:eastAsia="Times New Roman" w:hAnsi="Times New Roman"/>
                <w:sz w:val="15"/>
                <w:szCs w:val="15"/>
              </w:rPr>
            </w:pPr>
            <w:r w:rsidRPr="00245E91">
              <w:rPr>
                <w:rFonts w:ascii="Times New Roman" w:hAnsi="Times New Roman"/>
                <w:sz w:val="15"/>
                <w:szCs w:val="15"/>
              </w:rPr>
              <w:t>OPERCYCLE</w:t>
            </w:r>
          </w:p>
        </w:tc>
        <w:tc>
          <w:tcPr>
            <w:tcW w:w="978" w:type="dxa"/>
            <w:gridSpan w:val="2"/>
            <w:tcBorders>
              <w:top w:val="nil"/>
              <w:left w:val="nil"/>
              <w:bottom w:val="nil"/>
              <w:right w:val="nil"/>
            </w:tcBorders>
          </w:tcPr>
          <w:p w14:paraId="0358021A" w14:textId="77777777" w:rsidR="00533393" w:rsidRPr="00245E91" w:rsidRDefault="00533393" w:rsidP="00672311">
            <w:pPr>
              <w:spacing w:after="0" w:line="240" w:lineRule="auto"/>
              <w:ind w:right="-31"/>
              <w:rPr>
                <w:rFonts w:ascii="Times New Roman" w:hAnsi="Times New Roman"/>
                <w:sz w:val="15"/>
                <w:szCs w:val="15"/>
              </w:rPr>
            </w:pPr>
            <w:r w:rsidRPr="00245E91">
              <w:rPr>
                <w:rFonts w:ascii="Times New Roman" w:hAnsi="Times New Roman"/>
                <w:sz w:val="15"/>
                <w:szCs w:val="15"/>
              </w:rPr>
              <w:t>0.065</w:t>
            </w:r>
          </w:p>
          <w:p w14:paraId="62555DB5" w14:textId="77777777" w:rsidR="00533393" w:rsidRPr="00245E91" w:rsidRDefault="00533393" w:rsidP="00672311">
            <w:pPr>
              <w:spacing w:after="0" w:line="240" w:lineRule="auto"/>
              <w:ind w:right="-31"/>
              <w:rPr>
                <w:rFonts w:ascii="Times New Roman" w:eastAsia="Times New Roman" w:hAnsi="Times New Roman"/>
                <w:sz w:val="15"/>
                <w:szCs w:val="15"/>
              </w:rPr>
            </w:pPr>
            <w:r w:rsidRPr="00245E91">
              <w:rPr>
                <w:rFonts w:ascii="Times New Roman" w:hAnsi="Times New Roman"/>
                <w:sz w:val="15"/>
                <w:szCs w:val="15"/>
              </w:rPr>
              <w:t>(2.32**)</w:t>
            </w:r>
          </w:p>
        </w:tc>
        <w:tc>
          <w:tcPr>
            <w:tcW w:w="978" w:type="dxa"/>
            <w:tcBorders>
              <w:top w:val="nil"/>
              <w:left w:val="nil"/>
              <w:bottom w:val="nil"/>
              <w:right w:val="nil"/>
            </w:tcBorders>
          </w:tcPr>
          <w:p w14:paraId="7FF8E6C8" w14:textId="77777777" w:rsidR="00533393" w:rsidRPr="00245E91" w:rsidRDefault="00533393" w:rsidP="00672311">
            <w:pPr>
              <w:spacing w:after="0" w:line="240" w:lineRule="auto"/>
              <w:ind w:left="-100" w:right="-138"/>
              <w:rPr>
                <w:rFonts w:ascii="Times New Roman" w:hAnsi="Times New Roman"/>
                <w:sz w:val="15"/>
                <w:szCs w:val="15"/>
              </w:rPr>
            </w:pPr>
            <w:r w:rsidRPr="00245E91">
              <w:rPr>
                <w:rFonts w:ascii="Times New Roman" w:hAnsi="Times New Roman"/>
                <w:sz w:val="15"/>
                <w:szCs w:val="15"/>
              </w:rPr>
              <w:t>0.073</w:t>
            </w:r>
          </w:p>
          <w:p w14:paraId="0ABA746E" w14:textId="77777777" w:rsidR="00533393" w:rsidRPr="00245E91" w:rsidRDefault="00533393" w:rsidP="00672311">
            <w:pPr>
              <w:spacing w:after="0" w:line="240" w:lineRule="auto"/>
              <w:ind w:left="-100" w:right="-138"/>
              <w:rPr>
                <w:rFonts w:ascii="Times New Roman" w:eastAsia="Times New Roman" w:hAnsi="Times New Roman"/>
                <w:sz w:val="15"/>
                <w:szCs w:val="15"/>
              </w:rPr>
            </w:pPr>
            <w:r w:rsidRPr="00245E91">
              <w:rPr>
                <w:rFonts w:ascii="Times New Roman" w:hAnsi="Times New Roman"/>
                <w:sz w:val="15"/>
                <w:szCs w:val="15"/>
              </w:rPr>
              <w:t>(1.69*)</w:t>
            </w:r>
          </w:p>
        </w:tc>
        <w:tc>
          <w:tcPr>
            <w:tcW w:w="978" w:type="dxa"/>
            <w:tcBorders>
              <w:top w:val="nil"/>
              <w:left w:val="nil"/>
              <w:bottom w:val="nil"/>
              <w:right w:val="nil"/>
            </w:tcBorders>
          </w:tcPr>
          <w:p w14:paraId="2E11577C" w14:textId="77777777" w:rsidR="00533393" w:rsidRPr="00245E91" w:rsidRDefault="00533393" w:rsidP="00672311">
            <w:pPr>
              <w:spacing w:after="0" w:line="240" w:lineRule="auto"/>
              <w:ind w:left="-23" w:right="-52"/>
              <w:rPr>
                <w:rFonts w:ascii="Times New Roman" w:hAnsi="Times New Roman"/>
                <w:sz w:val="15"/>
                <w:szCs w:val="15"/>
              </w:rPr>
            </w:pPr>
            <w:r w:rsidRPr="00245E91">
              <w:rPr>
                <w:rFonts w:ascii="Times New Roman" w:hAnsi="Times New Roman"/>
                <w:sz w:val="15"/>
                <w:szCs w:val="15"/>
              </w:rPr>
              <w:t>0.116</w:t>
            </w:r>
          </w:p>
          <w:p w14:paraId="6A55FA60" w14:textId="77777777" w:rsidR="00533393" w:rsidRPr="00245E91" w:rsidRDefault="00533393" w:rsidP="00672311">
            <w:pPr>
              <w:spacing w:after="0" w:line="240" w:lineRule="auto"/>
              <w:ind w:right="-52"/>
              <w:rPr>
                <w:rFonts w:ascii="Times New Roman" w:eastAsia="Times New Roman" w:hAnsi="Times New Roman"/>
                <w:sz w:val="15"/>
                <w:szCs w:val="15"/>
              </w:rPr>
            </w:pPr>
            <w:r w:rsidRPr="00245E91">
              <w:rPr>
                <w:rFonts w:ascii="Times New Roman" w:hAnsi="Times New Roman"/>
                <w:sz w:val="15"/>
                <w:szCs w:val="15"/>
              </w:rPr>
              <w:t>(2.92***)</w:t>
            </w:r>
          </w:p>
        </w:tc>
        <w:tc>
          <w:tcPr>
            <w:tcW w:w="978" w:type="dxa"/>
            <w:tcBorders>
              <w:top w:val="nil"/>
              <w:left w:val="nil"/>
              <w:bottom w:val="nil"/>
              <w:right w:val="nil"/>
            </w:tcBorders>
          </w:tcPr>
          <w:p w14:paraId="7F7315E7" w14:textId="77777777" w:rsidR="00533393" w:rsidRPr="00245E91" w:rsidRDefault="00533393" w:rsidP="00672311">
            <w:pPr>
              <w:spacing w:after="0" w:line="240" w:lineRule="auto"/>
              <w:ind w:left="-23" w:right="-159"/>
              <w:rPr>
                <w:rFonts w:ascii="Times New Roman" w:hAnsi="Times New Roman"/>
                <w:sz w:val="15"/>
                <w:szCs w:val="15"/>
              </w:rPr>
            </w:pPr>
            <w:r w:rsidRPr="00245E91">
              <w:rPr>
                <w:rFonts w:ascii="Times New Roman" w:hAnsi="Times New Roman"/>
                <w:sz w:val="15"/>
                <w:szCs w:val="15"/>
              </w:rPr>
              <w:t>0.116</w:t>
            </w:r>
          </w:p>
          <w:p w14:paraId="7D1C47BC" w14:textId="77777777" w:rsidR="00533393" w:rsidRPr="00245E91" w:rsidRDefault="00533393" w:rsidP="00672311">
            <w:pPr>
              <w:spacing w:after="0" w:line="240" w:lineRule="auto"/>
              <w:ind w:right="-159"/>
              <w:rPr>
                <w:rFonts w:ascii="Times New Roman" w:eastAsia="Times New Roman" w:hAnsi="Times New Roman"/>
                <w:sz w:val="15"/>
                <w:szCs w:val="15"/>
              </w:rPr>
            </w:pPr>
            <w:r w:rsidRPr="00245E91">
              <w:rPr>
                <w:rFonts w:ascii="Times New Roman" w:hAnsi="Times New Roman"/>
                <w:sz w:val="15"/>
                <w:szCs w:val="15"/>
              </w:rPr>
              <w:t>(2.92***)</w:t>
            </w:r>
          </w:p>
        </w:tc>
        <w:tc>
          <w:tcPr>
            <w:tcW w:w="858" w:type="dxa"/>
            <w:tcBorders>
              <w:top w:val="nil"/>
              <w:left w:val="nil"/>
              <w:bottom w:val="nil"/>
              <w:right w:val="nil"/>
            </w:tcBorders>
          </w:tcPr>
          <w:p w14:paraId="40F8EB36" w14:textId="77777777" w:rsidR="00533393" w:rsidRPr="00245E91" w:rsidRDefault="00533393" w:rsidP="00672311">
            <w:pPr>
              <w:spacing w:after="0" w:line="240" w:lineRule="auto"/>
              <w:ind w:left="-62" w:right="-73"/>
              <w:rPr>
                <w:rFonts w:ascii="Times New Roman" w:hAnsi="Times New Roman"/>
                <w:sz w:val="15"/>
                <w:szCs w:val="15"/>
              </w:rPr>
            </w:pPr>
            <w:r w:rsidRPr="00245E91">
              <w:rPr>
                <w:rFonts w:ascii="Times New Roman" w:hAnsi="Times New Roman"/>
                <w:sz w:val="15"/>
                <w:szCs w:val="15"/>
              </w:rPr>
              <w:t>0.024</w:t>
            </w:r>
          </w:p>
          <w:p w14:paraId="28645075" w14:textId="77777777" w:rsidR="00533393" w:rsidRPr="00245E91" w:rsidRDefault="00533393" w:rsidP="00672311">
            <w:pPr>
              <w:spacing w:after="0" w:line="240" w:lineRule="auto"/>
              <w:ind w:left="-62" w:right="-73"/>
              <w:rPr>
                <w:rFonts w:ascii="Times New Roman" w:eastAsia="Times New Roman" w:hAnsi="Times New Roman"/>
                <w:sz w:val="15"/>
                <w:szCs w:val="15"/>
              </w:rPr>
            </w:pPr>
            <w:r w:rsidRPr="00245E91">
              <w:rPr>
                <w:rFonts w:ascii="Times New Roman" w:hAnsi="Times New Roman"/>
                <w:sz w:val="15"/>
                <w:szCs w:val="15"/>
              </w:rPr>
              <w:t>(0.59)</w:t>
            </w:r>
          </w:p>
        </w:tc>
        <w:tc>
          <w:tcPr>
            <w:tcW w:w="990" w:type="dxa"/>
            <w:tcBorders>
              <w:top w:val="nil"/>
              <w:left w:val="nil"/>
              <w:bottom w:val="nil"/>
              <w:right w:val="single" w:sz="4" w:space="0" w:color="auto"/>
            </w:tcBorders>
          </w:tcPr>
          <w:p w14:paraId="2B6F6A2D" w14:textId="77777777" w:rsidR="00533393" w:rsidRPr="00245E91" w:rsidRDefault="00533393" w:rsidP="00672311">
            <w:pPr>
              <w:spacing w:after="0" w:line="240" w:lineRule="auto"/>
              <w:ind w:left="-23" w:right="-106"/>
              <w:rPr>
                <w:rFonts w:ascii="Times New Roman" w:hAnsi="Times New Roman"/>
                <w:sz w:val="15"/>
                <w:szCs w:val="15"/>
              </w:rPr>
            </w:pPr>
            <w:r w:rsidRPr="00245E91">
              <w:rPr>
                <w:rFonts w:ascii="Times New Roman" w:hAnsi="Times New Roman"/>
                <w:sz w:val="15"/>
                <w:szCs w:val="15"/>
              </w:rPr>
              <w:t>0.038</w:t>
            </w:r>
          </w:p>
          <w:p w14:paraId="6C4919BC"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(1.06)</w:t>
            </w:r>
          </w:p>
        </w:tc>
        <w:tc>
          <w:tcPr>
            <w:tcW w:w="968" w:type="dxa"/>
            <w:tcBorders>
              <w:top w:val="nil"/>
              <w:left w:val="single" w:sz="4" w:space="0" w:color="auto"/>
              <w:bottom w:val="nil"/>
              <w:right w:val="nil"/>
            </w:tcBorders>
          </w:tcPr>
          <w:p w14:paraId="4B6D35E3" w14:textId="77777777" w:rsidR="00533393" w:rsidRPr="00245E91" w:rsidRDefault="00533393" w:rsidP="00672311">
            <w:pPr>
              <w:spacing w:after="0" w:line="240" w:lineRule="auto"/>
              <w:ind w:left="-23" w:right="-61"/>
              <w:rPr>
                <w:rFonts w:ascii="Times New Roman" w:hAnsi="Times New Roman"/>
                <w:sz w:val="15"/>
                <w:szCs w:val="15"/>
              </w:rPr>
            </w:pPr>
            <w:r w:rsidRPr="00245E91">
              <w:rPr>
                <w:rFonts w:ascii="Times New Roman" w:hAnsi="Times New Roman"/>
                <w:sz w:val="15"/>
                <w:szCs w:val="15"/>
              </w:rPr>
              <w:t>0.085</w:t>
            </w:r>
          </w:p>
          <w:p w14:paraId="37B91138"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(3.06***)</w:t>
            </w:r>
          </w:p>
        </w:tc>
        <w:tc>
          <w:tcPr>
            <w:tcW w:w="971" w:type="dxa"/>
            <w:tcBorders>
              <w:top w:val="nil"/>
              <w:left w:val="nil"/>
              <w:bottom w:val="nil"/>
              <w:right w:val="nil"/>
            </w:tcBorders>
          </w:tcPr>
          <w:p w14:paraId="51D65D52" w14:textId="77777777" w:rsidR="00533393" w:rsidRPr="00245E91" w:rsidRDefault="00533393" w:rsidP="00672311">
            <w:pPr>
              <w:spacing w:after="0" w:line="240" w:lineRule="auto"/>
              <w:ind w:left="-87" w:right="-151"/>
              <w:rPr>
                <w:rFonts w:ascii="Times New Roman" w:hAnsi="Times New Roman"/>
                <w:sz w:val="15"/>
                <w:szCs w:val="15"/>
              </w:rPr>
            </w:pPr>
            <w:r w:rsidRPr="00245E91">
              <w:rPr>
                <w:rFonts w:ascii="Times New Roman" w:hAnsi="Times New Roman"/>
                <w:sz w:val="15"/>
                <w:szCs w:val="15"/>
              </w:rPr>
              <w:t>0.082</w:t>
            </w:r>
          </w:p>
          <w:p w14:paraId="27C6F3AC" w14:textId="77777777" w:rsidR="00533393" w:rsidRPr="00245E91" w:rsidRDefault="00533393" w:rsidP="00672311">
            <w:pPr>
              <w:spacing w:after="0" w:line="240" w:lineRule="auto"/>
              <w:ind w:left="-87" w:right="-151"/>
              <w:rPr>
                <w:rFonts w:ascii="Times New Roman" w:eastAsia="Times New Roman" w:hAnsi="Times New Roman"/>
                <w:sz w:val="15"/>
                <w:szCs w:val="15"/>
              </w:rPr>
            </w:pPr>
            <w:r w:rsidRPr="00245E91">
              <w:rPr>
                <w:rFonts w:ascii="Times New Roman" w:hAnsi="Times New Roman"/>
                <w:sz w:val="15"/>
                <w:szCs w:val="15"/>
              </w:rPr>
              <w:t>(2.10**)</w:t>
            </w:r>
          </w:p>
        </w:tc>
        <w:tc>
          <w:tcPr>
            <w:tcW w:w="965" w:type="dxa"/>
            <w:tcBorders>
              <w:top w:val="nil"/>
              <w:left w:val="nil"/>
              <w:bottom w:val="nil"/>
              <w:right w:val="nil"/>
            </w:tcBorders>
          </w:tcPr>
          <w:p w14:paraId="167EE202" w14:textId="77777777" w:rsidR="00533393" w:rsidRPr="00245E91" w:rsidRDefault="00533393" w:rsidP="00672311">
            <w:pPr>
              <w:spacing w:after="0" w:line="240" w:lineRule="auto"/>
              <w:ind w:left="-38" w:right="-168"/>
              <w:rPr>
                <w:rFonts w:ascii="Times New Roman" w:hAnsi="Times New Roman"/>
                <w:sz w:val="15"/>
                <w:szCs w:val="15"/>
              </w:rPr>
            </w:pPr>
            <w:r w:rsidRPr="00245E91">
              <w:rPr>
                <w:rFonts w:ascii="Times New Roman" w:hAnsi="Times New Roman"/>
                <w:sz w:val="15"/>
                <w:szCs w:val="15"/>
              </w:rPr>
              <w:t>0.071</w:t>
            </w:r>
          </w:p>
          <w:p w14:paraId="1CB11602" w14:textId="77777777" w:rsidR="00533393" w:rsidRPr="00245E91" w:rsidRDefault="00533393" w:rsidP="00672311">
            <w:pPr>
              <w:spacing w:after="0" w:line="240" w:lineRule="auto"/>
              <w:ind w:right="-168"/>
              <w:rPr>
                <w:rFonts w:ascii="Times New Roman" w:eastAsia="Times New Roman" w:hAnsi="Times New Roman"/>
                <w:sz w:val="15"/>
                <w:szCs w:val="15"/>
              </w:rPr>
            </w:pPr>
            <w:r w:rsidRPr="00245E91">
              <w:rPr>
                <w:rFonts w:ascii="Times New Roman" w:hAnsi="Times New Roman"/>
                <w:sz w:val="15"/>
                <w:szCs w:val="15"/>
              </w:rPr>
              <w:t>(1.52)</w:t>
            </w:r>
          </w:p>
        </w:tc>
        <w:tc>
          <w:tcPr>
            <w:tcW w:w="965" w:type="dxa"/>
            <w:tcBorders>
              <w:top w:val="nil"/>
              <w:left w:val="nil"/>
              <w:bottom w:val="nil"/>
              <w:right w:val="nil"/>
            </w:tcBorders>
          </w:tcPr>
          <w:p w14:paraId="50A615CE" w14:textId="77777777" w:rsidR="00533393" w:rsidRPr="00245E91" w:rsidRDefault="00533393" w:rsidP="00672311">
            <w:pPr>
              <w:spacing w:after="0" w:line="240" w:lineRule="auto"/>
              <w:ind w:left="-24"/>
              <w:rPr>
                <w:rFonts w:ascii="Times New Roman" w:hAnsi="Times New Roman"/>
                <w:sz w:val="15"/>
                <w:szCs w:val="15"/>
              </w:rPr>
            </w:pPr>
            <w:r w:rsidRPr="00245E91">
              <w:rPr>
                <w:rFonts w:ascii="Times New Roman" w:hAnsi="Times New Roman"/>
                <w:sz w:val="15"/>
                <w:szCs w:val="15"/>
              </w:rPr>
              <w:t>0.071</w:t>
            </w:r>
          </w:p>
          <w:p w14:paraId="0E9F59D4"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(1.52)</w:t>
            </w:r>
          </w:p>
        </w:tc>
        <w:tc>
          <w:tcPr>
            <w:tcW w:w="901" w:type="dxa"/>
            <w:tcBorders>
              <w:top w:val="nil"/>
              <w:left w:val="nil"/>
              <w:bottom w:val="nil"/>
              <w:right w:val="nil"/>
            </w:tcBorders>
          </w:tcPr>
          <w:p w14:paraId="1245D344" w14:textId="77777777" w:rsidR="00533393" w:rsidRPr="00245E91" w:rsidRDefault="00533393" w:rsidP="00672311">
            <w:pPr>
              <w:spacing w:after="0" w:line="240" w:lineRule="auto"/>
              <w:ind w:left="-114" w:right="-138"/>
              <w:rPr>
                <w:rFonts w:ascii="Times New Roman" w:hAnsi="Times New Roman"/>
                <w:sz w:val="15"/>
                <w:szCs w:val="15"/>
              </w:rPr>
            </w:pPr>
            <w:r w:rsidRPr="00245E91">
              <w:rPr>
                <w:rFonts w:ascii="Times New Roman" w:hAnsi="Times New Roman"/>
                <w:sz w:val="15"/>
                <w:szCs w:val="15"/>
              </w:rPr>
              <w:t>0.042</w:t>
            </w:r>
          </w:p>
          <w:p w14:paraId="1BC6827D" w14:textId="77777777" w:rsidR="00533393" w:rsidRPr="00245E91" w:rsidRDefault="00533393" w:rsidP="00672311">
            <w:pPr>
              <w:spacing w:after="0" w:line="240" w:lineRule="auto"/>
              <w:ind w:right="-138"/>
              <w:rPr>
                <w:rFonts w:ascii="Times New Roman" w:eastAsia="Times New Roman" w:hAnsi="Times New Roman"/>
                <w:sz w:val="15"/>
                <w:szCs w:val="15"/>
              </w:rPr>
            </w:pPr>
            <w:r w:rsidRPr="00245E91">
              <w:rPr>
                <w:rFonts w:ascii="Times New Roman" w:hAnsi="Times New Roman"/>
                <w:sz w:val="15"/>
                <w:szCs w:val="15"/>
              </w:rPr>
              <w:t>(1.53)</w:t>
            </w:r>
          </w:p>
        </w:tc>
        <w:tc>
          <w:tcPr>
            <w:tcW w:w="972" w:type="dxa"/>
            <w:tcBorders>
              <w:top w:val="nil"/>
              <w:left w:val="nil"/>
              <w:bottom w:val="nil"/>
              <w:right w:val="nil"/>
            </w:tcBorders>
          </w:tcPr>
          <w:p w14:paraId="2988C463" w14:textId="77777777" w:rsidR="00533393" w:rsidRPr="00245E91" w:rsidRDefault="00533393" w:rsidP="00672311">
            <w:pPr>
              <w:spacing w:after="0" w:line="240" w:lineRule="auto"/>
              <w:ind w:left="-108" w:right="-104"/>
              <w:rPr>
                <w:rFonts w:ascii="Times New Roman" w:hAnsi="Times New Roman"/>
                <w:sz w:val="15"/>
                <w:szCs w:val="15"/>
              </w:rPr>
            </w:pPr>
            <w:r w:rsidRPr="00245E91">
              <w:rPr>
                <w:rFonts w:ascii="Times New Roman" w:hAnsi="Times New Roman"/>
                <w:sz w:val="15"/>
                <w:szCs w:val="15"/>
              </w:rPr>
              <w:t>0.020</w:t>
            </w:r>
          </w:p>
          <w:p w14:paraId="7EE2CEAC" w14:textId="77777777" w:rsidR="00533393" w:rsidRPr="00245E91" w:rsidRDefault="00533393" w:rsidP="00672311">
            <w:pPr>
              <w:spacing w:after="0" w:line="240" w:lineRule="auto"/>
              <w:ind w:left="-108" w:right="-104"/>
              <w:rPr>
                <w:rFonts w:ascii="Times New Roman" w:eastAsia="Times New Roman" w:hAnsi="Times New Roman"/>
                <w:sz w:val="15"/>
                <w:szCs w:val="15"/>
              </w:rPr>
            </w:pPr>
            <w:r w:rsidRPr="00245E91">
              <w:rPr>
                <w:rFonts w:ascii="Times New Roman" w:hAnsi="Times New Roman"/>
                <w:sz w:val="15"/>
                <w:szCs w:val="15"/>
              </w:rPr>
              <w:t>(0.45)</w:t>
            </w:r>
          </w:p>
        </w:tc>
      </w:tr>
      <w:tr w:rsidR="00533393" w:rsidRPr="00245E91" w14:paraId="3B912320" w14:textId="77777777" w:rsidTr="00672311">
        <w:tblPrEx>
          <w:tblBorders>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440" w:type="dxa"/>
            <w:tcBorders>
              <w:top w:val="nil"/>
              <w:left w:val="nil"/>
              <w:bottom w:val="nil"/>
              <w:right w:val="nil"/>
            </w:tcBorders>
          </w:tcPr>
          <w:p w14:paraId="7B49DA72" w14:textId="77777777" w:rsidR="00533393" w:rsidRPr="00245E91" w:rsidRDefault="00533393" w:rsidP="00672311">
            <w:pPr>
              <w:spacing w:after="0" w:line="240" w:lineRule="auto"/>
              <w:ind w:right="-104"/>
              <w:rPr>
                <w:rFonts w:ascii="Times New Roman" w:eastAsia="Times New Roman" w:hAnsi="Times New Roman"/>
                <w:sz w:val="15"/>
                <w:szCs w:val="15"/>
              </w:rPr>
            </w:pPr>
            <w:r w:rsidRPr="00245E91">
              <w:rPr>
                <w:rFonts w:ascii="Times New Roman" w:hAnsi="Times New Roman"/>
                <w:sz w:val="15"/>
                <w:szCs w:val="15"/>
              </w:rPr>
              <w:t>ROA</w:t>
            </w:r>
          </w:p>
        </w:tc>
        <w:tc>
          <w:tcPr>
            <w:tcW w:w="978" w:type="dxa"/>
            <w:gridSpan w:val="2"/>
            <w:tcBorders>
              <w:top w:val="nil"/>
              <w:left w:val="nil"/>
              <w:bottom w:val="nil"/>
              <w:right w:val="nil"/>
            </w:tcBorders>
          </w:tcPr>
          <w:p w14:paraId="5B4E4571" w14:textId="77777777" w:rsidR="00533393" w:rsidRPr="00245E91" w:rsidRDefault="00533393" w:rsidP="00672311">
            <w:pPr>
              <w:spacing w:after="0" w:line="240" w:lineRule="auto"/>
              <w:ind w:right="-31"/>
              <w:rPr>
                <w:rFonts w:ascii="Times New Roman" w:hAnsi="Times New Roman"/>
                <w:sz w:val="15"/>
                <w:szCs w:val="15"/>
              </w:rPr>
            </w:pPr>
            <w:r w:rsidRPr="00245E91">
              <w:rPr>
                <w:rFonts w:ascii="Times New Roman" w:hAnsi="Times New Roman"/>
                <w:sz w:val="15"/>
                <w:szCs w:val="15"/>
              </w:rPr>
              <w:t>-0.130</w:t>
            </w:r>
          </w:p>
          <w:p w14:paraId="64CAEDF8" w14:textId="77777777" w:rsidR="00533393" w:rsidRPr="00245E91" w:rsidRDefault="00533393" w:rsidP="00672311">
            <w:pPr>
              <w:spacing w:after="0" w:line="240" w:lineRule="auto"/>
              <w:ind w:right="-31"/>
              <w:rPr>
                <w:rFonts w:ascii="Times New Roman" w:eastAsia="Times New Roman" w:hAnsi="Times New Roman"/>
                <w:sz w:val="15"/>
                <w:szCs w:val="15"/>
              </w:rPr>
            </w:pPr>
            <w:r w:rsidRPr="00245E91">
              <w:rPr>
                <w:rFonts w:ascii="Times New Roman" w:hAnsi="Times New Roman"/>
                <w:sz w:val="15"/>
                <w:szCs w:val="15"/>
              </w:rPr>
              <w:t>(-3.72***)</w:t>
            </w:r>
          </w:p>
        </w:tc>
        <w:tc>
          <w:tcPr>
            <w:tcW w:w="978" w:type="dxa"/>
            <w:tcBorders>
              <w:top w:val="nil"/>
              <w:left w:val="nil"/>
              <w:bottom w:val="nil"/>
              <w:right w:val="nil"/>
            </w:tcBorders>
          </w:tcPr>
          <w:p w14:paraId="58182ED7" w14:textId="77777777" w:rsidR="00533393" w:rsidRPr="00245E91" w:rsidRDefault="00533393" w:rsidP="00672311">
            <w:pPr>
              <w:spacing w:after="0" w:line="240" w:lineRule="auto"/>
              <w:ind w:left="-100" w:right="-138"/>
              <w:rPr>
                <w:rFonts w:ascii="Times New Roman" w:hAnsi="Times New Roman"/>
                <w:sz w:val="15"/>
                <w:szCs w:val="15"/>
              </w:rPr>
            </w:pPr>
            <w:r w:rsidRPr="00245E91">
              <w:rPr>
                <w:rFonts w:ascii="Times New Roman" w:hAnsi="Times New Roman"/>
                <w:sz w:val="15"/>
                <w:szCs w:val="15"/>
              </w:rPr>
              <w:t>-0.133</w:t>
            </w:r>
          </w:p>
          <w:p w14:paraId="32C9CF97" w14:textId="77777777" w:rsidR="00533393" w:rsidRPr="00245E91" w:rsidRDefault="00533393" w:rsidP="00672311">
            <w:pPr>
              <w:spacing w:after="0" w:line="240" w:lineRule="auto"/>
              <w:ind w:left="-100" w:right="-138"/>
              <w:rPr>
                <w:rFonts w:ascii="Times New Roman" w:eastAsia="Times New Roman" w:hAnsi="Times New Roman"/>
                <w:sz w:val="15"/>
                <w:szCs w:val="15"/>
              </w:rPr>
            </w:pPr>
            <w:r w:rsidRPr="00245E91">
              <w:rPr>
                <w:rFonts w:ascii="Times New Roman" w:hAnsi="Times New Roman"/>
                <w:sz w:val="15"/>
                <w:szCs w:val="15"/>
              </w:rPr>
              <w:t>(-3.52***)</w:t>
            </w:r>
          </w:p>
        </w:tc>
        <w:tc>
          <w:tcPr>
            <w:tcW w:w="978" w:type="dxa"/>
            <w:tcBorders>
              <w:top w:val="nil"/>
              <w:left w:val="nil"/>
              <w:bottom w:val="nil"/>
              <w:right w:val="nil"/>
            </w:tcBorders>
          </w:tcPr>
          <w:p w14:paraId="032D9366" w14:textId="77777777" w:rsidR="00533393" w:rsidRPr="00245E91" w:rsidRDefault="00533393" w:rsidP="00672311">
            <w:pPr>
              <w:spacing w:after="0" w:line="240" w:lineRule="auto"/>
              <w:ind w:left="-23" w:right="-52"/>
              <w:rPr>
                <w:rFonts w:ascii="Times New Roman" w:hAnsi="Times New Roman"/>
                <w:sz w:val="15"/>
                <w:szCs w:val="15"/>
              </w:rPr>
            </w:pPr>
            <w:r w:rsidRPr="00245E91">
              <w:rPr>
                <w:rFonts w:ascii="Times New Roman" w:hAnsi="Times New Roman"/>
                <w:sz w:val="15"/>
                <w:szCs w:val="15"/>
              </w:rPr>
              <w:t>-0.099</w:t>
            </w:r>
          </w:p>
          <w:p w14:paraId="067C64BC" w14:textId="77777777" w:rsidR="00533393" w:rsidRPr="00245E91" w:rsidRDefault="00533393" w:rsidP="00672311">
            <w:pPr>
              <w:spacing w:after="0" w:line="240" w:lineRule="auto"/>
              <w:ind w:right="-52"/>
              <w:rPr>
                <w:rFonts w:ascii="Times New Roman" w:eastAsia="Times New Roman" w:hAnsi="Times New Roman"/>
                <w:sz w:val="15"/>
                <w:szCs w:val="15"/>
              </w:rPr>
            </w:pPr>
            <w:r w:rsidRPr="00245E91">
              <w:rPr>
                <w:rFonts w:ascii="Times New Roman" w:hAnsi="Times New Roman"/>
                <w:sz w:val="15"/>
                <w:szCs w:val="15"/>
              </w:rPr>
              <w:t>(-2.16**)</w:t>
            </w:r>
          </w:p>
        </w:tc>
        <w:tc>
          <w:tcPr>
            <w:tcW w:w="978" w:type="dxa"/>
            <w:tcBorders>
              <w:top w:val="nil"/>
              <w:left w:val="nil"/>
              <w:bottom w:val="nil"/>
              <w:right w:val="nil"/>
            </w:tcBorders>
          </w:tcPr>
          <w:p w14:paraId="6D312802" w14:textId="77777777" w:rsidR="00533393" w:rsidRPr="00245E91" w:rsidRDefault="00533393" w:rsidP="00672311">
            <w:pPr>
              <w:spacing w:after="0" w:line="240" w:lineRule="auto"/>
              <w:ind w:left="-23" w:right="-159"/>
              <w:rPr>
                <w:rFonts w:ascii="Times New Roman" w:hAnsi="Times New Roman"/>
                <w:sz w:val="15"/>
                <w:szCs w:val="15"/>
              </w:rPr>
            </w:pPr>
            <w:r w:rsidRPr="00245E91">
              <w:rPr>
                <w:rFonts w:ascii="Times New Roman" w:hAnsi="Times New Roman"/>
                <w:sz w:val="15"/>
                <w:szCs w:val="15"/>
              </w:rPr>
              <w:t>-0.099</w:t>
            </w:r>
          </w:p>
          <w:p w14:paraId="11D8CFE7" w14:textId="77777777" w:rsidR="00533393" w:rsidRPr="00245E91" w:rsidRDefault="00533393" w:rsidP="00672311">
            <w:pPr>
              <w:spacing w:after="0" w:line="240" w:lineRule="auto"/>
              <w:ind w:right="-159"/>
              <w:rPr>
                <w:rFonts w:ascii="Times New Roman" w:eastAsia="Times New Roman" w:hAnsi="Times New Roman"/>
                <w:sz w:val="15"/>
                <w:szCs w:val="15"/>
              </w:rPr>
            </w:pPr>
            <w:r w:rsidRPr="00245E91">
              <w:rPr>
                <w:rFonts w:ascii="Times New Roman" w:hAnsi="Times New Roman"/>
                <w:sz w:val="15"/>
                <w:szCs w:val="15"/>
              </w:rPr>
              <w:t>(-2.16**)</w:t>
            </w:r>
          </w:p>
        </w:tc>
        <w:tc>
          <w:tcPr>
            <w:tcW w:w="858" w:type="dxa"/>
            <w:tcBorders>
              <w:top w:val="nil"/>
              <w:left w:val="nil"/>
              <w:bottom w:val="nil"/>
              <w:right w:val="nil"/>
            </w:tcBorders>
          </w:tcPr>
          <w:p w14:paraId="45AC8CEF" w14:textId="77777777" w:rsidR="00533393" w:rsidRPr="00245E91" w:rsidRDefault="00533393" w:rsidP="00672311">
            <w:pPr>
              <w:spacing w:after="0" w:line="240" w:lineRule="auto"/>
              <w:ind w:left="-62" w:right="-73"/>
              <w:rPr>
                <w:rFonts w:ascii="Times New Roman" w:hAnsi="Times New Roman"/>
                <w:sz w:val="15"/>
                <w:szCs w:val="15"/>
              </w:rPr>
            </w:pPr>
            <w:r w:rsidRPr="00245E91">
              <w:rPr>
                <w:rFonts w:ascii="Times New Roman" w:hAnsi="Times New Roman"/>
                <w:sz w:val="15"/>
                <w:szCs w:val="15"/>
              </w:rPr>
              <w:t>-0.086</w:t>
            </w:r>
          </w:p>
          <w:p w14:paraId="07A799A0" w14:textId="77777777" w:rsidR="00533393" w:rsidRPr="00245E91" w:rsidRDefault="00533393" w:rsidP="00672311">
            <w:pPr>
              <w:spacing w:after="0" w:line="240" w:lineRule="auto"/>
              <w:ind w:left="-62" w:right="-73"/>
              <w:rPr>
                <w:rFonts w:ascii="Times New Roman" w:eastAsia="Times New Roman" w:hAnsi="Times New Roman"/>
                <w:sz w:val="15"/>
                <w:szCs w:val="15"/>
              </w:rPr>
            </w:pPr>
            <w:r w:rsidRPr="00245E91">
              <w:rPr>
                <w:rFonts w:ascii="Times New Roman" w:hAnsi="Times New Roman"/>
                <w:sz w:val="15"/>
                <w:szCs w:val="15"/>
              </w:rPr>
              <w:t>(-2.79***)</w:t>
            </w:r>
          </w:p>
        </w:tc>
        <w:tc>
          <w:tcPr>
            <w:tcW w:w="990" w:type="dxa"/>
            <w:tcBorders>
              <w:top w:val="nil"/>
              <w:left w:val="nil"/>
              <w:bottom w:val="nil"/>
              <w:right w:val="single" w:sz="4" w:space="0" w:color="auto"/>
            </w:tcBorders>
          </w:tcPr>
          <w:p w14:paraId="43BD38B6" w14:textId="77777777" w:rsidR="00533393" w:rsidRPr="00245E91" w:rsidRDefault="00533393" w:rsidP="00672311">
            <w:pPr>
              <w:spacing w:after="0" w:line="240" w:lineRule="auto"/>
              <w:ind w:left="-23" w:right="-106"/>
              <w:rPr>
                <w:rFonts w:ascii="Times New Roman" w:hAnsi="Times New Roman"/>
                <w:sz w:val="15"/>
                <w:szCs w:val="15"/>
              </w:rPr>
            </w:pPr>
            <w:r w:rsidRPr="00245E91">
              <w:rPr>
                <w:rFonts w:ascii="Times New Roman" w:hAnsi="Times New Roman"/>
                <w:sz w:val="15"/>
                <w:szCs w:val="15"/>
              </w:rPr>
              <w:t>-0.016</w:t>
            </w:r>
          </w:p>
          <w:p w14:paraId="4D3570B0"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(-0.35)</w:t>
            </w:r>
          </w:p>
        </w:tc>
        <w:tc>
          <w:tcPr>
            <w:tcW w:w="968" w:type="dxa"/>
            <w:tcBorders>
              <w:top w:val="nil"/>
              <w:left w:val="single" w:sz="4" w:space="0" w:color="auto"/>
              <w:bottom w:val="nil"/>
              <w:right w:val="nil"/>
            </w:tcBorders>
          </w:tcPr>
          <w:p w14:paraId="1630F039" w14:textId="77777777" w:rsidR="00533393" w:rsidRPr="00245E91" w:rsidRDefault="00533393" w:rsidP="00672311">
            <w:pPr>
              <w:spacing w:after="0" w:line="240" w:lineRule="auto"/>
              <w:ind w:left="-23" w:right="-61"/>
              <w:rPr>
                <w:rFonts w:ascii="Times New Roman" w:hAnsi="Times New Roman"/>
                <w:sz w:val="15"/>
                <w:szCs w:val="15"/>
              </w:rPr>
            </w:pPr>
            <w:r w:rsidRPr="00245E91">
              <w:rPr>
                <w:rFonts w:ascii="Times New Roman" w:hAnsi="Times New Roman"/>
                <w:sz w:val="15"/>
                <w:szCs w:val="15"/>
              </w:rPr>
              <w:t>-0.171</w:t>
            </w:r>
          </w:p>
          <w:p w14:paraId="6E7C7DD7"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(-4.67***)</w:t>
            </w:r>
          </w:p>
        </w:tc>
        <w:tc>
          <w:tcPr>
            <w:tcW w:w="971" w:type="dxa"/>
            <w:tcBorders>
              <w:top w:val="nil"/>
              <w:left w:val="nil"/>
              <w:bottom w:val="nil"/>
              <w:right w:val="nil"/>
            </w:tcBorders>
          </w:tcPr>
          <w:p w14:paraId="38F497B8" w14:textId="77777777" w:rsidR="00533393" w:rsidRPr="00245E91" w:rsidRDefault="00533393" w:rsidP="00672311">
            <w:pPr>
              <w:spacing w:after="0" w:line="240" w:lineRule="auto"/>
              <w:ind w:left="-87" w:right="-151"/>
              <w:rPr>
                <w:rFonts w:ascii="Times New Roman" w:hAnsi="Times New Roman"/>
                <w:sz w:val="15"/>
                <w:szCs w:val="15"/>
              </w:rPr>
            </w:pPr>
            <w:r w:rsidRPr="00245E91">
              <w:rPr>
                <w:rFonts w:ascii="Times New Roman" w:hAnsi="Times New Roman"/>
                <w:sz w:val="15"/>
                <w:szCs w:val="15"/>
              </w:rPr>
              <w:t>-0.181</w:t>
            </w:r>
          </w:p>
          <w:p w14:paraId="1A6D3601" w14:textId="77777777" w:rsidR="00533393" w:rsidRPr="00245E91" w:rsidRDefault="00533393" w:rsidP="00672311">
            <w:pPr>
              <w:spacing w:after="0" w:line="240" w:lineRule="auto"/>
              <w:ind w:left="-87" w:right="-151"/>
              <w:rPr>
                <w:rFonts w:ascii="Times New Roman" w:eastAsia="Times New Roman" w:hAnsi="Times New Roman"/>
                <w:sz w:val="15"/>
                <w:szCs w:val="15"/>
              </w:rPr>
            </w:pPr>
            <w:r w:rsidRPr="00245E91">
              <w:rPr>
                <w:rFonts w:ascii="Times New Roman" w:hAnsi="Times New Roman"/>
                <w:sz w:val="15"/>
                <w:szCs w:val="15"/>
              </w:rPr>
              <w:t>(-4.42***)</w:t>
            </w:r>
          </w:p>
        </w:tc>
        <w:tc>
          <w:tcPr>
            <w:tcW w:w="965" w:type="dxa"/>
            <w:tcBorders>
              <w:top w:val="nil"/>
              <w:left w:val="nil"/>
              <w:bottom w:val="nil"/>
              <w:right w:val="nil"/>
            </w:tcBorders>
          </w:tcPr>
          <w:p w14:paraId="6ABD74C4" w14:textId="77777777" w:rsidR="00533393" w:rsidRPr="00245E91" w:rsidRDefault="00533393" w:rsidP="00672311">
            <w:pPr>
              <w:spacing w:after="0" w:line="240" w:lineRule="auto"/>
              <w:ind w:left="-38" w:right="-168"/>
              <w:rPr>
                <w:rFonts w:ascii="Times New Roman" w:hAnsi="Times New Roman"/>
                <w:sz w:val="15"/>
                <w:szCs w:val="15"/>
              </w:rPr>
            </w:pPr>
            <w:r w:rsidRPr="00245E91">
              <w:rPr>
                <w:rFonts w:ascii="Times New Roman" w:hAnsi="Times New Roman"/>
                <w:sz w:val="15"/>
                <w:szCs w:val="15"/>
              </w:rPr>
              <w:t>-0.121</w:t>
            </w:r>
          </w:p>
          <w:p w14:paraId="01356A15" w14:textId="77777777" w:rsidR="00533393" w:rsidRPr="00245E91" w:rsidRDefault="00533393" w:rsidP="00672311">
            <w:pPr>
              <w:spacing w:after="0" w:line="240" w:lineRule="auto"/>
              <w:ind w:right="-168"/>
              <w:rPr>
                <w:rFonts w:ascii="Times New Roman" w:eastAsia="Times New Roman" w:hAnsi="Times New Roman"/>
                <w:sz w:val="15"/>
                <w:szCs w:val="15"/>
              </w:rPr>
            </w:pPr>
            <w:r w:rsidRPr="00245E91">
              <w:rPr>
                <w:rFonts w:ascii="Times New Roman" w:hAnsi="Times New Roman"/>
                <w:sz w:val="15"/>
                <w:szCs w:val="15"/>
              </w:rPr>
              <w:t>(-2.46**)</w:t>
            </w:r>
          </w:p>
        </w:tc>
        <w:tc>
          <w:tcPr>
            <w:tcW w:w="965" w:type="dxa"/>
            <w:tcBorders>
              <w:top w:val="nil"/>
              <w:left w:val="nil"/>
              <w:bottom w:val="nil"/>
              <w:right w:val="nil"/>
            </w:tcBorders>
          </w:tcPr>
          <w:p w14:paraId="79336A29" w14:textId="77777777" w:rsidR="00533393" w:rsidRPr="00245E91" w:rsidRDefault="00533393" w:rsidP="00672311">
            <w:pPr>
              <w:spacing w:after="0" w:line="240" w:lineRule="auto"/>
              <w:ind w:left="-24"/>
              <w:rPr>
                <w:rFonts w:ascii="Times New Roman" w:hAnsi="Times New Roman"/>
                <w:sz w:val="15"/>
                <w:szCs w:val="15"/>
              </w:rPr>
            </w:pPr>
            <w:r w:rsidRPr="00245E91">
              <w:rPr>
                <w:rFonts w:ascii="Times New Roman" w:hAnsi="Times New Roman"/>
                <w:sz w:val="15"/>
                <w:szCs w:val="15"/>
              </w:rPr>
              <w:t>-0.121</w:t>
            </w:r>
          </w:p>
          <w:p w14:paraId="447CB27D"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(-2.46**)</w:t>
            </w:r>
          </w:p>
        </w:tc>
        <w:tc>
          <w:tcPr>
            <w:tcW w:w="901" w:type="dxa"/>
            <w:tcBorders>
              <w:top w:val="nil"/>
              <w:left w:val="nil"/>
              <w:bottom w:val="nil"/>
              <w:right w:val="nil"/>
            </w:tcBorders>
          </w:tcPr>
          <w:p w14:paraId="7ED833B5" w14:textId="77777777" w:rsidR="00533393" w:rsidRPr="00245E91" w:rsidRDefault="00533393" w:rsidP="00672311">
            <w:pPr>
              <w:spacing w:after="0" w:line="240" w:lineRule="auto"/>
              <w:ind w:left="-114" w:right="-138"/>
              <w:rPr>
                <w:rFonts w:ascii="Times New Roman" w:hAnsi="Times New Roman"/>
                <w:sz w:val="15"/>
                <w:szCs w:val="15"/>
              </w:rPr>
            </w:pPr>
            <w:r w:rsidRPr="00245E91">
              <w:rPr>
                <w:rFonts w:ascii="Times New Roman" w:hAnsi="Times New Roman"/>
                <w:sz w:val="15"/>
                <w:szCs w:val="15"/>
              </w:rPr>
              <w:t>-0.145</w:t>
            </w:r>
          </w:p>
          <w:p w14:paraId="47449FD7" w14:textId="77777777" w:rsidR="00533393" w:rsidRPr="00245E91" w:rsidRDefault="00533393" w:rsidP="00672311">
            <w:pPr>
              <w:spacing w:after="0" w:line="240" w:lineRule="auto"/>
              <w:ind w:right="-138"/>
              <w:rPr>
                <w:rFonts w:ascii="Times New Roman" w:eastAsia="Times New Roman" w:hAnsi="Times New Roman"/>
                <w:sz w:val="15"/>
                <w:szCs w:val="15"/>
              </w:rPr>
            </w:pPr>
            <w:r w:rsidRPr="00245E91">
              <w:rPr>
                <w:rFonts w:ascii="Times New Roman" w:hAnsi="Times New Roman"/>
                <w:sz w:val="15"/>
                <w:szCs w:val="15"/>
              </w:rPr>
              <w:t>(-4.22***)</w:t>
            </w:r>
          </w:p>
        </w:tc>
        <w:tc>
          <w:tcPr>
            <w:tcW w:w="972" w:type="dxa"/>
            <w:tcBorders>
              <w:top w:val="nil"/>
              <w:left w:val="nil"/>
              <w:bottom w:val="nil"/>
              <w:right w:val="nil"/>
            </w:tcBorders>
          </w:tcPr>
          <w:p w14:paraId="2EB4C2F7" w14:textId="77777777" w:rsidR="00533393" w:rsidRPr="00245E91" w:rsidRDefault="00533393" w:rsidP="00672311">
            <w:pPr>
              <w:spacing w:after="0" w:line="240" w:lineRule="auto"/>
              <w:ind w:left="-108" w:right="-104"/>
              <w:rPr>
                <w:rFonts w:ascii="Times New Roman" w:hAnsi="Times New Roman"/>
                <w:sz w:val="15"/>
                <w:szCs w:val="15"/>
              </w:rPr>
            </w:pPr>
            <w:r w:rsidRPr="00245E91">
              <w:rPr>
                <w:rFonts w:ascii="Times New Roman" w:hAnsi="Times New Roman"/>
                <w:sz w:val="15"/>
                <w:szCs w:val="15"/>
              </w:rPr>
              <w:t>-0.095</w:t>
            </w:r>
          </w:p>
          <w:p w14:paraId="67A8389F" w14:textId="77777777" w:rsidR="00533393" w:rsidRPr="00245E91" w:rsidRDefault="00533393" w:rsidP="00672311">
            <w:pPr>
              <w:spacing w:after="0" w:line="240" w:lineRule="auto"/>
              <w:ind w:left="-108" w:right="-104"/>
              <w:rPr>
                <w:rFonts w:ascii="Times New Roman" w:eastAsia="Times New Roman" w:hAnsi="Times New Roman"/>
                <w:sz w:val="15"/>
                <w:szCs w:val="15"/>
              </w:rPr>
            </w:pPr>
            <w:r w:rsidRPr="00245E91">
              <w:rPr>
                <w:rFonts w:ascii="Times New Roman" w:hAnsi="Times New Roman"/>
                <w:sz w:val="15"/>
                <w:szCs w:val="15"/>
              </w:rPr>
              <w:t>(-2.05**)</w:t>
            </w:r>
          </w:p>
        </w:tc>
      </w:tr>
      <w:tr w:rsidR="00533393" w:rsidRPr="00245E91" w14:paraId="2975F1EA" w14:textId="77777777" w:rsidTr="00672311">
        <w:tblPrEx>
          <w:tblBorders>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440" w:type="dxa"/>
            <w:tcBorders>
              <w:top w:val="nil"/>
              <w:left w:val="nil"/>
              <w:bottom w:val="nil"/>
              <w:right w:val="nil"/>
            </w:tcBorders>
          </w:tcPr>
          <w:p w14:paraId="49FD43AA" w14:textId="77777777" w:rsidR="00533393" w:rsidRPr="00245E91" w:rsidRDefault="00533393" w:rsidP="00672311">
            <w:pPr>
              <w:spacing w:after="0" w:line="240" w:lineRule="auto"/>
              <w:ind w:right="-104"/>
              <w:rPr>
                <w:rFonts w:ascii="Times New Roman" w:eastAsia="Times New Roman" w:hAnsi="Times New Roman"/>
                <w:sz w:val="15"/>
                <w:szCs w:val="15"/>
              </w:rPr>
            </w:pPr>
            <w:r w:rsidRPr="00245E91">
              <w:rPr>
                <w:rFonts w:ascii="Times New Roman" w:hAnsi="Times New Roman"/>
                <w:sz w:val="15"/>
                <w:szCs w:val="15"/>
              </w:rPr>
              <w:t>MKBK</w:t>
            </w:r>
          </w:p>
        </w:tc>
        <w:tc>
          <w:tcPr>
            <w:tcW w:w="978" w:type="dxa"/>
            <w:gridSpan w:val="2"/>
            <w:tcBorders>
              <w:top w:val="nil"/>
              <w:left w:val="nil"/>
              <w:bottom w:val="nil"/>
              <w:right w:val="nil"/>
            </w:tcBorders>
          </w:tcPr>
          <w:p w14:paraId="14199DB6" w14:textId="77777777" w:rsidR="00533393" w:rsidRPr="00245E91" w:rsidRDefault="00533393" w:rsidP="00672311">
            <w:pPr>
              <w:spacing w:after="0" w:line="240" w:lineRule="auto"/>
              <w:ind w:right="-31"/>
              <w:rPr>
                <w:rFonts w:ascii="Times New Roman" w:hAnsi="Times New Roman"/>
                <w:sz w:val="15"/>
                <w:szCs w:val="15"/>
              </w:rPr>
            </w:pPr>
            <w:r w:rsidRPr="00245E91">
              <w:rPr>
                <w:rFonts w:ascii="Times New Roman" w:hAnsi="Times New Roman"/>
                <w:sz w:val="15"/>
                <w:szCs w:val="15"/>
              </w:rPr>
              <w:t>0.021</w:t>
            </w:r>
          </w:p>
          <w:p w14:paraId="35C41780" w14:textId="77777777" w:rsidR="00533393" w:rsidRPr="00245E91" w:rsidRDefault="00533393" w:rsidP="00672311">
            <w:pPr>
              <w:spacing w:after="0" w:line="240" w:lineRule="auto"/>
              <w:ind w:right="-31"/>
              <w:rPr>
                <w:rFonts w:ascii="Times New Roman" w:eastAsia="Times New Roman" w:hAnsi="Times New Roman"/>
                <w:sz w:val="15"/>
                <w:szCs w:val="15"/>
              </w:rPr>
            </w:pPr>
            <w:r w:rsidRPr="00245E91">
              <w:rPr>
                <w:rFonts w:ascii="Times New Roman" w:hAnsi="Times New Roman"/>
                <w:sz w:val="15"/>
                <w:szCs w:val="15"/>
              </w:rPr>
              <w:t>(0.50)</w:t>
            </w:r>
          </w:p>
        </w:tc>
        <w:tc>
          <w:tcPr>
            <w:tcW w:w="978" w:type="dxa"/>
            <w:tcBorders>
              <w:top w:val="nil"/>
              <w:left w:val="nil"/>
              <w:bottom w:val="nil"/>
              <w:right w:val="nil"/>
            </w:tcBorders>
          </w:tcPr>
          <w:p w14:paraId="3EC64ECF" w14:textId="77777777" w:rsidR="00533393" w:rsidRPr="00245E91" w:rsidRDefault="00533393" w:rsidP="00672311">
            <w:pPr>
              <w:spacing w:after="0" w:line="240" w:lineRule="auto"/>
              <w:ind w:left="-100" w:right="-138"/>
              <w:rPr>
                <w:rFonts w:ascii="Times New Roman" w:hAnsi="Times New Roman"/>
                <w:sz w:val="15"/>
                <w:szCs w:val="15"/>
              </w:rPr>
            </w:pPr>
            <w:r w:rsidRPr="00245E91">
              <w:rPr>
                <w:rFonts w:ascii="Times New Roman" w:hAnsi="Times New Roman"/>
                <w:sz w:val="15"/>
                <w:szCs w:val="15"/>
              </w:rPr>
              <w:t>0.027</w:t>
            </w:r>
          </w:p>
          <w:p w14:paraId="58CA35B6" w14:textId="77777777" w:rsidR="00533393" w:rsidRPr="00245E91" w:rsidRDefault="00533393" w:rsidP="00672311">
            <w:pPr>
              <w:spacing w:after="0" w:line="240" w:lineRule="auto"/>
              <w:ind w:left="-100" w:right="-138"/>
              <w:rPr>
                <w:rFonts w:ascii="Times New Roman" w:eastAsia="Times New Roman" w:hAnsi="Times New Roman"/>
                <w:sz w:val="15"/>
                <w:szCs w:val="15"/>
              </w:rPr>
            </w:pPr>
            <w:r w:rsidRPr="00245E91">
              <w:rPr>
                <w:rFonts w:ascii="Times New Roman" w:hAnsi="Times New Roman"/>
                <w:sz w:val="15"/>
                <w:szCs w:val="15"/>
              </w:rPr>
              <w:t>(0.69 )</w:t>
            </w:r>
          </w:p>
        </w:tc>
        <w:tc>
          <w:tcPr>
            <w:tcW w:w="978" w:type="dxa"/>
            <w:tcBorders>
              <w:top w:val="nil"/>
              <w:left w:val="nil"/>
              <w:bottom w:val="nil"/>
              <w:right w:val="nil"/>
            </w:tcBorders>
          </w:tcPr>
          <w:p w14:paraId="607B7124" w14:textId="77777777" w:rsidR="00533393" w:rsidRPr="00245E91" w:rsidRDefault="00533393" w:rsidP="00672311">
            <w:pPr>
              <w:spacing w:after="0" w:line="240" w:lineRule="auto"/>
              <w:ind w:left="-23" w:right="-52"/>
              <w:rPr>
                <w:rFonts w:ascii="Times New Roman" w:hAnsi="Times New Roman"/>
                <w:sz w:val="15"/>
                <w:szCs w:val="15"/>
              </w:rPr>
            </w:pPr>
            <w:r w:rsidRPr="00245E91">
              <w:rPr>
                <w:rFonts w:ascii="Times New Roman" w:hAnsi="Times New Roman"/>
                <w:sz w:val="15"/>
                <w:szCs w:val="15"/>
              </w:rPr>
              <w:t>0.036</w:t>
            </w:r>
          </w:p>
          <w:p w14:paraId="7AB04CBD" w14:textId="77777777" w:rsidR="00533393" w:rsidRPr="00245E91" w:rsidRDefault="00533393" w:rsidP="00672311">
            <w:pPr>
              <w:spacing w:after="0" w:line="240" w:lineRule="auto"/>
              <w:ind w:right="-52"/>
              <w:rPr>
                <w:rFonts w:ascii="Times New Roman" w:eastAsia="Times New Roman" w:hAnsi="Times New Roman"/>
                <w:sz w:val="15"/>
                <w:szCs w:val="15"/>
              </w:rPr>
            </w:pPr>
            <w:r w:rsidRPr="00245E91">
              <w:rPr>
                <w:rFonts w:ascii="Times New Roman" w:hAnsi="Times New Roman"/>
                <w:sz w:val="15"/>
                <w:szCs w:val="15"/>
              </w:rPr>
              <w:t>(0.87)</w:t>
            </w:r>
          </w:p>
        </w:tc>
        <w:tc>
          <w:tcPr>
            <w:tcW w:w="978" w:type="dxa"/>
            <w:tcBorders>
              <w:top w:val="nil"/>
              <w:left w:val="nil"/>
              <w:bottom w:val="nil"/>
              <w:right w:val="nil"/>
            </w:tcBorders>
          </w:tcPr>
          <w:p w14:paraId="587CE69F" w14:textId="77777777" w:rsidR="00533393" w:rsidRPr="00245E91" w:rsidRDefault="00533393" w:rsidP="00672311">
            <w:pPr>
              <w:spacing w:after="0" w:line="240" w:lineRule="auto"/>
              <w:ind w:left="-23" w:right="-159"/>
              <w:rPr>
                <w:rFonts w:ascii="Times New Roman" w:hAnsi="Times New Roman"/>
                <w:sz w:val="15"/>
                <w:szCs w:val="15"/>
              </w:rPr>
            </w:pPr>
            <w:r w:rsidRPr="00245E91">
              <w:rPr>
                <w:rFonts w:ascii="Times New Roman" w:hAnsi="Times New Roman"/>
                <w:sz w:val="15"/>
                <w:szCs w:val="15"/>
              </w:rPr>
              <w:t>0.036</w:t>
            </w:r>
          </w:p>
          <w:p w14:paraId="4AA83442" w14:textId="77777777" w:rsidR="00533393" w:rsidRPr="00245E91" w:rsidRDefault="00533393" w:rsidP="00672311">
            <w:pPr>
              <w:spacing w:after="0" w:line="240" w:lineRule="auto"/>
              <w:ind w:right="-159"/>
              <w:rPr>
                <w:rFonts w:ascii="Times New Roman" w:eastAsia="Times New Roman" w:hAnsi="Times New Roman"/>
                <w:sz w:val="15"/>
                <w:szCs w:val="15"/>
              </w:rPr>
            </w:pPr>
            <w:r w:rsidRPr="00245E91">
              <w:rPr>
                <w:rFonts w:ascii="Times New Roman" w:hAnsi="Times New Roman"/>
                <w:sz w:val="15"/>
                <w:szCs w:val="15"/>
              </w:rPr>
              <w:t>(0.87)</w:t>
            </w:r>
          </w:p>
        </w:tc>
        <w:tc>
          <w:tcPr>
            <w:tcW w:w="858" w:type="dxa"/>
            <w:tcBorders>
              <w:top w:val="nil"/>
              <w:left w:val="nil"/>
              <w:bottom w:val="nil"/>
              <w:right w:val="nil"/>
            </w:tcBorders>
          </w:tcPr>
          <w:p w14:paraId="31E9A14B" w14:textId="77777777" w:rsidR="00533393" w:rsidRPr="00245E91" w:rsidRDefault="00533393" w:rsidP="00672311">
            <w:pPr>
              <w:spacing w:after="0" w:line="240" w:lineRule="auto"/>
              <w:ind w:left="-62" w:right="-73"/>
              <w:rPr>
                <w:rFonts w:ascii="Times New Roman" w:hAnsi="Times New Roman"/>
                <w:sz w:val="15"/>
                <w:szCs w:val="15"/>
              </w:rPr>
            </w:pPr>
            <w:r w:rsidRPr="00245E91">
              <w:rPr>
                <w:rFonts w:ascii="Times New Roman" w:hAnsi="Times New Roman"/>
                <w:sz w:val="15"/>
                <w:szCs w:val="15"/>
              </w:rPr>
              <w:t>-0.018</w:t>
            </w:r>
          </w:p>
          <w:p w14:paraId="6ADD8180" w14:textId="77777777" w:rsidR="00533393" w:rsidRPr="00245E91" w:rsidRDefault="00533393" w:rsidP="00672311">
            <w:pPr>
              <w:spacing w:after="0" w:line="240" w:lineRule="auto"/>
              <w:ind w:left="-62" w:right="-73"/>
              <w:rPr>
                <w:rFonts w:ascii="Times New Roman" w:eastAsia="Times New Roman" w:hAnsi="Times New Roman"/>
                <w:sz w:val="15"/>
                <w:szCs w:val="15"/>
              </w:rPr>
            </w:pPr>
            <w:r w:rsidRPr="00245E91">
              <w:rPr>
                <w:rFonts w:ascii="Times New Roman" w:hAnsi="Times New Roman"/>
                <w:sz w:val="15"/>
                <w:szCs w:val="15"/>
              </w:rPr>
              <w:t>(-0.53)</w:t>
            </w:r>
          </w:p>
        </w:tc>
        <w:tc>
          <w:tcPr>
            <w:tcW w:w="990" w:type="dxa"/>
            <w:tcBorders>
              <w:top w:val="nil"/>
              <w:left w:val="nil"/>
              <w:bottom w:val="nil"/>
              <w:right w:val="single" w:sz="4" w:space="0" w:color="auto"/>
            </w:tcBorders>
          </w:tcPr>
          <w:p w14:paraId="4EBE01BC" w14:textId="77777777" w:rsidR="00533393" w:rsidRPr="00245E91" w:rsidRDefault="00533393" w:rsidP="00672311">
            <w:pPr>
              <w:spacing w:after="0" w:line="240" w:lineRule="auto"/>
              <w:ind w:left="-23" w:right="-106"/>
              <w:rPr>
                <w:rFonts w:ascii="Times New Roman" w:hAnsi="Times New Roman"/>
                <w:sz w:val="15"/>
                <w:szCs w:val="15"/>
              </w:rPr>
            </w:pPr>
            <w:r w:rsidRPr="00245E91">
              <w:rPr>
                <w:rFonts w:ascii="Times New Roman" w:hAnsi="Times New Roman"/>
                <w:sz w:val="15"/>
                <w:szCs w:val="15"/>
              </w:rPr>
              <w:t>0.041</w:t>
            </w:r>
          </w:p>
          <w:p w14:paraId="6A557B69"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(1.10)</w:t>
            </w:r>
          </w:p>
        </w:tc>
        <w:tc>
          <w:tcPr>
            <w:tcW w:w="968" w:type="dxa"/>
            <w:tcBorders>
              <w:top w:val="nil"/>
              <w:left w:val="single" w:sz="4" w:space="0" w:color="auto"/>
              <w:bottom w:val="nil"/>
              <w:right w:val="nil"/>
            </w:tcBorders>
          </w:tcPr>
          <w:p w14:paraId="6C6C5D7C" w14:textId="77777777" w:rsidR="00533393" w:rsidRPr="00245E91" w:rsidRDefault="00533393" w:rsidP="00672311">
            <w:pPr>
              <w:spacing w:after="0" w:line="240" w:lineRule="auto"/>
              <w:ind w:left="-23" w:right="-61"/>
              <w:rPr>
                <w:rFonts w:ascii="Times New Roman" w:hAnsi="Times New Roman"/>
                <w:sz w:val="15"/>
                <w:szCs w:val="15"/>
              </w:rPr>
            </w:pPr>
            <w:r w:rsidRPr="00245E91">
              <w:rPr>
                <w:rFonts w:ascii="Times New Roman" w:hAnsi="Times New Roman"/>
                <w:sz w:val="15"/>
                <w:szCs w:val="15"/>
              </w:rPr>
              <w:t>-0.041</w:t>
            </w:r>
          </w:p>
          <w:p w14:paraId="144B3EEF"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(-0.98)</w:t>
            </w:r>
          </w:p>
        </w:tc>
        <w:tc>
          <w:tcPr>
            <w:tcW w:w="971" w:type="dxa"/>
            <w:tcBorders>
              <w:top w:val="nil"/>
              <w:left w:val="nil"/>
              <w:bottom w:val="nil"/>
              <w:right w:val="nil"/>
            </w:tcBorders>
          </w:tcPr>
          <w:p w14:paraId="25BA050F" w14:textId="77777777" w:rsidR="00533393" w:rsidRPr="00245E91" w:rsidRDefault="00533393" w:rsidP="00672311">
            <w:pPr>
              <w:spacing w:after="0" w:line="240" w:lineRule="auto"/>
              <w:ind w:left="-87" w:right="-151"/>
              <w:rPr>
                <w:rFonts w:ascii="Times New Roman" w:hAnsi="Times New Roman"/>
                <w:sz w:val="15"/>
                <w:szCs w:val="15"/>
              </w:rPr>
            </w:pPr>
            <w:r w:rsidRPr="00245E91">
              <w:rPr>
                <w:rFonts w:ascii="Times New Roman" w:hAnsi="Times New Roman"/>
                <w:sz w:val="15"/>
                <w:szCs w:val="15"/>
              </w:rPr>
              <w:t>-0.023</w:t>
            </w:r>
          </w:p>
          <w:p w14:paraId="6C60C6B2" w14:textId="77777777" w:rsidR="00533393" w:rsidRPr="00245E91" w:rsidRDefault="00533393" w:rsidP="00672311">
            <w:pPr>
              <w:spacing w:after="0" w:line="240" w:lineRule="auto"/>
              <w:ind w:left="-87" w:right="-151"/>
              <w:rPr>
                <w:rFonts w:ascii="Times New Roman" w:eastAsia="Times New Roman" w:hAnsi="Times New Roman"/>
                <w:sz w:val="15"/>
                <w:szCs w:val="15"/>
              </w:rPr>
            </w:pPr>
            <w:r w:rsidRPr="00245E91">
              <w:rPr>
                <w:rFonts w:ascii="Times New Roman" w:hAnsi="Times New Roman"/>
                <w:sz w:val="15"/>
                <w:szCs w:val="15"/>
              </w:rPr>
              <w:t>(-0.57)</w:t>
            </w:r>
          </w:p>
        </w:tc>
        <w:tc>
          <w:tcPr>
            <w:tcW w:w="965" w:type="dxa"/>
            <w:tcBorders>
              <w:top w:val="nil"/>
              <w:left w:val="nil"/>
              <w:bottom w:val="nil"/>
              <w:right w:val="nil"/>
            </w:tcBorders>
          </w:tcPr>
          <w:p w14:paraId="57B387FC" w14:textId="77777777" w:rsidR="00533393" w:rsidRPr="00245E91" w:rsidRDefault="00533393" w:rsidP="00672311">
            <w:pPr>
              <w:spacing w:after="0" w:line="240" w:lineRule="auto"/>
              <w:ind w:left="-38" w:right="-168"/>
              <w:rPr>
                <w:rFonts w:ascii="Times New Roman" w:hAnsi="Times New Roman"/>
                <w:sz w:val="15"/>
                <w:szCs w:val="15"/>
              </w:rPr>
            </w:pPr>
            <w:r w:rsidRPr="00245E91">
              <w:rPr>
                <w:rFonts w:ascii="Times New Roman" w:hAnsi="Times New Roman"/>
                <w:sz w:val="15"/>
                <w:szCs w:val="15"/>
              </w:rPr>
              <w:t>-0.015</w:t>
            </w:r>
          </w:p>
          <w:p w14:paraId="1D74A8FD" w14:textId="77777777" w:rsidR="00533393" w:rsidRPr="00245E91" w:rsidRDefault="00533393" w:rsidP="00672311">
            <w:pPr>
              <w:spacing w:after="0" w:line="240" w:lineRule="auto"/>
              <w:ind w:right="-168"/>
              <w:rPr>
                <w:rFonts w:ascii="Times New Roman" w:eastAsia="Times New Roman" w:hAnsi="Times New Roman"/>
                <w:sz w:val="15"/>
                <w:szCs w:val="15"/>
              </w:rPr>
            </w:pPr>
            <w:r w:rsidRPr="00245E91">
              <w:rPr>
                <w:rFonts w:ascii="Times New Roman" w:hAnsi="Times New Roman"/>
                <w:sz w:val="15"/>
                <w:szCs w:val="15"/>
              </w:rPr>
              <w:t>(-0.35)</w:t>
            </w:r>
          </w:p>
        </w:tc>
        <w:tc>
          <w:tcPr>
            <w:tcW w:w="965" w:type="dxa"/>
            <w:tcBorders>
              <w:top w:val="nil"/>
              <w:left w:val="nil"/>
              <w:bottom w:val="nil"/>
              <w:right w:val="nil"/>
            </w:tcBorders>
          </w:tcPr>
          <w:p w14:paraId="1F83AE9B" w14:textId="77777777" w:rsidR="00533393" w:rsidRPr="00245E91" w:rsidRDefault="00533393" w:rsidP="00672311">
            <w:pPr>
              <w:spacing w:after="0" w:line="240" w:lineRule="auto"/>
              <w:ind w:left="-24"/>
              <w:rPr>
                <w:rFonts w:ascii="Times New Roman" w:hAnsi="Times New Roman"/>
                <w:sz w:val="15"/>
                <w:szCs w:val="15"/>
              </w:rPr>
            </w:pPr>
            <w:r w:rsidRPr="00245E91">
              <w:rPr>
                <w:rFonts w:ascii="Times New Roman" w:hAnsi="Times New Roman"/>
                <w:sz w:val="15"/>
                <w:szCs w:val="15"/>
              </w:rPr>
              <w:t>-0.015</w:t>
            </w:r>
          </w:p>
          <w:p w14:paraId="19CE28BB"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(-0.35)</w:t>
            </w:r>
          </w:p>
        </w:tc>
        <w:tc>
          <w:tcPr>
            <w:tcW w:w="901" w:type="dxa"/>
            <w:tcBorders>
              <w:top w:val="nil"/>
              <w:left w:val="nil"/>
              <w:bottom w:val="nil"/>
              <w:right w:val="nil"/>
            </w:tcBorders>
          </w:tcPr>
          <w:p w14:paraId="14FD5F29" w14:textId="77777777" w:rsidR="00533393" w:rsidRPr="00245E91" w:rsidRDefault="00533393" w:rsidP="00672311">
            <w:pPr>
              <w:spacing w:after="0" w:line="240" w:lineRule="auto"/>
              <w:ind w:left="-114" w:right="-138"/>
              <w:rPr>
                <w:rFonts w:ascii="Times New Roman" w:hAnsi="Times New Roman"/>
                <w:sz w:val="15"/>
                <w:szCs w:val="15"/>
              </w:rPr>
            </w:pPr>
            <w:r w:rsidRPr="00245E91">
              <w:rPr>
                <w:rFonts w:ascii="Times New Roman" w:hAnsi="Times New Roman"/>
                <w:sz w:val="15"/>
                <w:szCs w:val="15"/>
              </w:rPr>
              <w:t>-0.068</w:t>
            </w:r>
          </w:p>
          <w:p w14:paraId="57385779" w14:textId="77777777" w:rsidR="00533393" w:rsidRPr="00245E91" w:rsidRDefault="00533393" w:rsidP="00672311">
            <w:pPr>
              <w:spacing w:after="0" w:line="240" w:lineRule="auto"/>
              <w:ind w:right="-138"/>
              <w:rPr>
                <w:rFonts w:ascii="Times New Roman" w:eastAsia="Times New Roman" w:hAnsi="Times New Roman"/>
                <w:sz w:val="15"/>
                <w:szCs w:val="15"/>
              </w:rPr>
            </w:pPr>
            <w:r w:rsidRPr="00245E91">
              <w:rPr>
                <w:rFonts w:ascii="Times New Roman" w:hAnsi="Times New Roman"/>
                <w:sz w:val="15"/>
                <w:szCs w:val="15"/>
              </w:rPr>
              <w:t>(-1.87*)</w:t>
            </w:r>
          </w:p>
        </w:tc>
        <w:tc>
          <w:tcPr>
            <w:tcW w:w="972" w:type="dxa"/>
            <w:tcBorders>
              <w:top w:val="nil"/>
              <w:left w:val="nil"/>
              <w:bottom w:val="nil"/>
              <w:right w:val="nil"/>
            </w:tcBorders>
          </w:tcPr>
          <w:p w14:paraId="2780A3E9" w14:textId="77777777" w:rsidR="00533393" w:rsidRPr="00245E91" w:rsidRDefault="00533393" w:rsidP="00672311">
            <w:pPr>
              <w:spacing w:after="0" w:line="240" w:lineRule="auto"/>
              <w:ind w:left="-108" w:right="-104"/>
              <w:rPr>
                <w:rFonts w:ascii="Times New Roman" w:hAnsi="Times New Roman"/>
                <w:sz w:val="15"/>
                <w:szCs w:val="15"/>
              </w:rPr>
            </w:pPr>
            <w:r w:rsidRPr="00245E91">
              <w:rPr>
                <w:rFonts w:ascii="Times New Roman" w:hAnsi="Times New Roman"/>
                <w:sz w:val="15"/>
                <w:szCs w:val="15"/>
              </w:rPr>
              <w:t>-0.008</w:t>
            </w:r>
          </w:p>
          <w:p w14:paraId="0D1CEB27" w14:textId="77777777" w:rsidR="00533393" w:rsidRPr="00245E91" w:rsidRDefault="00533393" w:rsidP="00672311">
            <w:pPr>
              <w:spacing w:after="0" w:line="240" w:lineRule="auto"/>
              <w:ind w:left="-108" w:right="-104"/>
              <w:rPr>
                <w:rFonts w:ascii="Times New Roman" w:eastAsia="Times New Roman" w:hAnsi="Times New Roman"/>
                <w:sz w:val="15"/>
                <w:szCs w:val="15"/>
              </w:rPr>
            </w:pPr>
            <w:r w:rsidRPr="00245E91">
              <w:rPr>
                <w:rFonts w:ascii="Times New Roman" w:hAnsi="Times New Roman"/>
                <w:sz w:val="15"/>
                <w:szCs w:val="15"/>
              </w:rPr>
              <w:t>(-0.18 )</w:t>
            </w:r>
          </w:p>
        </w:tc>
      </w:tr>
      <w:tr w:rsidR="00533393" w:rsidRPr="00245E91" w14:paraId="2B703A73" w14:textId="77777777" w:rsidTr="00672311">
        <w:tblPrEx>
          <w:tblBorders>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440" w:type="dxa"/>
            <w:tcBorders>
              <w:top w:val="nil"/>
              <w:left w:val="nil"/>
              <w:bottom w:val="nil"/>
              <w:right w:val="nil"/>
            </w:tcBorders>
          </w:tcPr>
          <w:p w14:paraId="2CCE6112" w14:textId="77777777" w:rsidR="00533393" w:rsidRPr="00245E91" w:rsidRDefault="00533393" w:rsidP="00672311">
            <w:pPr>
              <w:spacing w:after="0" w:line="240" w:lineRule="auto"/>
              <w:ind w:right="-104"/>
              <w:rPr>
                <w:rFonts w:ascii="Times New Roman" w:eastAsia="Times New Roman" w:hAnsi="Times New Roman"/>
                <w:sz w:val="15"/>
                <w:szCs w:val="15"/>
              </w:rPr>
            </w:pPr>
            <w:r w:rsidRPr="00245E91">
              <w:rPr>
                <w:rFonts w:ascii="Times New Roman" w:hAnsi="Times New Roman"/>
                <w:sz w:val="15"/>
                <w:szCs w:val="15"/>
              </w:rPr>
              <w:t>LIQUIDITY</w:t>
            </w:r>
          </w:p>
        </w:tc>
        <w:tc>
          <w:tcPr>
            <w:tcW w:w="978" w:type="dxa"/>
            <w:gridSpan w:val="2"/>
            <w:tcBorders>
              <w:top w:val="nil"/>
              <w:left w:val="nil"/>
              <w:bottom w:val="nil"/>
              <w:right w:val="nil"/>
            </w:tcBorders>
          </w:tcPr>
          <w:p w14:paraId="046EB8D3" w14:textId="77777777" w:rsidR="00533393" w:rsidRPr="00245E91" w:rsidRDefault="00533393" w:rsidP="00672311">
            <w:pPr>
              <w:spacing w:after="0" w:line="240" w:lineRule="auto"/>
              <w:ind w:right="-31"/>
              <w:rPr>
                <w:rFonts w:ascii="Times New Roman" w:hAnsi="Times New Roman"/>
                <w:sz w:val="15"/>
                <w:szCs w:val="15"/>
              </w:rPr>
            </w:pPr>
            <w:r w:rsidRPr="00245E91">
              <w:rPr>
                <w:rFonts w:ascii="Times New Roman" w:hAnsi="Times New Roman"/>
                <w:sz w:val="15"/>
                <w:szCs w:val="15"/>
              </w:rPr>
              <w:t>-0.056</w:t>
            </w:r>
          </w:p>
          <w:p w14:paraId="26B51C7E" w14:textId="77777777" w:rsidR="00533393" w:rsidRPr="00245E91" w:rsidRDefault="00533393" w:rsidP="00672311">
            <w:pPr>
              <w:spacing w:after="0" w:line="240" w:lineRule="auto"/>
              <w:ind w:right="-31"/>
              <w:rPr>
                <w:rFonts w:ascii="Times New Roman" w:eastAsia="Times New Roman" w:hAnsi="Times New Roman"/>
                <w:sz w:val="15"/>
                <w:szCs w:val="15"/>
              </w:rPr>
            </w:pPr>
            <w:r w:rsidRPr="00245E91">
              <w:rPr>
                <w:rFonts w:ascii="Times New Roman" w:hAnsi="Times New Roman"/>
                <w:sz w:val="15"/>
                <w:szCs w:val="15"/>
              </w:rPr>
              <w:t>(-1.79*)</w:t>
            </w:r>
          </w:p>
        </w:tc>
        <w:tc>
          <w:tcPr>
            <w:tcW w:w="978" w:type="dxa"/>
            <w:tcBorders>
              <w:top w:val="nil"/>
              <w:left w:val="nil"/>
              <w:bottom w:val="nil"/>
              <w:right w:val="nil"/>
            </w:tcBorders>
          </w:tcPr>
          <w:p w14:paraId="0D12DD33" w14:textId="77777777" w:rsidR="00533393" w:rsidRPr="00245E91" w:rsidRDefault="00533393" w:rsidP="00672311">
            <w:pPr>
              <w:spacing w:after="0" w:line="240" w:lineRule="auto"/>
              <w:ind w:left="-100" w:right="-138"/>
              <w:rPr>
                <w:rFonts w:ascii="Times New Roman" w:hAnsi="Times New Roman"/>
                <w:sz w:val="15"/>
                <w:szCs w:val="15"/>
              </w:rPr>
            </w:pPr>
            <w:r w:rsidRPr="00245E91">
              <w:rPr>
                <w:rFonts w:ascii="Times New Roman" w:hAnsi="Times New Roman"/>
                <w:sz w:val="15"/>
                <w:szCs w:val="15"/>
              </w:rPr>
              <w:t>-0.079</w:t>
            </w:r>
          </w:p>
          <w:p w14:paraId="27BCB5AF" w14:textId="77777777" w:rsidR="00533393" w:rsidRPr="00245E91" w:rsidRDefault="00533393" w:rsidP="00672311">
            <w:pPr>
              <w:spacing w:after="0" w:line="240" w:lineRule="auto"/>
              <w:ind w:left="-100" w:right="-138"/>
              <w:rPr>
                <w:rFonts w:ascii="Times New Roman" w:eastAsia="Times New Roman" w:hAnsi="Times New Roman"/>
                <w:sz w:val="15"/>
                <w:szCs w:val="15"/>
              </w:rPr>
            </w:pPr>
            <w:r w:rsidRPr="00245E91">
              <w:rPr>
                <w:rFonts w:ascii="Times New Roman" w:hAnsi="Times New Roman"/>
                <w:sz w:val="15"/>
                <w:szCs w:val="15"/>
              </w:rPr>
              <w:t>(-2.25**)</w:t>
            </w:r>
          </w:p>
        </w:tc>
        <w:tc>
          <w:tcPr>
            <w:tcW w:w="978" w:type="dxa"/>
            <w:tcBorders>
              <w:top w:val="nil"/>
              <w:left w:val="nil"/>
              <w:bottom w:val="nil"/>
              <w:right w:val="nil"/>
            </w:tcBorders>
          </w:tcPr>
          <w:p w14:paraId="0D92D158" w14:textId="77777777" w:rsidR="00533393" w:rsidRPr="00245E91" w:rsidRDefault="00533393" w:rsidP="00672311">
            <w:pPr>
              <w:spacing w:after="0" w:line="240" w:lineRule="auto"/>
              <w:ind w:left="-23" w:right="-52"/>
              <w:rPr>
                <w:rFonts w:ascii="Times New Roman" w:hAnsi="Times New Roman"/>
                <w:sz w:val="15"/>
                <w:szCs w:val="15"/>
              </w:rPr>
            </w:pPr>
            <w:r w:rsidRPr="00245E91">
              <w:rPr>
                <w:rFonts w:ascii="Times New Roman" w:hAnsi="Times New Roman"/>
                <w:sz w:val="15"/>
                <w:szCs w:val="15"/>
              </w:rPr>
              <w:t>-0.097</w:t>
            </w:r>
          </w:p>
          <w:p w14:paraId="5475DD7B" w14:textId="77777777" w:rsidR="00533393" w:rsidRPr="00245E91" w:rsidRDefault="00533393" w:rsidP="00672311">
            <w:pPr>
              <w:spacing w:after="0" w:line="240" w:lineRule="auto"/>
              <w:ind w:right="-52"/>
              <w:rPr>
                <w:rFonts w:ascii="Times New Roman" w:eastAsia="Times New Roman" w:hAnsi="Times New Roman"/>
                <w:sz w:val="15"/>
                <w:szCs w:val="15"/>
              </w:rPr>
            </w:pPr>
            <w:r w:rsidRPr="00245E91">
              <w:rPr>
                <w:rFonts w:ascii="Times New Roman" w:hAnsi="Times New Roman"/>
                <w:sz w:val="15"/>
                <w:szCs w:val="15"/>
              </w:rPr>
              <w:t>(-2.23**)</w:t>
            </w:r>
          </w:p>
        </w:tc>
        <w:tc>
          <w:tcPr>
            <w:tcW w:w="978" w:type="dxa"/>
            <w:tcBorders>
              <w:top w:val="nil"/>
              <w:left w:val="nil"/>
              <w:bottom w:val="nil"/>
              <w:right w:val="nil"/>
            </w:tcBorders>
          </w:tcPr>
          <w:p w14:paraId="48BEA095" w14:textId="77777777" w:rsidR="00533393" w:rsidRPr="00245E91" w:rsidRDefault="00533393" w:rsidP="00672311">
            <w:pPr>
              <w:spacing w:after="0" w:line="240" w:lineRule="auto"/>
              <w:ind w:left="-23" w:right="-159"/>
              <w:rPr>
                <w:rFonts w:ascii="Times New Roman" w:hAnsi="Times New Roman"/>
                <w:sz w:val="15"/>
                <w:szCs w:val="15"/>
              </w:rPr>
            </w:pPr>
            <w:r w:rsidRPr="00245E91">
              <w:rPr>
                <w:rFonts w:ascii="Times New Roman" w:hAnsi="Times New Roman"/>
                <w:sz w:val="15"/>
                <w:szCs w:val="15"/>
              </w:rPr>
              <w:t>-0.097</w:t>
            </w:r>
          </w:p>
          <w:p w14:paraId="5423595B" w14:textId="77777777" w:rsidR="00533393" w:rsidRPr="00245E91" w:rsidRDefault="00533393" w:rsidP="00672311">
            <w:pPr>
              <w:spacing w:after="0" w:line="240" w:lineRule="auto"/>
              <w:ind w:right="-159"/>
              <w:rPr>
                <w:rFonts w:ascii="Times New Roman" w:eastAsia="Times New Roman" w:hAnsi="Times New Roman"/>
                <w:sz w:val="15"/>
                <w:szCs w:val="15"/>
              </w:rPr>
            </w:pPr>
            <w:r w:rsidRPr="00245E91">
              <w:rPr>
                <w:rFonts w:ascii="Times New Roman" w:hAnsi="Times New Roman"/>
                <w:sz w:val="15"/>
                <w:szCs w:val="15"/>
              </w:rPr>
              <w:t>(-2.23**)</w:t>
            </w:r>
          </w:p>
        </w:tc>
        <w:tc>
          <w:tcPr>
            <w:tcW w:w="858" w:type="dxa"/>
            <w:tcBorders>
              <w:top w:val="nil"/>
              <w:left w:val="nil"/>
              <w:bottom w:val="nil"/>
              <w:right w:val="nil"/>
            </w:tcBorders>
          </w:tcPr>
          <w:p w14:paraId="6B27E11B" w14:textId="77777777" w:rsidR="00533393" w:rsidRPr="00245E91" w:rsidRDefault="00533393" w:rsidP="00672311">
            <w:pPr>
              <w:spacing w:after="0" w:line="240" w:lineRule="auto"/>
              <w:ind w:left="-62" w:right="-73"/>
              <w:rPr>
                <w:rFonts w:ascii="Times New Roman" w:hAnsi="Times New Roman"/>
                <w:sz w:val="15"/>
                <w:szCs w:val="15"/>
              </w:rPr>
            </w:pPr>
            <w:r w:rsidRPr="00245E91">
              <w:rPr>
                <w:rFonts w:ascii="Times New Roman" w:hAnsi="Times New Roman"/>
                <w:sz w:val="15"/>
                <w:szCs w:val="15"/>
              </w:rPr>
              <w:t>-0.053</w:t>
            </w:r>
          </w:p>
          <w:p w14:paraId="73F3BBF8" w14:textId="77777777" w:rsidR="00533393" w:rsidRPr="00245E91" w:rsidRDefault="00533393" w:rsidP="00672311">
            <w:pPr>
              <w:spacing w:after="0" w:line="240" w:lineRule="auto"/>
              <w:ind w:left="-62" w:right="-73"/>
              <w:rPr>
                <w:rFonts w:ascii="Times New Roman" w:eastAsia="Times New Roman" w:hAnsi="Times New Roman"/>
                <w:sz w:val="15"/>
                <w:szCs w:val="15"/>
              </w:rPr>
            </w:pPr>
            <w:r w:rsidRPr="00245E91">
              <w:rPr>
                <w:rFonts w:ascii="Times New Roman" w:hAnsi="Times New Roman"/>
                <w:sz w:val="15"/>
                <w:szCs w:val="15"/>
              </w:rPr>
              <w:t>(-1.54)</w:t>
            </w:r>
          </w:p>
        </w:tc>
        <w:tc>
          <w:tcPr>
            <w:tcW w:w="990" w:type="dxa"/>
            <w:tcBorders>
              <w:top w:val="nil"/>
              <w:left w:val="nil"/>
              <w:bottom w:val="nil"/>
              <w:right w:val="single" w:sz="4" w:space="0" w:color="auto"/>
            </w:tcBorders>
          </w:tcPr>
          <w:p w14:paraId="687F2056" w14:textId="77777777" w:rsidR="00533393" w:rsidRPr="00245E91" w:rsidRDefault="00533393" w:rsidP="00672311">
            <w:pPr>
              <w:spacing w:after="0" w:line="240" w:lineRule="auto"/>
              <w:ind w:left="-23" w:right="-106"/>
              <w:rPr>
                <w:rFonts w:ascii="Times New Roman" w:hAnsi="Times New Roman"/>
                <w:sz w:val="15"/>
                <w:szCs w:val="15"/>
              </w:rPr>
            </w:pPr>
            <w:r w:rsidRPr="00245E91">
              <w:rPr>
                <w:rFonts w:ascii="Times New Roman" w:hAnsi="Times New Roman"/>
                <w:sz w:val="15"/>
                <w:szCs w:val="15"/>
              </w:rPr>
              <w:t>-0.157</w:t>
            </w:r>
          </w:p>
          <w:p w14:paraId="70087E32"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(-3.97***)</w:t>
            </w:r>
          </w:p>
        </w:tc>
        <w:tc>
          <w:tcPr>
            <w:tcW w:w="968" w:type="dxa"/>
            <w:tcBorders>
              <w:top w:val="nil"/>
              <w:left w:val="single" w:sz="4" w:space="0" w:color="auto"/>
              <w:bottom w:val="nil"/>
              <w:right w:val="nil"/>
            </w:tcBorders>
          </w:tcPr>
          <w:p w14:paraId="10DE4724" w14:textId="77777777" w:rsidR="00533393" w:rsidRPr="00245E91" w:rsidRDefault="00533393" w:rsidP="00672311">
            <w:pPr>
              <w:spacing w:after="0" w:line="240" w:lineRule="auto"/>
              <w:ind w:left="-23" w:right="-61"/>
              <w:rPr>
                <w:rFonts w:ascii="Times New Roman" w:hAnsi="Times New Roman"/>
                <w:sz w:val="15"/>
                <w:szCs w:val="15"/>
              </w:rPr>
            </w:pPr>
            <w:r w:rsidRPr="00245E91">
              <w:rPr>
                <w:rFonts w:ascii="Times New Roman" w:hAnsi="Times New Roman"/>
                <w:sz w:val="15"/>
                <w:szCs w:val="15"/>
              </w:rPr>
              <w:t>-0.066</w:t>
            </w:r>
          </w:p>
          <w:p w14:paraId="3A5BF709"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(-2.28**)</w:t>
            </w:r>
          </w:p>
        </w:tc>
        <w:tc>
          <w:tcPr>
            <w:tcW w:w="971" w:type="dxa"/>
            <w:tcBorders>
              <w:top w:val="nil"/>
              <w:left w:val="nil"/>
              <w:bottom w:val="nil"/>
              <w:right w:val="nil"/>
            </w:tcBorders>
          </w:tcPr>
          <w:p w14:paraId="7520EEA1" w14:textId="77777777" w:rsidR="00533393" w:rsidRPr="00245E91" w:rsidRDefault="00533393" w:rsidP="00672311">
            <w:pPr>
              <w:spacing w:after="0" w:line="240" w:lineRule="auto"/>
              <w:ind w:left="-87" w:right="-151"/>
              <w:rPr>
                <w:rFonts w:ascii="Times New Roman" w:hAnsi="Times New Roman"/>
                <w:sz w:val="15"/>
                <w:szCs w:val="15"/>
              </w:rPr>
            </w:pPr>
            <w:r w:rsidRPr="00245E91">
              <w:rPr>
                <w:rFonts w:ascii="Times New Roman" w:hAnsi="Times New Roman"/>
                <w:sz w:val="15"/>
                <w:szCs w:val="15"/>
              </w:rPr>
              <w:t>-0.091</w:t>
            </w:r>
          </w:p>
          <w:p w14:paraId="0B6F98F1" w14:textId="77777777" w:rsidR="00533393" w:rsidRPr="00245E91" w:rsidRDefault="00533393" w:rsidP="00672311">
            <w:pPr>
              <w:spacing w:after="0" w:line="240" w:lineRule="auto"/>
              <w:ind w:left="-87" w:right="-151"/>
              <w:rPr>
                <w:rFonts w:ascii="Times New Roman" w:eastAsia="Times New Roman" w:hAnsi="Times New Roman"/>
                <w:sz w:val="15"/>
                <w:szCs w:val="15"/>
              </w:rPr>
            </w:pPr>
            <w:r w:rsidRPr="00245E91">
              <w:rPr>
                <w:rFonts w:ascii="Times New Roman" w:hAnsi="Times New Roman"/>
                <w:sz w:val="15"/>
                <w:szCs w:val="15"/>
              </w:rPr>
              <w:t>(-2.71***)</w:t>
            </w:r>
          </w:p>
        </w:tc>
        <w:tc>
          <w:tcPr>
            <w:tcW w:w="965" w:type="dxa"/>
            <w:tcBorders>
              <w:top w:val="nil"/>
              <w:left w:val="nil"/>
              <w:bottom w:val="nil"/>
              <w:right w:val="nil"/>
            </w:tcBorders>
          </w:tcPr>
          <w:p w14:paraId="534B122B" w14:textId="77777777" w:rsidR="00533393" w:rsidRPr="00245E91" w:rsidRDefault="00533393" w:rsidP="00672311">
            <w:pPr>
              <w:spacing w:after="0" w:line="240" w:lineRule="auto"/>
              <w:ind w:left="-38" w:right="-168"/>
              <w:rPr>
                <w:rFonts w:ascii="Times New Roman" w:hAnsi="Times New Roman"/>
                <w:sz w:val="15"/>
                <w:szCs w:val="15"/>
              </w:rPr>
            </w:pPr>
            <w:r w:rsidRPr="00245E91">
              <w:rPr>
                <w:rFonts w:ascii="Times New Roman" w:hAnsi="Times New Roman"/>
                <w:sz w:val="15"/>
                <w:szCs w:val="15"/>
              </w:rPr>
              <w:t>-0.086</w:t>
            </w:r>
          </w:p>
          <w:p w14:paraId="0204D371" w14:textId="77777777" w:rsidR="00533393" w:rsidRPr="00245E91" w:rsidRDefault="00533393" w:rsidP="00672311">
            <w:pPr>
              <w:spacing w:after="0" w:line="240" w:lineRule="auto"/>
              <w:ind w:right="-168"/>
              <w:rPr>
                <w:rFonts w:ascii="Times New Roman" w:eastAsia="Times New Roman" w:hAnsi="Times New Roman"/>
                <w:sz w:val="15"/>
                <w:szCs w:val="15"/>
              </w:rPr>
            </w:pPr>
            <w:r w:rsidRPr="00245E91">
              <w:rPr>
                <w:rFonts w:ascii="Times New Roman" w:hAnsi="Times New Roman"/>
                <w:sz w:val="15"/>
                <w:szCs w:val="15"/>
              </w:rPr>
              <w:t>(-1.91*)</w:t>
            </w:r>
          </w:p>
        </w:tc>
        <w:tc>
          <w:tcPr>
            <w:tcW w:w="965" w:type="dxa"/>
            <w:tcBorders>
              <w:top w:val="nil"/>
              <w:left w:val="nil"/>
              <w:bottom w:val="nil"/>
              <w:right w:val="nil"/>
            </w:tcBorders>
          </w:tcPr>
          <w:p w14:paraId="0E304509" w14:textId="77777777" w:rsidR="00533393" w:rsidRPr="00245E91" w:rsidRDefault="00533393" w:rsidP="00672311">
            <w:pPr>
              <w:spacing w:after="0" w:line="240" w:lineRule="auto"/>
              <w:ind w:left="-24"/>
              <w:rPr>
                <w:rFonts w:ascii="Times New Roman" w:hAnsi="Times New Roman"/>
                <w:sz w:val="15"/>
                <w:szCs w:val="15"/>
              </w:rPr>
            </w:pPr>
            <w:r w:rsidRPr="00245E91">
              <w:rPr>
                <w:rFonts w:ascii="Times New Roman" w:hAnsi="Times New Roman"/>
                <w:sz w:val="15"/>
                <w:szCs w:val="15"/>
              </w:rPr>
              <w:t>-0.086</w:t>
            </w:r>
          </w:p>
          <w:p w14:paraId="6CD51979"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(-1.91*)</w:t>
            </w:r>
          </w:p>
        </w:tc>
        <w:tc>
          <w:tcPr>
            <w:tcW w:w="901" w:type="dxa"/>
            <w:tcBorders>
              <w:top w:val="nil"/>
              <w:left w:val="nil"/>
              <w:bottom w:val="nil"/>
              <w:right w:val="nil"/>
            </w:tcBorders>
          </w:tcPr>
          <w:p w14:paraId="463F386F" w14:textId="77777777" w:rsidR="00533393" w:rsidRPr="00245E91" w:rsidRDefault="00533393" w:rsidP="00672311">
            <w:pPr>
              <w:spacing w:after="0" w:line="240" w:lineRule="auto"/>
              <w:ind w:left="-114" w:right="-138"/>
              <w:rPr>
                <w:rFonts w:ascii="Times New Roman" w:hAnsi="Times New Roman"/>
                <w:sz w:val="15"/>
                <w:szCs w:val="15"/>
              </w:rPr>
            </w:pPr>
            <w:r w:rsidRPr="00245E91">
              <w:rPr>
                <w:rFonts w:ascii="Times New Roman" w:hAnsi="Times New Roman"/>
                <w:sz w:val="15"/>
                <w:szCs w:val="15"/>
              </w:rPr>
              <w:t>-0.042</w:t>
            </w:r>
          </w:p>
          <w:p w14:paraId="0264CF5F" w14:textId="77777777" w:rsidR="00533393" w:rsidRPr="00245E91" w:rsidRDefault="00533393" w:rsidP="00672311">
            <w:pPr>
              <w:spacing w:after="0" w:line="240" w:lineRule="auto"/>
              <w:ind w:right="-138"/>
              <w:rPr>
                <w:rFonts w:ascii="Times New Roman" w:eastAsia="Times New Roman" w:hAnsi="Times New Roman"/>
                <w:sz w:val="15"/>
                <w:szCs w:val="15"/>
              </w:rPr>
            </w:pPr>
            <w:r w:rsidRPr="00245E91">
              <w:rPr>
                <w:rFonts w:ascii="Times New Roman" w:hAnsi="Times New Roman"/>
                <w:sz w:val="15"/>
                <w:szCs w:val="15"/>
              </w:rPr>
              <w:t>(-1.33)</w:t>
            </w:r>
          </w:p>
        </w:tc>
        <w:tc>
          <w:tcPr>
            <w:tcW w:w="972" w:type="dxa"/>
            <w:tcBorders>
              <w:top w:val="nil"/>
              <w:left w:val="nil"/>
              <w:bottom w:val="nil"/>
              <w:right w:val="nil"/>
            </w:tcBorders>
          </w:tcPr>
          <w:p w14:paraId="70742934" w14:textId="77777777" w:rsidR="00533393" w:rsidRPr="00245E91" w:rsidRDefault="00533393" w:rsidP="00672311">
            <w:pPr>
              <w:spacing w:after="0" w:line="240" w:lineRule="auto"/>
              <w:ind w:left="-108" w:right="-104"/>
              <w:rPr>
                <w:rFonts w:ascii="Times New Roman" w:hAnsi="Times New Roman"/>
                <w:sz w:val="15"/>
                <w:szCs w:val="15"/>
              </w:rPr>
            </w:pPr>
            <w:r w:rsidRPr="00245E91">
              <w:rPr>
                <w:rFonts w:ascii="Times New Roman" w:hAnsi="Times New Roman"/>
                <w:sz w:val="15"/>
                <w:szCs w:val="15"/>
              </w:rPr>
              <w:t>-0.158</w:t>
            </w:r>
          </w:p>
          <w:p w14:paraId="335DAADA" w14:textId="77777777" w:rsidR="00533393" w:rsidRPr="00245E91" w:rsidRDefault="00533393" w:rsidP="00672311">
            <w:pPr>
              <w:spacing w:after="0" w:line="240" w:lineRule="auto"/>
              <w:ind w:left="-108" w:right="-104"/>
              <w:rPr>
                <w:rFonts w:ascii="Times New Roman" w:eastAsia="Times New Roman" w:hAnsi="Times New Roman"/>
                <w:sz w:val="15"/>
                <w:szCs w:val="15"/>
              </w:rPr>
            </w:pPr>
            <w:r w:rsidRPr="00245E91">
              <w:rPr>
                <w:rFonts w:ascii="Times New Roman" w:hAnsi="Times New Roman"/>
                <w:sz w:val="15"/>
                <w:szCs w:val="15"/>
              </w:rPr>
              <w:t>(-4.39***)</w:t>
            </w:r>
          </w:p>
        </w:tc>
      </w:tr>
      <w:tr w:rsidR="00533393" w:rsidRPr="00245E91" w14:paraId="573464B8" w14:textId="77777777" w:rsidTr="00672311">
        <w:tblPrEx>
          <w:tblBorders>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440" w:type="dxa"/>
            <w:tcBorders>
              <w:top w:val="nil"/>
              <w:left w:val="nil"/>
              <w:bottom w:val="nil"/>
              <w:right w:val="nil"/>
            </w:tcBorders>
          </w:tcPr>
          <w:p w14:paraId="0B7F0BAC" w14:textId="77777777" w:rsidR="00533393" w:rsidRPr="00245E91" w:rsidRDefault="00533393" w:rsidP="00672311">
            <w:pPr>
              <w:spacing w:after="0" w:line="240" w:lineRule="auto"/>
              <w:ind w:right="-104"/>
              <w:rPr>
                <w:rFonts w:ascii="Times New Roman" w:eastAsia="Times New Roman" w:hAnsi="Times New Roman"/>
                <w:sz w:val="15"/>
                <w:szCs w:val="15"/>
              </w:rPr>
            </w:pPr>
            <w:r w:rsidRPr="00245E91">
              <w:rPr>
                <w:rFonts w:ascii="Times New Roman" w:hAnsi="Times New Roman"/>
                <w:sz w:val="15"/>
                <w:szCs w:val="15"/>
              </w:rPr>
              <w:t>STOCKISSUE</w:t>
            </w:r>
          </w:p>
        </w:tc>
        <w:tc>
          <w:tcPr>
            <w:tcW w:w="978" w:type="dxa"/>
            <w:gridSpan w:val="2"/>
            <w:tcBorders>
              <w:top w:val="nil"/>
              <w:left w:val="nil"/>
              <w:bottom w:val="nil"/>
              <w:right w:val="nil"/>
            </w:tcBorders>
          </w:tcPr>
          <w:p w14:paraId="23EF7A50" w14:textId="77777777" w:rsidR="00533393" w:rsidRPr="00245E91" w:rsidRDefault="00533393" w:rsidP="00672311">
            <w:pPr>
              <w:spacing w:after="0" w:line="240" w:lineRule="auto"/>
              <w:ind w:right="-31"/>
              <w:rPr>
                <w:rFonts w:ascii="Times New Roman" w:hAnsi="Times New Roman"/>
                <w:sz w:val="15"/>
                <w:szCs w:val="15"/>
              </w:rPr>
            </w:pPr>
            <w:r w:rsidRPr="00245E91">
              <w:rPr>
                <w:rFonts w:ascii="Times New Roman" w:hAnsi="Times New Roman"/>
                <w:sz w:val="15"/>
                <w:szCs w:val="15"/>
              </w:rPr>
              <w:t>-0.024</w:t>
            </w:r>
          </w:p>
          <w:p w14:paraId="353404B6" w14:textId="77777777" w:rsidR="00533393" w:rsidRPr="00245E91" w:rsidRDefault="00533393" w:rsidP="00672311">
            <w:pPr>
              <w:spacing w:after="0" w:line="240" w:lineRule="auto"/>
              <w:ind w:right="-31"/>
              <w:rPr>
                <w:rFonts w:ascii="Times New Roman" w:eastAsia="Times New Roman" w:hAnsi="Times New Roman"/>
                <w:sz w:val="15"/>
                <w:szCs w:val="15"/>
              </w:rPr>
            </w:pPr>
            <w:r w:rsidRPr="00245E91">
              <w:rPr>
                <w:rFonts w:ascii="Times New Roman" w:hAnsi="Times New Roman"/>
                <w:sz w:val="15"/>
                <w:szCs w:val="15"/>
              </w:rPr>
              <w:t>(-0.67)</w:t>
            </w:r>
          </w:p>
        </w:tc>
        <w:tc>
          <w:tcPr>
            <w:tcW w:w="978" w:type="dxa"/>
            <w:tcBorders>
              <w:top w:val="nil"/>
              <w:left w:val="nil"/>
              <w:bottom w:val="nil"/>
              <w:right w:val="nil"/>
            </w:tcBorders>
          </w:tcPr>
          <w:p w14:paraId="27A5960E" w14:textId="77777777" w:rsidR="00533393" w:rsidRPr="00245E91" w:rsidRDefault="00533393" w:rsidP="00672311">
            <w:pPr>
              <w:spacing w:after="0" w:line="240" w:lineRule="auto"/>
              <w:ind w:left="-100" w:right="-138"/>
              <w:rPr>
                <w:rFonts w:ascii="Times New Roman" w:hAnsi="Times New Roman"/>
                <w:sz w:val="15"/>
                <w:szCs w:val="15"/>
              </w:rPr>
            </w:pPr>
            <w:r w:rsidRPr="00245E91">
              <w:rPr>
                <w:rFonts w:ascii="Times New Roman" w:hAnsi="Times New Roman"/>
                <w:sz w:val="15"/>
                <w:szCs w:val="15"/>
              </w:rPr>
              <w:t>-0.065</w:t>
            </w:r>
          </w:p>
          <w:p w14:paraId="167A6C0F" w14:textId="77777777" w:rsidR="00533393" w:rsidRPr="00245E91" w:rsidRDefault="00533393" w:rsidP="00672311">
            <w:pPr>
              <w:spacing w:after="0" w:line="240" w:lineRule="auto"/>
              <w:ind w:left="-100" w:right="-138"/>
              <w:rPr>
                <w:rFonts w:ascii="Times New Roman" w:eastAsia="Times New Roman" w:hAnsi="Times New Roman"/>
                <w:sz w:val="15"/>
                <w:szCs w:val="15"/>
              </w:rPr>
            </w:pPr>
            <w:r w:rsidRPr="00245E91">
              <w:rPr>
                <w:rFonts w:ascii="Times New Roman" w:hAnsi="Times New Roman"/>
                <w:sz w:val="15"/>
                <w:szCs w:val="15"/>
              </w:rPr>
              <w:t>(-1.88*)</w:t>
            </w:r>
          </w:p>
        </w:tc>
        <w:tc>
          <w:tcPr>
            <w:tcW w:w="978" w:type="dxa"/>
            <w:tcBorders>
              <w:top w:val="nil"/>
              <w:left w:val="nil"/>
              <w:bottom w:val="nil"/>
              <w:right w:val="nil"/>
            </w:tcBorders>
          </w:tcPr>
          <w:p w14:paraId="71902E2C" w14:textId="77777777" w:rsidR="00533393" w:rsidRPr="00245E91" w:rsidRDefault="00533393" w:rsidP="00672311">
            <w:pPr>
              <w:spacing w:after="0" w:line="240" w:lineRule="auto"/>
              <w:ind w:left="-23" w:right="-52"/>
              <w:rPr>
                <w:rFonts w:ascii="Times New Roman" w:hAnsi="Times New Roman"/>
                <w:sz w:val="15"/>
                <w:szCs w:val="15"/>
              </w:rPr>
            </w:pPr>
            <w:r w:rsidRPr="00245E91">
              <w:rPr>
                <w:rFonts w:ascii="Times New Roman" w:hAnsi="Times New Roman"/>
                <w:sz w:val="15"/>
                <w:szCs w:val="15"/>
              </w:rPr>
              <w:t>-0.044</w:t>
            </w:r>
          </w:p>
          <w:p w14:paraId="43484D10" w14:textId="77777777" w:rsidR="00533393" w:rsidRPr="00245E91" w:rsidRDefault="00533393" w:rsidP="00672311">
            <w:pPr>
              <w:spacing w:after="0" w:line="240" w:lineRule="auto"/>
              <w:ind w:right="-52"/>
              <w:rPr>
                <w:rFonts w:ascii="Times New Roman" w:eastAsia="Times New Roman" w:hAnsi="Times New Roman"/>
                <w:sz w:val="15"/>
                <w:szCs w:val="15"/>
              </w:rPr>
            </w:pPr>
            <w:r w:rsidRPr="00245E91">
              <w:rPr>
                <w:rFonts w:ascii="Times New Roman" w:hAnsi="Times New Roman"/>
                <w:sz w:val="15"/>
                <w:szCs w:val="15"/>
              </w:rPr>
              <w:t>(-0.10)</w:t>
            </w:r>
          </w:p>
        </w:tc>
        <w:tc>
          <w:tcPr>
            <w:tcW w:w="978" w:type="dxa"/>
            <w:tcBorders>
              <w:top w:val="nil"/>
              <w:left w:val="nil"/>
              <w:bottom w:val="nil"/>
              <w:right w:val="nil"/>
            </w:tcBorders>
          </w:tcPr>
          <w:p w14:paraId="47C13B0D" w14:textId="77777777" w:rsidR="00533393" w:rsidRPr="00245E91" w:rsidRDefault="00533393" w:rsidP="00672311">
            <w:pPr>
              <w:spacing w:after="0" w:line="240" w:lineRule="auto"/>
              <w:ind w:left="-23" w:right="-159"/>
              <w:rPr>
                <w:rFonts w:ascii="Times New Roman" w:hAnsi="Times New Roman"/>
                <w:sz w:val="15"/>
                <w:szCs w:val="15"/>
              </w:rPr>
            </w:pPr>
            <w:r w:rsidRPr="00245E91">
              <w:rPr>
                <w:rFonts w:ascii="Times New Roman" w:hAnsi="Times New Roman"/>
                <w:sz w:val="15"/>
                <w:szCs w:val="15"/>
              </w:rPr>
              <w:t>-0.044</w:t>
            </w:r>
          </w:p>
          <w:p w14:paraId="5B032C33" w14:textId="77777777" w:rsidR="00533393" w:rsidRPr="00245E91" w:rsidRDefault="00533393" w:rsidP="00672311">
            <w:pPr>
              <w:spacing w:after="0" w:line="240" w:lineRule="auto"/>
              <w:ind w:right="-159"/>
              <w:rPr>
                <w:rFonts w:ascii="Times New Roman" w:eastAsia="Times New Roman" w:hAnsi="Times New Roman"/>
                <w:sz w:val="15"/>
                <w:szCs w:val="15"/>
              </w:rPr>
            </w:pPr>
            <w:r w:rsidRPr="00245E91">
              <w:rPr>
                <w:rFonts w:ascii="Times New Roman" w:hAnsi="Times New Roman"/>
                <w:sz w:val="15"/>
                <w:szCs w:val="15"/>
              </w:rPr>
              <w:t>(-0.10)</w:t>
            </w:r>
          </w:p>
        </w:tc>
        <w:tc>
          <w:tcPr>
            <w:tcW w:w="858" w:type="dxa"/>
            <w:tcBorders>
              <w:top w:val="nil"/>
              <w:left w:val="nil"/>
              <w:bottom w:val="nil"/>
              <w:right w:val="nil"/>
            </w:tcBorders>
          </w:tcPr>
          <w:p w14:paraId="23C38F80" w14:textId="77777777" w:rsidR="00533393" w:rsidRPr="00245E91" w:rsidRDefault="00533393" w:rsidP="00672311">
            <w:pPr>
              <w:spacing w:after="0" w:line="240" w:lineRule="auto"/>
              <w:ind w:left="-62" w:right="-73"/>
              <w:rPr>
                <w:rFonts w:ascii="Times New Roman" w:hAnsi="Times New Roman"/>
                <w:sz w:val="15"/>
                <w:szCs w:val="15"/>
              </w:rPr>
            </w:pPr>
            <w:r w:rsidRPr="00245E91">
              <w:rPr>
                <w:rFonts w:ascii="Times New Roman" w:hAnsi="Times New Roman"/>
                <w:sz w:val="15"/>
                <w:szCs w:val="15"/>
              </w:rPr>
              <w:t>-0.042</w:t>
            </w:r>
          </w:p>
          <w:p w14:paraId="2064D55A" w14:textId="77777777" w:rsidR="00533393" w:rsidRPr="00245E91" w:rsidRDefault="00533393" w:rsidP="00672311">
            <w:pPr>
              <w:spacing w:after="0" w:line="240" w:lineRule="auto"/>
              <w:ind w:left="-62" w:right="-73"/>
              <w:rPr>
                <w:rFonts w:ascii="Times New Roman" w:eastAsia="Times New Roman" w:hAnsi="Times New Roman"/>
                <w:sz w:val="15"/>
                <w:szCs w:val="15"/>
              </w:rPr>
            </w:pPr>
            <w:r w:rsidRPr="00245E91">
              <w:rPr>
                <w:rFonts w:ascii="Times New Roman" w:hAnsi="Times New Roman"/>
                <w:sz w:val="15"/>
                <w:szCs w:val="15"/>
              </w:rPr>
              <w:t>(-1.16)</w:t>
            </w:r>
          </w:p>
        </w:tc>
        <w:tc>
          <w:tcPr>
            <w:tcW w:w="990" w:type="dxa"/>
            <w:tcBorders>
              <w:top w:val="nil"/>
              <w:left w:val="nil"/>
              <w:bottom w:val="nil"/>
              <w:right w:val="single" w:sz="4" w:space="0" w:color="auto"/>
            </w:tcBorders>
          </w:tcPr>
          <w:p w14:paraId="5759ABD8" w14:textId="77777777" w:rsidR="00533393" w:rsidRPr="00245E91" w:rsidRDefault="00533393" w:rsidP="00672311">
            <w:pPr>
              <w:spacing w:after="0" w:line="240" w:lineRule="auto"/>
              <w:ind w:left="-23" w:right="-106"/>
              <w:rPr>
                <w:rFonts w:ascii="Times New Roman" w:hAnsi="Times New Roman"/>
                <w:sz w:val="15"/>
                <w:szCs w:val="15"/>
              </w:rPr>
            </w:pPr>
            <w:r w:rsidRPr="00245E91">
              <w:rPr>
                <w:rFonts w:ascii="Times New Roman" w:hAnsi="Times New Roman"/>
                <w:sz w:val="15"/>
                <w:szCs w:val="15"/>
              </w:rPr>
              <w:t>-0.005</w:t>
            </w:r>
          </w:p>
          <w:p w14:paraId="2622689E"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(-0.19)</w:t>
            </w:r>
          </w:p>
        </w:tc>
        <w:tc>
          <w:tcPr>
            <w:tcW w:w="968" w:type="dxa"/>
            <w:tcBorders>
              <w:top w:val="nil"/>
              <w:left w:val="single" w:sz="4" w:space="0" w:color="auto"/>
              <w:bottom w:val="nil"/>
              <w:right w:val="nil"/>
            </w:tcBorders>
          </w:tcPr>
          <w:p w14:paraId="11144580" w14:textId="77777777" w:rsidR="00533393" w:rsidRPr="00245E91" w:rsidRDefault="00533393" w:rsidP="00672311">
            <w:pPr>
              <w:spacing w:after="0" w:line="240" w:lineRule="auto"/>
              <w:ind w:left="-23" w:right="-61"/>
              <w:rPr>
                <w:rFonts w:ascii="Times New Roman" w:hAnsi="Times New Roman"/>
                <w:sz w:val="15"/>
                <w:szCs w:val="15"/>
              </w:rPr>
            </w:pPr>
            <w:r w:rsidRPr="00245E91">
              <w:rPr>
                <w:rFonts w:ascii="Times New Roman" w:hAnsi="Times New Roman"/>
                <w:sz w:val="15"/>
                <w:szCs w:val="15"/>
              </w:rPr>
              <w:t>-0.019</w:t>
            </w:r>
          </w:p>
          <w:p w14:paraId="51BAF9A5"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(-0.48)</w:t>
            </w:r>
          </w:p>
        </w:tc>
        <w:tc>
          <w:tcPr>
            <w:tcW w:w="971" w:type="dxa"/>
            <w:tcBorders>
              <w:top w:val="nil"/>
              <w:left w:val="nil"/>
              <w:bottom w:val="nil"/>
              <w:right w:val="nil"/>
            </w:tcBorders>
          </w:tcPr>
          <w:p w14:paraId="0D0806FC" w14:textId="77777777" w:rsidR="00533393" w:rsidRPr="00245E91" w:rsidRDefault="00533393" w:rsidP="00672311">
            <w:pPr>
              <w:spacing w:after="0" w:line="240" w:lineRule="auto"/>
              <w:ind w:left="-87" w:right="-151"/>
              <w:rPr>
                <w:rFonts w:ascii="Times New Roman" w:hAnsi="Times New Roman"/>
                <w:sz w:val="15"/>
                <w:szCs w:val="15"/>
              </w:rPr>
            </w:pPr>
            <w:r w:rsidRPr="00245E91">
              <w:rPr>
                <w:rFonts w:ascii="Times New Roman" w:hAnsi="Times New Roman"/>
                <w:sz w:val="15"/>
                <w:szCs w:val="15"/>
              </w:rPr>
              <w:t>-0.063</w:t>
            </w:r>
          </w:p>
          <w:p w14:paraId="0800B570" w14:textId="77777777" w:rsidR="00533393" w:rsidRPr="00245E91" w:rsidRDefault="00533393" w:rsidP="00672311">
            <w:pPr>
              <w:spacing w:after="0" w:line="240" w:lineRule="auto"/>
              <w:ind w:left="-87" w:right="-151"/>
              <w:rPr>
                <w:rFonts w:ascii="Times New Roman" w:eastAsia="Times New Roman" w:hAnsi="Times New Roman"/>
                <w:sz w:val="15"/>
                <w:szCs w:val="15"/>
              </w:rPr>
            </w:pPr>
            <w:r w:rsidRPr="00245E91">
              <w:rPr>
                <w:rFonts w:ascii="Times New Roman" w:hAnsi="Times New Roman"/>
                <w:sz w:val="15"/>
                <w:szCs w:val="15"/>
              </w:rPr>
              <w:t>(-1.64)</w:t>
            </w:r>
          </w:p>
        </w:tc>
        <w:tc>
          <w:tcPr>
            <w:tcW w:w="965" w:type="dxa"/>
            <w:tcBorders>
              <w:top w:val="nil"/>
              <w:left w:val="nil"/>
              <w:bottom w:val="nil"/>
              <w:right w:val="nil"/>
            </w:tcBorders>
          </w:tcPr>
          <w:p w14:paraId="1E3D2C88" w14:textId="77777777" w:rsidR="00533393" w:rsidRPr="00245E91" w:rsidRDefault="00533393" w:rsidP="00672311">
            <w:pPr>
              <w:spacing w:after="0" w:line="240" w:lineRule="auto"/>
              <w:ind w:left="-38" w:right="-168"/>
              <w:rPr>
                <w:rFonts w:ascii="Times New Roman" w:hAnsi="Times New Roman"/>
                <w:sz w:val="15"/>
                <w:szCs w:val="15"/>
              </w:rPr>
            </w:pPr>
            <w:r w:rsidRPr="00245E91">
              <w:rPr>
                <w:rFonts w:ascii="Times New Roman" w:hAnsi="Times New Roman"/>
                <w:sz w:val="15"/>
                <w:szCs w:val="15"/>
              </w:rPr>
              <w:t>-0.045</w:t>
            </w:r>
          </w:p>
          <w:p w14:paraId="2BE222A4" w14:textId="77777777" w:rsidR="00533393" w:rsidRPr="00245E91" w:rsidRDefault="00533393" w:rsidP="00672311">
            <w:pPr>
              <w:spacing w:after="0" w:line="240" w:lineRule="auto"/>
              <w:ind w:right="-168"/>
              <w:rPr>
                <w:rFonts w:ascii="Times New Roman" w:eastAsia="Times New Roman" w:hAnsi="Times New Roman"/>
                <w:sz w:val="15"/>
                <w:szCs w:val="15"/>
              </w:rPr>
            </w:pPr>
            <w:r w:rsidRPr="00245E91">
              <w:rPr>
                <w:rFonts w:ascii="Times New Roman" w:hAnsi="Times New Roman"/>
                <w:sz w:val="15"/>
                <w:szCs w:val="15"/>
              </w:rPr>
              <w:t>(-0.94)</w:t>
            </w:r>
          </w:p>
        </w:tc>
        <w:tc>
          <w:tcPr>
            <w:tcW w:w="965" w:type="dxa"/>
            <w:tcBorders>
              <w:top w:val="nil"/>
              <w:left w:val="nil"/>
              <w:bottom w:val="nil"/>
              <w:right w:val="nil"/>
            </w:tcBorders>
          </w:tcPr>
          <w:p w14:paraId="1D57C120" w14:textId="77777777" w:rsidR="00533393" w:rsidRPr="00245E91" w:rsidRDefault="00533393" w:rsidP="00672311">
            <w:pPr>
              <w:spacing w:after="0" w:line="240" w:lineRule="auto"/>
              <w:ind w:left="-24"/>
              <w:rPr>
                <w:rFonts w:ascii="Times New Roman" w:hAnsi="Times New Roman"/>
                <w:sz w:val="15"/>
                <w:szCs w:val="15"/>
              </w:rPr>
            </w:pPr>
            <w:r w:rsidRPr="00245E91">
              <w:rPr>
                <w:rFonts w:ascii="Times New Roman" w:hAnsi="Times New Roman"/>
                <w:sz w:val="15"/>
                <w:szCs w:val="15"/>
              </w:rPr>
              <w:t>-0.045</w:t>
            </w:r>
          </w:p>
          <w:p w14:paraId="4A98B068"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(-0.94)</w:t>
            </w:r>
          </w:p>
        </w:tc>
        <w:tc>
          <w:tcPr>
            <w:tcW w:w="901" w:type="dxa"/>
            <w:tcBorders>
              <w:top w:val="nil"/>
              <w:left w:val="nil"/>
              <w:bottom w:val="nil"/>
              <w:right w:val="nil"/>
            </w:tcBorders>
          </w:tcPr>
          <w:p w14:paraId="5EB46011" w14:textId="77777777" w:rsidR="00533393" w:rsidRPr="00245E91" w:rsidRDefault="00533393" w:rsidP="00672311">
            <w:pPr>
              <w:spacing w:after="0" w:line="240" w:lineRule="auto"/>
              <w:ind w:left="-114" w:right="-138"/>
              <w:rPr>
                <w:rFonts w:ascii="Times New Roman" w:hAnsi="Times New Roman"/>
                <w:sz w:val="15"/>
                <w:szCs w:val="15"/>
              </w:rPr>
            </w:pPr>
            <w:r w:rsidRPr="00245E91">
              <w:rPr>
                <w:rFonts w:ascii="Times New Roman" w:hAnsi="Times New Roman"/>
                <w:sz w:val="15"/>
                <w:szCs w:val="15"/>
              </w:rPr>
              <w:t>-0.046</w:t>
            </w:r>
          </w:p>
          <w:p w14:paraId="48D667A8" w14:textId="77777777" w:rsidR="00533393" w:rsidRPr="00245E91" w:rsidRDefault="00533393" w:rsidP="00672311">
            <w:pPr>
              <w:spacing w:after="0" w:line="240" w:lineRule="auto"/>
              <w:ind w:right="-138"/>
              <w:rPr>
                <w:rFonts w:ascii="Times New Roman" w:eastAsia="Times New Roman" w:hAnsi="Times New Roman"/>
                <w:sz w:val="15"/>
                <w:szCs w:val="15"/>
              </w:rPr>
            </w:pPr>
            <w:r w:rsidRPr="00245E91">
              <w:rPr>
                <w:rFonts w:ascii="Times New Roman" w:hAnsi="Times New Roman"/>
                <w:sz w:val="15"/>
                <w:szCs w:val="15"/>
              </w:rPr>
              <w:t>(-1.13)</w:t>
            </w:r>
          </w:p>
        </w:tc>
        <w:tc>
          <w:tcPr>
            <w:tcW w:w="972" w:type="dxa"/>
            <w:tcBorders>
              <w:top w:val="nil"/>
              <w:left w:val="nil"/>
              <w:bottom w:val="nil"/>
              <w:right w:val="nil"/>
            </w:tcBorders>
          </w:tcPr>
          <w:p w14:paraId="64537F0E" w14:textId="77777777" w:rsidR="00533393" w:rsidRPr="00245E91" w:rsidRDefault="00533393" w:rsidP="00672311">
            <w:pPr>
              <w:spacing w:after="0" w:line="240" w:lineRule="auto"/>
              <w:ind w:left="-108" w:right="-104"/>
              <w:rPr>
                <w:rFonts w:ascii="Times New Roman" w:hAnsi="Times New Roman"/>
                <w:sz w:val="15"/>
                <w:szCs w:val="15"/>
              </w:rPr>
            </w:pPr>
            <w:r w:rsidRPr="00245E91">
              <w:rPr>
                <w:rFonts w:ascii="Times New Roman" w:hAnsi="Times New Roman"/>
                <w:sz w:val="15"/>
                <w:szCs w:val="15"/>
              </w:rPr>
              <w:t>0.009</w:t>
            </w:r>
          </w:p>
          <w:p w14:paraId="723E32EB" w14:textId="77777777" w:rsidR="00533393" w:rsidRPr="00245E91" w:rsidRDefault="00533393" w:rsidP="00672311">
            <w:pPr>
              <w:spacing w:after="0" w:line="240" w:lineRule="auto"/>
              <w:ind w:left="-108" w:right="-104"/>
              <w:rPr>
                <w:rFonts w:ascii="Times New Roman" w:eastAsia="Times New Roman" w:hAnsi="Times New Roman"/>
                <w:sz w:val="15"/>
                <w:szCs w:val="15"/>
              </w:rPr>
            </w:pPr>
            <w:r w:rsidRPr="00245E91">
              <w:rPr>
                <w:rFonts w:ascii="Times New Roman" w:hAnsi="Times New Roman"/>
                <w:sz w:val="15"/>
                <w:szCs w:val="15"/>
              </w:rPr>
              <w:t>(0.27)</w:t>
            </w:r>
          </w:p>
        </w:tc>
      </w:tr>
      <w:tr w:rsidR="00533393" w:rsidRPr="00245E91" w14:paraId="1BDE58A7" w14:textId="77777777" w:rsidTr="00672311">
        <w:tblPrEx>
          <w:tblBorders>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440" w:type="dxa"/>
            <w:tcBorders>
              <w:top w:val="nil"/>
              <w:left w:val="nil"/>
              <w:bottom w:val="nil"/>
              <w:right w:val="nil"/>
            </w:tcBorders>
          </w:tcPr>
          <w:p w14:paraId="1008D0B8" w14:textId="77777777" w:rsidR="00533393" w:rsidRPr="00245E91" w:rsidRDefault="00533393" w:rsidP="00672311">
            <w:pPr>
              <w:spacing w:after="0" w:line="240" w:lineRule="auto"/>
              <w:ind w:right="-104"/>
              <w:rPr>
                <w:rFonts w:ascii="Times New Roman" w:eastAsia="Times New Roman" w:hAnsi="Times New Roman"/>
                <w:sz w:val="15"/>
                <w:szCs w:val="15"/>
              </w:rPr>
            </w:pPr>
            <w:r w:rsidRPr="00245E91">
              <w:rPr>
                <w:rFonts w:ascii="Times New Roman" w:hAnsi="Times New Roman"/>
                <w:sz w:val="15"/>
                <w:szCs w:val="15"/>
              </w:rPr>
              <w:t>DEBTISSUE</w:t>
            </w:r>
          </w:p>
        </w:tc>
        <w:tc>
          <w:tcPr>
            <w:tcW w:w="978" w:type="dxa"/>
            <w:gridSpan w:val="2"/>
            <w:tcBorders>
              <w:top w:val="nil"/>
              <w:left w:val="nil"/>
              <w:bottom w:val="nil"/>
              <w:right w:val="nil"/>
            </w:tcBorders>
          </w:tcPr>
          <w:p w14:paraId="3D3BEF92" w14:textId="77777777" w:rsidR="00533393" w:rsidRPr="00245E91" w:rsidRDefault="00533393" w:rsidP="00672311">
            <w:pPr>
              <w:spacing w:after="0" w:line="240" w:lineRule="auto"/>
              <w:ind w:right="-31"/>
              <w:rPr>
                <w:rFonts w:ascii="Times New Roman" w:hAnsi="Times New Roman"/>
                <w:sz w:val="15"/>
                <w:szCs w:val="15"/>
              </w:rPr>
            </w:pPr>
            <w:r w:rsidRPr="00245E91">
              <w:rPr>
                <w:rFonts w:ascii="Times New Roman" w:hAnsi="Times New Roman"/>
                <w:sz w:val="15"/>
                <w:szCs w:val="15"/>
              </w:rPr>
              <w:t>-0.027</w:t>
            </w:r>
          </w:p>
          <w:p w14:paraId="3F628DE1" w14:textId="77777777" w:rsidR="00533393" w:rsidRPr="00245E91" w:rsidRDefault="00533393" w:rsidP="00672311">
            <w:pPr>
              <w:spacing w:after="0" w:line="240" w:lineRule="auto"/>
              <w:ind w:right="-31"/>
              <w:rPr>
                <w:rFonts w:ascii="Times New Roman" w:eastAsia="Times New Roman" w:hAnsi="Times New Roman"/>
                <w:sz w:val="15"/>
                <w:szCs w:val="15"/>
              </w:rPr>
            </w:pPr>
            <w:r w:rsidRPr="00245E91">
              <w:rPr>
                <w:rFonts w:ascii="Times New Roman" w:hAnsi="Times New Roman"/>
                <w:sz w:val="15"/>
                <w:szCs w:val="15"/>
              </w:rPr>
              <w:t>(-0.66)</w:t>
            </w:r>
          </w:p>
        </w:tc>
        <w:tc>
          <w:tcPr>
            <w:tcW w:w="978" w:type="dxa"/>
            <w:tcBorders>
              <w:top w:val="nil"/>
              <w:left w:val="nil"/>
              <w:bottom w:val="nil"/>
              <w:right w:val="nil"/>
            </w:tcBorders>
          </w:tcPr>
          <w:p w14:paraId="42E9C269" w14:textId="77777777" w:rsidR="00533393" w:rsidRPr="00245E91" w:rsidRDefault="00533393" w:rsidP="00672311">
            <w:pPr>
              <w:spacing w:after="0" w:line="240" w:lineRule="auto"/>
              <w:ind w:left="-100" w:right="-138"/>
              <w:rPr>
                <w:rFonts w:ascii="Times New Roman" w:hAnsi="Times New Roman"/>
                <w:sz w:val="15"/>
                <w:szCs w:val="15"/>
              </w:rPr>
            </w:pPr>
            <w:r w:rsidRPr="00245E91">
              <w:rPr>
                <w:rFonts w:ascii="Times New Roman" w:hAnsi="Times New Roman"/>
                <w:sz w:val="15"/>
                <w:szCs w:val="15"/>
              </w:rPr>
              <w:t>-0.010</w:t>
            </w:r>
          </w:p>
          <w:p w14:paraId="1CD40F89" w14:textId="77777777" w:rsidR="00533393" w:rsidRPr="00245E91" w:rsidRDefault="00533393" w:rsidP="00672311">
            <w:pPr>
              <w:spacing w:after="0" w:line="240" w:lineRule="auto"/>
              <w:ind w:left="-100" w:right="-138"/>
              <w:rPr>
                <w:rFonts w:ascii="Times New Roman" w:eastAsia="Times New Roman" w:hAnsi="Times New Roman"/>
                <w:sz w:val="15"/>
                <w:szCs w:val="15"/>
              </w:rPr>
            </w:pPr>
            <w:r w:rsidRPr="00245E91">
              <w:rPr>
                <w:rFonts w:ascii="Times New Roman" w:hAnsi="Times New Roman"/>
                <w:sz w:val="15"/>
                <w:szCs w:val="15"/>
              </w:rPr>
              <w:t>(-0.24)</w:t>
            </w:r>
          </w:p>
        </w:tc>
        <w:tc>
          <w:tcPr>
            <w:tcW w:w="978" w:type="dxa"/>
            <w:tcBorders>
              <w:top w:val="nil"/>
              <w:left w:val="nil"/>
              <w:bottom w:val="nil"/>
              <w:right w:val="nil"/>
            </w:tcBorders>
          </w:tcPr>
          <w:p w14:paraId="0E64C8FF" w14:textId="77777777" w:rsidR="00533393" w:rsidRPr="00245E91" w:rsidRDefault="00533393" w:rsidP="00672311">
            <w:pPr>
              <w:spacing w:after="0" w:line="240" w:lineRule="auto"/>
              <w:ind w:left="-23" w:right="-52"/>
              <w:rPr>
                <w:rFonts w:ascii="Times New Roman" w:hAnsi="Times New Roman"/>
                <w:sz w:val="15"/>
                <w:szCs w:val="15"/>
              </w:rPr>
            </w:pPr>
            <w:r w:rsidRPr="00245E91">
              <w:rPr>
                <w:rFonts w:ascii="Times New Roman" w:hAnsi="Times New Roman"/>
                <w:sz w:val="15"/>
                <w:szCs w:val="15"/>
              </w:rPr>
              <w:t>-0.010</w:t>
            </w:r>
          </w:p>
          <w:p w14:paraId="4B7FAA64" w14:textId="77777777" w:rsidR="00533393" w:rsidRPr="00245E91" w:rsidRDefault="00533393" w:rsidP="00672311">
            <w:pPr>
              <w:spacing w:after="0" w:line="240" w:lineRule="auto"/>
              <w:ind w:right="-52"/>
              <w:rPr>
                <w:rFonts w:ascii="Times New Roman" w:eastAsia="Times New Roman" w:hAnsi="Times New Roman"/>
                <w:sz w:val="15"/>
                <w:szCs w:val="15"/>
              </w:rPr>
            </w:pPr>
            <w:r w:rsidRPr="00245E91">
              <w:rPr>
                <w:rFonts w:ascii="Times New Roman" w:hAnsi="Times New Roman"/>
                <w:sz w:val="15"/>
                <w:szCs w:val="15"/>
              </w:rPr>
              <w:t>(-0.24)</w:t>
            </w:r>
          </w:p>
        </w:tc>
        <w:tc>
          <w:tcPr>
            <w:tcW w:w="978" w:type="dxa"/>
            <w:tcBorders>
              <w:top w:val="nil"/>
              <w:left w:val="nil"/>
              <w:bottom w:val="nil"/>
              <w:right w:val="nil"/>
            </w:tcBorders>
          </w:tcPr>
          <w:p w14:paraId="7BB88A4D" w14:textId="77777777" w:rsidR="00533393" w:rsidRPr="00245E91" w:rsidRDefault="00533393" w:rsidP="00672311">
            <w:pPr>
              <w:spacing w:after="0" w:line="240" w:lineRule="auto"/>
              <w:ind w:left="-23" w:right="-159"/>
              <w:rPr>
                <w:rFonts w:ascii="Times New Roman" w:hAnsi="Times New Roman"/>
                <w:sz w:val="15"/>
                <w:szCs w:val="15"/>
              </w:rPr>
            </w:pPr>
            <w:r w:rsidRPr="00245E91">
              <w:rPr>
                <w:rFonts w:ascii="Times New Roman" w:hAnsi="Times New Roman"/>
                <w:sz w:val="15"/>
                <w:szCs w:val="15"/>
              </w:rPr>
              <w:t>-0.010</w:t>
            </w:r>
          </w:p>
          <w:p w14:paraId="719EB337" w14:textId="77777777" w:rsidR="00533393" w:rsidRPr="00245E91" w:rsidRDefault="00533393" w:rsidP="00672311">
            <w:pPr>
              <w:spacing w:after="0" w:line="240" w:lineRule="auto"/>
              <w:ind w:right="-159"/>
              <w:rPr>
                <w:rFonts w:ascii="Times New Roman" w:eastAsia="Times New Roman" w:hAnsi="Times New Roman"/>
                <w:sz w:val="15"/>
                <w:szCs w:val="15"/>
              </w:rPr>
            </w:pPr>
            <w:r w:rsidRPr="00245E91">
              <w:rPr>
                <w:rFonts w:ascii="Times New Roman" w:hAnsi="Times New Roman"/>
                <w:sz w:val="15"/>
                <w:szCs w:val="15"/>
              </w:rPr>
              <w:t>(-0.24)</w:t>
            </w:r>
          </w:p>
        </w:tc>
        <w:tc>
          <w:tcPr>
            <w:tcW w:w="858" w:type="dxa"/>
            <w:tcBorders>
              <w:top w:val="nil"/>
              <w:left w:val="nil"/>
              <w:bottom w:val="nil"/>
              <w:right w:val="nil"/>
            </w:tcBorders>
          </w:tcPr>
          <w:p w14:paraId="704E3FEF" w14:textId="77777777" w:rsidR="00533393" w:rsidRPr="00245E91" w:rsidRDefault="00533393" w:rsidP="00672311">
            <w:pPr>
              <w:spacing w:after="0" w:line="240" w:lineRule="auto"/>
              <w:ind w:left="-62" w:right="-73"/>
              <w:rPr>
                <w:rFonts w:ascii="Times New Roman" w:hAnsi="Times New Roman"/>
                <w:sz w:val="15"/>
                <w:szCs w:val="15"/>
              </w:rPr>
            </w:pPr>
            <w:r w:rsidRPr="00245E91">
              <w:rPr>
                <w:rFonts w:ascii="Times New Roman" w:hAnsi="Times New Roman"/>
                <w:sz w:val="15"/>
                <w:szCs w:val="15"/>
              </w:rPr>
              <w:t>-0.007</w:t>
            </w:r>
          </w:p>
          <w:p w14:paraId="04F7B6E1" w14:textId="77777777" w:rsidR="00533393" w:rsidRPr="00245E91" w:rsidRDefault="00533393" w:rsidP="00672311">
            <w:pPr>
              <w:spacing w:after="0" w:line="240" w:lineRule="auto"/>
              <w:ind w:left="-62" w:right="-73"/>
              <w:rPr>
                <w:rFonts w:ascii="Times New Roman" w:eastAsia="Times New Roman" w:hAnsi="Times New Roman"/>
                <w:sz w:val="15"/>
                <w:szCs w:val="15"/>
              </w:rPr>
            </w:pPr>
            <w:r w:rsidRPr="00245E91">
              <w:rPr>
                <w:rFonts w:ascii="Times New Roman" w:hAnsi="Times New Roman"/>
                <w:sz w:val="15"/>
                <w:szCs w:val="15"/>
              </w:rPr>
              <w:t>(-0.17)</w:t>
            </w:r>
          </w:p>
        </w:tc>
        <w:tc>
          <w:tcPr>
            <w:tcW w:w="990" w:type="dxa"/>
            <w:tcBorders>
              <w:top w:val="nil"/>
              <w:left w:val="nil"/>
              <w:bottom w:val="nil"/>
              <w:right w:val="single" w:sz="4" w:space="0" w:color="auto"/>
            </w:tcBorders>
          </w:tcPr>
          <w:p w14:paraId="2E2F7D60" w14:textId="77777777" w:rsidR="00533393" w:rsidRPr="00245E91" w:rsidRDefault="00533393" w:rsidP="00672311">
            <w:pPr>
              <w:spacing w:after="0" w:line="240" w:lineRule="auto"/>
              <w:ind w:left="-23" w:right="-106"/>
              <w:rPr>
                <w:rFonts w:ascii="Times New Roman" w:hAnsi="Times New Roman"/>
                <w:sz w:val="15"/>
                <w:szCs w:val="15"/>
              </w:rPr>
            </w:pPr>
            <w:r w:rsidRPr="00245E91">
              <w:rPr>
                <w:rFonts w:ascii="Times New Roman" w:hAnsi="Times New Roman"/>
                <w:sz w:val="15"/>
                <w:szCs w:val="15"/>
              </w:rPr>
              <w:t>0.063</w:t>
            </w:r>
          </w:p>
          <w:p w14:paraId="6EE9A915"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(1.54)</w:t>
            </w:r>
          </w:p>
        </w:tc>
        <w:tc>
          <w:tcPr>
            <w:tcW w:w="968" w:type="dxa"/>
            <w:tcBorders>
              <w:top w:val="nil"/>
              <w:left w:val="single" w:sz="4" w:space="0" w:color="auto"/>
              <w:bottom w:val="nil"/>
              <w:right w:val="nil"/>
            </w:tcBorders>
          </w:tcPr>
          <w:p w14:paraId="15088956" w14:textId="77777777" w:rsidR="00533393" w:rsidRPr="00245E91" w:rsidRDefault="00533393" w:rsidP="00672311">
            <w:pPr>
              <w:spacing w:after="0" w:line="240" w:lineRule="auto"/>
              <w:ind w:left="-23" w:right="-61"/>
              <w:rPr>
                <w:rFonts w:ascii="Times New Roman" w:hAnsi="Times New Roman"/>
                <w:sz w:val="15"/>
                <w:szCs w:val="15"/>
              </w:rPr>
            </w:pPr>
            <w:r w:rsidRPr="00245E91">
              <w:rPr>
                <w:rFonts w:ascii="Times New Roman" w:hAnsi="Times New Roman"/>
                <w:sz w:val="15"/>
                <w:szCs w:val="15"/>
              </w:rPr>
              <w:t>-0.034</w:t>
            </w:r>
          </w:p>
          <w:p w14:paraId="038961B7"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(-0.80)</w:t>
            </w:r>
          </w:p>
        </w:tc>
        <w:tc>
          <w:tcPr>
            <w:tcW w:w="971" w:type="dxa"/>
            <w:tcBorders>
              <w:top w:val="nil"/>
              <w:left w:val="nil"/>
              <w:bottom w:val="nil"/>
              <w:right w:val="nil"/>
            </w:tcBorders>
          </w:tcPr>
          <w:p w14:paraId="4876692B" w14:textId="77777777" w:rsidR="00533393" w:rsidRPr="00245E91" w:rsidRDefault="00533393" w:rsidP="00672311">
            <w:pPr>
              <w:spacing w:after="0" w:line="240" w:lineRule="auto"/>
              <w:ind w:left="-87" w:right="-151"/>
              <w:rPr>
                <w:rFonts w:ascii="Times New Roman" w:hAnsi="Times New Roman"/>
                <w:sz w:val="15"/>
                <w:szCs w:val="15"/>
              </w:rPr>
            </w:pPr>
            <w:r w:rsidRPr="00245E91">
              <w:rPr>
                <w:rFonts w:ascii="Times New Roman" w:hAnsi="Times New Roman"/>
                <w:sz w:val="15"/>
                <w:szCs w:val="15"/>
              </w:rPr>
              <w:t>-0.009</w:t>
            </w:r>
          </w:p>
          <w:p w14:paraId="01AD7F9A" w14:textId="77777777" w:rsidR="00533393" w:rsidRPr="00245E91" w:rsidRDefault="00533393" w:rsidP="00672311">
            <w:pPr>
              <w:spacing w:after="0" w:line="240" w:lineRule="auto"/>
              <w:ind w:left="-87" w:right="-151"/>
              <w:rPr>
                <w:rFonts w:ascii="Times New Roman" w:eastAsia="Times New Roman" w:hAnsi="Times New Roman"/>
                <w:sz w:val="15"/>
                <w:szCs w:val="15"/>
              </w:rPr>
            </w:pPr>
            <w:r w:rsidRPr="00245E91">
              <w:rPr>
                <w:rFonts w:ascii="Times New Roman" w:hAnsi="Times New Roman"/>
                <w:sz w:val="15"/>
                <w:szCs w:val="15"/>
              </w:rPr>
              <w:t>(-0.22)</w:t>
            </w:r>
          </w:p>
        </w:tc>
        <w:tc>
          <w:tcPr>
            <w:tcW w:w="965" w:type="dxa"/>
            <w:tcBorders>
              <w:top w:val="nil"/>
              <w:left w:val="nil"/>
              <w:bottom w:val="nil"/>
              <w:right w:val="nil"/>
            </w:tcBorders>
          </w:tcPr>
          <w:p w14:paraId="7804D669" w14:textId="77777777" w:rsidR="00533393" w:rsidRPr="00245E91" w:rsidRDefault="00533393" w:rsidP="00672311">
            <w:pPr>
              <w:spacing w:after="0" w:line="240" w:lineRule="auto"/>
              <w:ind w:left="-38" w:right="-168"/>
              <w:rPr>
                <w:rFonts w:ascii="Times New Roman" w:hAnsi="Times New Roman"/>
                <w:sz w:val="15"/>
                <w:szCs w:val="15"/>
              </w:rPr>
            </w:pPr>
            <w:r w:rsidRPr="00245E91">
              <w:rPr>
                <w:rFonts w:ascii="Times New Roman" w:hAnsi="Times New Roman"/>
                <w:sz w:val="15"/>
                <w:szCs w:val="15"/>
              </w:rPr>
              <w:t>-0.001</w:t>
            </w:r>
          </w:p>
          <w:p w14:paraId="6CA28570" w14:textId="77777777" w:rsidR="00533393" w:rsidRPr="00245E91" w:rsidRDefault="00533393" w:rsidP="00672311">
            <w:pPr>
              <w:spacing w:after="0" w:line="240" w:lineRule="auto"/>
              <w:ind w:right="-168"/>
              <w:rPr>
                <w:rFonts w:ascii="Times New Roman" w:eastAsia="Times New Roman" w:hAnsi="Times New Roman"/>
                <w:sz w:val="15"/>
                <w:szCs w:val="15"/>
              </w:rPr>
            </w:pPr>
            <w:r w:rsidRPr="00245E91">
              <w:rPr>
                <w:rFonts w:ascii="Times New Roman" w:hAnsi="Times New Roman"/>
                <w:sz w:val="15"/>
                <w:szCs w:val="15"/>
              </w:rPr>
              <w:t>(-0.03)</w:t>
            </w:r>
          </w:p>
        </w:tc>
        <w:tc>
          <w:tcPr>
            <w:tcW w:w="965" w:type="dxa"/>
            <w:tcBorders>
              <w:top w:val="nil"/>
              <w:left w:val="nil"/>
              <w:bottom w:val="nil"/>
              <w:right w:val="nil"/>
            </w:tcBorders>
          </w:tcPr>
          <w:p w14:paraId="31E5FDDE" w14:textId="77777777" w:rsidR="00533393" w:rsidRPr="00245E91" w:rsidRDefault="00533393" w:rsidP="00672311">
            <w:pPr>
              <w:spacing w:after="0" w:line="240" w:lineRule="auto"/>
              <w:ind w:left="-24"/>
              <w:rPr>
                <w:rFonts w:ascii="Times New Roman" w:hAnsi="Times New Roman"/>
                <w:sz w:val="15"/>
                <w:szCs w:val="15"/>
              </w:rPr>
            </w:pPr>
            <w:r w:rsidRPr="00245E91">
              <w:rPr>
                <w:rFonts w:ascii="Times New Roman" w:hAnsi="Times New Roman"/>
                <w:sz w:val="15"/>
                <w:szCs w:val="15"/>
              </w:rPr>
              <w:t>-0.001</w:t>
            </w:r>
          </w:p>
          <w:p w14:paraId="5F4901F1"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(-0.03)</w:t>
            </w:r>
          </w:p>
        </w:tc>
        <w:tc>
          <w:tcPr>
            <w:tcW w:w="901" w:type="dxa"/>
            <w:tcBorders>
              <w:top w:val="nil"/>
              <w:left w:val="nil"/>
              <w:bottom w:val="nil"/>
              <w:right w:val="nil"/>
            </w:tcBorders>
          </w:tcPr>
          <w:p w14:paraId="0EDC61A8" w14:textId="77777777" w:rsidR="00533393" w:rsidRPr="00245E91" w:rsidRDefault="00533393" w:rsidP="00672311">
            <w:pPr>
              <w:spacing w:after="0" w:line="240" w:lineRule="auto"/>
              <w:ind w:left="-114" w:right="-138"/>
              <w:rPr>
                <w:rFonts w:ascii="Times New Roman" w:hAnsi="Times New Roman"/>
                <w:sz w:val="15"/>
                <w:szCs w:val="15"/>
              </w:rPr>
            </w:pPr>
            <w:r w:rsidRPr="00245E91">
              <w:rPr>
                <w:rFonts w:ascii="Times New Roman" w:hAnsi="Times New Roman"/>
                <w:sz w:val="15"/>
                <w:szCs w:val="15"/>
              </w:rPr>
              <w:t>0.035</w:t>
            </w:r>
          </w:p>
          <w:p w14:paraId="379B1B1C" w14:textId="77777777" w:rsidR="00533393" w:rsidRPr="00245E91" w:rsidRDefault="00533393" w:rsidP="00672311">
            <w:pPr>
              <w:spacing w:after="0" w:line="240" w:lineRule="auto"/>
              <w:ind w:right="-138"/>
              <w:rPr>
                <w:rFonts w:ascii="Times New Roman" w:eastAsia="Times New Roman" w:hAnsi="Times New Roman"/>
                <w:sz w:val="15"/>
                <w:szCs w:val="15"/>
              </w:rPr>
            </w:pPr>
            <w:r w:rsidRPr="00245E91">
              <w:rPr>
                <w:rFonts w:ascii="Times New Roman" w:hAnsi="Times New Roman"/>
                <w:sz w:val="15"/>
                <w:szCs w:val="15"/>
              </w:rPr>
              <w:t>(0.83)</w:t>
            </w:r>
          </w:p>
        </w:tc>
        <w:tc>
          <w:tcPr>
            <w:tcW w:w="972" w:type="dxa"/>
            <w:tcBorders>
              <w:top w:val="nil"/>
              <w:left w:val="nil"/>
              <w:bottom w:val="nil"/>
              <w:right w:val="nil"/>
            </w:tcBorders>
          </w:tcPr>
          <w:p w14:paraId="546BDA09" w14:textId="77777777" w:rsidR="00533393" w:rsidRPr="00245E91" w:rsidRDefault="00533393" w:rsidP="00672311">
            <w:pPr>
              <w:spacing w:after="0" w:line="240" w:lineRule="auto"/>
              <w:ind w:left="-108" w:right="-104"/>
              <w:rPr>
                <w:rFonts w:ascii="Times New Roman" w:hAnsi="Times New Roman"/>
                <w:sz w:val="15"/>
                <w:szCs w:val="15"/>
              </w:rPr>
            </w:pPr>
            <w:r w:rsidRPr="00245E91">
              <w:rPr>
                <w:rFonts w:ascii="Times New Roman" w:hAnsi="Times New Roman"/>
                <w:sz w:val="15"/>
                <w:szCs w:val="15"/>
              </w:rPr>
              <w:t>0.065</w:t>
            </w:r>
          </w:p>
          <w:p w14:paraId="48987571" w14:textId="77777777" w:rsidR="00533393" w:rsidRPr="00245E91" w:rsidRDefault="00533393" w:rsidP="00672311">
            <w:pPr>
              <w:spacing w:after="0" w:line="240" w:lineRule="auto"/>
              <w:ind w:left="-108" w:right="-104"/>
              <w:rPr>
                <w:rFonts w:ascii="Times New Roman" w:eastAsia="Times New Roman" w:hAnsi="Times New Roman"/>
                <w:sz w:val="15"/>
                <w:szCs w:val="15"/>
              </w:rPr>
            </w:pPr>
            <w:r w:rsidRPr="00245E91">
              <w:rPr>
                <w:rFonts w:ascii="Times New Roman" w:hAnsi="Times New Roman"/>
                <w:sz w:val="15"/>
                <w:szCs w:val="15"/>
              </w:rPr>
              <w:t>(1.44)</w:t>
            </w:r>
          </w:p>
        </w:tc>
      </w:tr>
      <w:tr w:rsidR="00533393" w:rsidRPr="00245E91" w14:paraId="26D1CB78" w14:textId="77777777" w:rsidTr="00672311">
        <w:tblPrEx>
          <w:tblBorders>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440" w:type="dxa"/>
            <w:tcBorders>
              <w:top w:val="nil"/>
              <w:left w:val="nil"/>
              <w:bottom w:val="nil"/>
              <w:right w:val="nil"/>
            </w:tcBorders>
          </w:tcPr>
          <w:p w14:paraId="3BFBC806" w14:textId="77777777" w:rsidR="00533393" w:rsidRPr="00245E91" w:rsidRDefault="00533393" w:rsidP="00672311">
            <w:pPr>
              <w:spacing w:after="0" w:line="240" w:lineRule="auto"/>
              <w:ind w:right="-104"/>
              <w:rPr>
                <w:rFonts w:ascii="Times New Roman" w:eastAsia="Times New Roman" w:hAnsi="Times New Roman"/>
                <w:sz w:val="15"/>
                <w:szCs w:val="15"/>
              </w:rPr>
            </w:pPr>
            <w:r w:rsidRPr="00245E91">
              <w:rPr>
                <w:rFonts w:ascii="Times New Roman" w:hAnsi="Times New Roman"/>
                <w:sz w:val="15"/>
                <w:szCs w:val="15"/>
              </w:rPr>
              <w:t>BIG8</w:t>
            </w:r>
          </w:p>
        </w:tc>
        <w:tc>
          <w:tcPr>
            <w:tcW w:w="978" w:type="dxa"/>
            <w:gridSpan w:val="2"/>
            <w:tcBorders>
              <w:top w:val="nil"/>
              <w:left w:val="nil"/>
              <w:bottom w:val="nil"/>
              <w:right w:val="nil"/>
            </w:tcBorders>
          </w:tcPr>
          <w:p w14:paraId="4535615A" w14:textId="77777777" w:rsidR="00533393" w:rsidRPr="00245E91" w:rsidRDefault="00533393" w:rsidP="00672311">
            <w:pPr>
              <w:spacing w:after="0" w:line="240" w:lineRule="auto"/>
              <w:ind w:right="-31"/>
              <w:rPr>
                <w:rFonts w:ascii="Times New Roman" w:hAnsi="Times New Roman"/>
                <w:sz w:val="15"/>
                <w:szCs w:val="15"/>
              </w:rPr>
            </w:pPr>
            <w:r w:rsidRPr="00245E91">
              <w:rPr>
                <w:rFonts w:ascii="Times New Roman" w:hAnsi="Times New Roman"/>
                <w:sz w:val="15"/>
                <w:szCs w:val="15"/>
              </w:rPr>
              <w:t>-0.013</w:t>
            </w:r>
          </w:p>
          <w:p w14:paraId="2BE48500" w14:textId="77777777" w:rsidR="00533393" w:rsidRPr="00245E91" w:rsidRDefault="00533393" w:rsidP="00672311">
            <w:pPr>
              <w:spacing w:after="0" w:line="240" w:lineRule="auto"/>
              <w:ind w:right="-31"/>
              <w:rPr>
                <w:rFonts w:ascii="Times New Roman" w:eastAsia="Times New Roman" w:hAnsi="Times New Roman"/>
                <w:sz w:val="15"/>
                <w:szCs w:val="15"/>
              </w:rPr>
            </w:pPr>
            <w:r w:rsidRPr="00245E91">
              <w:rPr>
                <w:rFonts w:ascii="Times New Roman" w:hAnsi="Times New Roman"/>
                <w:sz w:val="15"/>
                <w:szCs w:val="15"/>
              </w:rPr>
              <w:t>(-0.37)</w:t>
            </w:r>
          </w:p>
        </w:tc>
        <w:tc>
          <w:tcPr>
            <w:tcW w:w="978" w:type="dxa"/>
            <w:tcBorders>
              <w:top w:val="nil"/>
              <w:left w:val="nil"/>
              <w:bottom w:val="nil"/>
              <w:right w:val="nil"/>
            </w:tcBorders>
          </w:tcPr>
          <w:p w14:paraId="78CF1987" w14:textId="77777777" w:rsidR="00533393" w:rsidRPr="00245E91" w:rsidRDefault="00533393" w:rsidP="00672311">
            <w:pPr>
              <w:spacing w:after="0" w:line="240" w:lineRule="auto"/>
              <w:ind w:left="-100" w:right="-138"/>
              <w:rPr>
                <w:rFonts w:ascii="Times New Roman" w:hAnsi="Times New Roman"/>
                <w:sz w:val="15"/>
                <w:szCs w:val="15"/>
              </w:rPr>
            </w:pPr>
            <w:r w:rsidRPr="00245E91">
              <w:rPr>
                <w:rFonts w:ascii="Times New Roman" w:hAnsi="Times New Roman"/>
                <w:sz w:val="15"/>
                <w:szCs w:val="15"/>
              </w:rPr>
              <w:t>-0.020</w:t>
            </w:r>
          </w:p>
          <w:p w14:paraId="3C1349A7" w14:textId="77777777" w:rsidR="00533393" w:rsidRPr="00245E91" w:rsidRDefault="00533393" w:rsidP="00672311">
            <w:pPr>
              <w:spacing w:after="0" w:line="240" w:lineRule="auto"/>
              <w:ind w:left="-100" w:right="-138"/>
              <w:rPr>
                <w:rFonts w:ascii="Times New Roman" w:eastAsia="Times New Roman" w:hAnsi="Times New Roman"/>
                <w:sz w:val="15"/>
                <w:szCs w:val="15"/>
              </w:rPr>
            </w:pPr>
            <w:r w:rsidRPr="00245E91">
              <w:rPr>
                <w:rFonts w:ascii="Times New Roman" w:hAnsi="Times New Roman"/>
                <w:sz w:val="15"/>
                <w:szCs w:val="15"/>
              </w:rPr>
              <w:t>(-0.56)</w:t>
            </w:r>
          </w:p>
        </w:tc>
        <w:tc>
          <w:tcPr>
            <w:tcW w:w="978" w:type="dxa"/>
            <w:tcBorders>
              <w:top w:val="nil"/>
              <w:left w:val="nil"/>
              <w:bottom w:val="nil"/>
              <w:right w:val="nil"/>
            </w:tcBorders>
          </w:tcPr>
          <w:p w14:paraId="4AFD5E04" w14:textId="77777777" w:rsidR="00533393" w:rsidRPr="00245E91" w:rsidRDefault="00533393" w:rsidP="00672311">
            <w:pPr>
              <w:spacing w:after="0" w:line="240" w:lineRule="auto"/>
              <w:ind w:left="-23" w:right="-52"/>
              <w:rPr>
                <w:rFonts w:ascii="Times New Roman" w:hAnsi="Times New Roman"/>
                <w:sz w:val="15"/>
                <w:szCs w:val="15"/>
              </w:rPr>
            </w:pPr>
            <w:r w:rsidRPr="00245E91">
              <w:rPr>
                <w:rFonts w:ascii="Times New Roman" w:hAnsi="Times New Roman"/>
                <w:sz w:val="15"/>
                <w:szCs w:val="15"/>
              </w:rPr>
              <w:t>-0.023</w:t>
            </w:r>
          </w:p>
          <w:p w14:paraId="750C8AD4" w14:textId="77777777" w:rsidR="00533393" w:rsidRPr="00245E91" w:rsidRDefault="00533393" w:rsidP="00672311">
            <w:pPr>
              <w:spacing w:after="0" w:line="240" w:lineRule="auto"/>
              <w:ind w:right="-52"/>
              <w:rPr>
                <w:rFonts w:ascii="Times New Roman" w:eastAsia="Times New Roman" w:hAnsi="Times New Roman"/>
                <w:sz w:val="15"/>
                <w:szCs w:val="15"/>
              </w:rPr>
            </w:pPr>
            <w:r w:rsidRPr="00245E91">
              <w:rPr>
                <w:rFonts w:ascii="Times New Roman" w:hAnsi="Times New Roman"/>
                <w:sz w:val="15"/>
                <w:szCs w:val="15"/>
              </w:rPr>
              <w:t>(-0.63)</w:t>
            </w:r>
          </w:p>
        </w:tc>
        <w:tc>
          <w:tcPr>
            <w:tcW w:w="978" w:type="dxa"/>
            <w:tcBorders>
              <w:top w:val="nil"/>
              <w:left w:val="nil"/>
              <w:bottom w:val="nil"/>
              <w:right w:val="nil"/>
            </w:tcBorders>
          </w:tcPr>
          <w:p w14:paraId="7D36DCE0" w14:textId="77777777" w:rsidR="00533393" w:rsidRPr="00245E91" w:rsidRDefault="00533393" w:rsidP="00672311">
            <w:pPr>
              <w:spacing w:after="0" w:line="240" w:lineRule="auto"/>
              <w:ind w:left="-23" w:right="-159"/>
              <w:rPr>
                <w:rFonts w:ascii="Times New Roman" w:hAnsi="Times New Roman"/>
                <w:sz w:val="15"/>
                <w:szCs w:val="15"/>
              </w:rPr>
            </w:pPr>
            <w:r w:rsidRPr="00245E91">
              <w:rPr>
                <w:rFonts w:ascii="Times New Roman" w:hAnsi="Times New Roman"/>
                <w:sz w:val="15"/>
                <w:szCs w:val="15"/>
              </w:rPr>
              <w:t>-0.023</w:t>
            </w:r>
          </w:p>
          <w:p w14:paraId="3CC472F0" w14:textId="77777777" w:rsidR="00533393" w:rsidRPr="00245E91" w:rsidRDefault="00533393" w:rsidP="00672311">
            <w:pPr>
              <w:spacing w:after="0" w:line="240" w:lineRule="auto"/>
              <w:ind w:right="-159"/>
              <w:rPr>
                <w:rFonts w:ascii="Times New Roman" w:eastAsia="Times New Roman" w:hAnsi="Times New Roman"/>
                <w:sz w:val="15"/>
                <w:szCs w:val="15"/>
              </w:rPr>
            </w:pPr>
            <w:r w:rsidRPr="00245E91">
              <w:rPr>
                <w:rFonts w:ascii="Times New Roman" w:hAnsi="Times New Roman"/>
                <w:sz w:val="15"/>
                <w:szCs w:val="15"/>
              </w:rPr>
              <w:t>(-0.63)</w:t>
            </w:r>
          </w:p>
        </w:tc>
        <w:tc>
          <w:tcPr>
            <w:tcW w:w="858" w:type="dxa"/>
            <w:tcBorders>
              <w:top w:val="nil"/>
              <w:left w:val="nil"/>
              <w:bottom w:val="nil"/>
              <w:right w:val="nil"/>
            </w:tcBorders>
          </w:tcPr>
          <w:p w14:paraId="577A3AE0" w14:textId="77777777" w:rsidR="00533393" w:rsidRPr="00245E91" w:rsidRDefault="00533393" w:rsidP="00672311">
            <w:pPr>
              <w:spacing w:after="0" w:line="240" w:lineRule="auto"/>
              <w:ind w:left="-62" w:right="-73"/>
              <w:rPr>
                <w:rFonts w:ascii="Times New Roman" w:hAnsi="Times New Roman"/>
                <w:sz w:val="15"/>
                <w:szCs w:val="15"/>
              </w:rPr>
            </w:pPr>
            <w:r w:rsidRPr="00245E91">
              <w:rPr>
                <w:rFonts w:ascii="Times New Roman" w:hAnsi="Times New Roman"/>
                <w:sz w:val="15"/>
                <w:szCs w:val="15"/>
              </w:rPr>
              <w:t>-0.008</w:t>
            </w:r>
          </w:p>
          <w:p w14:paraId="07318D7A" w14:textId="77777777" w:rsidR="00533393" w:rsidRPr="00245E91" w:rsidRDefault="00533393" w:rsidP="00672311">
            <w:pPr>
              <w:spacing w:after="0" w:line="240" w:lineRule="auto"/>
              <w:ind w:left="-62" w:right="-73"/>
              <w:rPr>
                <w:rFonts w:ascii="Times New Roman" w:eastAsia="Times New Roman" w:hAnsi="Times New Roman"/>
                <w:sz w:val="15"/>
                <w:szCs w:val="15"/>
              </w:rPr>
            </w:pPr>
            <w:r w:rsidRPr="00245E91">
              <w:rPr>
                <w:rFonts w:ascii="Times New Roman" w:hAnsi="Times New Roman"/>
                <w:sz w:val="15"/>
                <w:szCs w:val="15"/>
              </w:rPr>
              <w:t>(-0.24)</w:t>
            </w:r>
          </w:p>
        </w:tc>
        <w:tc>
          <w:tcPr>
            <w:tcW w:w="990" w:type="dxa"/>
            <w:tcBorders>
              <w:top w:val="nil"/>
              <w:left w:val="nil"/>
              <w:bottom w:val="nil"/>
              <w:right w:val="single" w:sz="4" w:space="0" w:color="auto"/>
            </w:tcBorders>
          </w:tcPr>
          <w:p w14:paraId="130D3C97" w14:textId="77777777" w:rsidR="00533393" w:rsidRPr="00245E91" w:rsidRDefault="00533393" w:rsidP="00672311">
            <w:pPr>
              <w:spacing w:after="0" w:line="240" w:lineRule="auto"/>
              <w:ind w:left="-23" w:right="-106"/>
              <w:rPr>
                <w:rFonts w:ascii="Times New Roman" w:hAnsi="Times New Roman"/>
                <w:sz w:val="15"/>
                <w:szCs w:val="15"/>
              </w:rPr>
            </w:pPr>
            <w:r w:rsidRPr="00245E91">
              <w:rPr>
                <w:rFonts w:ascii="Times New Roman" w:hAnsi="Times New Roman"/>
                <w:sz w:val="15"/>
                <w:szCs w:val="15"/>
              </w:rPr>
              <w:t>0.021</w:t>
            </w:r>
          </w:p>
          <w:p w14:paraId="7DDA3A54"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(0.58)</w:t>
            </w:r>
          </w:p>
        </w:tc>
        <w:tc>
          <w:tcPr>
            <w:tcW w:w="968" w:type="dxa"/>
            <w:tcBorders>
              <w:top w:val="nil"/>
              <w:left w:val="single" w:sz="4" w:space="0" w:color="auto"/>
              <w:bottom w:val="nil"/>
              <w:right w:val="nil"/>
            </w:tcBorders>
          </w:tcPr>
          <w:p w14:paraId="37FCA1AD" w14:textId="77777777" w:rsidR="00533393" w:rsidRPr="00245E91" w:rsidRDefault="00533393" w:rsidP="00672311">
            <w:pPr>
              <w:spacing w:after="0" w:line="240" w:lineRule="auto"/>
              <w:ind w:left="-23" w:right="-61"/>
              <w:rPr>
                <w:rFonts w:ascii="Times New Roman" w:hAnsi="Times New Roman"/>
                <w:sz w:val="15"/>
                <w:szCs w:val="15"/>
              </w:rPr>
            </w:pPr>
            <w:r w:rsidRPr="00245E91">
              <w:rPr>
                <w:rFonts w:ascii="Times New Roman" w:hAnsi="Times New Roman"/>
                <w:sz w:val="15"/>
                <w:szCs w:val="15"/>
              </w:rPr>
              <w:t>-0.001</w:t>
            </w:r>
          </w:p>
          <w:p w14:paraId="71D338BF"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(-0.04)</w:t>
            </w:r>
          </w:p>
        </w:tc>
        <w:tc>
          <w:tcPr>
            <w:tcW w:w="971" w:type="dxa"/>
            <w:tcBorders>
              <w:top w:val="nil"/>
              <w:left w:val="nil"/>
              <w:bottom w:val="nil"/>
              <w:right w:val="nil"/>
            </w:tcBorders>
          </w:tcPr>
          <w:p w14:paraId="4F34DB7E" w14:textId="77777777" w:rsidR="00533393" w:rsidRPr="00245E91" w:rsidRDefault="00533393" w:rsidP="00672311">
            <w:pPr>
              <w:spacing w:after="0" w:line="240" w:lineRule="auto"/>
              <w:ind w:left="-87" w:right="-151"/>
              <w:rPr>
                <w:rFonts w:ascii="Times New Roman" w:hAnsi="Times New Roman"/>
                <w:sz w:val="15"/>
                <w:szCs w:val="15"/>
              </w:rPr>
            </w:pPr>
            <w:r w:rsidRPr="00245E91">
              <w:rPr>
                <w:rFonts w:ascii="Times New Roman" w:hAnsi="Times New Roman"/>
                <w:sz w:val="15"/>
                <w:szCs w:val="15"/>
              </w:rPr>
              <w:t>0.000</w:t>
            </w:r>
          </w:p>
          <w:p w14:paraId="39D53E06" w14:textId="77777777" w:rsidR="00533393" w:rsidRPr="00245E91" w:rsidRDefault="00533393" w:rsidP="00672311">
            <w:pPr>
              <w:spacing w:after="0" w:line="240" w:lineRule="auto"/>
              <w:ind w:left="-87" w:right="-151"/>
              <w:rPr>
                <w:rFonts w:ascii="Times New Roman" w:eastAsia="Times New Roman" w:hAnsi="Times New Roman"/>
                <w:sz w:val="15"/>
                <w:szCs w:val="15"/>
              </w:rPr>
            </w:pPr>
            <w:r w:rsidRPr="00245E91">
              <w:rPr>
                <w:rFonts w:ascii="Times New Roman" w:hAnsi="Times New Roman"/>
                <w:sz w:val="15"/>
                <w:szCs w:val="15"/>
              </w:rPr>
              <w:t>(0.01)</w:t>
            </w:r>
          </w:p>
        </w:tc>
        <w:tc>
          <w:tcPr>
            <w:tcW w:w="965" w:type="dxa"/>
            <w:tcBorders>
              <w:top w:val="nil"/>
              <w:left w:val="nil"/>
              <w:bottom w:val="nil"/>
              <w:right w:val="nil"/>
            </w:tcBorders>
          </w:tcPr>
          <w:p w14:paraId="44B9506F" w14:textId="77777777" w:rsidR="00533393" w:rsidRPr="00245E91" w:rsidRDefault="00533393" w:rsidP="00672311">
            <w:pPr>
              <w:spacing w:after="0" w:line="240" w:lineRule="auto"/>
              <w:ind w:left="-38" w:right="-168"/>
              <w:rPr>
                <w:rFonts w:ascii="Times New Roman" w:hAnsi="Times New Roman"/>
                <w:sz w:val="15"/>
                <w:szCs w:val="15"/>
              </w:rPr>
            </w:pPr>
            <w:r w:rsidRPr="00245E91">
              <w:rPr>
                <w:rFonts w:ascii="Times New Roman" w:hAnsi="Times New Roman"/>
                <w:sz w:val="15"/>
                <w:szCs w:val="15"/>
              </w:rPr>
              <w:t>0.001</w:t>
            </w:r>
          </w:p>
          <w:p w14:paraId="144F8D84" w14:textId="77777777" w:rsidR="00533393" w:rsidRPr="00245E91" w:rsidRDefault="00533393" w:rsidP="00672311">
            <w:pPr>
              <w:spacing w:after="0" w:line="240" w:lineRule="auto"/>
              <w:ind w:right="-168"/>
              <w:rPr>
                <w:rFonts w:ascii="Times New Roman" w:eastAsia="Times New Roman" w:hAnsi="Times New Roman"/>
                <w:sz w:val="15"/>
                <w:szCs w:val="15"/>
              </w:rPr>
            </w:pPr>
            <w:r w:rsidRPr="00245E91">
              <w:rPr>
                <w:rFonts w:ascii="Times New Roman" w:hAnsi="Times New Roman"/>
                <w:sz w:val="15"/>
                <w:szCs w:val="15"/>
              </w:rPr>
              <w:t>(0.03)</w:t>
            </w:r>
          </w:p>
        </w:tc>
        <w:tc>
          <w:tcPr>
            <w:tcW w:w="965" w:type="dxa"/>
            <w:tcBorders>
              <w:top w:val="nil"/>
              <w:left w:val="nil"/>
              <w:bottom w:val="nil"/>
              <w:right w:val="nil"/>
            </w:tcBorders>
          </w:tcPr>
          <w:p w14:paraId="4AF4B69A" w14:textId="77777777" w:rsidR="00533393" w:rsidRPr="00245E91" w:rsidRDefault="00533393" w:rsidP="00672311">
            <w:pPr>
              <w:spacing w:after="0" w:line="240" w:lineRule="auto"/>
              <w:ind w:left="-24"/>
              <w:rPr>
                <w:rFonts w:ascii="Times New Roman" w:hAnsi="Times New Roman"/>
                <w:sz w:val="15"/>
                <w:szCs w:val="15"/>
              </w:rPr>
            </w:pPr>
            <w:r w:rsidRPr="00245E91">
              <w:rPr>
                <w:rFonts w:ascii="Times New Roman" w:hAnsi="Times New Roman"/>
                <w:sz w:val="15"/>
                <w:szCs w:val="15"/>
              </w:rPr>
              <w:t>0.001</w:t>
            </w:r>
          </w:p>
          <w:p w14:paraId="290E0DE2"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(0.03)</w:t>
            </w:r>
          </w:p>
        </w:tc>
        <w:tc>
          <w:tcPr>
            <w:tcW w:w="901" w:type="dxa"/>
            <w:tcBorders>
              <w:top w:val="nil"/>
              <w:left w:val="nil"/>
              <w:bottom w:val="nil"/>
              <w:right w:val="nil"/>
            </w:tcBorders>
          </w:tcPr>
          <w:p w14:paraId="1B376C13" w14:textId="77777777" w:rsidR="00533393" w:rsidRPr="00245E91" w:rsidRDefault="00533393" w:rsidP="00672311">
            <w:pPr>
              <w:spacing w:after="0" w:line="240" w:lineRule="auto"/>
              <w:ind w:left="-114" w:right="-138"/>
              <w:rPr>
                <w:rFonts w:ascii="Times New Roman" w:hAnsi="Times New Roman"/>
                <w:sz w:val="15"/>
                <w:szCs w:val="15"/>
              </w:rPr>
            </w:pPr>
            <w:r w:rsidRPr="00245E91">
              <w:rPr>
                <w:rFonts w:ascii="Times New Roman" w:hAnsi="Times New Roman"/>
                <w:sz w:val="15"/>
                <w:szCs w:val="15"/>
              </w:rPr>
              <w:t>0.006</w:t>
            </w:r>
          </w:p>
          <w:p w14:paraId="3839C7A1" w14:textId="77777777" w:rsidR="00533393" w:rsidRPr="00245E91" w:rsidRDefault="00533393" w:rsidP="00672311">
            <w:pPr>
              <w:spacing w:after="0" w:line="240" w:lineRule="auto"/>
              <w:ind w:right="-138"/>
              <w:rPr>
                <w:rFonts w:ascii="Times New Roman" w:eastAsia="Times New Roman" w:hAnsi="Times New Roman"/>
                <w:sz w:val="15"/>
                <w:szCs w:val="15"/>
              </w:rPr>
            </w:pPr>
            <w:r w:rsidRPr="00245E91">
              <w:rPr>
                <w:rFonts w:ascii="Times New Roman" w:hAnsi="Times New Roman"/>
                <w:sz w:val="15"/>
                <w:szCs w:val="15"/>
              </w:rPr>
              <w:t>(0.16)</w:t>
            </w:r>
          </w:p>
        </w:tc>
        <w:tc>
          <w:tcPr>
            <w:tcW w:w="972" w:type="dxa"/>
            <w:tcBorders>
              <w:top w:val="nil"/>
              <w:left w:val="nil"/>
              <w:bottom w:val="nil"/>
              <w:right w:val="nil"/>
            </w:tcBorders>
          </w:tcPr>
          <w:p w14:paraId="1BAC4435" w14:textId="77777777" w:rsidR="00533393" w:rsidRPr="00245E91" w:rsidRDefault="00533393" w:rsidP="00672311">
            <w:pPr>
              <w:spacing w:after="0" w:line="240" w:lineRule="auto"/>
              <w:ind w:left="-108" w:right="-104"/>
              <w:rPr>
                <w:rFonts w:ascii="Times New Roman" w:hAnsi="Times New Roman"/>
                <w:sz w:val="15"/>
                <w:szCs w:val="15"/>
              </w:rPr>
            </w:pPr>
            <w:r w:rsidRPr="00245E91">
              <w:rPr>
                <w:rFonts w:ascii="Times New Roman" w:hAnsi="Times New Roman"/>
                <w:sz w:val="15"/>
                <w:szCs w:val="15"/>
              </w:rPr>
              <w:t>0.021</w:t>
            </w:r>
          </w:p>
          <w:p w14:paraId="3AC15B21" w14:textId="77777777" w:rsidR="00533393" w:rsidRPr="00245E91" w:rsidRDefault="00533393" w:rsidP="00672311">
            <w:pPr>
              <w:spacing w:after="0" w:line="240" w:lineRule="auto"/>
              <w:ind w:left="-108" w:right="-104"/>
              <w:rPr>
                <w:rFonts w:ascii="Times New Roman" w:eastAsia="Times New Roman" w:hAnsi="Times New Roman"/>
                <w:sz w:val="15"/>
                <w:szCs w:val="15"/>
              </w:rPr>
            </w:pPr>
            <w:r w:rsidRPr="00245E91">
              <w:rPr>
                <w:rFonts w:ascii="Times New Roman" w:hAnsi="Times New Roman"/>
                <w:sz w:val="15"/>
                <w:szCs w:val="15"/>
              </w:rPr>
              <w:t>(0.55)</w:t>
            </w:r>
          </w:p>
        </w:tc>
      </w:tr>
      <w:tr w:rsidR="00533393" w:rsidRPr="00245E91" w14:paraId="198BA32E" w14:textId="77777777" w:rsidTr="00672311">
        <w:tblPrEx>
          <w:tblBorders>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440" w:type="dxa"/>
            <w:tcBorders>
              <w:top w:val="nil"/>
              <w:left w:val="nil"/>
              <w:bottom w:val="nil"/>
              <w:right w:val="nil"/>
            </w:tcBorders>
          </w:tcPr>
          <w:p w14:paraId="59778333" w14:textId="77777777" w:rsidR="00533393" w:rsidRPr="00245E91" w:rsidRDefault="00533393" w:rsidP="00672311">
            <w:pPr>
              <w:spacing w:after="0" w:line="240" w:lineRule="auto"/>
              <w:ind w:right="-104"/>
              <w:rPr>
                <w:rFonts w:ascii="Times New Roman" w:eastAsia="Times New Roman" w:hAnsi="Times New Roman"/>
                <w:sz w:val="15"/>
                <w:szCs w:val="15"/>
              </w:rPr>
            </w:pPr>
            <w:r w:rsidRPr="00245E91">
              <w:rPr>
                <w:rFonts w:ascii="Times New Roman" w:hAnsi="Times New Roman"/>
                <w:sz w:val="15"/>
                <w:szCs w:val="15"/>
              </w:rPr>
              <w:t>TENURE</w:t>
            </w:r>
          </w:p>
        </w:tc>
        <w:tc>
          <w:tcPr>
            <w:tcW w:w="978" w:type="dxa"/>
            <w:gridSpan w:val="2"/>
            <w:tcBorders>
              <w:top w:val="nil"/>
              <w:left w:val="nil"/>
              <w:bottom w:val="nil"/>
              <w:right w:val="nil"/>
            </w:tcBorders>
          </w:tcPr>
          <w:p w14:paraId="58F115BD" w14:textId="77777777" w:rsidR="00533393" w:rsidRPr="00245E91" w:rsidRDefault="00533393" w:rsidP="00672311">
            <w:pPr>
              <w:spacing w:after="0" w:line="240" w:lineRule="auto"/>
              <w:ind w:right="-31"/>
              <w:rPr>
                <w:rFonts w:ascii="Times New Roman" w:hAnsi="Times New Roman"/>
                <w:sz w:val="15"/>
                <w:szCs w:val="15"/>
              </w:rPr>
            </w:pPr>
            <w:r w:rsidRPr="00245E91">
              <w:rPr>
                <w:rFonts w:ascii="Times New Roman" w:hAnsi="Times New Roman"/>
                <w:sz w:val="15"/>
                <w:szCs w:val="15"/>
              </w:rPr>
              <w:t>0.064</w:t>
            </w:r>
          </w:p>
          <w:p w14:paraId="33DBE82D" w14:textId="77777777" w:rsidR="00533393" w:rsidRPr="00245E91" w:rsidRDefault="00533393" w:rsidP="00672311">
            <w:pPr>
              <w:spacing w:after="0" w:line="240" w:lineRule="auto"/>
              <w:ind w:right="-31"/>
              <w:rPr>
                <w:rFonts w:ascii="Times New Roman" w:eastAsia="Times New Roman" w:hAnsi="Times New Roman"/>
                <w:sz w:val="15"/>
                <w:szCs w:val="15"/>
              </w:rPr>
            </w:pPr>
            <w:r w:rsidRPr="00245E91">
              <w:rPr>
                <w:rFonts w:ascii="Times New Roman" w:hAnsi="Times New Roman"/>
                <w:sz w:val="15"/>
                <w:szCs w:val="15"/>
              </w:rPr>
              <w:t>(1.83*)</w:t>
            </w:r>
          </w:p>
        </w:tc>
        <w:tc>
          <w:tcPr>
            <w:tcW w:w="978" w:type="dxa"/>
            <w:tcBorders>
              <w:top w:val="nil"/>
              <w:left w:val="nil"/>
              <w:bottom w:val="nil"/>
              <w:right w:val="nil"/>
            </w:tcBorders>
          </w:tcPr>
          <w:p w14:paraId="1666CB22" w14:textId="77777777" w:rsidR="00533393" w:rsidRPr="00245E91" w:rsidRDefault="00533393" w:rsidP="00672311">
            <w:pPr>
              <w:spacing w:after="0" w:line="240" w:lineRule="auto"/>
              <w:ind w:left="-100" w:right="-138"/>
              <w:rPr>
                <w:rFonts w:ascii="Times New Roman" w:hAnsi="Times New Roman"/>
                <w:sz w:val="15"/>
                <w:szCs w:val="15"/>
              </w:rPr>
            </w:pPr>
            <w:r w:rsidRPr="00245E91">
              <w:rPr>
                <w:rFonts w:ascii="Times New Roman" w:hAnsi="Times New Roman"/>
                <w:sz w:val="15"/>
                <w:szCs w:val="15"/>
              </w:rPr>
              <w:t>0.104</w:t>
            </w:r>
          </w:p>
          <w:p w14:paraId="008BA774" w14:textId="77777777" w:rsidR="00533393" w:rsidRPr="00245E91" w:rsidRDefault="00533393" w:rsidP="00672311">
            <w:pPr>
              <w:spacing w:after="0" w:line="240" w:lineRule="auto"/>
              <w:ind w:left="-100" w:right="-138"/>
              <w:rPr>
                <w:rFonts w:ascii="Times New Roman" w:eastAsia="Times New Roman" w:hAnsi="Times New Roman"/>
                <w:sz w:val="15"/>
                <w:szCs w:val="15"/>
              </w:rPr>
            </w:pPr>
            <w:r w:rsidRPr="00245E91">
              <w:rPr>
                <w:rFonts w:ascii="Times New Roman" w:hAnsi="Times New Roman"/>
                <w:sz w:val="15"/>
                <w:szCs w:val="15"/>
              </w:rPr>
              <w:t>(3.03***)</w:t>
            </w:r>
          </w:p>
        </w:tc>
        <w:tc>
          <w:tcPr>
            <w:tcW w:w="978" w:type="dxa"/>
            <w:tcBorders>
              <w:top w:val="nil"/>
              <w:left w:val="nil"/>
              <w:bottom w:val="nil"/>
              <w:right w:val="nil"/>
            </w:tcBorders>
          </w:tcPr>
          <w:p w14:paraId="08A3C74A" w14:textId="77777777" w:rsidR="00533393" w:rsidRPr="00245E91" w:rsidRDefault="00533393" w:rsidP="00672311">
            <w:pPr>
              <w:spacing w:after="0" w:line="240" w:lineRule="auto"/>
              <w:ind w:left="-23" w:right="-52"/>
              <w:rPr>
                <w:rFonts w:ascii="Times New Roman" w:hAnsi="Times New Roman"/>
                <w:sz w:val="15"/>
                <w:szCs w:val="15"/>
              </w:rPr>
            </w:pPr>
            <w:r w:rsidRPr="00245E91">
              <w:rPr>
                <w:rFonts w:ascii="Times New Roman" w:hAnsi="Times New Roman"/>
                <w:sz w:val="15"/>
                <w:szCs w:val="15"/>
              </w:rPr>
              <w:t>0.119</w:t>
            </w:r>
          </w:p>
          <w:p w14:paraId="0E211391" w14:textId="77777777" w:rsidR="00533393" w:rsidRPr="00245E91" w:rsidRDefault="00533393" w:rsidP="00672311">
            <w:pPr>
              <w:spacing w:after="0" w:line="240" w:lineRule="auto"/>
              <w:ind w:right="-52"/>
              <w:rPr>
                <w:rFonts w:ascii="Times New Roman" w:eastAsia="Times New Roman" w:hAnsi="Times New Roman"/>
                <w:sz w:val="15"/>
                <w:szCs w:val="15"/>
              </w:rPr>
            </w:pPr>
            <w:r w:rsidRPr="00245E91">
              <w:rPr>
                <w:rFonts w:ascii="Times New Roman" w:hAnsi="Times New Roman"/>
                <w:sz w:val="15"/>
                <w:szCs w:val="15"/>
              </w:rPr>
              <w:t>(3.11***)</w:t>
            </w:r>
          </w:p>
        </w:tc>
        <w:tc>
          <w:tcPr>
            <w:tcW w:w="978" w:type="dxa"/>
            <w:tcBorders>
              <w:top w:val="nil"/>
              <w:left w:val="nil"/>
              <w:bottom w:val="nil"/>
              <w:right w:val="nil"/>
            </w:tcBorders>
          </w:tcPr>
          <w:p w14:paraId="25F84AB3" w14:textId="77777777" w:rsidR="00533393" w:rsidRPr="00245E91" w:rsidRDefault="00533393" w:rsidP="00672311">
            <w:pPr>
              <w:spacing w:after="0" w:line="240" w:lineRule="auto"/>
              <w:ind w:left="-23" w:right="-159"/>
              <w:rPr>
                <w:rFonts w:ascii="Times New Roman" w:hAnsi="Times New Roman"/>
                <w:sz w:val="15"/>
                <w:szCs w:val="15"/>
              </w:rPr>
            </w:pPr>
            <w:r w:rsidRPr="00245E91">
              <w:rPr>
                <w:rFonts w:ascii="Times New Roman" w:hAnsi="Times New Roman"/>
                <w:sz w:val="15"/>
                <w:szCs w:val="15"/>
              </w:rPr>
              <w:t>0.119</w:t>
            </w:r>
          </w:p>
          <w:p w14:paraId="41568CE2" w14:textId="77777777" w:rsidR="00533393" w:rsidRPr="00245E91" w:rsidRDefault="00533393" w:rsidP="00672311">
            <w:pPr>
              <w:spacing w:after="0" w:line="240" w:lineRule="auto"/>
              <w:ind w:right="-159"/>
              <w:rPr>
                <w:rFonts w:ascii="Times New Roman" w:eastAsia="Times New Roman" w:hAnsi="Times New Roman"/>
                <w:sz w:val="15"/>
                <w:szCs w:val="15"/>
              </w:rPr>
            </w:pPr>
            <w:r w:rsidRPr="00245E91">
              <w:rPr>
                <w:rFonts w:ascii="Times New Roman" w:hAnsi="Times New Roman"/>
                <w:sz w:val="15"/>
                <w:szCs w:val="15"/>
              </w:rPr>
              <w:t>(3.11***)</w:t>
            </w:r>
          </w:p>
        </w:tc>
        <w:tc>
          <w:tcPr>
            <w:tcW w:w="858" w:type="dxa"/>
            <w:tcBorders>
              <w:top w:val="nil"/>
              <w:left w:val="nil"/>
              <w:bottom w:val="nil"/>
              <w:right w:val="nil"/>
            </w:tcBorders>
          </w:tcPr>
          <w:p w14:paraId="30677FC0" w14:textId="77777777" w:rsidR="00533393" w:rsidRPr="00245E91" w:rsidRDefault="00533393" w:rsidP="00672311">
            <w:pPr>
              <w:spacing w:after="0" w:line="240" w:lineRule="auto"/>
              <w:ind w:left="-62" w:right="-73"/>
              <w:rPr>
                <w:rFonts w:ascii="Times New Roman" w:hAnsi="Times New Roman"/>
                <w:sz w:val="15"/>
                <w:szCs w:val="15"/>
              </w:rPr>
            </w:pPr>
            <w:r w:rsidRPr="00245E91">
              <w:rPr>
                <w:rFonts w:ascii="Times New Roman" w:hAnsi="Times New Roman"/>
                <w:sz w:val="15"/>
                <w:szCs w:val="15"/>
              </w:rPr>
              <w:t>0.079</w:t>
            </w:r>
          </w:p>
          <w:p w14:paraId="0D9CA90B" w14:textId="77777777" w:rsidR="00533393" w:rsidRPr="00245E91" w:rsidRDefault="00533393" w:rsidP="00672311">
            <w:pPr>
              <w:spacing w:after="0" w:line="240" w:lineRule="auto"/>
              <w:ind w:left="-62" w:right="-73"/>
              <w:rPr>
                <w:rFonts w:ascii="Times New Roman" w:eastAsia="Times New Roman" w:hAnsi="Times New Roman"/>
                <w:sz w:val="15"/>
                <w:szCs w:val="15"/>
              </w:rPr>
            </w:pPr>
            <w:r w:rsidRPr="00245E91">
              <w:rPr>
                <w:rFonts w:ascii="Times New Roman" w:hAnsi="Times New Roman"/>
                <w:sz w:val="15"/>
                <w:szCs w:val="15"/>
              </w:rPr>
              <w:t>(2.4**)</w:t>
            </w:r>
          </w:p>
        </w:tc>
        <w:tc>
          <w:tcPr>
            <w:tcW w:w="990" w:type="dxa"/>
            <w:tcBorders>
              <w:top w:val="nil"/>
              <w:left w:val="nil"/>
              <w:bottom w:val="nil"/>
              <w:right w:val="single" w:sz="4" w:space="0" w:color="auto"/>
            </w:tcBorders>
          </w:tcPr>
          <w:p w14:paraId="4E0DB8A0" w14:textId="77777777" w:rsidR="00533393" w:rsidRPr="00245E91" w:rsidRDefault="00533393" w:rsidP="00672311">
            <w:pPr>
              <w:spacing w:after="0" w:line="240" w:lineRule="auto"/>
              <w:ind w:left="-23" w:right="-106"/>
              <w:rPr>
                <w:rFonts w:ascii="Times New Roman" w:hAnsi="Times New Roman"/>
                <w:sz w:val="15"/>
                <w:szCs w:val="15"/>
              </w:rPr>
            </w:pPr>
            <w:r w:rsidRPr="00245E91">
              <w:rPr>
                <w:rFonts w:ascii="Times New Roman" w:hAnsi="Times New Roman"/>
                <w:sz w:val="15"/>
                <w:szCs w:val="15"/>
              </w:rPr>
              <w:t>0.080</w:t>
            </w:r>
          </w:p>
          <w:p w14:paraId="7F70C3B6"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(2.31**)</w:t>
            </w:r>
          </w:p>
        </w:tc>
        <w:tc>
          <w:tcPr>
            <w:tcW w:w="968" w:type="dxa"/>
            <w:tcBorders>
              <w:top w:val="nil"/>
              <w:left w:val="single" w:sz="4" w:space="0" w:color="auto"/>
              <w:bottom w:val="nil"/>
              <w:right w:val="nil"/>
            </w:tcBorders>
          </w:tcPr>
          <w:p w14:paraId="24112B68" w14:textId="77777777" w:rsidR="00533393" w:rsidRPr="00245E91" w:rsidRDefault="00533393" w:rsidP="00672311">
            <w:pPr>
              <w:spacing w:after="0" w:line="240" w:lineRule="auto"/>
              <w:ind w:left="-23" w:right="-61"/>
              <w:rPr>
                <w:rFonts w:ascii="Times New Roman" w:hAnsi="Times New Roman"/>
                <w:sz w:val="15"/>
                <w:szCs w:val="15"/>
              </w:rPr>
            </w:pPr>
            <w:r w:rsidRPr="00245E91">
              <w:rPr>
                <w:rFonts w:ascii="Times New Roman" w:hAnsi="Times New Roman"/>
                <w:sz w:val="15"/>
                <w:szCs w:val="15"/>
              </w:rPr>
              <w:t>0.077</w:t>
            </w:r>
          </w:p>
          <w:p w14:paraId="41BB0C39"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(2.24**)</w:t>
            </w:r>
          </w:p>
        </w:tc>
        <w:tc>
          <w:tcPr>
            <w:tcW w:w="971" w:type="dxa"/>
            <w:tcBorders>
              <w:top w:val="nil"/>
              <w:left w:val="nil"/>
              <w:bottom w:val="nil"/>
              <w:right w:val="nil"/>
            </w:tcBorders>
          </w:tcPr>
          <w:p w14:paraId="3FD0BF93" w14:textId="77777777" w:rsidR="00533393" w:rsidRPr="00245E91" w:rsidRDefault="00533393" w:rsidP="00672311">
            <w:pPr>
              <w:spacing w:after="0" w:line="240" w:lineRule="auto"/>
              <w:ind w:left="-87" w:right="-151"/>
              <w:rPr>
                <w:rFonts w:ascii="Times New Roman" w:hAnsi="Times New Roman"/>
                <w:sz w:val="15"/>
                <w:szCs w:val="15"/>
              </w:rPr>
            </w:pPr>
            <w:r w:rsidRPr="00245E91">
              <w:rPr>
                <w:rFonts w:ascii="Times New Roman" w:hAnsi="Times New Roman"/>
                <w:sz w:val="15"/>
                <w:szCs w:val="15"/>
              </w:rPr>
              <w:t>0.103</w:t>
            </w:r>
          </w:p>
          <w:p w14:paraId="46522E36" w14:textId="77777777" w:rsidR="00533393" w:rsidRPr="00245E91" w:rsidRDefault="00533393" w:rsidP="00672311">
            <w:pPr>
              <w:spacing w:after="0" w:line="240" w:lineRule="auto"/>
              <w:ind w:left="-87" w:right="-151"/>
              <w:rPr>
                <w:rFonts w:ascii="Times New Roman" w:eastAsia="Times New Roman" w:hAnsi="Times New Roman"/>
                <w:sz w:val="15"/>
                <w:szCs w:val="15"/>
              </w:rPr>
            </w:pPr>
            <w:r w:rsidRPr="00245E91">
              <w:rPr>
                <w:rFonts w:ascii="Times New Roman" w:hAnsi="Times New Roman"/>
                <w:sz w:val="15"/>
                <w:szCs w:val="15"/>
              </w:rPr>
              <w:t>(3.10***)</w:t>
            </w:r>
          </w:p>
        </w:tc>
        <w:tc>
          <w:tcPr>
            <w:tcW w:w="965" w:type="dxa"/>
            <w:tcBorders>
              <w:top w:val="nil"/>
              <w:left w:val="nil"/>
              <w:bottom w:val="nil"/>
              <w:right w:val="nil"/>
            </w:tcBorders>
          </w:tcPr>
          <w:p w14:paraId="59C3B637" w14:textId="77777777" w:rsidR="00533393" w:rsidRPr="00245E91" w:rsidRDefault="00533393" w:rsidP="00672311">
            <w:pPr>
              <w:spacing w:after="0" w:line="240" w:lineRule="auto"/>
              <w:ind w:left="-38" w:right="-168"/>
              <w:rPr>
                <w:rFonts w:ascii="Times New Roman" w:hAnsi="Times New Roman"/>
                <w:sz w:val="15"/>
                <w:szCs w:val="15"/>
              </w:rPr>
            </w:pPr>
            <w:r w:rsidRPr="00245E91">
              <w:rPr>
                <w:rFonts w:ascii="Times New Roman" w:hAnsi="Times New Roman"/>
                <w:sz w:val="15"/>
                <w:szCs w:val="15"/>
              </w:rPr>
              <w:t>0.104</w:t>
            </w:r>
          </w:p>
          <w:p w14:paraId="44324BB3" w14:textId="77777777" w:rsidR="00533393" w:rsidRPr="00245E91" w:rsidRDefault="00533393" w:rsidP="00672311">
            <w:pPr>
              <w:spacing w:after="0" w:line="240" w:lineRule="auto"/>
              <w:ind w:right="-168"/>
              <w:rPr>
                <w:rFonts w:ascii="Times New Roman" w:eastAsia="Times New Roman" w:hAnsi="Times New Roman"/>
                <w:sz w:val="15"/>
                <w:szCs w:val="15"/>
              </w:rPr>
            </w:pPr>
            <w:r w:rsidRPr="00245E91">
              <w:rPr>
                <w:rFonts w:ascii="Times New Roman" w:hAnsi="Times New Roman"/>
                <w:sz w:val="15"/>
                <w:szCs w:val="15"/>
              </w:rPr>
              <w:t>(3.06***)</w:t>
            </w:r>
          </w:p>
        </w:tc>
        <w:tc>
          <w:tcPr>
            <w:tcW w:w="965" w:type="dxa"/>
            <w:tcBorders>
              <w:top w:val="nil"/>
              <w:left w:val="nil"/>
              <w:bottom w:val="nil"/>
              <w:right w:val="nil"/>
            </w:tcBorders>
          </w:tcPr>
          <w:p w14:paraId="588EE532" w14:textId="77777777" w:rsidR="00533393" w:rsidRPr="00245E91" w:rsidRDefault="00533393" w:rsidP="00672311">
            <w:pPr>
              <w:spacing w:after="0" w:line="240" w:lineRule="auto"/>
              <w:ind w:left="-24"/>
              <w:rPr>
                <w:rFonts w:ascii="Times New Roman" w:hAnsi="Times New Roman"/>
                <w:sz w:val="15"/>
                <w:szCs w:val="15"/>
              </w:rPr>
            </w:pPr>
            <w:r w:rsidRPr="00245E91">
              <w:rPr>
                <w:rFonts w:ascii="Times New Roman" w:hAnsi="Times New Roman"/>
                <w:sz w:val="15"/>
                <w:szCs w:val="15"/>
              </w:rPr>
              <w:t>0.104</w:t>
            </w:r>
          </w:p>
          <w:p w14:paraId="7CFBA0D4"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(3.06***)</w:t>
            </w:r>
          </w:p>
        </w:tc>
        <w:tc>
          <w:tcPr>
            <w:tcW w:w="901" w:type="dxa"/>
            <w:tcBorders>
              <w:top w:val="nil"/>
              <w:left w:val="nil"/>
              <w:bottom w:val="nil"/>
              <w:right w:val="nil"/>
            </w:tcBorders>
          </w:tcPr>
          <w:p w14:paraId="5C55D3E8" w14:textId="77777777" w:rsidR="00533393" w:rsidRPr="00245E91" w:rsidRDefault="00533393" w:rsidP="00672311">
            <w:pPr>
              <w:spacing w:after="0" w:line="240" w:lineRule="auto"/>
              <w:ind w:left="-114" w:right="-138"/>
              <w:rPr>
                <w:rFonts w:ascii="Times New Roman" w:hAnsi="Times New Roman"/>
                <w:sz w:val="15"/>
                <w:szCs w:val="15"/>
              </w:rPr>
            </w:pPr>
            <w:r w:rsidRPr="00245E91">
              <w:rPr>
                <w:rFonts w:ascii="Times New Roman" w:hAnsi="Times New Roman"/>
                <w:sz w:val="15"/>
                <w:szCs w:val="15"/>
              </w:rPr>
              <w:t>0.060</w:t>
            </w:r>
          </w:p>
          <w:p w14:paraId="63AF64E3" w14:textId="77777777" w:rsidR="00533393" w:rsidRPr="00245E91" w:rsidRDefault="00533393" w:rsidP="00672311">
            <w:pPr>
              <w:spacing w:after="0" w:line="240" w:lineRule="auto"/>
              <w:ind w:right="-138"/>
              <w:rPr>
                <w:rFonts w:ascii="Times New Roman" w:eastAsia="Times New Roman" w:hAnsi="Times New Roman"/>
                <w:sz w:val="15"/>
                <w:szCs w:val="15"/>
              </w:rPr>
            </w:pPr>
            <w:r w:rsidRPr="00245E91">
              <w:rPr>
                <w:rFonts w:ascii="Times New Roman" w:hAnsi="Times New Roman"/>
                <w:sz w:val="15"/>
                <w:szCs w:val="15"/>
              </w:rPr>
              <w:t>(1.94*)</w:t>
            </w:r>
          </w:p>
        </w:tc>
        <w:tc>
          <w:tcPr>
            <w:tcW w:w="972" w:type="dxa"/>
            <w:tcBorders>
              <w:top w:val="nil"/>
              <w:left w:val="nil"/>
              <w:bottom w:val="nil"/>
              <w:right w:val="nil"/>
            </w:tcBorders>
          </w:tcPr>
          <w:p w14:paraId="5ABE5119" w14:textId="77777777" w:rsidR="00533393" w:rsidRPr="00245E91" w:rsidRDefault="00533393" w:rsidP="00672311">
            <w:pPr>
              <w:spacing w:after="0" w:line="240" w:lineRule="auto"/>
              <w:ind w:left="-108" w:right="-104"/>
              <w:rPr>
                <w:rFonts w:ascii="Times New Roman" w:hAnsi="Times New Roman"/>
                <w:sz w:val="15"/>
                <w:szCs w:val="15"/>
              </w:rPr>
            </w:pPr>
            <w:r w:rsidRPr="00245E91">
              <w:rPr>
                <w:rFonts w:ascii="Times New Roman" w:hAnsi="Times New Roman"/>
                <w:sz w:val="15"/>
                <w:szCs w:val="15"/>
              </w:rPr>
              <w:t>0.075</w:t>
            </w:r>
          </w:p>
          <w:p w14:paraId="523A16DB" w14:textId="77777777" w:rsidR="00533393" w:rsidRPr="00245E91" w:rsidRDefault="00533393" w:rsidP="00672311">
            <w:pPr>
              <w:spacing w:after="0" w:line="240" w:lineRule="auto"/>
              <w:ind w:left="-108" w:right="-104"/>
              <w:rPr>
                <w:rFonts w:ascii="Times New Roman" w:eastAsia="Times New Roman" w:hAnsi="Times New Roman"/>
                <w:sz w:val="15"/>
                <w:szCs w:val="15"/>
              </w:rPr>
            </w:pPr>
            <w:r w:rsidRPr="00245E91">
              <w:rPr>
                <w:rFonts w:ascii="Times New Roman" w:hAnsi="Times New Roman"/>
                <w:sz w:val="15"/>
                <w:szCs w:val="15"/>
              </w:rPr>
              <w:t>(2.25**)</w:t>
            </w:r>
          </w:p>
        </w:tc>
      </w:tr>
      <w:tr w:rsidR="00533393" w:rsidRPr="00245E91" w14:paraId="62E6388E" w14:textId="77777777" w:rsidTr="00672311">
        <w:tblPrEx>
          <w:tblBorders>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440" w:type="dxa"/>
            <w:tcBorders>
              <w:top w:val="nil"/>
              <w:left w:val="nil"/>
              <w:bottom w:val="nil"/>
              <w:right w:val="nil"/>
            </w:tcBorders>
          </w:tcPr>
          <w:p w14:paraId="1CFFEA77" w14:textId="77777777" w:rsidR="00533393" w:rsidRPr="00245E91" w:rsidRDefault="00533393" w:rsidP="00672311">
            <w:pPr>
              <w:spacing w:after="0" w:line="240" w:lineRule="auto"/>
              <w:ind w:right="-104"/>
              <w:rPr>
                <w:rFonts w:ascii="Times New Roman" w:eastAsia="Times New Roman" w:hAnsi="Times New Roman"/>
                <w:sz w:val="15"/>
                <w:szCs w:val="15"/>
              </w:rPr>
            </w:pPr>
            <w:r w:rsidRPr="00245E91">
              <w:rPr>
                <w:rFonts w:ascii="Times New Roman" w:hAnsi="Times New Roman"/>
                <w:sz w:val="15"/>
                <w:szCs w:val="15"/>
              </w:rPr>
              <w:t>INSTOWN</w:t>
            </w:r>
          </w:p>
        </w:tc>
        <w:tc>
          <w:tcPr>
            <w:tcW w:w="978" w:type="dxa"/>
            <w:gridSpan w:val="2"/>
            <w:tcBorders>
              <w:top w:val="nil"/>
              <w:left w:val="nil"/>
              <w:bottom w:val="nil"/>
              <w:right w:val="nil"/>
            </w:tcBorders>
          </w:tcPr>
          <w:p w14:paraId="20D28709" w14:textId="77777777" w:rsidR="00533393" w:rsidRPr="00245E91" w:rsidRDefault="00533393" w:rsidP="00672311">
            <w:pPr>
              <w:spacing w:after="0" w:line="240" w:lineRule="auto"/>
              <w:ind w:right="-31"/>
              <w:rPr>
                <w:rFonts w:ascii="Times New Roman" w:hAnsi="Times New Roman"/>
                <w:sz w:val="15"/>
                <w:szCs w:val="15"/>
              </w:rPr>
            </w:pPr>
            <w:r w:rsidRPr="00245E91">
              <w:rPr>
                <w:rFonts w:ascii="Times New Roman" w:hAnsi="Times New Roman"/>
                <w:sz w:val="15"/>
                <w:szCs w:val="15"/>
              </w:rPr>
              <w:t>0.063</w:t>
            </w:r>
          </w:p>
          <w:p w14:paraId="479339C3" w14:textId="77777777" w:rsidR="00533393" w:rsidRPr="00245E91" w:rsidRDefault="00533393" w:rsidP="00672311">
            <w:pPr>
              <w:spacing w:after="0" w:line="240" w:lineRule="auto"/>
              <w:ind w:right="-31"/>
              <w:rPr>
                <w:rFonts w:ascii="Times New Roman" w:eastAsia="Times New Roman" w:hAnsi="Times New Roman"/>
                <w:sz w:val="15"/>
                <w:szCs w:val="15"/>
              </w:rPr>
            </w:pPr>
            <w:r w:rsidRPr="00245E91">
              <w:rPr>
                <w:rFonts w:ascii="Times New Roman" w:hAnsi="Times New Roman"/>
                <w:sz w:val="15"/>
                <w:szCs w:val="15"/>
              </w:rPr>
              <w:t>(1.58)</w:t>
            </w:r>
          </w:p>
        </w:tc>
        <w:tc>
          <w:tcPr>
            <w:tcW w:w="978" w:type="dxa"/>
            <w:tcBorders>
              <w:top w:val="nil"/>
              <w:left w:val="nil"/>
              <w:bottom w:val="nil"/>
              <w:right w:val="nil"/>
            </w:tcBorders>
          </w:tcPr>
          <w:p w14:paraId="761BD157" w14:textId="77777777" w:rsidR="00533393" w:rsidRPr="00245E91" w:rsidRDefault="00533393" w:rsidP="00672311">
            <w:pPr>
              <w:spacing w:after="0" w:line="240" w:lineRule="auto"/>
              <w:ind w:left="-100" w:right="-138"/>
              <w:rPr>
                <w:rFonts w:ascii="Times New Roman" w:hAnsi="Times New Roman"/>
                <w:sz w:val="15"/>
                <w:szCs w:val="15"/>
              </w:rPr>
            </w:pPr>
            <w:r w:rsidRPr="00245E91">
              <w:rPr>
                <w:rFonts w:ascii="Times New Roman" w:hAnsi="Times New Roman"/>
                <w:sz w:val="15"/>
                <w:szCs w:val="15"/>
              </w:rPr>
              <w:t>0.043</w:t>
            </w:r>
          </w:p>
          <w:p w14:paraId="243AFF34" w14:textId="77777777" w:rsidR="00533393" w:rsidRPr="00245E91" w:rsidRDefault="00533393" w:rsidP="00672311">
            <w:pPr>
              <w:spacing w:after="0" w:line="240" w:lineRule="auto"/>
              <w:ind w:left="-100" w:right="-138"/>
              <w:rPr>
                <w:rFonts w:ascii="Times New Roman" w:eastAsia="Times New Roman" w:hAnsi="Times New Roman"/>
                <w:sz w:val="15"/>
                <w:szCs w:val="15"/>
              </w:rPr>
            </w:pPr>
            <w:r w:rsidRPr="00245E91">
              <w:rPr>
                <w:rFonts w:ascii="Times New Roman" w:hAnsi="Times New Roman"/>
                <w:sz w:val="15"/>
                <w:szCs w:val="15"/>
              </w:rPr>
              <w:t>(1.04)</w:t>
            </w:r>
          </w:p>
        </w:tc>
        <w:tc>
          <w:tcPr>
            <w:tcW w:w="978" w:type="dxa"/>
            <w:tcBorders>
              <w:top w:val="nil"/>
              <w:left w:val="nil"/>
              <w:bottom w:val="nil"/>
              <w:right w:val="nil"/>
            </w:tcBorders>
          </w:tcPr>
          <w:p w14:paraId="065D2677" w14:textId="77777777" w:rsidR="00533393" w:rsidRPr="00245E91" w:rsidRDefault="00533393" w:rsidP="00672311">
            <w:pPr>
              <w:spacing w:after="0" w:line="240" w:lineRule="auto"/>
              <w:ind w:left="-23" w:right="-52"/>
              <w:rPr>
                <w:rFonts w:ascii="Times New Roman" w:hAnsi="Times New Roman"/>
                <w:sz w:val="15"/>
                <w:szCs w:val="15"/>
              </w:rPr>
            </w:pPr>
            <w:r w:rsidRPr="00245E91">
              <w:rPr>
                <w:rFonts w:ascii="Times New Roman" w:hAnsi="Times New Roman"/>
                <w:sz w:val="15"/>
                <w:szCs w:val="15"/>
              </w:rPr>
              <w:t>0.083</w:t>
            </w:r>
          </w:p>
          <w:p w14:paraId="3E995C07" w14:textId="77777777" w:rsidR="00533393" w:rsidRPr="00245E91" w:rsidRDefault="00533393" w:rsidP="00672311">
            <w:pPr>
              <w:spacing w:after="0" w:line="240" w:lineRule="auto"/>
              <w:ind w:right="-52"/>
              <w:rPr>
                <w:rFonts w:ascii="Times New Roman" w:eastAsia="Times New Roman" w:hAnsi="Times New Roman"/>
                <w:sz w:val="15"/>
                <w:szCs w:val="15"/>
              </w:rPr>
            </w:pPr>
            <w:r w:rsidRPr="00245E91">
              <w:rPr>
                <w:rFonts w:ascii="Times New Roman" w:hAnsi="Times New Roman"/>
                <w:sz w:val="15"/>
                <w:szCs w:val="15"/>
              </w:rPr>
              <w:t>(1.84*)</w:t>
            </w:r>
          </w:p>
        </w:tc>
        <w:tc>
          <w:tcPr>
            <w:tcW w:w="978" w:type="dxa"/>
            <w:tcBorders>
              <w:top w:val="nil"/>
              <w:left w:val="nil"/>
              <w:bottom w:val="nil"/>
              <w:right w:val="nil"/>
            </w:tcBorders>
          </w:tcPr>
          <w:p w14:paraId="1C6C463F" w14:textId="77777777" w:rsidR="00533393" w:rsidRPr="00245E91" w:rsidRDefault="00533393" w:rsidP="00672311">
            <w:pPr>
              <w:spacing w:after="0" w:line="240" w:lineRule="auto"/>
              <w:ind w:left="-23" w:right="-159"/>
              <w:rPr>
                <w:rFonts w:ascii="Times New Roman" w:hAnsi="Times New Roman"/>
                <w:sz w:val="15"/>
                <w:szCs w:val="15"/>
              </w:rPr>
            </w:pPr>
            <w:r w:rsidRPr="00245E91">
              <w:rPr>
                <w:rFonts w:ascii="Times New Roman" w:hAnsi="Times New Roman"/>
                <w:sz w:val="15"/>
                <w:szCs w:val="15"/>
              </w:rPr>
              <w:t>0.083</w:t>
            </w:r>
          </w:p>
          <w:p w14:paraId="00CFA03A" w14:textId="77777777" w:rsidR="00533393" w:rsidRPr="00245E91" w:rsidRDefault="00533393" w:rsidP="00672311">
            <w:pPr>
              <w:spacing w:after="0" w:line="240" w:lineRule="auto"/>
              <w:ind w:right="-159"/>
              <w:rPr>
                <w:rFonts w:ascii="Times New Roman" w:eastAsia="Times New Roman" w:hAnsi="Times New Roman"/>
                <w:sz w:val="15"/>
                <w:szCs w:val="15"/>
              </w:rPr>
            </w:pPr>
            <w:r w:rsidRPr="00245E91">
              <w:rPr>
                <w:rFonts w:ascii="Times New Roman" w:hAnsi="Times New Roman"/>
                <w:sz w:val="15"/>
                <w:szCs w:val="15"/>
              </w:rPr>
              <w:t>(1.84*)</w:t>
            </w:r>
          </w:p>
        </w:tc>
        <w:tc>
          <w:tcPr>
            <w:tcW w:w="858" w:type="dxa"/>
            <w:tcBorders>
              <w:top w:val="nil"/>
              <w:left w:val="nil"/>
              <w:bottom w:val="nil"/>
              <w:right w:val="nil"/>
            </w:tcBorders>
          </w:tcPr>
          <w:p w14:paraId="38429388" w14:textId="77777777" w:rsidR="00533393" w:rsidRPr="00245E91" w:rsidRDefault="00533393" w:rsidP="00672311">
            <w:pPr>
              <w:spacing w:after="0" w:line="240" w:lineRule="auto"/>
              <w:ind w:left="-62" w:right="-73"/>
              <w:rPr>
                <w:rFonts w:ascii="Times New Roman" w:hAnsi="Times New Roman"/>
                <w:sz w:val="15"/>
                <w:szCs w:val="15"/>
              </w:rPr>
            </w:pPr>
            <w:r w:rsidRPr="00245E91">
              <w:rPr>
                <w:rFonts w:ascii="Times New Roman" w:hAnsi="Times New Roman"/>
                <w:sz w:val="15"/>
                <w:szCs w:val="15"/>
              </w:rPr>
              <w:t>0.081</w:t>
            </w:r>
          </w:p>
          <w:p w14:paraId="6D22A6AA" w14:textId="77777777" w:rsidR="00533393" w:rsidRPr="00245E91" w:rsidRDefault="00533393" w:rsidP="00672311">
            <w:pPr>
              <w:spacing w:after="0" w:line="240" w:lineRule="auto"/>
              <w:ind w:left="-62" w:right="-73"/>
              <w:rPr>
                <w:rFonts w:ascii="Times New Roman" w:eastAsia="Times New Roman" w:hAnsi="Times New Roman"/>
                <w:sz w:val="15"/>
                <w:szCs w:val="15"/>
              </w:rPr>
            </w:pPr>
            <w:r w:rsidRPr="00245E91">
              <w:rPr>
                <w:rFonts w:ascii="Times New Roman" w:hAnsi="Times New Roman"/>
                <w:sz w:val="15"/>
                <w:szCs w:val="15"/>
              </w:rPr>
              <w:t>(2.21**)</w:t>
            </w:r>
          </w:p>
        </w:tc>
        <w:tc>
          <w:tcPr>
            <w:tcW w:w="990" w:type="dxa"/>
            <w:tcBorders>
              <w:top w:val="nil"/>
              <w:left w:val="nil"/>
              <w:bottom w:val="nil"/>
              <w:right w:val="single" w:sz="4" w:space="0" w:color="auto"/>
            </w:tcBorders>
          </w:tcPr>
          <w:p w14:paraId="6560C064" w14:textId="77777777" w:rsidR="00533393" w:rsidRPr="00245E91" w:rsidRDefault="00533393" w:rsidP="00672311">
            <w:pPr>
              <w:spacing w:after="0" w:line="240" w:lineRule="auto"/>
              <w:ind w:left="-23" w:right="-106"/>
              <w:rPr>
                <w:rFonts w:ascii="Times New Roman" w:hAnsi="Times New Roman"/>
                <w:sz w:val="15"/>
                <w:szCs w:val="15"/>
              </w:rPr>
            </w:pPr>
            <w:r w:rsidRPr="00245E91">
              <w:rPr>
                <w:rFonts w:ascii="Times New Roman" w:hAnsi="Times New Roman"/>
                <w:sz w:val="15"/>
                <w:szCs w:val="15"/>
              </w:rPr>
              <w:t>0.120</w:t>
            </w:r>
          </w:p>
          <w:p w14:paraId="4BC1A740"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(2.88***)</w:t>
            </w:r>
          </w:p>
        </w:tc>
        <w:tc>
          <w:tcPr>
            <w:tcW w:w="968" w:type="dxa"/>
            <w:tcBorders>
              <w:top w:val="nil"/>
              <w:left w:val="single" w:sz="4" w:space="0" w:color="auto"/>
              <w:bottom w:val="nil"/>
              <w:right w:val="nil"/>
            </w:tcBorders>
          </w:tcPr>
          <w:p w14:paraId="5F3A23CE" w14:textId="77777777" w:rsidR="00533393" w:rsidRPr="00245E91" w:rsidRDefault="00533393" w:rsidP="00672311">
            <w:pPr>
              <w:spacing w:after="0" w:line="240" w:lineRule="auto"/>
              <w:ind w:left="-23" w:right="-61"/>
              <w:rPr>
                <w:rFonts w:ascii="Times New Roman" w:hAnsi="Times New Roman"/>
                <w:sz w:val="15"/>
                <w:szCs w:val="15"/>
              </w:rPr>
            </w:pPr>
            <w:r w:rsidRPr="00245E91">
              <w:rPr>
                <w:rFonts w:ascii="Times New Roman" w:hAnsi="Times New Roman"/>
                <w:sz w:val="15"/>
                <w:szCs w:val="15"/>
              </w:rPr>
              <w:t>0.036</w:t>
            </w:r>
          </w:p>
          <w:p w14:paraId="547C82B5"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(0.92)</w:t>
            </w:r>
          </w:p>
        </w:tc>
        <w:tc>
          <w:tcPr>
            <w:tcW w:w="971" w:type="dxa"/>
            <w:tcBorders>
              <w:top w:val="nil"/>
              <w:left w:val="nil"/>
              <w:bottom w:val="nil"/>
              <w:right w:val="nil"/>
            </w:tcBorders>
          </w:tcPr>
          <w:p w14:paraId="47AF30AC" w14:textId="77777777" w:rsidR="00533393" w:rsidRPr="00245E91" w:rsidRDefault="00533393" w:rsidP="00672311">
            <w:pPr>
              <w:spacing w:after="0" w:line="240" w:lineRule="auto"/>
              <w:ind w:left="-87" w:right="-151"/>
              <w:rPr>
                <w:rFonts w:ascii="Times New Roman" w:hAnsi="Times New Roman"/>
                <w:sz w:val="15"/>
                <w:szCs w:val="15"/>
              </w:rPr>
            </w:pPr>
            <w:r w:rsidRPr="00245E91">
              <w:rPr>
                <w:rFonts w:ascii="Times New Roman" w:hAnsi="Times New Roman"/>
                <w:sz w:val="15"/>
                <w:szCs w:val="15"/>
              </w:rPr>
              <w:t>0.023</w:t>
            </w:r>
          </w:p>
          <w:p w14:paraId="26EB04F0" w14:textId="77777777" w:rsidR="00533393" w:rsidRPr="00245E91" w:rsidRDefault="00533393" w:rsidP="00672311">
            <w:pPr>
              <w:spacing w:after="0" w:line="240" w:lineRule="auto"/>
              <w:ind w:left="-87" w:right="-151"/>
              <w:rPr>
                <w:rFonts w:ascii="Times New Roman" w:eastAsia="Times New Roman" w:hAnsi="Times New Roman"/>
                <w:sz w:val="15"/>
                <w:szCs w:val="15"/>
              </w:rPr>
            </w:pPr>
            <w:r w:rsidRPr="00245E91">
              <w:rPr>
                <w:rFonts w:ascii="Times New Roman" w:hAnsi="Times New Roman"/>
                <w:sz w:val="15"/>
                <w:szCs w:val="15"/>
              </w:rPr>
              <w:t>(0.58)</w:t>
            </w:r>
          </w:p>
        </w:tc>
        <w:tc>
          <w:tcPr>
            <w:tcW w:w="965" w:type="dxa"/>
            <w:tcBorders>
              <w:top w:val="nil"/>
              <w:left w:val="nil"/>
              <w:bottom w:val="nil"/>
              <w:right w:val="nil"/>
            </w:tcBorders>
          </w:tcPr>
          <w:p w14:paraId="2129257C" w14:textId="77777777" w:rsidR="00533393" w:rsidRPr="00245E91" w:rsidRDefault="00533393" w:rsidP="00672311">
            <w:pPr>
              <w:spacing w:after="0" w:line="240" w:lineRule="auto"/>
              <w:ind w:left="-38" w:right="-168"/>
              <w:rPr>
                <w:rFonts w:ascii="Times New Roman" w:hAnsi="Times New Roman"/>
                <w:sz w:val="15"/>
                <w:szCs w:val="15"/>
              </w:rPr>
            </w:pPr>
            <w:r w:rsidRPr="00245E91">
              <w:rPr>
                <w:rFonts w:ascii="Times New Roman" w:hAnsi="Times New Roman"/>
                <w:sz w:val="15"/>
                <w:szCs w:val="15"/>
              </w:rPr>
              <w:t>0.070</w:t>
            </w:r>
          </w:p>
          <w:p w14:paraId="428FC5A9" w14:textId="77777777" w:rsidR="00533393" w:rsidRPr="00245E91" w:rsidRDefault="00533393" w:rsidP="00672311">
            <w:pPr>
              <w:spacing w:after="0" w:line="240" w:lineRule="auto"/>
              <w:ind w:right="-168"/>
              <w:rPr>
                <w:rFonts w:ascii="Times New Roman" w:eastAsia="Times New Roman" w:hAnsi="Times New Roman"/>
                <w:sz w:val="15"/>
                <w:szCs w:val="15"/>
              </w:rPr>
            </w:pPr>
            <w:r w:rsidRPr="00245E91">
              <w:rPr>
                <w:rFonts w:ascii="Times New Roman" w:hAnsi="Times New Roman"/>
                <w:sz w:val="15"/>
                <w:szCs w:val="15"/>
              </w:rPr>
              <w:t>(1.55)</w:t>
            </w:r>
          </w:p>
        </w:tc>
        <w:tc>
          <w:tcPr>
            <w:tcW w:w="965" w:type="dxa"/>
            <w:tcBorders>
              <w:top w:val="nil"/>
              <w:left w:val="nil"/>
              <w:bottom w:val="nil"/>
              <w:right w:val="nil"/>
            </w:tcBorders>
          </w:tcPr>
          <w:p w14:paraId="209EC667" w14:textId="77777777" w:rsidR="00533393" w:rsidRPr="00245E91" w:rsidRDefault="00533393" w:rsidP="00672311">
            <w:pPr>
              <w:spacing w:after="0" w:line="240" w:lineRule="auto"/>
              <w:ind w:left="-24"/>
              <w:rPr>
                <w:rFonts w:ascii="Times New Roman" w:hAnsi="Times New Roman"/>
                <w:sz w:val="15"/>
                <w:szCs w:val="15"/>
              </w:rPr>
            </w:pPr>
            <w:r w:rsidRPr="00245E91">
              <w:rPr>
                <w:rFonts w:ascii="Times New Roman" w:hAnsi="Times New Roman"/>
                <w:sz w:val="15"/>
                <w:szCs w:val="15"/>
              </w:rPr>
              <w:t>0.070</w:t>
            </w:r>
          </w:p>
          <w:p w14:paraId="062E2760"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(1.55)</w:t>
            </w:r>
          </w:p>
        </w:tc>
        <w:tc>
          <w:tcPr>
            <w:tcW w:w="901" w:type="dxa"/>
            <w:tcBorders>
              <w:top w:val="nil"/>
              <w:left w:val="nil"/>
              <w:bottom w:val="nil"/>
              <w:right w:val="nil"/>
            </w:tcBorders>
          </w:tcPr>
          <w:p w14:paraId="33A94C11" w14:textId="77777777" w:rsidR="00533393" w:rsidRPr="00245E91" w:rsidRDefault="00533393" w:rsidP="00672311">
            <w:pPr>
              <w:spacing w:after="0" w:line="240" w:lineRule="auto"/>
              <w:ind w:left="-114" w:right="-138"/>
              <w:rPr>
                <w:rFonts w:ascii="Times New Roman" w:hAnsi="Times New Roman"/>
                <w:sz w:val="15"/>
                <w:szCs w:val="15"/>
              </w:rPr>
            </w:pPr>
            <w:r w:rsidRPr="00245E91">
              <w:rPr>
                <w:rFonts w:ascii="Times New Roman" w:hAnsi="Times New Roman"/>
                <w:sz w:val="15"/>
                <w:szCs w:val="15"/>
              </w:rPr>
              <w:t>0.038</w:t>
            </w:r>
          </w:p>
          <w:p w14:paraId="00D7F8E1" w14:textId="77777777" w:rsidR="00533393" w:rsidRPr="00245E91" w:rsidRDefault="00533393" w:rsidP="00672311">
            <w:pPr>
              <w:spacing w:after="0" w:line="240" w:lineRule="auto"/>
              <w:ind w:right="-138"/>
              <w:rPr>
                <w:rFonts w:ascii="Times New Roman" w:eastAsia="Times New Roman" w:hAnsi="Times New Roman"/>
                <w:sz w:val="15"/>
                <w:szCs w:val="15"/>
              </w:rPr>
            </w:pPr>
            <w:r w:rsidRPr="00245E91">
              <w:rPr>
                <w:rFonts w:ascii="Times New Roman" w:hAnsi="Times New Roman"/>
                <w:sz w:val="15"/>
                <w:szCs w:val="15"/>
              </w:rPr>
              <w:t>(1.04)</w:t>
            </w:r>
          </w:p>
        </w:tc>
        <w:tc>
          <w:tcPr>
            <w:tcW w:w="972" w:type="dxa"/>
            <w:tcBorders>
              <w:top w:val="nil"/>
              <w:left w:val="nil"/>
              <w:bottom w:val="nil"/>
              <w:right w:val="nil"/>
            </w:tcBorders>
          </w:tcPr>
          <w:p w14:paraId="787374E6" w14:textId="77777777" w:rsidR="00533393" w:rsidRPr="00245E91" w:rsidRDefault="00533393" w:rsidP="00672311">
            <w:pPr>
              <w:spacing w:after="0" w:line="240" w:lineRule="auto"/>
              <w:ind w:left="-108" w:right="-104"/>
              <w:rPr>
                <w:rFonts w:ascii="Times New Roman" w:hAnsi="Times New Roman"/>
                <w:sz w:val="15"/>
                <w:szCs w:val="15"/>
              </w:rPr>
            </w:pPr>
            <w:r w:rsidRPr="00245E91">
              <w:rPr>
                <w:rFonts w:ascii="Times New Roman" w:hAnsi="Times New Roman"/>
                <w:sz w:val="15"/>
                <w:szCs w:val="15"/>
              </w:rPr>
              <w:t>0.103</w:t>
            </w:r>
          </w:p>
          <w:p w14:paraId="00589F5C" w14:textId="77777777" w:rsidR="00533393" w:rsidRPr="00245E91" w:rsidRDefault="00533393" w:rsidP="00672311">
            <w:pPr>
              <w:spacing w:after="0" w:line="240" w:lineRule="auto"/>
              <w:ind w:left="-108" w:right="-104"/>
              <w:rPr>
                <w:rFonts w:ascii="Times New Roman" w:eastAsia="Times New Roman" w:hAnsi="Times New Roman"/>
                <w:sz w:val="15"/>
                <w:szCs w:val="15"/>
              </w:rPr>
            </w:pPr>
            <w:r w:rsidRPr="00245E91">
              <w:rPr>
                <w:rFonts w:ascii="Times New Roman" w:hAnsi="Times New Roman"/>
                <w:sz w:val="15"/>
                <w:szCs w:val="15"/>
              </w:rPr>
              <w:t>(2.64***)</w:t>
            </w:r>
          </w:p>
        </w:tc>
      </w:tr>
      <w:tr w:rsidR="00533393" w:rsidRPr="00245E91" w14:paraId="0F97A1D7" w14:textId="77777777" w:rsidTr="00672311">
        <w:tblPrEx>
          <w:tblBorders>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440" w:type="dxa"/>
            <w:tcBorders>
              <w:top w:val="nil"/>
              <w:left w:val="nil"/>
              <w:bottom w:val="nil"/>
              <w:right w:val="nil"/>
            </w:tcBorders>
          </w:tcPr>
          <w:p w14:paraId="351478E7" w14:textId="77777777" w:rsidR="00533393" w:rsidRPr="00245E91" w:rsidRDefault="00533393" w:rsidP="00672311">
            <w:pPr>
              <w:spacing w:after="0" w:line="240" w:lineRule="auto"/>
              <w:ind w:right="-104"/>
              <w:rPr>
                <w:rFonts w:ascii="Times New Roman" w:eastAsia="Times New Roman" w:hAnsi="Times New Roman"/>
                <w:sz w:val="15"/>
                <w:szCs w:val="15"/>
              </w:rPr>
            </w:pPr>
            <w:r w:rsidRPr="00245E91">
              <w:rPr>
                <w:rFonts w:ascii="Times New Roman" w:hAnsi="Times New Roman"/>
                <w:sz w:val="15"/>
                <w:szCs w:val="15"/>
              </w:rPr>
              <w:t>NUMANALYST</w:t>
            </w:r>
          </w:p>
        </w:tc>
        <w:tc>
          <w:tcPr>
            <w:tcW w:w="978" w:type="dxa"/>
            <w:gridSpan w:val="2"/>
            <w:tcBorders>
              <w:top w:val="nil"/>
              <w:left w:val="nil"/>
              <w:bottom w:val="nil"/>
              <w:right w:val="nil"/>
            </w:tcBorders>
          </w:tcPr>
          <w:p w14:paraId="6D6F0B8F" w14:textId="77777777" w:rsidR="00533393" w:rsidRPr="00245E91" w:rsidRDefault="00533393" w:rsidP="00672311">
            <w:pPr>
              <w:spacing w:after="0" w:line="240" w:lineRule="auto"/>
              <w:ind w:right="-31"/>
              <w:rPr>
                <w:rFonts w:ascii="Times New Roman" w:hAnsi="Times New Roman"/>
                <w:sz w:val="15"/>
                <w:szCs w:val="15"/>
              </w:rPr>
            </w:pPr>
            <w:r w:rsidRPr="00245E91">
              <w:rPr>
                <w:rFonts w:ascii="Times New Roman" w:hAnsi="Times New Roman"/>
                <w:sz w:val="15"/>
                <w:szCs w:val="15"/>
              </w:rPr>
              <w:t>-0.102</w:t>
            </w:r>
          </w:p>
          <w:p w14:paraId="581B5E64" w14:textId="77777777" w:rsidR="00533393" w:rsidRPr="00245E91" w:rsidRDefault="00533393" w:rsidP="00672311">
            <w:pPr>
              <w:spacing w:after="0" w:line="240" w:lineRule="auto"/>
              <w:ind w:right="-31"/>
              <w:rPr>
                <w:rFonts w:ascii="Times New Roman" w:eastAsia="Times New Roman" w:hAnsi="Times New Roman"/>
                <w:sz w:val="15"/>
                <w:szCs w:val="15"/>
              </w:rPr>
            </w:pPr>
            <w:r w:rsidRPr="00245E91">
              <w:rPr>
                <w:rFonts w:ascii="Times New Roman" w:hAnsi="Times New Roman"/>
                <w:sz w:val="15"/>
                <w:szCs w:val="15"/>
              </w:rPr>
              <w:t>(-3.11***)</w:t>
            </w:r>
          </w:p>
        </w:tc>
        <w:tc>
          <w:tcPr>
            <w:tcW w:w="978" w:type="dxa"/>
            <w:tcBorders>
              <w:top w:val="nil"/>
              <w:left w:val="nil"/>
              <w:bottom w:val="nil"/>
              <w:right w:val="nil"/>
            </w:tcBorders>
          </w:tcPr>
          <w:p w14:paraId="2D00FC78" w14:textId="77777777" w:rsidR="00533393" w:rsidRPr="00245E91" w:rsidRDefault="00533393" w:rsidP="00672311">
            <w:pPr>
              <w:spacing w:after="0" w:line="240" w:lineRule="auto"/>
              <w:ind w:left="-100" w:right="-138"/>
              <w:rPr>
                <w:rFonts w:ascii="Times New Roman" w:hAnsi="Times New Roman"/>
                <w:sz w:val="15"/>
                <w:szCs w:val="15"/>
              </w:rPr>
            </w:pPr>
            <w:r w:rsidRPr="00245E91">
              <w:rPr>
                <w:rFonts w:ascii="Times New Roman" w:hAnsi="Times New Roman"/>
                <w:sz w:val="15"/>
                <w:szCs w:val="15"/>
              </w:rPr>
              <w:t>-0.062</w:t>
            </w:r>
          </w:p>
          <w:p w14:paraId="19E24EC7" w14:textId="77777777" w:rsidR="00533393" w:rsidRPr="00245E91" w:rsidRDefault="00533393" w:rsidP="00672311">
            <w:pPr>
              <w:spacing w:after="0" w:line="240" w:lineRule="auto"/>
              <w:ind w:left="-100" w:right="-138"/>
              <w:rPr>
                <w:rFonts w:ascii="Times New Roman" w:eastAsia="Times New Roman" w:hAnsi="Times New Roman"/>
                <w:sz w:val="15"/>
                <w:szCs w:val="15"/>
              </w:rPr>
            </w:pPr>
            <w:r w:rsidRPr="00245E91">
              <w:rPr>
                <w:rFonts w:ascii="Times New Roman" w:hAnsi="Times New Roman"/>
                <w:sz w:val="15"/>
                <w:szCs w:val="15"/>
              </w:rPr>
              <w:t>(-1.96*)</w:t>
            </w:r>
          </w:p>
        </w:tc>
        <w:tc>
          <w:tcPr>
            <w:tcW w:w="978" w:type="dxa"/>
            <w:tcBorders>
              <w:top w:val="nil"/>
              <w:left w:val="nil"/>
              <w:bottom w:val="nil"/>
              <w:right w:val="nil"/>
            </w:tcBorders>
          </w:tcPr>
          <w:p w14:paraId="19F4F133" w14:textId="77777777" w:rsidR="00533393" w:rsidRPr="00245E91" w:rsidRDefault="00533393" w:rsidP="00672311">
            <w:pPr>
              <w:spacing w:after="0" w:line="240" w:lineRule="auto"/>
              <w:ind w:left="-23" w:right="-52"/>
              <w:rPr>
                <w:rFonts w:ascii="Times New Roman" w:hAnsi="Times New Roman"/>
                <w:sz w:val="15"/>
                <w:szCs w:val="15"/>
              </w:rPr>
            </w:pPr>
            <w:r w:rsidRPr="00245E91">
              <w:rPr>
                <w:rFonts w:ascii="Times New Roman" w:hAnsi="Times New Roman"/>
                <w:sz w:val="15"/>
                <w:szCs w:val="15"/>
              </w:rPr>
              <w:t>-0.078</w:t>
            </w:r>
          </w:p>
          <w:p w14:paraId="64D60140" w14:textId="77777777" w:rsidR="00533393" w:rsidRPr="00245E91" w:rsidRDefault="00533393" w:rsidP="00672311">
            <w:pPr>
              <w:spacing w:after="0" w:line="240" w:lineRule="auto"/>
              <w:ind w:right="-52"/>
              <w:rPr>
                <w:rFonts w:ascii="Times New Roman" w:eastAsia="Times New Roman" w:hAnsi="Times New Roman"/>
                <w:sz w:val="15"/>
                <w:szCs w:val="15"/>
              </w:rPr>
            </w:pPr>
            <w:r w:rsidRPr="00245E91">
              <w:rPr>
                <w:rFonts w:ascii="Times New Roman" w:hAnsi="Times New Roman"/>
                <w:sz w:val="15"/>
                <w:szCs w:val="15"/>
              </w:rPr>
              <w:t>(-2.07**)</w:t>
            </w:r>
          </w:p>
        </w:tc>
        <w:tc>
          <w:tcPr>
            <w:tcW w:w="978" w:type="dxa"/>
            <w:tcBorders>
              <w:top w:val="nil"/>
              <w:left w:val="nil"/>
              <w:bottom w:val="nil"/>
              <w:right w:val="nil"/>
            </w:tcBorders>
          </w:tcPr>
          <w:p w14:paraId="00FAD849" w14:textId="77777777" w:rsidR="00533393" w:rsidRPr="00245E91" w:rsidRDefault="00533393" w:rsidP="00672311">
            <w:pPr>
              <w:spacing w:after="0" w:line="240" w:lineRule="auto"/>
              <w:ind w:left="-23" w:right="-159"/>
              <w:rPr>
                <w:rFonts w:ascii="Times New Roman" w:hAnsi="Times New Roman"/>
                <w:sz w:val="15"/>
                <w:szCs w:val="15"/>
              </w:rPr>
            </w:pPr>
            <w:r w:rsidRPr="00245E91">
              <w:rPr>
                <w:rFonts w:ascii="Times New Roman" w:hAnsi="Times New Roman"/>
                <w:sz w:val="15"/>
                <w:szCs w:val="15"/>
              </w:rPr>
              <w:t>-0.078</w:t>
            </w:r>
          </w:p>
          <w:p w14:paraId="32480871" w14:textId="77777777" w:rsidR="00533393" w:rsidRPr="00245E91" w:rsidRDefault="00533393" w:rsidP="00672311">
            <w:pPr>
              <w:spacing w:after="0" w:line="240" w:lineRule="auto"/>
              <w:ind w:right="-159"/>
              <w:rPr>
                <w:rFonts w:ascii="Times New Roman" w:eastAsia="Times New Roman" w:hAnsi="Times New Roman"/>
                <w:sz w:val="15"/>
                <w:szCs w:val="15"/>
              </w:rPr>
            </w:pPr>
            <w:r w:rsidRPr="00245E91">
              <w:rPr>
                <w:rFonts w:ascii="Times New Roman" w:hAnsi="Times New Roman"/>
                <w:sz w:val="15"/>
                <w:szCs w:val="15"/>
              </w:rPr>
              <w:t>(-2.07**)</w:t>
            </w:r>
          </w:p>
        </w:tc>
        <w:tc>
          <w:tcPr>
            <w:tcW w:w="858" w:type="dxa"/>
            <w:tcBorders>
              <w:top w:val="nil"/>
              <w:left w:val="nil"/>
              <w:bottom w:val="nil"/>
              <w:right w:val="nil"/>
            </w:tcBorders>
          </w:tcPr>
          <w:p w14:paraId="10789911" w14:textId="77777777" w:rsidR="00533393" w:rsidRPr="00245E91" w:rsidRDefault="00533393" w:rsidP="00672311">
            <w:pPr>
              <w:spacing w:after="0" w:line="240" w:lineRule="auto"/>
              <w:ind w:left="-62" w:right="-73"/>
              <w:rPr>
                <w:rFonts w:ascii="Times New Roman" w:hAnsi="Times New Roman"/>
                <w:sz w:val="15"/>
                <w:szCs w:val="15"/>
              </w:rPr>
            </w:pPr>
            <w:r w:rsidRPr="00245E91">
              <w:rPr>
                <w:rFonts w:ascii="Times New Roman" w:hAnsi="Times New Roman"/>
                <w:sz w:val="15"/>
                <w:szCs w:val="15"/>
              </w:rPr>
              <w:t>-0.094</w:t>
            </w:r>
          </w:p>
          <w:p w14:paraId="7D94E120" w14:textId="77777777" w:rsidR="00533393" w:rsidRPr="00245E91" w:rsidRDefault="00533393" w:rsidP="00672311">
            <w:pPr>
              <w:spacing w:after="0" w:line="240" w:lineRule="auto"/>
              <w:ind w:left="-62" w:right="-73"/>
              <w:rPr>
                <w:rFonts w:ascii="Times New Roman" w:eastAsia="Times New Roman" w:hAnsi="Times New Roman"/>
                <w:sz w:val="15"/>
                <w:szCs w:val="15"/>
              </w:rPr>
            </w:pPr>
            <w:r w:rsidRPr="00245E91">
              <w:rPr>
                <w:rFonts w:ascii="Times New Roman" w:hAnsi="Times New Roman"/>
                <w:sz w:val="15"/>
                <w:szCs w:val="15"/>
              </w:rPr>
              <w:t>(-2.66***)</w:t>
            </w:r>
          </w:p>
        </w:tc>
        <w:tc>
          <w:tcPr>
            <w:tcW w:w="990" w:type="dxa"/>
            <w:tcBorders>
              <w:top w:val="nil"/>
              <w:left w:val="nil"/>
              <w:bottom w:val="nil"/>
              <w:right w:val="single" w:sz="4" w:space="0" w:color="auto"/>
            </w:tcBorders>
          </w:tcPr>
          <w:p w14:paraId="538D76CE" w14:textId="77777777" w:rsidR="00533393" w:rsidRPr="00245E91" w:rsidRDefault="00533393" w:rsidP="00672311">
            <w:pPr>
              <w:spacing w:after="0" w:line="240" w:lineRule="auto"/>
              <w:ind w:left="-23" w:right="-106"/>
              <w:rPr>
                <w:rFonts w:ascii="Times New Roman" w:hAnsi="Times New Roman"/>
                <w:sz w:val="15"/>
                <w:szCs w:val="15"/>
              </w:rPr>
            </w:pPr>
            <w:r w:rsidRPr="00245E91">
              <w:rPr>
                <w:rFonts w:ascii="Times New Roman" w:hAnsi="Times New Roman"/>
                <w:sz w:val="15"/>
                <w:szCs w:val="15"/>
              </w:rPr>
              <w:t>-0.076</w:t>
            </w:r>
          </w:p>
          <w:p w14:paraId="7513ADE6"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(-2.17**)</w:t>
            </w:r>
          </w:p>
        </w:tc>
        <w:tc>
          <w:tcPr>
            <w:tcW w:w="968" w:type="dxa"/>
            <w:tcBorders>
              <w:top w:val="nil"/>
              <w:left w:val="single" w:sz="4" w:space="0" w:color="auto"/>
              <w:bottom w:val="nil"/>
              <w:right w:val="nil"/>
            </w:tcBorders>
          </w:tcPr>
          <w:p w14:paraId="0F03546F" w14:textId="77777777" w:rsidR="00533393" w:rsidRPr="00245E91" w:rsidRDefault="00533393" w:rsidP="00672311">
            <w:pPr>
              <w:spacing w:after="0" w:line="240" w:lineRule="auto"/>
              <w:ind w:left="-23" w:right="-61"/>
              <w:rPr>
                <w:rFonts w:ascii="Times New Roman" w:hAnsi="Times New Roman"/>
                <w:sz w:val="15"/>
                <w:szCs w:val="15"/>
              </w:rPr>
            </w:pPr>
            <w:r w:rsidRPr="00245E91">
              <w:rPr>
                <w:rFonts w:ascii="Times New Roman" w:hAnsi="Times New Roman"/>
                <w:sz w:val="15"/>
                <w:szCs w:val="15"/>
              </w:rPr>
              <w:t>-0.095</w:t>
            </w:r>
          </w:p>
          <w:p w14:paraId="0DCACDD1"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(-2.56**)</w:t>
            </w:r>
          </w:p>
        </w:tc>
        <w:tc>
          <w:tcPr>
            <w:tcW w:w="971" w:type="dxa"/>
            <w:tcBorders>
              <w:top w:val="nil"/>
              <w:left w:val="nil"/>
              <w:bottom w:val="nil"/>
              <w:right w:val="nil"/>
            </w:tcBorders>
          </w:tcPr>
          <w:p w14:paraId="384673D6" w14:textId="77777777" w:rsidR="00533393" w:rsidRPr="00245E91" w:rsidRDefault="00533393" w:rsidP="00672311">
            <w:pPr>
              <w:spacing w:after="0" w:line="240" w:lineRule="auto"/>
              <w:ind w:left="-87" w:right="-151"/>
              <w:rPr>
                <w:rFonts w:ascii="Times New Roman" w:hAnsi="Times New Roman"/>
                <w:sz w:val="15"/>
                <w:szCs w:val="15"/>
              </w:rPr>
            </w:pPr>
            <w:r w:rsidRPr="00245E91">
              <w:rPr>
                <w:rFonts w:ascii="Times New Roman" w:hAnsi="Times New Roman"/>
                <w:sz w:val="15"/>
                <w:szCs w:val="15"/>
              </w:rPr>
              <w:t>-0.075</w:t>
            </w:r>
          </w:p>
          <w:p w14:paraId="01D6B954" w14:textId="77777777" w:rsidR="00533393" w:rsidRPr="00245E91" w:rsidRDefault="00533393" w:rsidP="00672311">
            <w:pPr>
              <w:spacing w:after="0" w:line="240" w:lineRule="auto"/>
              <w:ind w:left="-87" w:right="-151"/>
              <w:rPr>
                <w:rFonts w:ascii="Times New Roman" w:eastAsia="Times New Roman" w:hAnsi="Times New Roman"/>
                <w:sz w:val="15"/>
                <w:szCs w:val="15"/>
              </w:rPr>
            </w:pPr>
            <w:r w:rsidRPr="00245E91">
              <w:rPr>
                <w:rFonts w:ascii="Times New Roman" w:hAnsi="Times New Roman"/>
                <w:sz w:val="15"/>
                <w:szCs w:val="15"/>
              </w:rPr>
              <w:t>(-2.18**)</w:t>
            </w:r>
          </w:p>
        </w:tc>
        <w:tc>
          <w:tcPr>
            <w:tcW w:w="965" w:type="dxa"/>
            <w:tcBorders>
              <w:top w:val="nil"/>
              <w:left w:val="nil"/>
              <w:bottom w:val="nil"/>
              <w:right w:val="nil"/>
            </w:tcBorders>
          </w:tcPr>
          <w:p w14:paraId="2590842A" w14:textId="77777777" w:rsidR="00533393" w:rsidRPr="00245E91" w:rsidRDefault="00533393" w:rsidP="00672311">
            <w:pPr>
              <w:spacing w:after="0" w:line="240" w:lineRule="auto"/>
              <w:ind w:left="-38" w:right="-168"/>
              <w:rPr>
                <w:rFonts w:ascii="Times New Roman" w:hAnsi="Times New Roman"/>
                <w:sz w:val="15"/>
                <w:szCs w:val="15"/>
              </w:rPr>
            </w:pPr>
            <w:r w:rsidRPr="00245E91">
              <w:rPr>
                <w:rFonts w:ascii="Times New Roman" w:hAnsi="Times New Roman"/>
                <w:sz w:val="15"/>
                <w:szCs w:val="15"/>
              </w:rPr>
              <w:t>-0.087</w:t>
            </w:r>
          </w:p>
          <w:p w14:paraId="342AFF06" w14:textId="77777777" w:rsidR="00533393" w:rsidRPr="00245E91" w:rsidRDefault="00533393" w:rsidP="00672311">
            <w:pPr>
              <w:spacing w:after="0" w:line="240" w:lineRule="auto"/>
              <w:ind w:right="-168"/>
              <w:rPr>
                <w:rFonts w:ascii="Times New Roman" w:eastAsia="Times New Roman" w:hAnsi="Times New Roman"/>
                <w:sz w:val="15"/>
                <w:szCs w:val="15"/>
              </w:rPr>
            </w:pPr>
            <w:r w:rsidRPr="00245E91">
              <w:rPr>
                <w:rFonts w:ascii="Times New Roman" w:hAnsi="Times New Roman"/>
                <w:sz w:val="15"/>
                <w:szCs w:val="15"/>
              </w:rPr>
              <w:t>(-2.16**)</w:t>
            </w:r>
          </w:p>
        </w:tc>
        <w:tc>
          <w:tcPr>
            <w:tcW w:w="965" w:type="dxa"/>
            <w:tcBorders>
              <w:top w:val="nil"/>
              <w:left w:val="nil"/>
              <w:bottom w:val="nil"/>
              <w:right w:val="nil"/>
            </w:tcBorders>
          </w:tcPr>
          <w:p w14:paraId="708669C2" w14:textId="77777777" w:rsidR="00533393" w:rsidRPr="00245E91" w:rsidRDefault="00533393" w:rsidP="00672311">
            <w:pPr>
              <w:spacing w:after="0" w:line="240" w:lineRule="auto"/>
              <w:ind w:left="-24"/>
              <w:rPr>
                <w:rFonts w:ascii="Times New Roman" w:hAnsi="Times New Roman"/>
                <w:sz w:val="15"/>
                <w:szCs w:val="15"/>
              </w:rPr>
            </w:pPr>
            <w:r w:rsidRPr="00245E91">
              <w:rPr>
                <w:rFonts w:ascii="Times New Roman" w:hAnsi="Times New Roman"/>
                <w:sz w:val="15"/>
                <w:szCs w:val="15"/>
              </w:rPr>
              <w:t>-0.087</w:t>
            </w:r>
          </w:p>
          <w:p w14:paraId="6F943CD9"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(-2.16**)</w:t>
            </w:r>
          </w:p>
        </w:tc>
        <w:tc>
          <w:tcPr>
            <w:tcW w:w="901" w:type="dxa"/>
            <w:tcBorders>
              <w:top w:val="nil"/>
              <w:left w:val="nil"/>
              <w:bottom w:val="nil"/>
              <w:right w:val="nil"/>
            </w:tcBorders>
          </w:tcPr>
          <w:p w14:paraId="24EF36F6" w14:textId="77777777" w:rsidR="00533393" w:rsidRPr="00245E91" w:rsidRDefault="00533393" w:rsidP="00672311">
            <w:pPr>
              <w:spacing w:after="0" w:line="240" w:lineRule="auto"/>
              <w:ind w:left="-114" w:right="-138"/>
              <w:rPr>
                <w:rFonts w:ascii="Times New Roman" w:hAnsi="Times New Roman"/>
                <w:sz w:val="15"/>
                <w:szCs w:val="15"/>
              </w:rPr>
            </w:pPr>
            <w:r w:rsidRPr="00245E91">
              <w:rPr>
                <w:rFonts w:ascii="Times New Roman" w:hAnsi="Times New Roman"/>
                <w:sz w:val="15"/>
                <w:szCs w:val="15"/>
              </w:rPr>
              <w:t>-0.084</w:t>
            </w:r>
          </w:p>
          <w:p w14:paraId="081C4507" w14:textId="77777777" w:rsidR="00533393" w:rsidRPr="00245E91" w:rsidRDefault="00533393" w:rsidP="00672311">
            <w:pPr>
              <w:spacing w:after="0" w:line="240" w:lineRule="auto"/>
              <w:ind w:right="-138"/>
              <w:rPr>
                <w:rFonts w:ascii="Times New Roman" w:eastAsia="Times New Roman" w:hAnsi="Times New Roman"/>
                <w:sz w:val="15"/>
                <w:szCs w:val="15"/>
              </w:rPr>
            </w:pPr>
            <w:r w:rsidRPr="00245E91">
              <w:rPr>
                <w:rFonts w:ascii="Times New Roman" w:hAnsi="Times New Roman"/>
                <w:sz w:val="15"/>
                <w:szCs w:val="15"/>
              </w:rPr>
              <w:t>(-2.31**)</w:t>
            </w:r>
          </w:p>
        </w:tc>
        <w:tc>
          <w:tcPr>
            <w:tcW w:w="972" w:type="dxa"/>
            <w:tcBorders>
              <w:top w:val="nil"/>
              <w:left w:val="nil"/>
              <w:bottom w:val="nil"/>
              <w:right w:val="nil"/>
            </w:tcBorders>
          </w:tcPr>
          <w:p w14:paraId="3F90BFDC" w14:textId="77777777" w:rsidR="00533393" w:rsidRPr="00245E91" w:rsidRDefault="00533393" w:rsidP="00672311">
            <w:pPr>
              <w:spacing w:after="0" w:line="240" w:lineRule="auto"/>
              <w:ind w:left="-108" w:right="-104"/>
              <w:rPr>
                <w:rFonts w:ascii="Times New Roman" w:hAnsi="Times New Roman"/>
                <w:sz w:val="15"/>
                <w:szCs w:val="15"/>
              </w:rPr>
            </w:pPr>
            <w:r w:rsidRPr="00245E91">
              <w:rPr>
                <w:rFonts w:ascii="Times New Roman" w:hAnsi="Times New Roman"/>
                <w:sz w:val="15"/>
                <w:szCs w:val="15"/>
              </w:rPr>
              <w:t>-0.078</w:t>
            </w:r>
          </w:p>
          <w:p w14:paraId="2F1D3C1B" w14:textId="77777777" w:rsidR="00533393" w:rsidRPr="00245E91" w:rsidRDefault="00533393" w:rsidP="00672311">
            <w:pPr>
              <w:spacing w:after="0" w:line="240" w:lineRule="auto"/>
              <w:ind w:left="-108" w:right="-104"/>
              <w:rPr>
                <w:rFonts w:ascii="Times New Roman" w:eastAsia="Times New Roman" w:hAnsi="Times New Roman"/>
                <w:sz w:val="15"/>
                <w:szCs w:val="15"/>
              </w:rPr>
            </w:pPr>
            <w:r w:rsidRPr="00245E91">
              <w:rPr>
                <w:rFonts w:ascii="Times New Roman" w:hAnsi="Times New Roman"/>
                <w:sz w:val="15"/>
                <w:szCs w:val="15"/>
              </w:rPr>
              <w:t>(-2.26**)</w:t>
            </w:r>
          </w:p>
        </w:tc>
      </w:tr>
      <w:tr w:rsidR="00533393" w:rsidRPr="00245E91" w14:paraId="330313B7" w14:textId="77777777" w:rsidTr="00672311">
        <w:tblPrEx>
          <w:tblBorders>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440" w:type="dxa"/>
            <w:tcBorders>
              <w:top w:val="nil"/>
              <w:left w:val="nil"/>
              <w:bottom w:val="nil"/>
              <w:right w:val="nil"/>
            </w:tcBorders>
          </w:tcPr>
          <w:p w14:paraId="47287A44" w14:textId="77777777" w:rsidR="00533393" w:rsidRPr="00245E91" w:rsidRDefault="00533393" w:rsidP="00672311">
            <w:pPr>
              <w:spacing w:after="0" w:line="240" w:lineRule="auto"/>
              <w:ind w:right="-104"/>
              <w:rPr>
                <w:rFonts w:ascii="Times New Roman" w:eastAsia="Times New Roman" w:hAnsi="Times New Roman"/>
                <w:sz w:val="15"/>
                <w:szCs w:val="15"/>
              </w:rPr>
            </w:pPr>
            <w:r w:rsidRPr="00245E91">
              <w:rPr>
                <w:rFonts w:ascii="Times New Roman" w:hAnsi="Times New Roman"/>
                <w:sz w:val="15"/>
                <w:szCs w:val="15"/>
              </w:rPr>
              <w:t>Adj. R-squared</w:t>
            </w:r>
          </w:p>
        </w:tc>
        <w:tc>
          <w:tcPr>
            <w:tcW w:w="978" w:type="dxa"/>
            <w:gridSpan w:val="2"/>
            <w:tcBorders>
              <w:top w:val="nil"/>
              <w:left w:val="nil"/>
              <w:bottom w:val="nil"/>
              <w:right w:val="nil"/>
            </w:tcBorders>
          </w:tcPr>
          <w:p w14:paraId="76E74F47" w14:textId="77777777" w:rsidR="00533393" w:rsidRPr="00245E91" w:rsidRDefault="00533393" w:rsidP="00672311">
            <w:pPr>
              <w:spacing w:after="0" w:line="240" w:lineRule="auto"/>
              <w:ind w:right="-31"/>
              <w:rPr>
                <w:rFonts w:ascii="Times New Roman" w:eastAsia="Times New Roman" w:hAnsi="Times New Roman"/>
                <w:sz w:val="15"/>
                <w:szCs w:val="15"/>
              </w:rPr>
            </w:pPr>
            <w:r w:rsidRPr="00245E91">
              <w:rPr>
                <w:rFonts w:ascii="Times New Roman" w:hAnsi="Times New Roman"/>
                <w:sz w:val="15"/>
                <w:szCs w:val="15"/>
              </w:rPr>
              <w:t>0.23</w:t>
            </w:r>
          </w:p>
        </w:tc>
        <w:tc>
          <w:tcPr>
            <w:tcW w:w="978" w:type="dxa"/>
            <w:tcBorders>
              <w:top w:val="nil"/>
              <w:left w:val="nil"/>
              <w:bottom w:val="nil"/>
              <w:right w:val="nil"/>
            </w:tcBorders>
          </w:tcPr>
          <w:p w14:paraId="22D94910" w14:textId="77777777" w:rsidR="00533393" w:rsidRPr="00245E91" w:rsidRDefault="00533393" w:rsidP="00672311">
            <w:pPr>
              <w:spacing w:after="0" w:line="240" w:lineRule="auto"/>
              <w:ind w:left="-100" w:right="-138"/>
              <w:rPr>
                <w:rFonts w:ascii="Times New Roman" w:eastAsia="Times New Roman" w:hAnsi="Times New Roman"/>
                <w:sz w:val="15"/>
                <w:szCs w:val="15"/>
              </w:rPr>
            </w:pPr>
            <w:r w:rsidRPr="00245E91">
              <w:rPr>
                <w:rFonts w:ascii="Times New Roman" w:hAnsi="Times New Roman"/>
                <w:sz w:val="15"/>
                <w:szCs w:val="15"/>
              </w:rPr>
              <w:t>0.22</w:t>
            </w:r>
          </w:p>
        </w:tc>
        <w:tc>
          <w:tcPr>
            <w:tcW w:w="978" w:type="dxa"/>
            <w:tcBorders>
              <w:top w:val="nil"/>
              <w:left w:val="nil"/>
              <w:bottom w:val="nil"/>
              <w:right w:val="nil"/>
            </w:tcBorders>
          </w:tcPr>
          <w:p w14:paraId="04D49E71" w14:textId="77777777" w:rsidR="00533393" w:rsidRPr="00245E91" w:rsidRDefault="00533393" w:rsidP="00672311">
            <w:pPr>
              <w:spacing w:after="0" w:line="240" w:lineRule="auto"/>
              <w:ind w:right="-52"/>
              <w:rPr>
                <w:rFonts w:ascii="Times New Roman" w:eastAsia="Times New Roman" w:hAnsi="Times New Roman"/>
                <w:sz w:val="15"/>
                <w:szCs w:val="15"/>
              </w:rPr>
            </w:pPr>
            <w:r w:rsidRPr="00245E91">
              <w:rPr>
                <w:rFonts w:ascii="Times New Roman" w:hAnsi="Times New Roman"/>
                <w:sz w:val="15"/>
                <w:szCs w:val="15"/>
              </w:rPr>
              <w:t>0.22</w:t>
            </w:r>
          </w:p>
        </w:tc>
        <w:tc>
          <w:tcPr>
            <w:tcW w:w="978" w:type="dxa"/>
            <w:tcBorders>
              <w:top w:val="nil"/>
              <w:left w:val="nil"/>
              <w:bottom w:val="nil"/>
              <w:right w:val="nil"/>
            </w:tcBorders>
          </w:tcPr>
          <w:p w14:paraId="6BCF0E4B" w14:textId="77777777" w:rsidR="00533393" w:rsidRPr="00245E91" w:rsidRDefault="00533393" w:rsidP="00672311">
            <w:pPr>
              <w:spacing w:after="0" w:line="240" w:lineRule="auto"/>
              <w:ind w:right="-159"/>
              <w:rPr>
                <w:rFonts w:ascii="Times New Roman" w:eastAsia="Times New Roman" w:hAnsi="Times New Roman"/>
                <w:sz w:val="15"/>
                <w:szCs w:val="15"/>
              </w:rPr>
            </w:pPr>
            <w:r w:rsidRPr="00245E91">
              <w:rPr>
                <w:rFonts w:ascii="Times New Roman" w:hAnsi="Times New Roman"/>
                <w:sz w:val="15"/>
                <w:szCs w:val="15"/>
              </w:rPr>
              <w:t>0.22</w:t>
            </w:r>
          </w:p>
        </w:tc>
        <w:tc>
          <w:tcPr>
            <w:tcW w:w="858" w:type="dxa"/>
            <w:tcBorders>
              <w:top w:val="nil"/>
              <w:left w:val="nil"/>
              <w:bottom w:val="nil"/>
              <w:right w:val="nil"/>
            </w:tcBorders>
          </w:tcPr>
          <w:p w14:paraId="01644AC3" w14:textId="77777777" w:rsidR="00533393" w:rsidRPr="00245E91" w:rsidRDefault="00533393" w:rsidP="00672311">
            <w:pPr>
              <w:spacing w:after="0" w:line="240" w:lineRule="auto"/>
              <w:ind w:left="-62" w:right="-73"/>
              <w:rPr>
                <w:rFonts w:ascii="Times New Roman" w:eastAsia="Times New Roman" w:hAnsi="Times New Roman"/>
                <w:sz w:val="15"/>
                <w:szCs w:val="15"/>
              </w:rPr>
            </w:pPr>
            <w:r w:rsidRPr="00245E91">
              <w:rPr>
                <w:rFonts w:ascii="Times New Roman" w:hAnsi="Times New Roman"/>
                <w:sz w:val="15"/>
                <w:szCs w:val="15"/>
              </w:rPr>
              <w:t>0.19</w:t>
            </w:r>
          </w:p>
        </w:tc>
        <w:tc>
          <w:tcPr>
            <w:tcW w:w="990" w:type="dxa"/>
            <w:tcBorders>
              <w:top w:val="nil"/>
              <w:left w:val="nil"/>
              <w:bottom w:val="nil"/>
              <w:right w:val="single" w:sz="4" w:space="0" w:color="auto"/>
            </w:tcBorders>
          </w:tcPr>
          <w:p w14:paraId="7F94C386"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0.24</w:t>
            </w:r>
          </w:p>
        </w:tc>
        <w:tc>
          <w:tcPr>
            <w:tcW w:w="968" w:type="dxa"/>
            <w:tcBorders>
              <w:top w:val="nil"/>
              <w:left w:val="single" w:sz="4" w:space="0" w:color="auto"/>
              <w:bottom w:val="nil"/>
              <w:right w:val="nil"/>
            </w:tcBorders>
          </w:tcPr>
          <w:p w14:paraId="091DDDBA"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0.20</w:t>
            </w:r>
          </w:p>
        </w:tc>
        <w:tc>
          <w:tcPr>
            <w:tcW w:w="971" w:type="dxa"/>
            <w:tcBorders>
              <w:top w:val="nil"/>
              <w:left w:val="nil"/>
              <w:bottom w:val="nil"/>
              <w:right w:val="nil"/>
            </w:tcBorders>
          </w:tcPr>
          <w:p w14:paraId="59CFD2C1" w14:textId="77777777" w:rsidR="00533393" w:rsidRPr="00245E91" w:rsidRDefault="00533393" w:rsidP="00672311">
            <w:pPr>
              <w:spacing w:after="0" w:line="240" w:lineRule="auto"/>
              <w:ind w:left="-87" w:right="-151"/>
              <w:rPr>
                <w:rFonts w:ascii="Times New Roman" w:eastAsia="Times New Roman" w:hAnsi="Times New Roman"/>
                <w:sz w:val="15"/>
                <w:szCs w:val="15"/>
              </w:rPr>
            </w:pPr>
            <w:r w:rsidRPr="00245E91">
              <w:rPr>
                <w:rFonts w:ascii="Times New Roman" w:hAnsi="Times New Roman"/>
                <w:sz w:val="15"/>
                <w:szCs w:val="15"/>
              </w:rPr>
              <w:t>0.20</w:t>
            </w:r>
          </w:p>
        </w:tc>
        <w:tc>
          <w:tcPr>
            <w:tcW w:w="965" w:type="dxa"/>
            <w:tcBorders>
              <w:top w:val="nil"/>
              <w:left w:val="nil"/>
              <w:bottom w:val="nil"/>
              <w:right w:val="nil"/>
            </w:tcBorders>
          </w:tcPr>
          <w:p w14:paraId="14D51A12" w14:textId="77777777" w:rsidR="00533393" w:rsidRPr="00245E91" w:rsidRDefault="00533393" w:rsidP="00672311">
            <w:pPr>
              <w:spacing w:after="0" w:line="240" w:lineRule="auto"/>
              <w:ind w:right="-168"/>
              <w:rPr>
                <w:rFonts w:ascii="Times New Roman" w:eastAsia="Times New Roman" w:hAnsi="Times New Roman"/>
                <w:sz w:val="15"/>
                <w:szCs w:val="15"/>
              </w:rPr>
            </w:pPr>
            <w:r w:rsidRPr="00245E91">
              <w:rPr>
                <w:rFonts w:ascii="Times New Roman" w:hAnsi="Times New Roman"/>
                <w:sz w:val="15"/>
                <w:szCs w:val="15"/>
              </w:rPr>
              <w:t>0.17</w:t>
            </w:r>
          </w:p>
        </w:tc>
        <w:tc>
          <w:tcPr>
            <w:tcW w:w="965" w:type="dxa"/>
            <w:tcBorders>
              <w:top w:val="nil"/>
              <w:left w:val="nil"/>
              <w:bottom w:val="nil"/>
              <w:right w:val="nil"/>
            </w:tcBorders>
          </w:tcPr>
          <w:p w14:paraId="4E55E3DA"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0.17</w:t>
            </w:r>
          </w:p>
        </w:tc>
        <w:tc>
          <w:tcPr>
            <w:tcW w:w="901" w:type="dxa"/>
            <w:tcBorders>
              <w:top w:val="nil"/>
              <w:left w:val="nil"/>
              <w:bottom w:val="nil"/>
              <w:right w:val="nil"/>
            </w:tcBorders>
          </w:tcPr>
          <w:p w14:paraId="50130EB1" w14:textId="77777777" w:rsidR="00533393" w:rsidRPr="00245E91" w:rsidRDefault="00533393" w:rsidP="00672311">
            <w:pPr>
              <w:spacing w:after="0" w:line="240" w:lineRule="auto"/>
              <w:ind w:right="-138"/>
              <w:rPr>
                <w:rFonts w:ascii="Times New Roman" w:eastAsia="Times New Roman" w:hAnsi="Times New Roman"/>
                <w:sz w:val="15"/>
                <w:szCs w:val="15"/>
              </w:rPr>
            </w:pPr>
            <w:r w:rsidRPr="00245E91">
              <w:rPr>
                <w:rFonts w:ascii="Times New Roman" w:hAnsi="Times New Roman"/>
                <w:sz w:val="15"/>
                <w:szCs w:val="15"/>
              </w:rPr>
              <w:t>0.18</w:t>
            </w:r>
          </w:p>
        </w:tc>
        <w:tc>
          <w:tcPr>
            <w:tcW w:w="972" w:type="dxa"/>
            <w:tcBorders>
              <w:top w:val="nil"/>
              <w:left w:val="nil"/>
              <w:bottom w:val="nil"/>
              <w:right w:val="nil"/>
            </w:tcBorders>
          </w:tcPr>
          <w:p w14:paraId="062776BE" w14:textId="77777777" w:rsidR="00533393" w:rsidRPr="00245E91" w:rsidRDefault="00533393" w:rsidP="00672311">
            <w:pPr>
              <w:spacing w:after="0" w:line="240" w:lineRule="auto"/>
              <w:ind w:left="-108" w:right="-104"/>
              <w:rPr>
                <w:rFonts w:ascii="Times New Roman" w:eastAsia="Times New Roman" w:hAnsi="Times New Roman"/>
                <w:sz w:val="15"/>
                <w:szCs w:val="15"/>
              </w:rPr>
            </w:pPr>
            <w:r w:rsidRPr="00245E91">
              <w:rPr>
                <w:rFonts w:ascii="Times New Roman" w:hAnsi="Times New Roman"/>
                <w:sz w:val="15"/>
                <w:szCs w:val="15"/>
              </w:rPr>
              <w:t>0.25</w:t>
            </w:r>
          </w:p>
        </w:tc>
      </w:tr>
      <w:tr w:rsidR="00533393" w:rsidRPr="00245E91" w14:paraId="561FE68A" w14:textId="77777777" w:rsidTr="00672311">
        <w:tblPrEx>
          <w:tblBorders>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440" w:type="dxa"/>
            <w:tcBorders>
              <w:top w:val="nil"/>
              <w:left w:val="nil"/>
              <w:bottom w:val="nil"/>
              <w:right w:val="nil"/>
            </w:tcBorders>
          </w:tcPr>
          <w:p w14:paraId="18183244" w14:textId="77777777" w:rsidR="00533393" w:rsidRPr="00245E91" w:rsidRDefault="00533393" w:rsidP="00672311">
            <w:pPr>
              <w:spacing w:after="0" w:line="240" w:lineRule="auto"/>
              <w:ind w:right="-104"/>
              <w:rPr>
                <w:rFonts w:ascii="Times New Roman" w:eastAsia="Times New Roman" w:hAnsi="Times New Roman"/>
                <w:sz w:val="15"/>
                <w:szCs w:val="15"/>
              </w:rPr>
            </w:pPr>
            <w:r w:rsidRPr="00245E91">
              <w:rPr>
                <w:rFonts w:ascii="Times New Roman" w:hAnsi="Times New Roman"/>
                <w:sz w:val="15"/>
                <w:szCs w:val="15"/>
              </w:rPr>
              <w:t>Year fixed effect</w:t>
            </w:r>
          </w:p>
        </w:tc>
        <w:tc>
          <w:tcPr>
            <w:tcW w:w="978" w:type="dxa"/>
            <w:gridSpan w:val="2"/>
            <w:tcBorders>
              <w:top w:val="nil"/>
              <w:left w:val="nil"/>
              <w:bottom w:val="nil"/>
              <w:right w:val="nil"/>
            </w:tcBorders>
          </w:tcPr>
          <w:p w14:paraId="734D2BEC" w14:textId="77777777" w:rsidR="00533393" w:rsidRPr="00245E91" w:rsidRDefault="00533393" w:rsidP="00672311">
            <w:pPr>
              <w:spacing w:after="0" w:line="240" w:lineRule="auto"/>
              <w:ind w:right="-31"/>
              <w:rPr>
                <w:rFonts w:ascii="Times New Roman" w:eastAsia="Times New Roman" w:hAnsi="Times New Roman"/>
                <w:sz w:val="15"/>
                <w:szCs w:val="15"/>
              </w:rPr>
            </w:pPr>
            <w:r w:rsidRPr="00245E91">
              <w:rPr>
                <w:rFonts w:ascii="Times New Roman" w:hAnsi="Times New Roman"/>
                <w:sz w:val="15"/>
                <w:szCs w:val="15"/>
              </w:rPr>
              <w:t>Yes</w:t>
            </w:r>
          </w:p>
        </w:tc>
        <w:tc>
          <w:tcPr>
            <w:tcW w:w="978" w:type="dxa"/>
            <w:tcBorders>
              <w:top w:val="nil"/>
              <w:left w:val="nil"/>
              <w:bottom w:val="nil"/>
              <w:right w:val="nil"/>
            </w:tcBorders>
          </w:tcPr>
          <w:p w14:paraId="729AF90A" w14:textId="77777777" w:rsidR="00533393" w:rsidRPr="00245E91" w:rsidRDefault="00533393" w:rsidP="00672311">
            <w:pPr>
              <w:spacing w:after="0" w:line="240" w:lineRule="auto"/>
              <w:ind w:left="-100" w:right="-138"/>
              <w:rPr>
                <w:rFonts w:ascii="Times New Roman" w:eastAsia="Times New Roman" w:hAnsi="Times New Roman"/>
                <w:sz w:val="15"/>
                <w:szCs w:val="15"/>
              </w:rPr>
            </w:pPr>
            <w:r w:rsidRPr="00245E91">
              <w:rPr>
                <w:rFonts w:ascii="Times New Roman" w:hAnsi="Times New Roman"/>
                <w:sz w:val="15"/>
                <w:szCs w:val="15"/>
              </w:rPr>
              <w:t>Yes</w:t>
            </w:r>
          </w:p>
        </w:tc>
        <w:tc>
          <w:tcPr>
            <w:tcW w:w="978" w:type="dxa"/>
            <w:tcBorders>
              <w:top w:val="nil"/>
              <w:left w:val="nil"/>
              <w:bottom w:val="nil"/>
              <w:right w:val="nil"/>
            </w:tcBorders>
          </w:tcPr>
          <w:p w14:paraId="3E50DBA9" w14:textId="77777777" w:rsidR="00533393" w:rsidRPr="00245E91" w:rsidRDefault="00533393" w:rsidP="00672311">
            <w:pPr>
              <w:spacing w:after="0" w:line="240" w:lineRule="auto"/>
              <w:ind w:right="-52"/>
              <w:rPr>
                <w:rFonts w:ascii="Times New Roman" w:eastAsia="Times New Roman" w:hAnsi="Times New Roman"/>
                <w:sz w:val="15"/>
                <w:szCs w:val="15"/>
              </w:rPr>
            </w:pPr>
            <w:r w:rsidRPr="00245E91">
              <w:rPr>
                <w:rFonts w:ascii="Times New Roman" w:hAnsi="Times New Roman"/>
                <w:sz w:val="15"/>
                <w:szCs w:val="15"/>
              </w:rPr>
              <w:t>Yes</w:t>
            </w:r>
          </w:p>
        </w:tc>
        <w:tc>
          <w:tcPr>
            <w:tcW w:w="978" w:type="dxa"/>
            <w:tcBorders>
              <w:top w:val="nil"/>
              <w:left w:val="nil"/>
              <w:bottom w:val="nil"/>
              <w:right w:val="nil"/>
            </w:tcBorders>
          </w:tcPr>
          <w:p w14:paraId="3F07B2F1" w14:textId="77777777" w:rsidR="00533393" w:rsidRPr="00245E91" w:rsidRDefault="00533393" w:rsidP="00672311">
            <w:pPr>
              <w:spacing w:after="0" w:line="240" w:lineRule="auto"/>
              <w:ind w:right="-159"/>
              <w:rPr>
                <w:rFonts w:ascii="Times New Roman" w:eastAsia="Times New Roman" w:hAnsi="Times New Roman"/>
                <w:sz w:val="15"/>
                <w:szCs w:val="15"/>
              </w:rPr>
            </w:pPr>
            <w:r w:rsidRPr="00245E91">
              <w:rPr>
                <w:rFonts w:ascii="Times New Roman" w:hAnsi="Times New Roman"/>
                <w:sz w:val="15"/>
                <w:szCs w:val="15"/>
              </w:rPr>
              <w:t>Yes</w:t>
            </w:r>
          </w:p>
        </w:tc>
        <w:tc>
          <w:tcPr>
            <w:tcW w:w="858" w:type="dxa"/>
            <w:tcBorders>
              <w:top w:val="nil"/>
              <w:left w:val="nil"/>
              <w:bottom w:val="nil"/>
              <w:right w:val="nil"/>
            </w:tcBorders>
          </w:tcPr>
          <w:p w14:paraId="2568AB82" w14:textId="77777777" w:rsidR="00533393" w:rsidRPr="00245E91" w:rsidRDefault="00533393" w:rsidP="00672311">
            <w:pPr>
              <w:spacing w:after="0" w:line="240" w:lineRule="auto"/>
              <w:ind w:left="-62" w:right="-73"/>
              <w:rPr>
                <w:rFonts w:ascii="Times New Roman" w:eastAsia="Times New Roman" w:hAnsi="Times New Roman"/>
                <w:sz w:val="15"/>
                <w:szCs w:val="15"/>
              </w:rPr>
            </w:pPr>
            <w:r w:rsidRPr="00245E91">
              <w:rPr>
                <w:rFonts w:ascii="Times New Roman" w:hAnsi="Times New Roman"/>
                <w:sz w:val="15"/>
                <w:szCs w:val="15"/>
              </w:rPr>
              <w:t>Yes</w:t>
            </w:r>
          </w:p>
        </w:tc>
        <w:tc>
          <w:tcPr>
            <w:tcW w:w="990" w:type="dxa"/>
            <w:tcBorders>
              <w:top w:val="nil"/>
              <w:left w:val="nil"/>
              <w:bottom w:val="nil"/>
              <w:right w:val="single" w:sz="4" w:space="0" w:color="auto"/>
            </w:tcBorders>
          </w:tcPr>
          <w:p w14:paraId="3B88598B"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Yes</w:t>
            </w:r>
          </w:p>
        </w:tc>
        <w:tc>
          <w:tcPr>
            <w:tcW w:w="968" w:type="dxa"/>
            <w:tcBorders>
              <w:top w:val="nil"/>
              <w:left w:val="single" w:sz="4" w:space="0" w:color="auto"/>
              <w:bottom w:val="nil"/>
              <w:right w:val="nil"/>
            </w:tcBorders>
          </w:tcPr>
          <w:p w14:paraId="78DFEFA0"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Yes</w:t>
            </w:r>
          </w:p>
        </w:tc>
        <w:tc>
          <w:tcPr>
            <w:tcW w:w="971" w:type="dxa"/>
            <w:tcBorders>
              <w:top w:val="nil"/>
              <w:left w:val="nil"/>
              <w:bottom w:val="nil"/>
              <w:right w:val="nil"/>
            </w:tcBorders>
          </w:tcPr>
          <w:p w14:paraId="41F8CDED" w14:textId="77777777" w:rsidR="00533393" w:rsidRPr="00245E91" w:rsidRDefault="00533393" w:rsidP="00672311">
            <w:pPr>
              <w:spacing w:after="0" w:line="240" w:lineRule="auto"/>
              <w:ind w:left="-87" w:right="-151"/>
              <w:rPr>
                <w:rFonts w:ascii="Times New Roman" w:eastAsia="Times New Roman" w:hAnsi="Times New Roman"/>
                <w:sz w:val="15"/>
                <w:szCs w:val="15"/>
              </w:rPr>
            </w:pPr>
            <w:r w:rsidRPr="00245E91">
              <w:rPr>
                <w:rFonts w:ascii="Times New Roman" w:hAnsi="Times New Roman"/>
                <w:sz w:val="15"/>
                <w:szCs w:val="15"/>
              </w:rPr>
              <w:t>Yes</w:t>
            </w:r>
          </w:p>
        </w:tc>
        <w:tc>
          <w:tcPr>
            <w:tcW w:w="965" w:type="dxa"/>
            <w:tcBorders>
              <w:top w:val="nil"/>
              <w:left w:val="nil"/>
              <w:bottom w:val="nil"/>
              <w:right w:val="nil"/>
            </w:tcBorders>
          </w:tcPr>
          <w:p w14:paraId="0100E03B" w14:textId="77777777" w:rsidR="00533393" w:rsidRPr="00245E91" w:rsidRDefault="00533393" w:rsidP="00672311">
            <w:pPr>
              <w:spacing w:after="0" w:line="240" w:lineRule="auto"/>
              <w:ind w:right="-168"/>
              <w:rPr>
                <w:rFonts w:ascii="Times New Roman" w:eastAsia="Times New Roman" w:hAnsi="Times New Roman"/>
                <w:sz w:val="15"/>
                <w:szCs w:val="15"/>
              </w:rPr>
            </w:pPr>
            <w:r w:rsidRPr="00245E91">
              <w:rPr>
                <w:rFonts w:ascii="Times New Roman" w:hAnsi="Times New Roman"/>
                <w:sz w:val="15"/>
                <w:szCs w:val="15"/>
              </w:rPr>
              <w:t>Yes</w:t>
            </w:r>
          </w:p>
        </w:tc>
        <w:tc>
          <w:tcPr>
            <w:tcW w:w="965" w:type="dxa"/>
            <w:tcBorders>
              <w:top w:val="nil"/>
              <w:left w:val="nil"/>
              <w:bottom w:val="nil"/>
              <w:right w:val="nil"/>
            </w:tcBorders>
          </w:tcPr>
          <w:p w14:paraId="19A6F6D3"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Yes</w:t>
            </w:r>
          </w:p>
        </w:tc>
        <w:tc>
          <w:tcPr>
            <w:tcW w:w="901" w:type="dxa"/>
            <w:tcBorders>
              <w:top w:val="nil"/>
              <w:left w:val="nil"/>
              <w:bottom w:val="nil"/>
              <w:right w:val="nil"/>
            </w:tcBorders>
          </w:tcPr>
          <w:p w14:paraId="3557C9C1" w14:textId="77777777" w:rsidR="00533393" w:rsidRPr="00245E91" w:rsidRDefault="00533393" w:rsidP="00672311">
            <w:pPr>
              <w:spacing w:after="0" w:line="240" w:lineRule="auto"/>
              <w:ind w:right="-138"/>
              <w:rPr>
                <w:rFonts w:ascii="Times New Roman" w:eastAsia="Times New Roman" w:hAnsi="Times New Roman"/>
                <w:sz w:val="15"/>
                <w:szCs w:val="15"/>
              </w:rPr>
            </w:pPr>
            <w:r w:rsidRPr="00245E91">
              <w:rPr>
                <w:rFonts w:ascii="Times New Roman" w:hAnsi="Times New Roman"/>
                <w:sz w:val="15"/>
                <w:szCs w:val="15"/>
              </w:rPr>
              <w:t>Yes</w:t>
            </w:r>
          </w:p>
        </w:tc>
        <w:tc>
          <w:tcPr>
            <w:tcW w:w="972" w:type="dxa"/>
            <w:tcBorders>
              <w:top w:val="nil"/>
              <w:left w:val="nil"/>
              <w:bottom w:val="nil"/>
              <w:right w:val="nil"/>
            </w:tcBorders>
          </w:tcPr>
          <w:p w14:paraId="03E3D2F0" w14:textId="77777777" w:rsidR="00533393" w:rsidRPr="00245E91" w:rsidRDefault="00533393" w:rsidP="00672311">
            <w:pPr>
              <w:spacing w:after="0" w:line="240" w:lineRule="auto"/>
              <w:ind w:left="-108" w:right="-104"/>
              <w:rPr>
                <w:rFonts w:ascii="Times New Roman" w:eastAsia="Times New Roman" w:hAnsi="Times New Roman"/>
                <w:sz w:val="15"/>
                <w:szCs w:val="15"/>
              </w:rPr>
            </w:pPr>
            <w:r w:rsidRPr="00245E91">
              <w:rPr>
                <w:rFonts w:ascii="Times New Roman" w:hAnsi="Times New Roman"/>
                <w:sz w:val="15"/>
                <w:szCs w:val="15"/>
              </w:rPr>
              <w:t>Yes</w:t>
            </w:r>
          </w:p>
        </w:tc>
      </w:tr>
      <w:tr w:rsidR="00533393" w:rsidRPr="00245E91" w14:paraId="173FF3CB" w14:textId="77777777" w:rsidTr="00672311">
        <w:tblPrEx>
          <w:tblBorders>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440" w:type="dxa"/>
            <w:tcBorders>
              <w:top w:val="nil"/>
              <w:left w:val="nil"/>
              <w:bottom w:val="nil"/>
              <w:right w:val="nil"/>
            </w:tcBorders>
          </w:tcPr>
          <w:p w14:paraId="20DC17CF" w14:textId="77777777" w:rsidR="00533393" w:rsidRPr="00245E91" w:rsidRDefault="00533393" w:rsidP="00672311">
            <w:pPr>
              <w:spacing w:after="0" w:line="240" w:lineRule="auto"/>
              <w:ind w:right="-104"/>
              <w:rPr>
                <w:rFonts w:ascii="Times New Roman" w:eastAsia="Times New Roman" w:hAnsi="Times New Roman"/>
                <w:sz w:val="15"/>
                <w:szCs w:val="15"/>
              </w:rPr>
            </w:pPr>
            <w:r w:rsidRPr="00245E91">
              <w:rPr>
                <w:rFonts w:ascii="Times New Roman" w:hAnsi="Times New Roman"/>
                <w:sz w:val="15"/>
                <w:szCs w:val="15"/>
              </w:rPr>
              <w:t xml:space="preserve">Clustered by firm </w:t>
            </w:r>
          </w:p>
        </w:tc>
        <w:tc>
          <w:tcPr>
            <w:tcW w:w="978" w:type="dxa"/>
            <w:gridSpan w:val="2"/>
            <w:tcBorders>
              <w:top w:val="nil"/>
              <w:left w:val="nil"/>
              <w:bottom w:val="nil"/>
              <w:right w:val="nil"/>
            </w:tcBorders>
          </w:tcPr>
          <w:p w14:paraId="368A2FEC" w14:textId="77777777" w:rsidR="00533393" w:rsidRPr="00245E91" w:rsidRDefault="00533393" w:rsidP="00672311">
            <w:pPr>
              <w:spacing w:after="0" w:line="240" w:lineRule="auto"/>
              <w:ind w:right="-31"/>
              <w:rPr>
                <w:rFonts w:ascii="Times New Roman" w:eastAsia="Times New Roman" w:hAnsi="Times New Roman"/>
                <w:sz w:val="15"/>
                <w:szCs w:val="15"/>
              </w:rPr>
            </w:pPr>
            <w:r w:rsidRPr="00245E91">
              <w:rPr>
                <w:rFonts w:ascii="Times New Roman" w:hAnsi="Times New Roman"/>
                <w:sz w:val="15"/>
                <w:szCs w:val="15"/>
              </w:rPr>
              <w:t>Yes</w:t>
            </w:r>
          </w:p>
        </w:tc>
        <w:tc>
          <w:tcPr>
            <w:tcW w:w="978" w:type="dxa"/>
            <w:tcBorders>
              <w:top w:val="nil"/>
              <w:left w:val="nil"/>
              <w:bottom w:val="nil"/>
              <w:right w:val="nil"/>
            </w:tcBorders>
          </w:tcPr>
          <w:p w14:paraId="6E5D54C3" w14:textId="77777777" w:rsidR="00533393" w:rsidRPr="00245E91" w:rsidRDefault="00533393" w:rsidP="00672311">
            <w:pPr>
              <w:spacing w:after="0" w:line="240" w:lineRule="auto"/>
              <w:ind w:left="-100" w:right="-138"/>
              <w:rPr>
                <w:rFonts w:ascii="Times New Roman" w:eastAsia="Times New Roman" w:hAnsi="Times New Roman"/>
                <w:sz w:val="15"/>
                <w:szCs w:val="15"/>
              </w:rPr>
            </w:pPr>
            <w:r w:rsidRPr="00245E91">
              <w:rPr>
                <w:rFonts w:ascii="Times New Roman" w:hAnsi="Times New Roman"/>
                <w:sz w:val="15"/>
                <w:szCs w:val="15"/>
              </w:rPr>
              <w:t>Yes</w:t>
            </w:r>
          </w:p>
        </w:tc>
        <w:tc>
          <w:tcPr>
            <w:tcW w:w="978" w:type="dxa"/>
            <w:tcBorders>
              <w:top w:val="nil"/>
              <w:left w:val="nil"/>
              <w:bottom w:val="nil"/>
              <w:right w:val="nil"/>
            </w:tcBorders>
          </w:tcPr>
          <w:p w14:paraId="0D89A97D" w14:textId="77777777" w:rsidR="00533393" w:rsidRPr="00245E91" w:rsidRDefault="00533393" w:rsidP="00672311">
            <w:pPr>
              <w:spacing w:after="0" w:line="240" w:lineRule="auto"/>
              <w:ind w:right="-52"/>
              <w:rPr>
                <w:rFonts w:ascii="Times New Roman" w:eastAsia="Times New Roman" w:hAnsi="Times New Roman"/>
                <w:sz w:val="15"/>
                <w:szCs w:val="15"/>
              </w:rPr>
            </w:pPr>
            <w:r w:rsidRPr="00245E91">
              <w:rPr>
                <w:rFonts w:ascii="Times New Roman" w:hAnsi="Times New Roman"/>
                <w:sz w:val="15"/>
                <w:szCs w:val="15"/>
              </w:rPr>
              <w:t>Yes</w:t>
            </w:r>
          </w:p>
        </w:tc>
        <w:tc>
          <w:tcPr>
            <w:tcW w:w="978" w:type="dxa"/>
            <w:tcBorders>
              <w:top w:val="nil"/>
              <w:left w:val="nil"/>
              <w:bottom w:val="nil"/>
              <w:right w:val="nil"/>
            </w:tcBorders>
          </w:tcPr>
          <w:p w14:paraId="7537E292" w14:textId="77777777" w:rsidR="00533393" w:rsidRPr="00245E91" w:rsidRDefault="00533393" w:rsidP="00672311">
            <w:pPr>
              <w:spacing w:after="0" w:line="240" w:lineRule="auto"/>
              <w:ind w:right="-159"/>
              <w:rPr>
                <w:rFonts w:ascii="Times New Roman" w:eastAsia="Times New Roman" w:hAnsi="Times New Roman"/>
                <w:sz w:val="15"/>
                <w:szCs w:val="15"/>
              </w:rPr>
            </w:pPr>
            <w:r w:rsidRPr="00245E91">
              <w:rPr>
                <w:rFonts w:ascii="Times New Roman" w:hAnsi="Times New Roman"/>
                <w:sz w:val="15"/>
                <w:szCs w:val="15"/>
              </w:rPr>
              <w:t>Yes</w:t>
            </w:r>
          </w:p>
        </w:tc>
        <w:tc>
          <w:tcPr>
            <w:tcW w:w="858" w:type="dxa"/>
            <w:tcBorders>
              <w:top w:val="nil"/>
              <w:left w:val="nil"/>
              <w:bottom w:val="nil"/>
              <w:right w:val="nil"/>
            </w:tcBorders>
          </w:tcPr>
          <w:p w14:paraId="7BFBE3C9" w14:textId="77777777" w:rsidR="00533393" w:rsidRPr="00245E91" w:rsidRDefault="00533393" w:rsidP="00672311">
            <w:pPr>
              <w:spacing w:after="0" w:line="240" w:lineRule="auto"/>
              <w:ind w:left="-62" w:right="-73"/>
              <w:rPr>
                <w:rFonts w:ascii="Times New Roman" w:eastAsia="Times New Roman" w:hAnsi="Times New Roman"/>
                <w:sz w:val="15"/>
                <w:szCs w:val="15"/>
              </w:rPr>
            </w:pPr>
            <w:r w:rsidRPr="00245E91">
              <w:rPr>
                <w:rFonts w:ascii="Times New Roman" w:hAnsi="Times New Roman"/>
                <w:sz w:val="15"/>
                <w:szCs w:val="15"/>
              </w:rPr>
              <w:t>Yes</w:t>
            </w:r>
          </w:p>
        </w:tc>
        <w:tc>
          <w:tcPr>
            <w:tcW w:w="990" w:type="dxa"/>
            <w:tcBorders>
              <w:top w:val="nil"/>
              <w:left w:val="nil"/>
              <w:bottom w:val="nil"/>
              <w:right w:val="single" w:sz="4" w:space="0" w:color="auto"/>
            </w:tcBorders>
          </w:tcPr>
          <w:p w14:paraId="095E93D4"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Yes</w:t>
            </w:r>
          </w:p>
        </w:tc>
        <w:tc>
          <w:tcPr>
            <w:tcW w:w="968" w:type="dxa"/>
            <w:tcBorders>
              <w:top w:val="nil"/>
              <w:left w:val="single" w:sz="4" w:space="0" w:color="auto"/>
              <w:bottom w:val="nil"/>
              <w:right w:val="nil"/>
            </w:tcBorders>
          </w:tcPr>
          <w:p w14:paraId="0C59DE99"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Yes</w:t>
            </w:r>
          </w:p>
        </w:tc>
        <w:tc>
          <w:tcPr>
            <w:tcW w:w="971" w:type="dxa"/>
            <w:tcBorders>
              <w:top w:val="nil"/>
              <w:left w:val="nil"/>
              <w:bottom w:val="nil"/>
              <w:right w:val="nil"/>
            </w:tcBorders>
          </w:tcPr>
          <w:p w14:paraId="6EBD37FF" w14:textId="77777777" w:rsidR="00533393" w:rsidRPr="00245E91" w:rsidRDefault="00533393" w:rsidP="00672311">
            <w:pPr>
              <w:spacing w:after="0" w:line="240" w:lineRule="auto"/>
              <w:ind w:left="-87" w:right="-151"/>
              <w:rPr>
                <w:rFonts w:ascii="Times New Roman" w:eastAsia="Times New Roman" w:hAnsi="Times New Roman"/>
                <w:sz w:val="15"/>
                <w:szCs w:val="15"/>
              </w:rPr>
            </w:pPr>
            <w:r w:rsidRPr="00245E91">
              <w:rPr>
                <w:rFonts w:ascii="Times New Roman" w:hAnsi="Times New Roman"/>
                <w:sz w:val="15"/>
                <w:szCs w:val="15"/>
              </w:rPr>
              <w:t>Yes</w:t>
            </w:r>
          </w:p>
        </w:tc>
        <w:tc>
          <w:tcPr>
            <w:tcW w:w="965" w:type="dxa"/>
            <w:tcBorders>
              <w:top w:val="nil"/>
              <w:left w:val="nil"/>
              <w:bottom w:val="nil"/>
              <w:right w:val="nil"/>
            </w:tcBorders>
          </w:tcPr>
          <w:p w14:paraId="6C1A161D" w14:textId="77777777" w:rsidR="00533393" w:rsidRPr="00245E91" w:rsidRDefault="00533393" w:rsidP="00672311">
            <w:pPr>
              <w:spacing w:after="0" w:line="240" w:lineRule="auto"/>
              <w:ind w:right="-168"/>
              <w:rPr>
                <w:rFonts w:ascii="Times New Roman" w:eastAsia="Times New Roman" w:hAnsi="Times New Roman"/>
                <w:sz w:val="15"/>
                <w:szCs w:val="15"/>
              </w:rPr>
            </w:pPr>
            <w:r w:rsidRPr="00245E91">
              <w:rPr>
                <w:rFonts w:ascii="Times New Roman" w:hAnsi="Times New Roman"/>
                <w:sz w:val="15"/>
                <w:szCs w:val="15"/>
              </w:rPr>
              <w:t>Yes</w:t>
            </w:r>
          </w:p>
        </w:tc>
        <w:tc>
          <w:tcPr>
            <w:tcW w:w="965" w:type="dxa"/>
            <w:tcBorders>
              <w:top w:val="nil"/>
              <w:left w:val="nil"/>
              <w:bottom w:val="nil"/>
              <w:right w:val="nil"/>
            </w:tcBorders>
          </w:tcPr>
          <w:p w14:paraId="3FCF46B4"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Yes</w:t>
            </w:r>
          </w:p>
        </w:tc>
        <w:tc>
          <w:tcPr>
            <w:tcW w:w="901" w:type="dxa"/>
            <w:tcBorders>
              <w:top w:val="nil"/>
              <w:left w:val="nil"/>
              <w:bottom w:val="nil"/>
              <w:right w:val="nil"/>
            </w:tcBorders>
          </w:tcPr>
          <w:p w14:paraId="0DD83E16" w14:textId="77777777" w:rsidR="00533393" w:rsidRPr="00245E91" w:rsidRDefault="00533393" w:rsidP="00672311">
            <w:pPr>
              <w:spacing w:after="0" w:line="240" w:lineRule="auto"/>
              <w:ind w:right="-138"/>
              <w:rPr>
                <w:rFonts w:ascii="Times New Roman" w:eastAsia="Times New Roman" w:hAnsi="Times New Roman"/>
                <w:sz w:val="15"/>
                <w:szCs w:val="15"/>
              </w:rPr>
            </w:pPr>
            <w:r w:rsidRPr="00245E91">
              <w:rPr>
                <w:rFonts w:ascii="Times New Roman" w:hAnsi="Times New Roman"/>
                <w:sz w:val="15"/>
                <w:szCs w:val="15"/>
              </w:rPr>
              <w:t>Yes</w:t>
            </w:r>
          </w:p>
        </w:tc>
        <w:tc>
          <w:tcPr>
            <w:tcW w:w="972" w:type="dxa"/>
            <w:tcBorders>
              <w:top w:val="nil"/>
              <w:left w:val="nil"/>
              <w:bottom w:val="nil"/>
              <w:right w:val="nil"/>
            </w:tcBorders>
          </w:tcPr>
          <w:p w14:paraId="3BD28B8A" w14:textId="77777777" w:rsidR="00533393" w:rsidRPr="00245E91" w:rsidRDefault="00533393" w:rsidP="00672311">
            <w:pPr>
              <w:spacing w:after="0" w:line="240" w:lineRule="auto"/>
              <w:ind w:left="-108" w:right="-104"/>
              <w:rPr>
                <w:rFonts w:ascii="Times New Roman" w:eastAsia="Times New Roman" w:hAnsi="Times New Roman"/>
                <w:sz w:val="15"/>
                <w:szCs w:val="15"/>
              </w:rPr>
            </w:pPr>
            <w:r w:rsidRPr="00245E91">
              <w:rPr>
                <w:rFonts w:ascii="Times New Roman" w:hAnsi="Times New Roman"/>
                <w:sz w:val="15"/>
                <w:szCs w:val="15"/>
              </w:rPr>
              <w:t>Yes</w:t>
            </w:r>
          </w:p>
        </w:tc>
      </w:tr>
      <w:tr w:rsidR="00533393" w:rsidRPr="00245E91" w14:paraId="3A77F550" w14:textId="77777777" w:rsidTr="00672311">
        <w:tblPrEx>
          <w:tblBorders>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72"/>
        </w:trPr>
        <w:tc>
          <w:tcPr>
            <w:tcW w:w="1440" w:type="dxa"/>
            <w:tcBorders>
              <w:top w:val="nil"/>
              <w:left w:val="nil"/>
              <w:bottom w:val="single" w:sz="4" w:space="0" w:color="auto"/>
              <w:right w:val="nil"/>
            </w:tcBorders>
          </w:tcPr>
          <w:p w14:paraId="0B78713D" w14:textId="77777777" w:rsidR="00533393" w:rsidRPr="00245E91" w:rsidRDefault="00533393" w:rsidP="00672311">
            <w:pPr>
              <w:spacing w:after="0" w:line="240" w:lineRule="auto"/>
              <w:ind w:right="-104"/>
              <w:rPr>
                <w:rFonts w:ascii="Times New Roman" w:eastAsia="Times New Roman" w:hAnsi="Times New Roman"/>
                <w:sz w:val="15"/>
                <w:szCs w:val="15"/>
              </w:rPr>
            </w:pPr>
            <w:r w:rsidRPr="00245E91">
              <w:rPr>
                <w:rFonts w:ascii="Times New Roman" w:hAnsi="Times New Roman"/>
                <w:sz w:val="15"/>
                <w:szCs w:val="15"/>
              </w:rPr>
              <w:t>Observations</w:t>
            </w:r>
          </w:p>
        </w:tc>
        <w:tc>
          <w:tcPr>
            <w:tcW w:w="978" w:type="dxa"/>
            <w:gridSpan w:val="2"/>
            <w:tcBorders>
              <w:top w:val="nil"/>
              <w:left w:val="nil"/>
              <w:bottom w:val="single" w:sz="4" w:space="0" w:color="auto"/>
              <w:right w:val="nil"/>
            </w:tcBorders>
          </w:tcPr>
          <w:p w14:paraId="269CF75F" w14:textId="77777777" w:rsidR="00533393" w:rsidRPr="00245E91" w:rsidRDefault="00533393" w:rsidP="00672311">
            <w:pPr>
              <w:spacing w:after="0" w:line="240" w:lineRule="auto"/>
              <w:ind w:right="-31"/>
              <w:rPr>
                <w:rFonts w:ascii="Times New Roman" w:eastAsia="Times New Roman" w:hAnsi="Times New Roman"/>
                <w:sz w:val="15"/>
                <w:szCs w:val="15"/>
              </w:rPr>
            </w:pPr>
            <w:r w:rsidRPr="00245E91">
              <w:rPr>
                <w:rFonts w:ascii="Times New Roman" w:hAnsi="Times New Roman"/>
                <w:sz w:val="15"/>
                <w:szCs w:val="15"/>
              </w:rPr>
              <w:t>904</w:t>
            </w:r>
          </w:p>
        </w:tc>
        <w:tc>
          <w:tcPr>
            <w:tcW w:w="978" w:type="dxa"/>
            <w:tcBorders>
              <w:top w:val="nil"/>
              <w:left w:val="nil"/>
              <w:bottom w:val="single" w:sz="4" w:space="0" w:color="auto"/>
              <w:right w:val="nil"/>
            </w:tcBorders>
          </w:tcPr>
          <w:p w14:paraId="6ECAB28D" w14:textId="77777777" w:rsidR="00533393" w:rsidRPr="00245E91" w:rsidRDefault="00533393" w:rsidP="00672311">
            <w:pPr>
              <w:spacing w:after="0" w:line="240" w:lineRule="auto"/>
              <w:ind w:left="-100" w:right="-138"/>
              <w:rPr>
                <w:rFonts w:ascii="Times New Roman" w:eastAsia="Times New Roman" w:hAnsi="Times New Roman"/>
                <w:sz w:val="15"/>
                <w:szCs w:val="15"/>
              </w:rPr>
            </w:pPr>
            <w:r w:rsidRPr="00245E91">
              <w:rPr>
                <w:rFonts w:ascii="Times New Roman" w:hAnsi="Times New Roman"/>
                <w:sz w:val="15"/>
                <w:szCs w:val="15"/>
              </w:rPr>
              <w:t>904</w:t>
            </w:r>
          </w:p>
        </w:tc>
        <w:tc>
          <w:tcPr>
            <w:tcW w:w="978" w:type="dxa"/>
            <w:tcBorders>
              <w:top w:val="nil"/>
              <w:left w:val="nil"/>
              <w:bottom w:val="single" w:sz="4" w:space="0" w:color="auto"/>
              <w:right w:val="nil"/>
            </w:tcBorders>
          </w:tcPr>
          <w:p w14:paraId="7130D084" w14:textId="77777777" w:rsidR="00533393" w:rsidRPr="00245E91" w:rsidRDefault="00533393" w:rsidP="00672311">
            <w:pPr>
              <w:spacing w:after="0" w:line="240" w:lineRule="auto"/>
              <w:ind w:right="-52"/>
              <w:rPr>
                <w:rFonts w:ascii="Times New Roman" w:eastAsia="Times New Roman" w:hAnsi="Times New Roman"/>
                <w:sz w:val="15"/>
                <w:szCs w:val="15"/>
              </w:rPr>
            </w:pPr>
            <w:r w:rsidRPr="00245E91">
              <w:rPr>
                <w:rFonts w:ascii="Times New Roman" w:hAnsi="Times New Roman"/>
                <w:sz w:val="15"/>
                <w:szCs w:val="15"/>
              </w:rPr>
              <w:t>907</w:t>
            </w:r>
          </w:p>
        </w:tc>
        <w:tc>
          <w:tcPr>
            <w:tcW w:w="978" w:type="dxa"/>
            <w:tcBorders>
              <w:top w:val="nil"/>
              <w:left w:val="nil"/>
              <w:bottom w:val="single" w:sz="4" w:space="0" w:color="auto"/>
              <w:right w:val="nil"/>
            </w:tcBorders>
          </w:tcPr>
          <w:p w14:paraId="78BC5D8C" w14:textId="77777777" w:rsidR="00533393" w:rsidRPr="00245E91" w:rsidRDefault="00533393" w:rsidP="00672311">
            <w:pPr>
              <w:spacing w:after="0" w:line="240" w:lineRule="auto"/>
              <w:ind w:right="-159"/>
              <w:rPr>
                <w:rFonts w:ascii="Times New Roman" w:eastAsia="Times New Roman" w:hAnsi="Times New Roman"/>
                <w:sz w:val="15"/>
                <w:szCs w:val="15"/>
              </w:rPr>
            </w:pPr>
            <w:r w:rsidRPr="00245E91">
              <w:rPr>
                <w:rFonts w:ascii="Times New Roman" w:hAnsi="Times New Roman"/>
                <w:sz w:val="15"/>
                <w:szCs w:val="15"/>
              </w:rPr>
              <w:t>907</w:t>
            </w:r>
          </w:p>
        </w:tc>
        <w:tc>
          <w:tcPr>
            <w:tcW w:w="858" w:type="dxa"/>
            <w:tcBorders>
              <w:top w:val="nil"/>
              <w:left w:val="nil"/>
              <w:bottom w:val="single" w:sz="4" w:space="0" w:color="auto"/>
              <w:right w:val="nil"/>
            </w:tcBorders>
          </w:tcPr>
          <w:p w14:paraId="6D5DBEF7"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1037</w:t>
            </w:r>
          </w:p>
        </w:tc>
        <w:tc>
          <w:tcPr>
            <w:tcW w:w="990" w:type="dxa"/>
            <w:tcBorders>
              <w:top w:val="nil"/>
              <w:left w:val="nil"/>
              <w:bottom w:val="single" w:sz="4" w:space="0" w:color="auto"/>
              <w:right w:val="single" w:sz="4" w:space="0" w:color="auto"/>
            </w:tcBorders>
          </w:tcPr>
          <w:p w14:paraId="4073F45B"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898</w:t>
            </w:r>
          </w:p>
        </w:tc>
        <w:tc>
          <w:tcPr>
            <w:tcW w:w="968" w:type="dxa"/>
            <w:tcBorders>
              <w:top w:val="nil"/>
              <w:left w:val="single" w:sz="4" w:space="0" w:color="auto"/>
              <w:bottom w:val="single" w:sz="4" w:space="0" w:color="auto"/>
              <w:right w:val="nil"/>
            </w:tcBorders>
          </w:tcPr>
          <w:p w14:paraId="3B720CD1"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903</w:t>
            </w:r>
          </w:p>
        </w:tc>
        <w:tc>
          <w:tcPr>
            <w:tcW w:w="971" w:type="dxa"/>
            <w:tcBorders>
              <w:top w:val="nil"/>
              <w:left w:val="nil"/>
              <w:bottom w:val="single" w:sz="4" w:space="0" w:color="auto"/>
              <w:right w:val="nil"/>
            </w:tcBorders>
          </w:tcPr>
          <w:p w14:paraId="21628BE3" w14:textId="77777777" w:rsidR="00533393" w:rsidRPr="00245E91" w:rsidRDefault="00533393" w:rsidP="00672311">
            <w:pPr>
              <w:spacing w:after="0" w:line="240" w:lineRule="auto"/>
              <w:ind w:left="-87" w:right="-151"/>
              <w:rPr>
                <w:rFonts w:ascii="Times New Roman" w:eastAsia="Times New Roman" w:hAnsi="Times New Roman"/>
                <w:sz w:val="15"/>
                <w:szCs w:val="15"/>
              </w:rPr>
            </w:pPr>
            <w:r w:rsidRPr="00245E91">
              <w:rPr>
                <w:rFonts w:ascii="Times New Roman" w:hAnsi="Times New Roman"/>
                <w:sz w:val="15"/>
                <w:szCs w:val="15"/>
              </w:rPr>
              <w:t>904</w:t>
            </w:r>
          </w:p>
        </w:tc>
        <w:tc>
          <w:tcPr>
            <w:tcW w:w="965" w:type="dxa"/>
            <w:tcBorders>
              <w:top w:val="nil"/>
              <w:left w:val="nil"/>
              <w:bottom w:val="single" w:sz="4" w:space="0" w:color="auto"/>
              <w:right w:val="nil"/>
            </w:tcBorders>
          </w:tcPr>
          <w:p w14:paraId="5C9D54C3" w14:textId="77777777" w:rsidR="00533393" w:rsidRPr="00245E91" w:rsidRDefault="00533393" w:rsidP="00672311">
            <w:pPr>
              <w:spacing w:after="0" w:line="240" w:lineRule="auto"/>
              <w:ind w:right="-168"/>
              <w:rPr>
                <w:rFonts w:ascii="Times New Roman" w:eastAsia="Times New Roman" w:hAnsi="Times New Roman"/>
                <w:sz w:val="15"/>
                <w:szCs w:val="15"/>
              </w:rPr>
            </w:pPr>
            <w:r w:rsidRPr="00245E91">
              <w:rPr>
                <w:rFonts w:ascii="Times New Roman" w:hAnsi="Times New Roman"/>
                <w:sz w:val="15"/>
                <w:szCs w:val="15"/>
              </w:rPr>
              <w:t>907</w:t>
            </w:r>
          </w:p>
        </w:tc>
        <w:tc>
          <w:tcPr>
            <w:tcW w:w="965" w:type="dxa"/>
            <w:tcBorders>
              <w:top w:val="nil"/>
              <w:left w:val="nil"/>
              <w:bottom w:val="single" w:sz="4" w:space="0" w:color="auto"/>
              <w:right w:val="nil"/>
            </w:tcBorders>
          </w:tcPr>
          <w:p w14:paraId="1AC999C1" w14:textId="77777777" w:rsidR="00533393" w:rsidRPr="00245E91" w:rsidRDefault="00533393" w:rsidP="00672311">
            <w:pPr>
              <w:spacing w:after="0" w:line="240" w:lineRule="auto"/>
              <w:rPr>
                <w:rFonts w:ascii="Times New Roman" w:eastAsia="Times New Roman" w:hAnsi="Times New Roman"/>
                <w:sz w:val="15"/>
                <w:szCs w:val="15"/>
              </w:rPr>
            </w:pPr>
            <w:r w:rsidRPr="00245E91">
              <w:rPr>
                <w:rFonts w:ascii="Times New Roman" w:hAnsi="Times New Roman"/>
                <w:sz w:val="15"/>
                <w:szCs w:val="15"/>
              </w:rPr>
              <w:t>907</w:t>
            </w:r>
          </w:p>
        </w:tc>
        <w:tc>
          <w:tcPr>
            <w:tcW w:w="901" w:type="dxa"/>
            <w:tcBorders>
              <w:top w:val="nil"/>
              <w:left w:val="nil"/>
              <w:bottom w:val="single" w:sz="4" w:space="0" w:color="auto"/>
              <w:right w:val="nil"/>
            </w:tcBorders>
          </w:tcPr>
          <w:p w14:paraId="431C3D95" w14:textId="77777777" w:rsidR="00533393" w:rsidRPr="00245E91" w:rsidRDefault="00533393" w:rsidP="00672311">
            <w:pPr>
              <w:spacing w:after="0" w:line="240" w:lineRule="auto"/>
              <w:ind w:right="-138"/>
              <w:rPr>
                <w:rFonts w:ascii="Times New Roman" w:eastAsia="Times New Roman" w:hAnsi="Times New Roman"/>
                <w:sz w:val="15"/>
                <w:szCs w:val="15"/>
              </w:rPr>
            </w:pPr>
            <w:r w:rsidRPr="00245E91">
              <w:rPr>
                <w:rFonts w:ascii="Times New Roman" w:hAnsi="Times New Roman"/>
                <w:sz w:val="15"/>
                <w:szCs w:val="15"/>
              </w:rPr>
              <w:t>1,037</w:t>
            </w:r>
          </w:p>
        </w:tc>
        <w:tc>
          <w:tcPr>
            <w:tcW w:w="972" w:type="dxa"/>
            <w:tcBorders>
              <w:top w:val="nil"/>
              <w:left w:val="nil"/>
              <w:bottom w:val="single" w:sz="4" w:space="0" w:color="auto"/>
              <w:right w:val="nil"/>
            </w:tcBorders>
          </w:tcPr>
          <w:p w14:paraId="2D734702" w14:textId="77777777" w:rsidR="00533393" w:rsidRPr="00245E91" w:rsidRDefault="00533393" w:rsidP="00672311">
            <w:pPr>
              <w:spacing w:after="0" w:line="240" w:lineRule="auto"/>
              <w:ind w:left="-108" w:right="-104"/>
              <w:rPr>
                <w:rFonts w:ascii="Times New Roman" w:eastAsia="Times New Roman" w:hAnsi="Times New Roman"/>
                <w:sz w:val="15"/>
                <w:szCs w:val="15"/>
              </w:rPr>
            </w:pPr>
            <w:r w:rsidRPr="00245E91">
              <w:rPr>
                <w:rFonts w:ascii="Times New Roman" w:hAnsi="Times New Roman"/>
                <w:sz w:val="15"/>
                <w:szCs w:val="15"/>
              </w:rPr>
              <w:t>897</w:t>
            </w:r>
          </w:p>
        </w:tc>
      </w:tr>
    </w:tbl>
    <w:p w14:paraId="6C51E420" w14:textId="77777777" w:rsidR="00533393" w:rsidRPr="00245E91" w:rsidRDefault="00533393">
      <w:pPr>
        <w:spacing w:after="0" w:line="240" w:lineRule="auto"/>
        <w:rPr>
          <w:rFonts w:ascii="Times New Roman" w:hAnsi="Times New Roman"/>
          <w:b/>
          <w:sz w:val="15"/>
          <w:szCs w:val="15"/>
        </w:rPr>
      </w:pPr>
      <w:r w:rsidRPr="00245E91">
        <w:rPr>
          <w:rFonts w:ascii="Times New Roman" w:hAnsi="Times New Roman"/>
          <w:b/>
          <w:sz w:val="15"/>
          <w:szCs w:val="15"/>
        </w:rPr>
        <w:br w:type="page"/>
      </w:r>
    </w:p>
    <w:p w14:paraId="71659E91" w14:textId="5ACFADF8" w:rsidR="00116862" w:rsidRPr="00245E91" w:rsidRDefault="00116862" w:rsidP="00116862">
      <w:pPr>
        <w:spacing w:after="0" w:line="240" w:lineRule="auto"/>
        <w:rPr>
          <w:rFonts w:ascii="Times New Roman" w:hAnsi="Times New Roman"/>
          <w:b/>
          <w:sz w:val="15"/>
          <w:szCs w:val="15"/>
        </w:rPr>
      </w:pPr>
      <w:r w:rsidRPr="00245E91">
        <w:rPr>
          <w:rFonts w:ascii="Times New Roman" w:hAnsi="Times New Roman"/>
          <w:b/>
          <w:sz w:val="15"/>
          <w:szCs w:val="15"/>
        </w:rPr>
        <w:t>Table 6 - Cross-sectional Analyses of Earnings Management – Low-levered Firms vs. High-levered Firms</w:t>
      </w:r>
    </w:p>
    <w:p w14:paraId="5D16B296" w14:textId="193E0E0E" w:rsidR="00116862" w:rsidRPr="00245E91" w:rsidRDefault="00EE4A1C" w:rsidP="00116862">
      <w:pPr>
        <w:spacing w:after="0" w:line="240" w:lineRule="auto"/>
        <w:rPr>
          <w:rFonts w:ascii="Times New Roman" w:hAnsi="Times New Roman"/>
          <w:sz w:val="15"/>
          <w:szCs w:val="15"/>
        </w:rPr>
      </w:pPr>
      <w:r w:rsidRPr="00245E91">
        <w:rPr>
          <w:rFonts w:ascii="Times New Roman" w:hAnsi="Times New Roman"/>
          <w:sz w:val="15"/>
          <w:szCs w:val="15"/>
        </w:rPr>
        <w:t xml:space="preserve">The sample includes MLPs and all Non-MLP firms in the same industry in the same year. </w:t>
      </w:r>
      <w:r w:rsidR="00116862" w:rsidRPr="00245E91">
        <w:rPr>
          <w:rFonts w:ascii="Times New Roman" w:hAnsi="Times New Roman"/>
          <w:sz w:val="15"/>
          <w:szCs w:val="15"/>
        </w:rPr>
        <w:t>The dependent variables are RM1, RM2 and DA, alternatively. RM1 is the sum of RDISX and RPROD. RM2 is the sum of RDISX, RPROD and RCFO. RDISX is the abnormal discretionary expenditure. RPROD is the abnormal production costs. RCFO is the abnormal cash flow. DA is the discretionary accrual. MLP is the dummy variable for MLP firms. LN(Assets) is the natural log of total assets. MKTSHARE is the ratio of firm sales to total sales of all firms in the same industry. DEBT is the ratio of debt-to-assets. NOA is net operating assets and is calculated as total assets minus cash and short-term investment scaled by total assets. OPERCYCLE is the days of receivable plus the days of inventory less the days of payable at the beginning of the year. ROA is net income to total assets ratio. MKBK is the market-to-book ratio of equity. LIQUIDITY is the average of the ratio of monthly trading volume to shares outstanding in the year. STOCKISSUE is the ratio of the amount of sales of common stock and preferred stock in the year to the market capitalization of the firm. DEBISSUE is the ratio of the amount of long-term debt issuance to the firm’s assets. BIG8 is the dummy variable for firms with auditors in the top 8. TENURE is the number of years the auditor has audited the client. INSTOWN is the percentage of institutional ownership at the beginning of year. NUMANALYST is the number of analysts following the firm. RESID_RM1 and RESID_RM2 are the residuals from Models 4 and 5. *, **, and *** indicate the significance levels of 10%, 5% and 1%, respectively.</w:t>
      </w:r>
    </w:p>
    <w:tbl>
      <w:tblPr>
        <w:tblW w:w="5000" w:type="pct"/>
        <w:tblLook w:val="04A0" w:firstRow="1" w:lastRow="0" w:firstColumn="1" w:lastColumn="0" w:noHBand="0" w:noVBand="1"/>
      </w:tblPr>
      <w:tblGrid>
        <w:gridCol w:w="1477"/>
        <w:gridCol w:w="1436"/>
        <w:gridCol w:w="1431"/>
        <w:gridCol w:w="1431"/>
        <w:gridCol w:w="1459"/>
        <w:gridCol w:w="1428"/>
        <w:gridCol w:w="1423"/>
        <w:gridCol w:w="1423"/>
        <w:gridCol w:w="1452"/>
      </w:tblGrid>
      <w:tr w:rsidR="00C9320F" w:rsidRPr="00245E91" w14:paraId="551FD3F7" w14:textId="77777777" w:rsidTr="00D83DD8">
        <w:trPr>
          <w:trHeight w:val="240"/>
        </w:trPr>
        <w:tc>
          <w:tcPr>
            <w:tcW w:w="570" w:type="pct"/>
            <w:tcBorders>
              <w:top w:val="single" w:sz="4" w:space="0" w:color="auto"/>
              <w:left w:val="nil"/>
              <w:right w:val="nil"/>
            </w:tcBorders>
            <w:shd w:val="clear" w:color="auto" w:fill="auto"/>
            <w:noWrap/>
            <w:vAlign w:val="bottom"/>
            <w:hideMark/>
          </w:tcPr>
          <w:p w14:paraId="588C94F0" w14:textId="77777777" w:rsidR="002B12BF" w:rsidRPr="00245E91" w:rsidRDefault="002B12BF" w:rsidP="00194092">
            <w:pPr>
              <w:spacing w:after="0" w:line="240" w:lineRule="auto"/>
              <w:contextualSpacing/>
              <w:rPr>
                <w:rFonts w:ascii="Times New Roman" w:eastAsia="Times New Roman" w:hAnsi="Times New Roman"/>
                <w:b/>
                <w:i/>
                <w:sz w:val="15"/>
                <w:szCs w:val="15"/>
              </w:rPr>
            </w:pPr>
          </w:p>
        </w:tc>
        <w:tc>
          <w:tcPr>
            <w:tcW w:w="2221" w:type="pct"/>
            <w:gridSpan w:val="4"/>
            <w:tcBorders>
              <w:top w:val="single" w:sz="4" w:space="0" w:color="auto"/>
              <w:left w:val="nil"/>
              <w:right w:val="single" w:sz="4" w:space="0" w:color="auto"/>
            </w:tcBorders>
            <w:shd w:val="clear" w:color="auto" w:fill="auto"/>
            <w:noWrap/>
            <w:vAlign w:val="bottom"/>
            <w:hideMark/>
          </w:tcPr>
          <w:p w14:paraId="243A96AD" w14:textId="77777777" w:rsidR="002B12BF" w:rsidRPr="00245E91" w:rsidRDefault="002B12BF" w:rsidP="00F7612D">
            <w:pPr>
              <w:spacing w:after="0" w:line="240" w:lineRule="auto"/>
              <w:contextualSpacing/>
              <w:jc w:val="center"/>
              <w:rPr>
                <w:rFonts w:ascii="Times New Roman" w:eastAsia="Times New Roman" w:hAnsi="Times New Roman"/>
                <w:b/>
                <w:i/>
                <w:sz w:val="15"/>
                <w:szCs w:val="15"/>
              </w:rPr>
            </w:pPr>
            <w:r w:rsidRPr="00245E91">
              <w:rPr>
                <w:rFonts w:ascii="Times New Roman" w:eastAsia="Times New Roman" w:hAnsi="Times New Roman"/>
                <w:b/>
                <w:i/>
                <w:color w:val="000000"/>
                <w:sz w:val="15"/>
                <w:szCs w:val="15"/>
              </w:rPr>
              <w:t>Panel A – Low-levered Firms</w:t>
            </w:r>
          </w:p>
        </w:tc>
        <w:tc>
          <w:tcPr>
            <w:tcW w:w="2209" w:type="pct"/>
            <w:gridSpan w:val="4"/>
            <w:tcBorders>
              <w:top w:val="single" w:sz="4" w:space="0" w:color="auto"/>
              <w:left w:val="single" w:sz="4" w:space="0" w:color="auto"/>
              <w:right w:val="nil"/>
            </w:tcBorders>
            <w:shd w:val="clear" w:color="auto" w:fill="auto"/>
            <w:noWrap/>
            <w:vAlign w:val="bottom"/>
            <w:hideMark/>
          </w:tcPr>
          <w:p w14:paraId="76B33C5E" w14:textId="77777777" w:rsidR="002B12BF" w:rsidRPr="00245E91" w:rsidRDefault="002B12BF" w:rsidP="00F7612D">
            <w:pPr>
              <w:spacing w:after="0" w:line="240" w:lineRule="auto"/>
              <w:contextualSpacing/>
              <w:jc w:val="center"/>
              <w:rPr>
                <w:rFonts w:ascii="Times New Roman" w:eastAsia="Times New Roman" w:hAnsi="Times New Roman"/>
                <w:b/>
                <w:i/>
                <w:sz w:val="15"/>
                <w:szCs w:val="15"/>
              </w:rPr>
            </w:pPr>
            <w:r w:rsidRPr="00245E91">
              <w:rPr>
                <w:rFonts w:ascii="Times New Roman" w:eastAsia="Times New Roman" w:hAnsi="Times New Roman"/>
                <w:b/>
                <w:i/>
                <w:color w:val="000000"/>
                <w:sz w:val="15"/>
                <w:szCs w:val="15"/>
              </w:rPr>
              <w:t>Panel B – High-levered Firms</w:t>
            </w:r>
          </w:p>
        </w:tc>
      </w:tr>
      <w:tr w:rsidR="00C9320F" w:rsidRPr="00245E91" w14:paraId="41CF776D" w14:textId="77777777" w:rsidTr="00D83DD8">
        <w:trPr>
          <w:trHeight w:val="240"/>
        </w:trPr>
        <w:tc>
          <w:tcPr>
            <w:tcW w:w="570" w:type="pct"/>
            <w:tcBorders>
              <w:top w:val="nil"/>
              <w:left w:val="nil"/>
              <w:bottom w:val="single" w:sz="4" w:space="0" w:color="auto"/>
              <w:right w:val="nil"/>
            </w:tcBorders>
            <w:shd w:val="clear" w:color="auto" w:fill="auto"/>
            <w:noWrap/>
            <w:vAlign w:val="bottom"/>
            <w:hideMark/>
          </w:tcPr>
          <w:p w14:paraId="41138146" w14:textId="77777777" w:rsidR="002B12BF" w:rsidRPr="00245E91" w:rsidRDefault="002B12BF" w:rsidP="00194092">
            <w:pPr>
              <w:spacing w:after="0" w:line="240" w:lineRule="auto"/>
              <w:ind w:right="-194"/>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Variables</w:t>
            </w:r>
          </w:p>
        </w:tc>
        <w:tc>
          <w:tcPr>
            <w:tcW w:w="554" w:type="pct"/>
            <w:tcBorders>
              <w:top w:val="nil"/>
              <w:left w:val="nil"/>
              <w:bottom w:val="single" w:sz="4" w:space="0" w:color="auto"/>
              <w:right w:val="nil"/>
            </w:tcBorders>
            <w:shd w:val="clear" w:color="auto" w:fill="auto"/>
            <w:noWrap/>
            <w:vAlign w:val="bottom"/>
            <w:hideMark/>
          </w:tcPr>
          <w:p w14:paraId="24532C67" w14:textId="77777777" w:rsidR="002B12BF" w:rsidRPr="00245E91" w:rsidRDefault="002B12BF" w:rsidP="00194092">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1 – RM1</w:t>
            </w:r>
          </w:p>
        </w:tc>
        <w:tc>
          <w:tcPr>
            <w:tcW w:w="552" w:type="pct"/>
            <w:tcBorders>
              <w:top w:val="nil"/>
              <w:left w:val="nil"/>
              <w:bottom w:val="single" w:sz="4" w:space="0" w:color="auto"/>
              <w:right w:val="nil"/>
            </w:tcBorders>
            <w:shd w:val="clear" w:color="auto" w:fill="auto"/>
            <w:noWrap/>
            <w:vAlign w:val="bottom"/>
            <w:hideMark/>
          </w:tcPr>
          <w:p w14:paraId="25DB3A52" w14:textId="77777777" w:rsidR="002B12BF" w:rsidRPr="00245E91" w:rsidRDefault="002B12BF" w:rsidP="00194092">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2 – RM2</w:t>
            </w:r>
          </w:p>
        </w:tc>
        <w:tc>
          <w:tcPr>
            <w:tcW w:w="552" w:type="pct"/>
            <w:tcBorders>
              <w:top w:val="nil"/>
              <w:left w:val="nil"/>
              <w:bottom w:val="single" w:sz="4" w:space="0" w:color="auto"/>
              <w:right w:val="nil"/>
            </w:tcBorders>
            <w:shd w:val="clear" w:color="auto" w:fill="auto"/>
            <w:noWrap/>
            <w:vAlign w:val="bottom"/>
            <w:hideMark/>
          </w:tcPr>
          <w:p w14:paraId="66591987" w14:textId="77777777" w:rsidR="002B12BF" w:rsidRPr="00245E91" w:rsidRDefault="002B12BF" w:rsidP="00194092">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3 – DA</w:t>
            </w:r>
          </w:p>
        </w:tc>
        <w:tc>
          <w:tcPr>
            <w:tcW w:w="561" w:type="pct"/>
            <w:tcBorders>
              <w:top w:val="nil"/>
              <w:left w:val="nil"/>
              <w:bottom w:val="single" w:sz="4" w:space="0" w:color="auto"/>
              <w:right w:val="single" w:sz="4" w:space="0" w:color="auto"/>
            </w:tcBorders>
            <w:shd w:val="clear" w:color="auto" w:fill="auto"/>
            <w:noWrap/>
            <w:vAlign w:val="bottom"/>
            <w:hideMark/>
          </w:tcPr>
          <w:p w14:paraId="033543A9" w14:textId="77777777" w:rsidR="002B12BF" w:rsidRPr="00245E91" w:rsidRDefault="002B12BF" w:rsidP="00194092">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4 – DA</w:t>
            </w:r>
          </w:p>
        </w:tc>
        <w:tc>
          <w:tcPr>
            <w:tcW w:w="551" w:type="pct"/>
            <w:tcBorders>
              <w:top w:val="nil"/>
              <w:left w:val="single" w:sz="4" w:space="0" w:color="auto"/>
              <w:bottom w:val="single" w:sz="4" w:space="0" w:color="auto"/>
              <w:right w:val="nil"/>
            </w:tcBorders>
            <w:shd w:val="clear" w:color="auto" w:fill="auto"/>
            <w:noWrap/>
            <w:vAlign w:val="bottom"/>
            <w:hideMark/>
          </w:tcPr>
          <w:p w14:paraId="2D716849" w14:textId="77777777" w:rsidR="002B12BF" w:rsidRPr="00245E91" w:rsidRDefault="002B12BF" w:rsidP="00194092">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1 – RM1</w:t>
            </w:r>
          </w:p>
        </w:tc>
        <w:tc>
          <w:tcPr>
            <w:tcW w:w="549" w:type="pct"/>
            <w:tcBorders>
              <w:top w:val="nil"/>
              <w:left w:val="nil"/>
              <w:bottom w:val="single" w:sz="4" w:space="0" w:color="auto"/>
              <w:right w:val="nil"/>
            </w:tcBorders>
            <w:shd w:val="clear" w:color="auto" w:fill="auto"/>
            <w:noWrap/>
            <w:vAlign w:val="bottom"/>
            <w:hideMark/>
          </w:tcPr>
          <w:p w14:paraId="72BA93B5" w14:textId="77777777" w:rsidR="002B12BF" w:rsidRPr="00245E91" w:rsidRDefault="002B12BF" w:rsidP="00194092">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2 – RM2</w:t>
            </w:r>
          </w:p>
        </w:tc>
        <w:tc>
          <w:tcPr>
            <w:tcW w:w="549" w:type="pct"/>
            <w:tcBorders>
              <w:top w:val="nil"/>
              <w:left w:val="nil"/>
              <w:bottom w:val="single" w:sz="4" w:space="0" w:color="auto"/>
              <w:right w:val="nil"/>
            </w:tcBorders>
            <w:shd w:val="clear" w:color="auto" w:fill="auto"/>
            <w:noWrap/>
            <w:vAlign w:val="bottom"/>
            <w:hideMark/>
          </w:tcPr>
          <w:p w14:paraId="7AC179C4" w14:textId="77777777" w:rsidR="002B12BF" w:rsidRPr="00245E91" w:rsidRDefault="002B12BF" w:rsidP="00194092">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3 – DA</w:t>
            </w:r>
          </w:p>
        </w:tc>
        <w:tc>
          <w:tcPr>
            <w:tcW w:w="559" w:type="pct"/>
            <w:tcBorders>
              <w:top w:val="nil"/>
              <w:left w:val="nil"/>
              <w:bottom w:val="single" w:sz="4" w:space="0" w:color="auto"/>
              <w:right w:val="nil"/>
            </w:tcBorders>
            <w:shd w:val="clear" w:color="auto" w:fill="auto"/>
            <w:noWrap/>
            <w:vAlign w:val="bottom"/>
            <w:hideMark/>
          </w:tcPr>
          <w:p w14:paraId="6B694D82" w14:textId="77777777" w:rsidR="002B12BF" w:rsidRPr="00245E91" w:rsidRDefault="002B12BF" w:rsidP="00194092">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4 – DA</w:t>
            </w:r>
          </w:p>
        </w:tc>
      </w:tr>
      <w:tr w:rsidR="00C9320F" w:rsidRPr="00245E91" w14:paraId="5411020B" w14:textId="77777777" w:rsidTr="00D83DD8">
        <w:trPr>
          <w:trHeight w:val="240"/>
        </w:trPr>
        <w:tc>
          <w:tcPr>
            <w:tcW w:w="570" w:type="pct"/>
            <w:tcBorders>
              <w:top w:val="single" w:sz="4" w:space="0" w:color="auto"/>
              <w:left w:val="nil"/>
              <w:bottom w:val="nil"/>
              <w:right w:val="nil"/>
            </w:tcBorders>
            <w:shd w:val="clear" w:color="auto" w:fill="auto"/>
            <w:noWrap/>
            <w:vAlign w:val="bottom"/>
            <w:hideMark/>
          </w:tcPr>
          <w:p w14:paraId="53407566" w14:textId="77777777" w:rsidR="002B12BF" w:rsidRPr="00245E91" w:rsidRDefault="002B12BF" w:rsidP="00194092">
            <w:pPr>
              <w:spacing w:after="0" w:line="240" w:lineRule="auto"/>
              <w:ind w:right="-194"/>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Constant</w:t>
            </w:r>
          </w:p>
          <w:p w14:paraId="4F256C89" w14:textId="1ABCACDE" w:rsidR="00E77B63" w:rsidRPr="00245E91" w:rsidRDefault="00E77B63" w:rsidP="00194092">
            <w:pPr>
              <w:spacing w:after="0" w:line="240" w:lineRule="auto"/>
              <w:ind w:right="-194"/>
              <w:contextualSpacing/>
              <w:rPr>
                <w:rFonts w:ascii="Times New Roman" w:eastAsia="Times New Roman" w:hAnsi="Times New Roman"/>
                <w:color w:val="000000"/>
                <w:sz w:val="15"/>
                <w:szCs w:val="15"/>
              </w:rPr>
            </w:pPr>
          </w:p>
        </w:tc>
        <w:tc>
          <w:tcPr>
            <w:tcW w:w="554" w:type="pct"/>
            <w:tcBorders>
              <w:top w:val="single" w:sz="4" w:space="0" w:color="auto"/>
              <w:left w:val="nil"/>
              <w:bottom w:val="nil"/>
              <w:right w:val="nil"/>
            </w:tcBorders>
            <w:shd w:val="clear" w:color="auto" w:fill="auto"/>
            <w:noWrap/>
            <w:vAlign w:val="bottom"/>
            <w:hideMark/>
          </w:tcPr>
          <w:p w14:paraId="7F725812"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-0.066</w:t>
            </w:r>
          </w:p>
          <w:p w14:paraId="69C198BC" w14:textId="6A495A01" w:rsidR="00E77B63" w:rsidRPr="00245E91" w:rsidRDefault="00E77B63"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(-1.03)</w:t>
            </w:r>
          </w:p>
        </w:tc>
        <w:tc>
          <w:tcPr>
            <w:tcW w:w="552" w:type="pct"/>
            <w:tcBorders>
              <w:top w:val="single" w:sz="4" w:space="0" w:color="auto"/>
              <w:left w:val="nil"/>
              <w:bottom w:val="nil"/>
              <w:right w:val="nil"/>
            </w:tcBorders>
            <w:shd w:val="clear" w:color="auto" w:fill="auto"/>
            <w:noWrap/>
            <w:vAlign w:val="bottom"/>
            <w:hideMark/>
          </w:tcPr>
          <w:p w14:paraId="323FAF26"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0.010</w:t>
            </w:r>
          </w:p>
          <w:p w14:paraId="430D63C0" w14:textId="67611099" w:rsidR="00E77B63" w:rsidRPr="00245E91" w:rsidRDefault="00E77B63"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(0.15)</w:t>
            </w:r>
          </w:p>
        </w:tc>
        <w:tc>
          <w:tcPr>
            <w:tcW w:w="552" w:type="pct"/>
            <w:tcBorders>
              <w:top w:val="single" w:sz="4" w:space="0" w:color="auto"/>
              <w:left w:val="nil"/>
              <w:bottom w:val="nil"/>
              <w:right w:val="nil"/>
            </w:tcBorders>
            <w:shd w:val="clear" w:color="auto" w:fill="auto"/>
            <w:noWrap/>
            <w:vAlign w:val="bottom"/>
            <w:hideMark/>
          </w:tcPr>
          <w:p w14:paraId="24B8E10F"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0.123</w:t>
            </w:r>
          </w:p>
          <w:p w14:paraId="73B89576" w14:textId="4E1FBE32" w:rsidR="00E77B63" w:rsidRPr="00245E91" w:rsidRDefault="00E77B63"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(3.73***)</w:t>
            </w:r>
          </w:p>
        </w:tc>
        <w:tc>
          <w:tcPr>
            <w:tcW w:w="561" w:type="pct"/>
            <w:tcBorders>
              <w:top w:val="single" w:sz="4" w:space="0" w:color="auto"/>
              <w:left w:val="nil"/>
              <w:bottom w:val="nil"/>
              <w:right w:val="single" w:sz="4" w:space="0" w:color="auto"/>
            </w:tcBorders>
            <w:shd w:val="clear" w:color="auto" w:fill="auto"/>
            <w:noWrap/>
            <w:vAlign w:val="bottom"/>
            <w:hideMark/>
          </w:tcPr>
          <w:p w14:paraId="3D97F5F5"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0.125</w:t>
            </w:r>
          </w:p>
          <w:p w14:paraId="0B4AD279" w14:textId="469FCEB6" w:rsidR="00E77B63" w:rsidRPr="00245E91" w:rsidRDefault="00E77B63"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(3.93***)</w:t>
            </w:r>
          </w:p>
        </w:tc>
        <w:tc>
          <w:tcPr>
            <w:tcW w:w="551" w:type="pct"/>
            <w:tcBorders>
              <w:top w:val="single" w:sz="4" w:space="0" w:color="auto"/>
              <w:left w:val="single" w:sz="4" w:space="0" w:color="auto"/>
              <w:bottom w:val="nil"/>
              <w:right w:val="nil"/>
            </w:tcBorders>
            <w:shd w:val="clear" w:color="auto" w:fill="auto"/>
            <w:noWrap/>
            <w:vAlign w:val="bottom"/>
            <w:hideMark/>
          </w:tcPr>
          <w:p w14:paraId="4F3B73FC"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-0.163</w:t>
            </w:r>
          </w:p>
          <w:p w14:paraId="50791026" w14:textId="364DD180" w:rsidR="00E77B63" w:rsidRPr="00245E91" w:rsidRDefault="00E77B63"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(-1.38)</w:t>
            </w:r>
          </w:p>
        </w:tc>
        <w:tc>
          <w:tcPr>
            <w:tcW w:w="549" w:type="pct"/>
            <w:tcBorders>
              <w:top w:val="single" w:sz="4" w:space="0" w:color="auto"/>
              <w:left w:val="nil"/>
              <w:bottom w:val="nil"/>
              <w:right w:val="nil"/>
            </w:tcBorders>
            <w:shd w:val="clear" w:color="auto" w:fill="auto"/>
            <w:noWrap/>
            <w:vAlign w:val="bottom"/>
            <w:hideMark/>
          </w:tcPr>
          <w:p w14:paraId="6B3318E5"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0.039</w:t>
            </w:r>
          </w:p>
          <w:p w14:paraId="4F6D5161" w14:textId="7E30B03A" w:rsidR="00E77B63" w:rsidRPr="00245E91" w:rsidRDefault="00E77B63"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(0.31)</w:t>
            </w:r>
          </w:p>
        </w:tc>
        <w:tc>
          <w:tcPr>
            <w:tcW w:w="549" w:type="pct"/>
            <w:tcBorders>
              <w:top w:val="single" w:sz="4" w:space="0" w:color="auto"/>
              <w:left w:val="nil"/>
              <w:bottom w:val="nil"/>
              <w:right w:val="nil"/>
            </w:tcBorders>
            <w:shd w:val="clear" w:color="auto" w:fill="auto"/>
            <w:noWrap/>
            <w:vAlign w:val="bottom"/>
            <w:hideMark/>
          </w:tcPr>
          <w:p w14:paraId="3103F158"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0.111</w:t>
            </w:r>
          </w:p>
          <w:p w14:paraId="2FD7CC55" w14:textId="1BB16F2C" w:rsidR="00E77B63" w:rsidRPr="00245E91" w:rsidRDefault="00E77B63"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(1.78*)</w:t>
            </w:r>
          </w:p>
        </w:tc>
        <w:tc>
          <w:tcPr>
            <w:tcW w:w="559" w:type="pct"/>
            <w:tcBorders>
              <w:top w:val="single" w:sz="4" w:space="0" w:color="auto"/>
              <w:left w:val="nil"/>
              <w:bottom w:val="nil"/>
              <w:right w:val="nil"/>
            </w:tcBorders>
            <w:shd w:val="clear" w:color="auto" w:fill="auto"/>
            <w:noWrap/>
            <w:vAlign w:val="bottom"/>
            <w:hideMark/>
          </w:tcPr>
          <w:p w14:paraId="035C0681"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0.104</w:t>
            </w:r>
          </w:p>
          <w:p w14:paraId="04C6A768" w14:textId="72F62075" w:rsidR="00E77B63" w:rsidRPr="00245E91" w:rsidRDefault="00E77B63" w:rsidP="0042373A">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(1.64)</w:t>
            </w:r>
          </w:p>
        </w:tc>
      </w:tr>
      <w:tr w:rsidR="00C9320F" w:rsidRPr="00245E91" w14:paraId="57152CE5" w14:textId="77777777" w:rsidTr="00D83DD8">
        <w:trPr>
          <w:trHeight w:val="240"/>
        </w:trPr>
        <w:tc>
          <w:tcPr>
            <w:tcW w:w="570" w:type="pct"/>
            <w:tcBorders>
              <w:top w:val="nil"/>
              <w:left w:val="nil"/>
              <w:bottom w:val="nil"/>
              <w:right w:val="nil"/>
            </w:tcBorders>
            <w:shd w:val="clear" w:color="auto" w:fill="auto"/>
            <w:noWrap/>
            <w:vAlign w:val="bottom"/>
            <w:hideMark/>
          </w:tcPr>
          <w:p w14:paraId="19CB8431" w14:textId="77777777" w:rsidR="002B12BF" w:rsidRPr="00245E91" w:rsidRDefault="002B12BF" w:rsidP="00194092">
            <w:pPr>
              <w:spacing w:after="0" w:line="240" w:lineRule="auto"/>
              <w:ind w:right="-194"/>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MLP</w:t>
            </w:r>
          </w:p>
          <w:p w14:paraId="0C91958C" w14:textId="0AEBF966" w:rsidR="00E77B63" w:rsidRPr="00245E91" w:rsidRDefault="00E77B63" w:rsidP="00194092">
            <w:pPr>
              <w:spacing w:after="0" w:line="240" w:lineRule="auto"/>
              <w:ind w:right="-194"/>
              <w:contextualSpacing/>
              <w:rPr>
                <w:rFonts w:ascii="Times New Roman" w:eastAsia="Times New Roman" w:hAnsi="Times New Roman"/>
                <w:i/>
                <w:color w:val="000000"/>
                <w:sz w:val="15"/>
                <w:szCs w:val="15"/>
              </w:rPr>
            </w:pPr>
          </w:p>
        </w:tc>
        <w:tc>
          <w:tcPr>
            <w:tcW w:w="554" w:type="pct"/>
            <w:tcBorders>
              <w:top w:val="nil"/>
              <w:left w:val="nil"/>
              <w:bottom w:val="nil"/>
              <w:right w:val="nil"/>
            </w:tcBorders>
            <w:shd w:val="clear" w:color="auto" w:fill="auto"/>
            <w:noWrap/>
            <w:vAlign w:val="bottom"/>
            <w:hideMark/>
          </w:tcPr>
          <w:p w14:paraId="353EBAB9"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0.096</w:t>
            </w:r>
          </w:p>
          <w:p w14:paraId="4822DDA5" w14:textId="301FB2DA" w:rsidR="00E77B63" w:rsidRPr="00245E91" w:rsidRDefault="00E77B63"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(2.62***)</w:t>
            </w:r>
          </w:p>
        </w:tc>
        <w:tc>
          <w:tcPr>
            <w:tcW w:w="552" w:type="pct"/>
            <w:tcBorders>
              <w:top w:val="nil"/>
              <w:left w:val="nil"/>
              <w:bottom w:val="nil"/>
              <w:right w:val="nil"/>
            </w:tcBorders>
            <w:shd w:val="clear" w:color="auto" w:fill="auto"/>
            <w:noWrap/>
            <w:vAlign w:val="bottom"/>
            <w:hideMark/>
          </w:tcPr>
          <w:p w14:paraId="27C3A12F"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0.100</w:t>
            </w:r>
          </w:p>
          <w:p w14:paraId="7C9DEF36" w14:textId="5EE16599"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(3.09***)</w:t>
            </w:r>
          </w:p>
        </w:tc>
        <w:tc>
          <w:tcPr>
            <w:tcW w:w="552" w:type="pct"/>
            <w:tcBorders>
              <w:top w:val="nil"/>
              <w:left w:val="nil"/>
              <w:bottom w:val="nil"/>
              <w:right w:val="nil"/>
            </w:tcBorders>
            <w:shd w:val="clear" w:color="auto" w:fill="auto"/>
            <w:noWrap/>
            <w:vAlign w:val="bottom"/>
            <w:hideMark/>
          </w:tcPr>
          <w:p w14:paraId="2C032E6F"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0.026</w:t>
            </w:r>
          </w:p>
          <w:p w14:paraId="51EED683" w14:textId="09807DB1"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(1.03)</w:t>
            </w:r>
          </w:p>
        </w:tc>
        <w:tc>
          <w:tcPr>
            <w:tcW w:w="561" w:type="pct"/>
            <w:tcBorders>
              <w:top w:val="nil"/>
              <w:left w:val="nil"/>
              <w:bottom w:val="nil"/>
              <w:right w:val="single" w:sz="4" w:space="0" w:color="auto"/>
            </w:tcBorders>
            <w:shd w:val="clear" w:color="auto" w:fill="auto"/>
            <w:noWrap/>
            <w:vAlign w:val="bottom"/>
            <w:hideMark/>
          </w:tcPr>
          <w:p w14:paraId="08E88FF3"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0.025</w:t>
            </w:r>
          </w:p>
          <w:p w14:paraId="52A84F02" w14:textId="1AAF2306"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(1.01)</w:t>
            </w:r>
          </w:p>
        </w:tc>
        <w:tc>
          <w:tcPr>
            <w:tcW w:w="551" w:type="pct"/>
            <w:tcBorders>
              <w:top w:val="nil"/>
              <w:left w:val="single" w:sz="4" w:space="0" w:color="auto"/>
              <w:bottom w:val="nil"/>
              <w:right w:val="nil"/>
            </w:tcBorders>
            <w:shd w:val="clear" w:color="auto" w:fill="auto"/>
            <w:noWrap/>
            <w:vAlign w:val="bottom"/>
            <w:hideMark/>
          </w:tcPr>
          <w:p w14:paraId="7967947C"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0.227</w:t>
            </w:r>
          </w:p>
          <w:p w14:paraId="1DEBDD64" w14:textId="48EC7E01"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(3.780***)</w:t>
            </w:r>
          </w:p>
        </w:tc>
        <w:tc>
          <w:tcPr>
            <w:tcW w:w="549" w:type="pct"/>
            <w:tcBorders>
              <w:top w:val="nil"/>
              <w:left w:val="nil"/>
              <w:bottom w:val="nil"/>
              <w:right w:val="nil"/>
            </w:tcBorders>
            <w:shd w:val="clear" w:color="auto" w:fill="auto"/>
            <w:noWrap/>
            <w:vAlign w:val="bottom"/>
            <w:hideMark/>
          </w:tcPr>
          <w:p w14:paraId="4E9F4BD5"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0.214</w:t>
            </w:r>
          </w:p>
          <w:p w14:paraId="7C98FAC0" w14:textId="19F4313B"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(3.88***)</w:t>
            </w:r>
          </w:p>
        </w:tc>
        <w:tc>
          <w:tcPr>
            <w:tcW w:w="549" w:type="pct"/>
            <w:tcBorders>
              <w:top w:val="nil"/>
              <w:left w:val="nil"/>
              <w:bottom w:val="nil"/>
              <w:right w:val="nil"/>
            </w:tcBorders>
            <w:shd w:val="clear" w:color="auto" w:fill="auto"/>
            <w:noWrap/>
            <w:vAlign w:val="bottom"/>
            <w:hideMark/>
          </w:tcPr>
          <w:p w14:paraId="37B2861C"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-0.045</w:t>
            </w:r>
          </w:p>
          <w:p w14:paraId="13D88526" w14:textId="3C85A91D"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(-1.76*)</w:t>
            </w:r>
          </w:p>
        </w:tc>
        <w:tc>
          <w:tcPr>
            <w:tcW w:w="559" w:type="pct"/>
            <w:tcBorders>
              <w:top w:val="nil"/>
              <w:left w:val="nil"/>
              <w:bottom w:val="nil"/>
              <w:right w:val="nil"/>
            </w:tcBorders>
            <w:shd w:val="clear" w:color="auto" w:fill="auto"/>
            <w:noWrap/>
            <w:vAlign w:val="bottom"/>
            <w:hideMark/>
          </w:tcPr>
          <w:p w14:paraId="484BC700"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-0.043</w:t>
            </w:r>
          </w:p>
          <w:p w14:paraId="7478BDC5" w14:textId="3B89C21C"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(-1.70*)</w:t>
            </w:r>
          </w:p>
        </w:tc>
      </w:tr>
      <w:tr w:rsidR="00C9320F" w:rsidRPr="00245E91" w14:paraId="15741AFD" w14:textId="77777777" w:rsidTr="00D83DD8">
        <w:trPr>
          <w:trHeight w:val="240"/>
        </w:trPr>
        <w:tc>
          <w:tcPr>
            <w:tcW w:w="570" w:type="pct"/>
            <w:tcBorders>
              <w:top w:val="nil"/>
              <w:left w:val="nil"/>
              <w:bottom w:val="nil"/>
              <w:right w:val="nil"/>
            </w:tcBorders>
            <w:shd w:val="clear" w:color="auto" w:fill="auto"/>
            <w:noWrap/>
            <w:vAlign w:val="bottom"/>
            <w:hideMark/>
          </w:tcPr>
          <w:p w14:paraId="66DC7E5B" w14:textId="77777777" w:rsidR="002B12BF" w:rsidRPr="00245E91" w:rsidRDefault="002B12BF" w:rsidP="003B15DA">
            <w:pPr>
              <w:spacing w:after="0" w:line="240" w:lineRule="auto"/>
              <w:ind w:right="-194"/>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LN(A</w:t>
            </w:r>
            <w:r w:rsidR="003B15DA" w:rsidRPr="00245E91">
              <w:rPr>
                <w:rFonts w:ascii="Times New Roman" w:eastAsia="Times New Roman" w:hAnsi="Times New Roman"/>
                <w:i/>
                <w:color w:val="000000"/>
                <w:sz w:val="15"/>
                <w:szCs w:val="15"/>
              </w:rPr>
              <w:t>ssets</w:t>
            </w:r>
            <w:r w:rsidRPr="00245E91">
              <w:rPr>
                <w:rFonts w:ascii="Times New Roman" w:eastAsia="Times New Roman" w:hAnsi="Times New Roman"/>
                <w:i/>
                <w:color w:val="000000"/>
                <w:sz w:val="15"/>
                <w:szCs w:val="15"/>
              </w:rPr>
              <w:t>)</w:t>
            </w:r>
          </w:p>
          <w:p w14:paraId="14D465E8" w14:textId="25BD3665" w:rsidR="00E77B63" w:rsidRPr="00245E91" w:rsidRDefault="00E77B63" w:rsidP="003B15DA">
            <w:pPr>
              <w:spacing w:after="0" w:line="240" w:lineRule="auto"/>
              <w:ind w:right="-194"/>
              <w:contextualSpacing/>
              <w:rPr>
                <w:rFonts w:ascii="Times New Roman" w:eastAsia="Times New Roman" w:hAnsi="Times New Roman"/>
                <w:i/>
                <w:color w:val="000000"/>
                <w:sz w:val="15"/>
                <w:szCs w:val="15"/>
              </w:rPr>
            </w:pPr>
          </w:p>
        </w:tc>
        <w:tc>
          <w:tcPr>
            <w:tcW w:w="554" w:type="pct"/>
            <w:tcBorders>
              <w:top w:val="nil"/>
              <w:left w:val="nil"/>
              <w:bottom w:val="nil"/>
              <w:right w:val="nil"/>
            </w:tcBorders>
            <w:shd w:val="clear" w:color="auto" w:fill="auto"/>
            <w:noWrap/>
            <w:vAlign w:val="bottom"/>
            <w:hideMark/>
          </w:tcPr>
          <w:p w14:paraId="27AC5100"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0.104</w:t>
            </w:r>
          </w:p>
          <w:p w14:paraId="3356381E" w14:textId="5C4417ED"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(2.02**)</w:t>
            </w:r>
          </w:p>
        </w:tc>
        <w:tc>
          <w:tcPr>
            <w:tcW w:w="552" w:type="pct"/>
            <w:tcBorders>
              <w:top w:val="nil"/>
              <w:left w:val="nil"/>
              <w:bottom w:val="nil"/>
              <w:right w:val="nil"/>
            </w:tcBorders>
            <w:shd w:val="clear" w:color="auto" w:fill="auto"/>
            <w:noWrap/>
            <w:vAlign w:val="bottom"/>
            <w:hideMark/>
          </w:tcPr>
          <w:p w14:paraId="18DFEB8F"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0.094</w:t>
            </w:r>
          </w:p>
          <w:p w14:paraId="0DB3B1A4" w14:textId="6BAD4C3A"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(1.71*)</w:t>
            </w:r>
          </w:p>
        </w:tc>
        <w:tc>
          <w:tcPr>
            <w:tcW w:w="552" w:type="pct"/>
            <w:tcBorders>
              <w:top w:val="nil"/>
              <w:left w:val="nil"/>
              <w:bottom w:val="nil"/>
              <w:right w:val="nil"/>
            </w:tcBorders>
            <w:shd w:val="clear" w:color="auto" w:fill="auto"/>
            <w:noWrap/>
            <w:vAlign w:val="bottom"/>
            <w:hideMark/>
          </w:tcPr>
          <w:p w14:paraId="29B047C9"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-0.108</w:t>
            </w:r>
          </w:p>
          <w:p w14:paraId="41B292C8" w14:textId="032DC1F3"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(-2.88***)</w:t>
            </w:r>
          </w:p>
        </w:tc>
        <w:tc>
          <w:tcPr>
            <w:tcW w:w="561" w:type="pct"/>
            <w:tcBorders>
              <w:top w:val="nil"/>
              <w:left w:val="nil"/>
              <w:bottom w:val="nil"/>
              <w:right w:val="single" w:sz="4" w:space="0" w:color="auto"/>
            </w:tcBorders>
            <w:shd w:val="clear" w:color="auto" w:fill="auto"/>
            <w:noWrap/>
            <w:vAlign w:val="bottom"/>
            <w:hideMark/>
          </w:tcPr>
          <w:p w14:paraId="1810050D"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-0.113</w:t>
            </w:r>
          </w:p>
          <w:p w14:paraId="7AB5D0F4" w14:textId="23DA09EE"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(-3.07***)</w:t>
            </w:r>
          </w:p>
        </w:tc>
        <w:tc>
          <w:tcPr>
            <w:tcW w:w="551" w:type="pct"/>
            <w:tcBorders>
              <w:top w:val="nil"/>
              <w:left w:val="single" w:sz="4" w:space="0" w:color="auto"/>
              <w:bottom w:val="nil"/>
              <w:right w:val="nil"/>
            </w:tcBorders>
            <w:shd w:val="clear" w:color="auto" w:fill="auto"/>
            <w:noWrap/>
            <w:vAlign w:val="bottom"/>
            <w:hideMark/>
          </w:tcPr>
          <w:p w14:paraId="65239A88"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0.053</w:t>
            </w:r>
          </w:p>
          <w:p w14:paraId="2C1E19BA" w14:textId="1C696F86"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(0.98)</w:t>
            </w:r>
          </w:p>
        </w:tc>
        <w:tc>
          <w:tcPr>
            <w:tcW w:w="549" w:type="pct"/>
            <w:tcBorders>
              <w:top w:val="nil"/>
              <w:left w:val="nil"/>
              <w:bottom w:val="nil"/>
              <w:right w:val="nil"/>
            </w:tcBorders>
            <w:shd w:val="clear" w:color="auto" w:fill="auto"/>
            <w:noWrap/>
            <w:vAlign w:val="bottom"/>
            <w:hideMark/>
          </w:tcPr>
          <w:p w14:paraId="2ED990BB"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0.002</w:t>
            </w:r>
          </w:p>
          <w:p w14:paraId="19CDBC6E" w14:textId="1DC4B63F"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w:t>
            </w:r>
          </w:p>
        </w:tc>
        <w:tc>
          <w:tcPr>
            <w:tcW w:w="549" w:type="pct"/>
            <w:tcBorders>
              <w:top w:val="nil"/>
              <w:left w:val="nil"/>
              <w:bottom w:val="nil"/>
              <w:right w:val="nil"/>
            </w:tcBorders>
            <w:shd w:val="clear" w:color="auto" w:fill="auto"/>
            <w:noWrap/>
            <w:vAlign w:val="bottom"/>
            <w:hideMark/>
          </w:tcPr>
          <w:p w14:paraId="111D0F57"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-0.056</w:t>
            </w:r>
          </w:p>
          <w:p w14:paraId="04C282DC" w14:textId="2F94D33C"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(-1.78*)</w:t>
            </w:r>
          </w:p>
        </w:tc>
        <w:tc>
          <w:tcPr>
            <w:tcW w:w="559" w:type="pct"/>
            <w:tcBorders>
              <w:top w:val="nil"/>
              <w:left w:val="nil"/>
              <w:bottom w:val="nil"/>
              <w:right w:val="nil"/>
            </w:tcBorders>
            <w:shd w:val="clear" w:color="auto" w:fill="auto"/>
            <w:noWrap/>
            <w:vAlign w:val="bottom"/>
            <w:hideMark/>
          </w:tcPr>
          <w:p w14:paraId="1F70700C"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-0.051</w:t>
            </w:r>
          </w:p>
          <w:p w14:paraId="3522DC8F" w14:textId="41A252B4"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(-1.60)</w:t>
            </w:r>
          </w:p>
        </w:tc>
      </w:tr>
      <w:tr w:rsidR="00C9320F" w:rsidRPr="00245E91" w14:paraId="666EC8E7" w14:textId="77777777" w:rsidTr="00D83DD8">
        <w:trPr>
          <w:trHeight w:val="240"/>
        </w:trPr>
        <w:tc>
          <w:tcPr>
            <w:tcW w:w="570" w:type="pct"/>
            <w:tcBorders>
              <w:top w:val="nil"/>
              <w:left w:val="nil"/>
              <w:bottom w:val="nil"/>
              <w:right w:val="nil"/>
            </w:tcBorders>
            <w:shd w:val="clear" w:color="auto" w:fill="auto"/>
            <w:noWrap/>
            <w:vAlign w:val="bottom"/>
            <w:hideMark/>
          </w:tcPr>
          <w:p w14:paraId="4A6D022A" w14:textId="77777777" w:rsidR="002B12BF" w:rsidRPr="00245E91" w:rsidRDefault="002B12BF" w:rsidP="00194092">
            <w:pPr>
              <w:spacing w:after="0" w:line="240" w:lineRule="auto"/>
              <w:ind w:right="-194"/>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MKTSHARE</w:t>
            </w:r>
          </w:p>
          <w:p w14:paraId="2802167B" w14:textId="509C96FE" w:rsidR="00E77B63" w:rsidRPr="00245E91" w:rsidRDefault="00E77B63" w:rsidP="00194092">
            <w:pPr>
              <w:spacing w:after="0" w:line="240" w:lineRule="auto"/>
              <w:ind w:right="-194"/>
              <w:contextualSpacing/>
              <w:rPr>
                <w:rFonts w:ascii="Times New Roman" w:eastAsia="Times New Roman" w:hAnsi="Times New Roman"/>
                <w:i/>
                <w:color w:val="000000"/>
                <w:sz w:val="15"/>
                <w:szCs w:val="15"/>
              </w:rPr>
            </w:pPr>
          </w:p>
        </w:tc>
        <w:tc>
          <w:tcPr>
            <w:tcW w:w="554" w:type="pct"/>
            <w:tcBorders>
              <w:top w:val="nil"/>
              <w:left w:val="nil"/>
              <w:bottom w:val="nil"/>
              <w:right w:val="nil"/>
            </w:tcBorders>
            <w:shd w:val="clear" w:color="auto" w:fill="auto"/>
            <w:noWrap/>
            <w:vAlign w:val="bottom"/>
            <w:hideMark/>
          </w:tcPr>
          <w:p w14:paraId="6319FD70"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-0.027</w:t>
            </w:r>
          </w:p>
          <w:p w14:paraId="73253224" w14:textId="638BD486"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(-1.26)</w:t>
            </w:r>
          </w:p>
        </w:tc>
        <w:tc>
          <w:tcPr>
            <w:tcW w:w="552" w:type="pct"/>
            <w:tcBorders>
              <w:top w:val="nil"/>
              <w:left w:val="nil"/>
              <w:bottom w:val="nil"/>
              <w:right w:val="nil"/>
            </w:tcBorders>
            <w:shd w:val="clear" w:color="auto" w:fill="auto"/>
            <w:noWrap/>
            <w:vAlign w:val="bottom"/>
            <w:hideMark/>
          </w:tcPr>
          <w:p w14:paraId="5297C8C1"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-0.002</w:t>
            </w:r>
          </w:p>
          <w:p w14:paraId="75017786" w14:textId="52529873"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w:t>
            </w:r>
          </w:p>
        </w:tc>
        <w:tc>
          <w:tcPr>
            <w:tcW w:w="552" w:type="pct"/>
            <w:tcBorders>
              <w:top w:val="nil"/>
              <w:left w:val="nil"/>
              <w:bottom w:val="nil"/>
              <w:right w:val="nil"/>
            </w:tcBorders>
            <w:shd w:val="clear" w:color="auto" w:fill="auto"/>
            <w:noWrap/>
            <w:vAlign w:val="bottom"/>
            <w:hideMark/>
          </w:tcPr>
          <w:p w14:paraId="5C8D5593"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0.007</w:t>
            </w:r>
          </w:p>
          <w:p w14:paraId="545357F9" w14:textId="03E7CC99"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(0.58)</w:t>
            </w:r>
          </w:p>
        </w:tc>
        <w:tc>
          <w:tcPr>
            <w:tcW w:w="561" w:type="pct"/>
            <w:tcBorders>
              <w:top w:val="nil"/>
              <w:left w:val="nil"/>
              <w:bottom w:val="nil"/>
              <w:right w:val="single" w:sz="4" w:space="0" w:color="auto"/>
            </w:tcBorders>
            <w:shd w:val="clear" w:color="auto" w:fill="auto"/>
            <w:noWrap/>
            <w:vAlign w:val="bottom"/>
            <w:hideMark/>
          </w:tcPr>
          <w:p w14:paraId="60BE8918"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0.008</w:t>
            </w:r>
          </w:p>
          <w:p w14:paraId="1C62D4E2" w14:textId="006F896C"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(0.64)</w:t>
            </w:r>
          </w:p>
        </w:tc>
        <w:tc>
          <w:tcPr>
            <w:tcW w:w="551" w:type="pct"/>
            <w:tcBorders>
              <w:top w:val="nil"/>
              <w:left w:val="single" w:sz="4" w:space="0" w:color="auto"/>
              <w:bottom w:val="nil"/>
              <w:right w:val="nil"/>
            </w:tcBorders>
            <w:shd w:val="clear" w:color="auto" w:fill="auto"/>
            <w:noWrap/>
            <w:vAlign w:val="bottom"/>
            <w:hideMark/>
          </w:tcPr>
          <w:p w14:paraId="638B5BDE"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0.104</w:t>
            </w:r>
          </w:p>
          <w:p w14:paraId="168DAB62" w14:textId="0AF33050"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(3.0***)</w:t>
            </w:r>
          </w:p>
        </w:tc>
        <w:tc>
          <w:tcPr>
            <w:tcW w:w="549" w:type="pct"/>
            <w:tcBorders>
              <w:top w:val="nil"/>
              <w:left w:val="nil"/>
              <w:bottom w:val="nil"/>
              <w:right w:val="nil"/>
            </w:tcBorders>
            <w:shd w:val="clear" w:color="auto" w:fill="auto"/>
            <w:noWrap/>
            <w:vAlign w:val="bottom"/>
            <w:hideMark/>
          </w:tcPr>
          <w:p w14:paraId="60979C1E"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0.115</w:t>
            </w:r>
          </w:p>
          <w:p w14:paraId="53F49ACE" w14:textId="77F183D2"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(3.68***)</w:t>
            </w:r>
          </w:p>
        </w:tc>
        <w:tc>
          <w:tcPr>
            <w:tcW w:w="549" w:type="pct"/>
            <w:tcBorders>
              <w:top w:val="nil"/>
              <w:left w:val="nil"/>
              <w:bottom w:val="nil"/>
              <w:right w:val="nil"/>
            </w:tcBorders>
            <w:shd w:val="clear" w:color="auto" w:fill="auto"/>
            <w:noWrap/>
            <w:vAlign w:val="bottom"/>
            <w:hideMark/>
          </w:tcPr>
          <w:p w14:paraId="1FB138DB"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0.025</w:t>
            </w:r>
          </w:p>
          <w:p w14:paraId="69E3A042" w14:textId="497C5885"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(0.70)</w:t>
            </w:r>
          </w:p>
        </w:tc>
        <w:tc>
          <w:tcPr>
            <w:tcW w:w="559" w:type="pct"/>
            <w:tcBorders>
              <w:top w:val="nil"/>
              <w:left w:val="nil"/>
              <w:bottom w:val="nil"/>
              <w:right w:val="nil"/>
            </w:tcBorders>
            <w:shd w:val="clear" w:color="auto" w:fill="auto"/>
            <w:noWrap/>
            <w:vAlign w:val="bottom"/>
            <w:hideMark/>
          </w:tcPr>
          <w:p w14:paraId="7722DD57"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0.027</w:t>
            </w:r>
          </w:p>
          <w:p w14:paraId="5C87F27F" w14:textId="0BF328B3"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(0.73)</w:t>
            </w:r>
          </w:p>
        </w:tc>
      </w:tr>
      <w:tr w:rsidR="00C9320F" w:rsidRPr="00245E91" w14:paraId="65FF7B09" w14:textId="77777777" w:rsidTr="00D83DD8">
        <w:trPr>
          <w:trHeight w:val="240"/>
        </w:trPr>
        <w:tc>
          <w:tcPr>
            <w:tcW w:w="570" w:type="pct"/>
            <w:tcBorders>
              <w:top w:val="nil"/>
              <w:left w:val="nil"/>
              <w:bottom w:val="nil"/>
              <w:right w:val="nil"/>
            </w:tcBorders>
            <w:shd w:val="clear" w:color="auto" w:fill="auto"/>
            <w:noWrap/>
            <w:vAlign w:val="bottom"/>
            <w:hideMark/>
          </w:tcPr>
          <w:p w14:paraId="4BDB315C" w14:textId="77777777" w:rsidR="002B12BF" w:rsidRPr="00245E91" w:rsidRDefault="002B12BF" w:rsidP="00194092">
            <w:pPr>
              <w:spacing w:after="0" w:line="240" w:lineRule="auto"/>
              <w:ind w:right="-194"/>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DEBT</w:t>
            </w:r>
          </w:p>
          <w:p w14:paraId="63900D70" w14:textId="582984DF" w:rsidR="00E77B63" w:rsidRPr="00245E91" w:rsidRDefault="00E77B63" w:rsidP="00194092">
            <w:pPr>
              <w:spacing w:after="0" w:line="240" w:lineRule="auto"/>
              <w:ind w:right="-194"/>
              <w:contextualSpacing/>
              <w:rPr>
                <w:rFonts w:ascii="Times New Roman" w:eastAsia="Times New Roman" w:hAnsi="Times New Roman"/>
                <w:i/>
                <w:color w:val="000000"/>
                <w:sz w:val="15"/>
                <w:szCs w:val="15"/>
              </w:rPr>
            </w:pPr>
          </w:p>
        </w:tc>
        <w:tc>
          <w:tcPr>
            <w:tcW w:w="554" w:type="pct"/>
            <w:tcBorders>
              <w:top w:val="nil"/>
              <w:left w:val="nil"/>
              <w:bottom w:val="nil"/>
              <w:right w:val="nil"/>
            </w:tcBorders>
            <w:shd w:val="clear" w:color="auto" w:fill="auto"/>
            <w:noWrap/>
            <w:vAlign w:val="bottom"/>
            <w:hideMark/>
          </w:tcPr>
          <w:p w14:paraId="4C1CE5A9"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0.039</w:t>
            </w:r>
          </w:p>
          <w:p w14:paraId="28606B57" w14:textId="5A73501A"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(0.91)</w:t>
            </w:r>
          </w:p>
        </w:tc>
        <w:tc>
          <w:tcPr>
            <w:tcW w:w="552" w:type="pct"/>
            <w:tcBorders>
              <w:top w:val="nil"/>
              <w:left w:val="nil"/>
              <w:bottom w:val="nil"/>
              <w:right w:val="nil"/>
            </w:tcBorders>
            <w:shd w:val="clear" w:color="auto" w:fill="auto"/>
            <w:noWrap/>
            <w:vAlign w:val="bottom"/>
            <w:hideMark/>
          </w:tcPr>
          <w:p w14:paraId="3D58A001"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0.046</w:t>
            </w:r>
          </w:p>
          <w:p w14:paraId="1602A06E" w14:textId="6C3C399D"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(1.19)</w:t>
            </w:r>
          </w:p>
        </w:tc>
        <w:tc>
          <w:tcPr>
            <w:tcW w:w="552" w:type="pct"/>
            <w:tcBorders>
              <w:top w:val="nil"/>
              <w:left w:val="nil"/>
              <w:bottom w:val="nil"/>
              <w:right w:val="nil"/>
            </w:tcBorders>
            <w:shd w:val="clear" w:color="auto" w:fill="auto"/>
            <w:noWrap/>
            <w:vAlign w:val="bottom"/>
            <w:hideMark/>
          </w:tcPr>
          <w:p w14:paraId="5D1E246D"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0.061</w:t>
            </w:r>
          </w:p>
          <w:p w14:paraId="7DD15BCC" w14:textId="38FDED2F"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(2.45**)</w:t>
            </w:r>
          </w:p>
        </w:tc>
        <w:tc>
          <w:tcPr>
            <w:tcW w:w="561" w:type="pct"/>
            <w:tcBorders>
              <w:top w:val="nil"/>
              <w:left w:val="nil"/>
              <w:bottom w:val="nil"/>
              <w:right w:val="single" w:sz="4" w:space="0" w:color="auto"/>
            </w:tcBorders>
            <w:shd w:val="clear" w:color="auto" w:fill="auto"/>
            <w:noWrap/>
            <w:vAlign w:val="bottom"/>
            <w:hideMark/>
          </w:tcPr>
          <w:p w14:paraId="0998F831"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0.062</w:t>
            </w:r>
          </w:p>
          <w:p w14:paraId="63BB9805" w14:textId="5DA21A73"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(2.51**)</w:t>
            </w:r>
          </w:p>
        </w:tc>
        <w:tc>
          <w:tcPr>
            <w:tcW w:w="551" w:type="pct"/>
            <w:tcBorders>
              <w:top w:val="nil"/>
              <w:left w:val="single" w:sz="4" w:space="0" w:color="auto"/>
              <w:bottom w:val="nil"/>
              <w:right w:val="nil"/>
            </w:tcBorders>
            <w:shd w:val="clear" w:color="auto" w:fill="auto"/>
            <w:noWrap/>
            <w:vAlign w:val="bottom"/>
            <w:hideMark/>
          </w:tcPr>
          <w:p w14:paraId="4E414183"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0.064</w:t>
            </w:r>
          </w:p>
          <w:p w14:paraId="2EC3DBD9" w14:textId="2EE2A2D1"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(1.53)</w:t>
            </w:r>
          </w:p>
        </w:tc>
        <w:tc>
          <w:tcPr>
            <w:tcW w:w="549" w:type="pct"/>
            <w:tcBorders>
              <w:top w:val="nil"/>
              <w:left w:val="nil"/>
              <w:bottom w:val="nil"/>
              <w:right w:val="nil"/>
            </w:tcBorders>
            <w:shd w:val="clear" w:color="auto" w:fill="auto"/>
            <w:noWrap/>
            <w:vAlign w:val="bottom"/>
            <w:hideMark/>
          </w:tcPr>
          <w:p w14:paraId="62E4E6D0"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0.071</w:t>
            </w:r>
          </w:p>
          <w:p w14:paraId="2AD5DA1E" w14:textId="4F783E6B"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(1.88*)</w:t>
            </w:r>
          </w:p>
        </w:tc>
        <w:tc>
          <w:tcPr>
            <w:tcW w:w="549" w:type="pct"/>
            <w:tcBorders>
              <w:top w:val="nil"/>
              <w:left w:val="nil"/>
              <w:bottom w:val="nil"/>
              <w:right w:val="nil"/>
            </w:tcBorders>
            <w:shd w:val="clear" w:color="auto" w:fill="auto"/>
            <w:noWrap/>
            <w:vAlign w:val="bottom"/>
            <w:hideMark/>
          </w:tcPr>
          <w:p w14:paraId="7AAF4FD6"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-0.019</w:t>
            </w:r>
          </w:p>
          <w:p w14:paraId="691D72E8" w14:textId="07E42099"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(-0.72)</w:t>
            </w:r>
          </w:p>
        </w:tc>
        <w:tc>
          <w:tcPr>
            <w:tcW w:w="559" w:type="pct"/>
            <w:tcBorders>
              <w:top w:val="nil"/>
              <w:left w:val="nil"/>
              <w:bottom w:val="nil"/>
              <w:right w:val="nil"/>
            </w:tcBorders>
            <w:shd w:val="clear" w:color="auto" w:fill="auto"/>
            <w:noWrap/>
            <w:vAlign w:val="bottom"/>
            <w:hideMark/>
          </w:tcPr>
          <w:p w14:paraId="0BD30674"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-0.019</w:t>
            </w:r>
          </w:p>
          <w:p w14:paraId="29CE2F76" w14:textId="63C99C57"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(-0.70)</w:t>
            </w:r>
          </w:p>
        </w:tc>
      </w:tr>
      <w:tr w:rsidR="00C9320F" w:rsidRPr="00245E91" w14:paraId="221E02C8" w14:textId="77777777" w:rsidTr="00D83DD8">
        <w:trPr>
          <w:trHeight w:val="240"/>
        </w:trPr>
        <w:tc>
          <w:tcPr>
            <w:tcW w:w="570" w:type="pct"/>
            <w:tcBorders>
              <w:top w:val="nil"/>
              <w:left w:val="nil"/>
              <w:bottom w:val="nil"/>
              <w:right w:val="nil"/>
            </w:tcBorders>
            <w:shd w:val="clear" w:color="auto" w:fill="auto"/>
            <w:noWrap/>
            <w:vAlign w:val="bottom"/>
            <w:hideMark/>
          </w:tcPr>
          <w:p w14:paraId="48BA09B3" w14:textId="77777777" w:rsidR="002B12BF" w:rsidRPr="00245E91" w:rsidRDefault="002B12BF" w:rsidP="00194092">
            <w:pPr>
              <w:spacing w:after="0" w:line="240" w:lineRule="auto"/>
              <w:ind w:right="-194"/>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NOA</w:t>
            </w:r>
          </w:p>
          <w:p w14:paraId="7B5ECC8C" w14:textId="2CF8329A" w:rsidR="00E77B63" w:rsidRPr="00245E91" w:rsidRDefault="00E77B63" w:rsidP="00194092">
            <w:pPr>
              <w:spacing w:after="0" w:line="240" w:lineRule="auto"/>
              <w:ind w:right="-194"/>
              <w:contextualSpacing/>
              <w:rPr>
                <w:rFonts w:ascii="Times New Roman" w:eastAsia="Times New Roman" w:hAnsi="Times New Roman"/>
                <w:i/>
                <w:color w:val="000000"/>
                <w:sz w:val="15"/>
                <w:szCs w:val="15"/>
              </w:rPr>
            </w:pPr>
          </w:p>
        </w:tc>
        <w:tc>
          <w:tcPr>
            <w:tcW w:w="554" w:type="pct"/>
            <w:tcBorders>
              <w:top w:val="nil"/>
              <w:left w:val="nil"/>
              <w:bottom w:val="nil"/>
              <w:right w:val="nil"/>
            </w:tcBorders>
            <w:shd w:val="clear" w:color="auto" w:fill="auto"/>
            <w:noWrap/>
            <w:vAlign w:val="bottom"/>
            <w:hideMark/>
          </w:tcPr>
          <w:p w14:paraId="3AF5F729"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0.035</w:t>
            </w:r>
          </w:p>
          <w:p w14:paraId="7EDA176F" w14:textId="44CECE0A"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(0.75)</w:t>
            </w:r>
          </w:p>
        </w:tc>
        <w:tc>
          <w:tcPr>
            <w:tcW w:w="552" w:type="pct"/>
            <w:tcBorders>
              <w:top w:val="nil"/>
              <w:left w:val="nil"/>
              <w:bottom w:val="nil"/>
              <w:right w:val="nil"/>
            </w:tcBorders>
            <w:shd w:val="clear" w:color="auto" w:fill="auto"/>
            <w:noWrap/>
            <w:vAlign w:val="bottom"/>
            <w:hideMark/>
          </w:tcPr>
          <w:p w14:paraId="614C9AD1"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-0.015</w:t>
            </w:r>
          </w:p>
          <w:p w14:paraId="0FC1F1D7" w14:textId="3DAE35D6"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(-0.35)</w:t>
            </w:r>
          </w:p>
        </w:tc>
        <w:tc>
          <w:tcPr>
            <w:tcW w:w="552" w:type="pct"/>
            <w:tcBorders>
              <w:top w:val="nil"/>
              <w:left w:val="nil"/>
              <w:bottom w:val="nil"/>
              <w:right w:val="nil"/>
            </w:tcBorders>
            <w:shd w:val="clear" w:color="auto" w:fill="auto"/>
            <w:noWrap/>
            <w:vAlign w:val="bottom"/>
            <w:hideMark/>
          </w:tcPr>
          <w:p w14:paraId="78A915BE"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-0.059</w:t>
            </w:r>
          </w:p>
          <w:p w14:paraId="1E6789F8" w14:textId="4B271A0C"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(-2.25**)</w:t>
            </w:r>
          </w:p>
        </w:tc>
        <w:tc>
          <w:tcPr>
            <w:tcW w:w="561" w:type="pct"/>
            <w:tcBorders>
              <w:top w:val="nil"/>
              <w:left w:val="nil"/>
              <w:bottom w:val="nil"/>
              <w:right w:val="single" w:sz="4" w:space="0" w:color="auto"/>
            </w:tcBorders>
            <w:shd w:val="clear" w:color="auto" w:fill="auto"/>
            <w:noWrap/>
            <w:vAlign w:val="bottom"/>
            <w:hideMark/>
          </w:tcPr>
          <w:p w14:paraId="315F83B2"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-0.060</w:t>
            </w:r>
          </w:p>
          <w:p w14:paraId="05249FCD" w14:textId="3598B083"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(-2.37**)</w:t>
            </w:r>
          </w:p>
        </w:tc>
        <w:tc>
          <w:tcPr>
            <w:tcW w:w="551" w:type="pct"/>
            <w:tcBorders>
              <w:top w:val="nil"/>
              <w:left w:val="single" w:sz="4" w:space="0" w:color="auto"/>
              <w:bottom w:val="nil"/>
              <w:right w:val="nil"/>
            </w:tcBorders>
            <w:shd w:val="clear" w:color="auto" w:fill="auto"/>
            <w:noWrap/>
            <w:vAlign w:val="bottom"/>
            <w:hideMark/>
          </w:tcPr>
          <w:p w14:paraId="612EA80F"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0.014</w:t>
            </w:r>
          </w:p>
          <w:p w14:paraId="6913317E" w14:textId="0F5039CD"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(0.43)</w:t>
            </w:r>
          </w:p>
        </w:tc>
        <w:tc>
          <w:tcPr>
            <w:tcW w:w="549" w:type="pct"/>
            <w:tcBorders>
              <w:top w:val="nil"/>
              <w:left w:val="nil"/>
              <w:bottom w:val="nil"/>
              <w:right w:val="nil"/>
            </w:tcBorders>
            <w:shd w:val="clear" w:color="auto" w:fill="auto"/>
            <w:noWrap/>
            <w:vAlign w:val="bottom"/>
            <w:hideMark/>
          </w:tcPr>
          <w:p w14:paraId="62FEA9DC"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-0.029</w:t>
            </w:r>
          </w:p>
          <w:p w14:paraId="205EAD8E" w14:textId="1CB98CE0"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(-0.92)</w:t>
            </w:r>
          </w:p>
        </w:tc>
        <w:tc>
          <w:tcPr>
            <w:tcW w:w="549" w:type="pct"/>
            <w:tcBorders>
              <w:top w:val="nil"/>
              <w:left w:val="nil"/>
              <w:bottom w:val="nil"/>
              <w:right w:val="nil"/>
            </w:tcBorders>
            <w:shd w:val="clear" w:color="auto" w:fill="auto"/>
            <w:noWrap/>
            <w:vAlign w:val="bottom"/>
            <w:hideMark/>
          </w:tcPr>
          <w:p w14:paraId="1797BEEE"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-0.015</w:t>
            </w:r>
          </w:p>
          <w:p w14:paraId="6B34E0F2" w14:textId="7B4C901E"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(-0.68)</w:t>
            </w:r>
          </w:p>
        </w:tc>
        <w:tc>
          <w:tcPr>
            <w:tcW w:w="559" w:type="pct"/>
            <w:tcBorders>
              <w:top w:val="nil"/>
              <w:left w:val="nil"/>
              <w:bottom w:val="nil"/>
              <w:right w:val="nil"/>
            </w:tcBorders>
            <w:shd w:val="clear" w:color="auto" w:fill="auto"/>
            <w:noWrap/>
            <w:vAlign w:val="bottom"/>
            <w:hideMark/>
          </w:tcPr>
          <w:p w14:paraId="679C7FF7"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-0.014</w:t>
            </w:r>
          </w:p>
          <w:p w14:paraId="66A6A53D" w14:textId="795910FA"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(-0.62)</w:t>
            </w:r>
          </w:p>
        </w:tc>
      </w:tr>
      <w:tr w:rsidR="00C9320F" w:rsidRPr="00245E91" w14:paraId="79B4BD03" w14:textId="77777777" w:rsidTr="00D83DD8">
        <w:trPr>
          <w:trHeight w:val="240"/>
        </w:trPr>
        <w:tc>
          <w:tcPr>
            <w:tcW w:w="570" w:type="pct"/>
            <w:tcBorders>
              <w:top w:val="nil"/>
              <w:left w:val="nil"/>
              <w:bottom w:val="nil"/>
              <w:right w:val="nil"/>
            </w:tcBorders>
            <w:shd w:val="clear" w:color="auto" w:fill="auto"/>
            <w:noWrap/>
            <w:vAlign w:val="bottom"/>
            <w:hideMark/>
          </w:tcPr>
          <w:p w14:paraId="6998A5C9" w14:textId="77777777" w:rsidR="002B12BF" w:rsidRPr="00245E91" w:rsidRDefault="002B12BF" w:rsidP="00194092">
            <w:pPr>
              <w:spacing w:after="0" w:line="240" w:lineRule="auto"/>
              <w:ind w:right="-194"/>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OPERCYCLE</w:t>
            </w:r>
          </w:p>
          <w:p w14:paraId="63041EEC" w14:textId="1F5DB941" w:rsidR="00E77B63" w:rsidRPr="00245E91" w:rsidRDefault="00E77B63" w:rsidP="00194092">
            <w:pPr>
              <w:spacing w:after="0" w:line="240" w:lineRule="auto"/>
              <w:ind w:right="-194"/>
              <w:contextualSpacing/>
              <w:rPr>
                <w:rFonts w:ascii="Times New Roman" w:eastAsia="Times New Roman" w:hAnsi="Times New Roman"/>
                <w:i/>
                <w:color w:val="000000"/>
                <w:sz w:val="15"/>
                <w:szCs w:val="15"/>
              </w:rPr>
            </w:pPr>
          </w:p>
        </w:tc>
        <w:tc>
          <w:tcPr>
            <w:tcW w:w="554" w:type="pct"/>
            <w:tcBorders>
              <w:top w:val="nil"/>
              <w:left w:val="nil"/>
              <w:bottom w:val="nil"/>
              <w:right w:val="nil"/>
            </w:tcBorders>
            <w:shd w:val="clear" w:color="auto" w:fill="auto"/>
            <w:noWrap/>
            <w:vAlign w:val="bottom"/>
            <w:hideMark/>
          </w:tcPr>
          <w:p w14:paraId="40278B7A"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0.071</w:t>
            </w:r>
          </w:p>
          <w:p w14:paraId="3023290A" w14:textId="337E33AD"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(1.92*)</w:t>
            </w:r>
          </w:p>
        </w:tc>
        <w:tc>
          <w:tcPr>
            <w:tcW w:w="552" w:type="pct"/>
            <w:tcBorders>
              <w:top w:val="nil"/>
              <w:left w:val="nil"/>
              <w:bottom w:val="nil"/>
              <w:right w:val="nil"/>
            </w:tcBorders>
            <w:shd w:val="clear" w:color="auto" w:fill="auto"/>
            <w:noWrap/>
            <w:vAlign w:val="bottom"/>
            <w:hideMark/>
          </w:tcPr>
          <w:p w14:paraId="1C493A48"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0.085</w:t>
            </w:r>
          </w:p>
          <w:p w14:paraId="4FEA2E49" w14:textId="0598B760"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(2.51**)</w:t>
            </w:r>
          </w:p>
        </w:tc>
        <w:tc>
          <w:tcPr>
            <w:tcW w:w="552" w:type="pct"/>
            <w:tcBorders>
              <w:top w:val="nil"/>
              <w:left w:val="nil"/>
              <w:bottom w:val="nil"/>
              <w:right w:val="nil"/>
            </w:tcBorders>
            <w:shd w:val="clear" w:color="auto" w:fill="auto"/>
            <w:noWrap/>
            <w:vAlign w:val="bottom"/>
            <w:hideMark/>
          </w:tcPr>
          <w:p w14:paraId="2FF906BE"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0.010</w:t>
            </w:r>
          </w:p>
          <w:p w14:paraId="65FE9590" w14:textId="6E3D50D1"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(0.44)</w:t>
            </w:r>
          </w:p>
        </w:tc>
        <w:tc>
          <w:tcPr>
            <w:tcW w:w="561" w:type="pct"/>
            <w:tcBorders>
              <w:top w:val="nil"/>
              <w:left w:val="nil"/>
              <w:bottom w:val="nil"/>
              <w:right w:val="single" w:sz="4" w:space="0" w:color="auto"/>
            </w:tcBorders>
            <w:shd w:val="clear" w:color="auto" w:fill="auto"/>
            <w:noWrap/>
            <w:vAlign w:val="bottom"/>
            <w:hideMark/>
          </w:tcPr>
          <w:p w14:paraId="06277A36"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0.012</w:t>
            </w:r>
          </w:p>
          <w:p w14:paraId="72BC967E" w14:textId="27E18CA9"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(0.58)</w:t>
            </w:r>
          </w:p>
        </w:tc>
        <w:tc>
          <w:tcPr>
            <w:tcW w:w="551" w:type="pct"/>
            <w:tcBorders>
              <w:top w:val="nil"/>
              <w:left w:val="single" w:sz="4" w:space="0" w:color="auto"/>
              <w:bottom w:val="nil"/>
              <w:right w:val="nil"/>
            </w:tcBorders>
            <w:shd w:val="clear" w:color="auto" w:fill="auto"/>
            <w:noWrap/>
            <w:vAlign w:val="bottom"/>
            <w:hideMark/>
          </w:tcPr>
          <w:p w14:paraId="6BC1469E"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0.040</w:t>
            </w:r>
          </w:p>
          <w:p w14:paraId="47E6502A" w14:textId="6843E576"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(1.136)</w:t>
            </w:r>
          </w:p>
        </w:tc>
        <w:tc>
          <w:tcPr>
            <w:tcW w:w="549" w:type="pct"/>
            <w:tcBorders>
              <w:top w:val="nil"/>
              <w:left w:val="nil"/>
              <w:bottom w:val="nil"/>
              <w:right w:val="nil"/>
            </w:tcBorders>
            <w:shd w:val="clear" w:color="auto" w:fill="auto"/>
            <w:noWrap/>
            <w:vAlign w:val="bottom"/>
            <w:hideMark/>
          </w:tcPr>
          <w:p w14:paraId="49A46E19"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0.079</w:t>
            </w:r>
          </w:p>
          <w:p w14:paraId="699E46C7" w14:textId="12180F3B"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(2.61***)</w:t>
            </w:r>
          </w:p>
        </w:tc>
        <w:tc>
          <w:tcPr>
            <w:tcW w:w="549" w:type="pct"/>
            <w:tcBorders>
              <w:top w:val="nil"/>
              <w:left w:val="nil"/>
              <w:bottom w:val="nil"/>
              <w:right w:val="nil"/>
            </w:tcBorders>
            <w:shd w:val="clear" w:color="auto" w:fill="auto"/>
            <w:noWrap/>
            <w:vAlign w:val="bottom"/>
            <w:hideMark/>
          </w:tcPr>
          <w:p w14:paraId="4F4B3D2F"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0.023</w:t>
            </w:r>
          </w:p>
          <w:p w14:paraId="780E333B" w14:textId="59828D1B"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(0.85)</w:t>
            </w:r>
          </w:p>
        </w:tc>
        <w:tc>
          <w:tcPr>
            <w:tcW w:w="559" w:type="pct"/>
            <w:tcBorders>
              <w:top w:val="nil"/>
              <w:left w:val="nil"/>
              <w:bottom w:val="nil"/>
              <w:right w:val="nil"/>
            </w:tcBorders>
            <w:shd w:val="clear" w:color="auto" w:fill="auto"/>
            <w:noWrap/>
            <w:vAlign w:val="bottom"/>
            <w:hideMark/>
          </w:tcPr>
          <w:p w14:paraId="79D88F93"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0.021</w:t>
            </w:r>
          </w:p>
          <w:p w14:paraId="53D050B3" w14:textId="7B1D6BC7"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(0.75)</w:t>
            </w:r>
          </w:p>
        </w:tc>
      </w:tr>
      <w:tr w:rsidR="00C9320F" w:rsidRPr="00245E91" w14:paraId="1D51A4EE" w14:textId="77777777" w:rsidTr="00D83DD8">
        <w:trPr>
          <w:trHeight w:val="240"/>
        </w:trPr>
        <w:tc>
          <w:tcPr>
            <w:tcW w:w="570" w:type="pct"/>
            <w:tcBorders>
              <w:top w:val="nil"/>
              <w:left w:val="nil"/>
              <w:bottom w:val="nil"/>
              <w:right w:val="nil"/>
            </w:tcBorders>
            <w:shd w:val="clear" w:color="auto" w:fill="auto"/>
            <w:noWrap/>
            <w:vAlign w:val="bottom"/>
            <w:hideMark/>
          </w:tcPr>
          <w:p w14:paraId="3709D44E" w14:textId="77777777" w:rsidR="002B12BF" w:rsidRPr="00245E91" w:rsidRDefault="002B12BF" w:rsidP="00194092">
            <w:pPr>
              <w:spacing w:after="0" w:line="240" w:lineRule="auto"/>
              <w:ind w:right="-194"/>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ROA</w:t>
            </w:r>
          </w:p>
          <w:p w14:paraId="4B0735FE" w14:textId="214D8C3D" w:rsidR="00E77B63" w:rsidRPr="00245E91" w:rsidRDefault="00E77B63" w:rsidP="00194092">
            <w:pPr>
              <w:spacing w:after="0" w:line="240" w:lineRule="auto"/>
              <w:ind w:right="-194"/>
              <w:contextualSpacing/>
              <w:rPr>
                <w:rFonts w:ascii="Times New Roman" w:eastAsia="Times New Roman" w:hAnsi="Times New Roman"/>
                <w:i/>
                <w:color w:val="000000"/>
                <w:sz w:val="15"/>
                <w:szCs w:val="15"/>
              </w:rPr>
            </w:pPr>
          </w:p>
        </w:tc>
        <w:tc>
          <w:tcPr>
            <w:tcW w:w="554" w:type="pct"/>
            <w:tcBorders>
              <w:top w:val="nil"/>
              <w:left w:val="nil"/>
              <w:bottom w:val="nil"/>
              <w:right w:val="nil"/>
            </w:tcBorders>
            <w:shd w:val="clear" w:color="auto" w:fill="auto"/>
            <w:noWrap/>
            <w:vAlign w:val="bottom"/>
            <w:hideMark/>
          </w:tcPr>
          <w:p w14:paraId="5FD64F42"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-0.161</w:t>
            </w:r>
          </w:p>
          <w:p w14:paraId="6EAF2C29" w14:textId="6BDE451D"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(-3.72***)</w:t>
            </w:r>
          </w:p>
        </w:tc>
        <w:tc>
          <w:tcPr>
            <w:tcW w:w="552" w:type="pct"/>
            <w:tcBorders>
              <w:top w:val="nil"/>
              <w:left w:val="nil"/>
              <w:bottom w:val="nil"/>
              <w:right w:val="nil"/>
            </w:tcBorders>
            <w:shd w:val="clear" w:color="auto" w:fill="auto"/>
            <w:noWrap/>
            <w:vAlign w:val="bottom"/>
            <w:hideMark/>
          </w:tcPr>
          <w:p w14:paraId="64327FC4"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-0.350</w:t>
            </w:r>
          </w:p>
          <w:p w14:paraId="513E0765" w14:textId="20B8443B"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(-9.93***)</w:t>
            </w:r>
          </w:p>
        </w:tc>
        <w:tc>
          <w:tcPr>
            <w:tcW w:w="552" w:type="pct"/>
            <w:tcBorders>
              <w:top w:val="nil"/>
              <w:left w:val="nil"/>
              <w:bottom w:val="nil"/>
              <w:right w:val="nil"/>
            </w:tcBorders>
            <w:shd w:val="clear" w:color="auto" w:fill="auto"/>
            <w:noWrap/>
            <w:vAlign w:val="bottom"/>
            <w:hideMark/>
          </w:tcPr>
          <w:p w14:paraId="5DD398E5"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0.415</w:t>
            </w:r>
          </w:p>
          <w:p w14:paraId="53AE9A1D" w14:textId="140822EE"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(10.68***)</w:t>
            </w:r>
          </w:p>
        </w:tc>
        <w:tc>
          <w:tcPr>
            <w:tcW w:w="561" w:type="pct"/>
            <w:tcBorders>
              <w:top w:val="nil"/>
              <w:left w:val="nil"/>
              <w:bottom w:val="nil"/>
              <w:right w:val="single" w:sz="4" w:space="0" w:color="auto"/>
            </w:tcBorders>
            <w:shd w:val="clear" w:color="auto" w:fill="auto"/>
            <w:noWrap/>
            <w:vAlign w:val="bottom"/>
            <w:hideMark/>
          </w:tcPr>
          <w:p w14:paraId="5A5454B8"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0.428</w:t>
            </w:r>
          </w:p>
          <w:p w14:paraId="6C5B1E01" w14:textId="559EE1DC"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(10.89***)</w:t>
            </w:r>
          </w:p>
        </w:tc>
        <w:tc>
          <w:tcPr>
            <w:tcW w:w="551" w:type="pct"/>
            <w:tcBorders>
              <w:top w:val="nil"/>
              <w:left w:val="single" w:sz="4" w:space="0" w:color="auto"/>
              <w:bottom w:val="nil"/>
              <w:right w:val="nil"/>
            </w:tcBorders>
            <w:shd w:val="clear" w:color="auto" w:fill="auto"/>
            <w:noWrap/>
            <w:vAlign w:val="bottom"/>
            <w:hideMark/>
          </w:tcPr>
          <w:p w14:paraId="3C5EBFE3"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-0.146</w:t>
            </w:r>
          </w:p>
          <w:p w14:paraId="7E9AF389" w14:textId="0C8E3ADD"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(-3.50***)</w:t>
            </w:r>
          </w:p>
        </w:tc>
        <w:tc>
          <w:tcPr>
            <w:tcW w:w="549" w:type="pct"/>
            <w:tcBorders>
              <w:top w:val="nil"/>
              <w:left w:val="nil"/>
              <w:bottom w:val="nil"/>
              <w:right w:val="nil"/>
            </w:tcBorders>
            <w:shd w:val="clear" w:color="auto" w:fill="auto"/>
            <w:noWrap/>
            <w:vAlign w:val="bottom"/>
            <w:hideMark/>
          </w:tcPr>
          <w:p w14:paraId="145BF15B"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-0.221</w:t>
            </w:r>
          </w:p>
          <w:p w14:paraId="197DD39F" w14:textId="25A35236"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(-5.81***)</w:t>
            </w:r>
          </w:p>
        </w:tc>
        <w:tc>
          <w:tcPr>
            <w:tcW w:w="549" w:type="pct"/>
            <w:tcBorders>
              <w:top w:val="nil"/>
              <w:left w:val="nil"/>
              <w:bottom w:val="nil"/>
              <w:right w:val="nil"/>
            </w:tcBorders>
            <w:shd w:val="clear" w:color="auto" w:fill="auto"/>
            <w:noWrap/>
            <w:vAlign w:val="bottom"/>
            <w:hideMark/>
          </w:tcPr>
          <w:p w14:paraId="58A2A791"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0.473</w:t>
            </w:r>
          </w:p>
          <w:p w14:paraId="0B2C3030" w14:textId="1A6ED315"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(12.90***)</w:t>
            </w:r>
          </w:p>
        </w:tc>
        <w:tc>
          <w:tcPr>
            <w:tcW w:w="559" w:type="pct"/>
            <w:tcBorders>
              <w:top w:val="nil"/>
              <w:left w:val="nil"/>
              <w:bottom w:val="nil"/>
              <w:right w:val="nil"/>
            </w:tcBorders>
            <w:shd w:val="clear" w:color="auto" w:fill="auto"/>
            <w:noWrap/>
            <w:vAlign w:val="bottom"/>
            <w:hideMark/>
          </w:tcPr>
          <w:p w14:paraId="0CA48A97"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0.465</w:t>
            </w:r>
          </w:p>
          <w:p w14:paraId="39416878" w14:textId="2EBFE8E1"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(12.90***)</w:t>
            </w:r>
          </w:p>
        </w:tc>
      </w:tr>
      <w:tr w:rsidR="00C9320F" w:rsidRPr="00245E91" w14:paraId="6D20B6DB" w14:textId="77777777" w:rsidTr="00D83DD8">
        <w:trPr>
          <w:trHeight w:val="240"/>
        </w:trPr>
        <w:tc>
          <w:tcPr>
            <w:tcW w:w="570" w:type="pct"/>
            <w:tcBorders>
              <w:top w:val="nil"/>
              <w:left w:val="nil"/>
              <w:bottom w:val="nil"/>
              <w:right w:val="nil"/>
            </w:tcBorders>
            <w:shd w:val="clear" w:color="auto" w:fill="auto"/>
            <w:noWrap/>
            <w:vAlign w:val="bottom"/>
            <w:hideMark/>
          </w:tcPr>
          <w:p w14:paraId="10AC38BE" w14:textId="77777777" w:rsidR="002B12BF" w:rsidRPr="00245E91" w:rsidRDefault="002B12BF" w:rsidP="00194092">
            <w:pPr>
              <w:spacing w:after="0" w:line="240" w:lineRule="auto"/>
              <w:ind w:right="-194"/>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MKBK</w:t>
            </w:r>
          </w:p>
          <w:p w14:paraId="23F14526" w14:textId="40C640AE" w:rsidR="00E77B63" w:rsidRPr="00245E91" w:rsidRDefault="00E77B63" w:rsidP="00194092">
            <w:pPr>
              <w:spacing w:after="0" w:line="240" w:lineRule="auto"/>
              <w:ind w:right="-194"/>
              <w:contextualSpacing/>
              <w:rPr>
                <w:rFonts w:ascii="Times New Roman" w:eastAsia="Times New Roman" w:hAnsi="Times New Roman"/>
                <w:i/>
                <w:color w:val="000000"/>
                <w:sz w:val="15"/>
                <w:szCs w:val="15"/>
              </w:rPr>
            </w:pPr>
          </w:p>
        </w:tc>
        <w:tc>
          <w:tcPr>
            <w:tcW w:w="554" w:type="pct"/>
            <w:tcBorders>
              <w:top w:val="nil"/>
              <w:left w:val="nil"/>
              <w:bottom w:val="nil"/>
              <w:right w:val="nil"/>
            </w:tcBorders>
            <w:shd w:val="clear" w:color="auto" w:fill="auto"/>
            <w:noWrap/>
            <w:vAlign w:val="bottom"/>
            <w:hideMark/>
          </w:tcPr>
          <w:p w14:paraId="074C9F90"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-0.150</w:t>
            </w:r>
          </w:p>
          <w:p w14:paraId="79F680EB" w14:textId="25F4390F"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(-4.06***)</w:t>
            </w:r>
          </w:p>
        </w:tc>
        <w:tc>
          <w:tcPr>
            <w:tcW w:w="552" w:type="pct"/>
            <w:tcBorders>
              <w:top w:val="nil"/>
              <w:left w:val="nil"/>
              <w:bottom w:val="nil"/>
              <w:right w:val="nil"/>
            </w:tcBorders>
            <w:shd w:val="clear" w:color="auto" w:fill="auto"/>
            <w:noWrap/>
            <w:vAlign w:val="bottom"/>
            <w:hideMark/>
          </w:tcPr>
          <w:p w14:paraId="49DA079E"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-0.140</w:t>
            </w:r>
          </w:p>
          <w:p w14:paraId="00BCA778" w14:textId="199D6A83"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(-4.50***)</w:t>
            </w:r>
          </w:p>
        </w:tc>
        <w:tc>
          <w:tcPr>
            <w:tcW w:w="552" w:type="pct"/>
            <w:tcBorders>
              <w:top w:val="nil"/>
              <w:left w:val="nil"/>
              <w:bottom w:val="nil"/>
              <w:right w:val="nil"/>
            </w:tcBorders>
            <w:shd w:val="clear" w:color="auto" w:fill="auto"/>
            <w:noWrap/>
            <w:vAlign w:val="bottom"/>
            <w:hideMark/>
          </w:tcPr>
          <w:p w14:paraId="4375FBCD"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-0.003</w:t>
            </w:r>
          </w:p>
          <w:p w14:paraId="60714FE1" w14:textId="59441638"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w:t>
            </w:r>
          </w:p>
        </w:tc>
        <w:tc>
          <w:tcPr>
            <w:tcW w:w="561" w:type="pct"/>
            <w:tcBorders>
              <w:top w:val="nil"/>
              <w:left w:val="nil"/>
              <w:bottom w:val="nil"/>
              <w:right w:val="single" w:sz="4" w:space="0" w:color="auto"/>
            </w:tcBorders>
            <w:shd w:val="clear" w:color="auto" w:fill="auto"/>
            <w:noWrap/>
            <w:vAlign w:val="bottom"/>
            <w:hideMark/>
          </w:tcPr>
          <w:p w14:paraId="6B310E2F"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0.000</w:t>
            </w:r>
          </w:p>
          <w:p w14:paraId="761247CC" w14:textId="07A14712"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w:t>
            </w:r>
          </w:p>
        </w:tc>
        <w:tc>
          <w:tcPr>
            <w:tcW w:w="551" w:type="pct"/>
            <w:tcBorders>
              <w:top w:val="nil"/>
              <w:left w:val="single" w:sz="4" w:space="0" w:color="auto"/>
              <w:bottom w:val="nil"/>
              <w:right w:val="nil"/>
            </w:tcBorders>
            <w:shd w:val="clear" w:color="auto" w:fill="auto"/>
            <w:noWrap/>
            <w:vAlign w:val="bottom"/>
            <w:hideMark/>
          </w:tcPr>
          <w:p w14:paraId="7CDAF511"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0.027</w:t>
            </w:r>
          </w:p>
          <w:p w14:paraId="36595957" w14:textId="6B766ABA"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(0.81)</w:t>
            </w:r>
          </w:p>
        </w:tc>
        <w:tc>
          <w:tcPr>
            <w:tcW w:w="549" w:type="pct"/>
            <w:tcBorders>
              <w:top w:val="nil"/>
              <w:left w:val="nil"/>
              <w:bottom w:val="nil"/>
              <w:right w:val="nil"/>
            </w:tcBorders>
            <w:shd w:val="clear" w:color="auto" w:fill="auto"/>
            <w:noWrap/>
            <w:vAlign w:val="bottom"/>
            <w:hideMark/>
          </w:tcPr>
          <w:p w14:paraId="630F1245"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-0.004</w:t>
            </w:r>
          </w:p>
          <w:p w14:paraId="1CC53EBE" w14:textId="6532B459"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(-0.14)</w:t>
            </w:r>
          </w:p>
        </w:tc>
        <w:tc>
          <w:tcPr>
            <w:tcW w:w="549" w:type="pct"/>
            <w:tcBorders>
              <w:top w:val="nil"/>
              <w:left w:val="nil"/>
              <w:bottom w:val="nil"/>
              <w:right w:val="nil"/>
            </w:tcBorders>
            <w:shd w:val="clear" w:color="auto" w:fill="auto"/>
            <w:noWrap/>
            <w:vAlign w:val="bottom"/>
            <w:hideMark/>
          </w:tcPr>
          <w:p w14:paraId="47F2C390" w14:textId="273B8114" w:rsidR="00E77B63"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0.023</w:t>
            </w:r>
          </w:p>
          <w:p w14:paraId="5604B439" w14:textId="57CEF8BD"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(0.78)</w:t>
            </w:r>
          </w:p>
        </w:tc>
        <w:tc>
          <w:tcPr>
            <w:tcW w:w="559" w:type="pct"/>
            <w:tcBorders>
              <w:top w:val="nil"/>
              <w:left w:val="nil"/>
              <w:bottom w:val="nil"/>
              <w:right w:val="nil"/>
            </w:tcBorders>
            <w:shd w:val="clear" w:color="auto" w:fill="auto"/>
            <w:noWrap/>
            <w:vAlign w:val="bottom"/>
            <w:hideMark/>
          </w:tcPr>
          <w:p w14:paraId="2C3F7426" w14:textId="1E98C564" w:rsidR="00E77B63"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0.025</w:t>
            </w:r>
          </w:p>
          <w:p w14:paraId="0D82C733" w14:textId="1D568B9E"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(0.86)</w:t>
            </w:r>
          </w:p>
        </w:tc>
      </w:tr>
      <w:tr w:rsidR="00C9320F" w:rsidRPr="00245E91" w14:paraId="6758CD23" w14:textId="77777777" w:rsidTr="00D83DD8">
        <w:trPr>
          <w:trHeight w:val="240"/>
        </w:trPr>
        <w:tc>
          <w:tcPr>
            <w:tcW w:w="570" w:type="pct"/>
            <w:tcBorders>
              <w:top w:val="nil"/>
              <w:left w:val="nil"/>
              <w:bottom w:val="nil"/>
              <w:right w:val="nil"/>
            </w:tcBorders>
            <w:shd w:val="clear" w:color="auto" w:fill="auto"/>
            <w:noWrap/>
            <w:vAlign w:val="bottom"/>
          </w:tcPr>
          <w:p w14:paraId="77D8D882" w14:textId="77777777" w:rsidR="002B12BF" w:rsidRPr="00245E91" w:rsidRDefault="002B12BF" w:rsidP="00194092">
            <w:pPr>
              <w:spacing w:after="0" w:line="240" w:lineRule="auto"/>
              <w:ind w:right="-194"/>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LIQUIDITY</w:t>
            </w:r>
          </w:p>
          <w:p w14:paraId="29049F0C" w14:textId="61B8566F" w:rsidR="00E77B63" w:rsidRPr="00245E91" w:rsidRDefault="00E77B63" w:rsidP="00194092">
            <w:pPr>
              <w:spacing w:after="0" w:line="240" w:lineRule="auto"/>
              <w:ind w:right="-194"/>
              <w:contextualSpacing/>
              <w:rPr>
                <w:rFonts w:ascii="Times New Roman" w:eastAsia="Times New Roman" w:hAnsi="Times New Roman"/>
                <w:i/>
                <w:color w:val="000000"/>
                <w:sz w:val="15"/>
                <w:szCs w:val="15"/>
              </w:rPr>
            </w:pPr>
          </w:p>
        </w:tc>
        <w:tc>
          <w:tcPr>
            <w:tcW w:w="554" w:type="pct"/>
            <w:tcBorders>
              <w:top w:val="nil"/>
              <w:left w:val="nil"/>
              <w:bottom w:val="nil"/>
              <w:right w:val="nil"/>
            </w:tcBorders>
            <w:shd w:val="clear" w:color="auto" w:fill="auto"/>
            <w:noWrap/>
            <w:vAlign w:val="bottom"/>
          </w:tcPr>
          <w:p w14:paraId="19DBC442"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-0.017</w:t>
            </w:r>
          </w:p>
          <w:p w14:paraId="315667DA" w14:textId="23CEDB1B"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(-0.47)</w:t>
            </w:r>
          </w:p>
        </w:tc>
        <w:tc>
          <w:tcPr>
            <w:tcW w:w="552" w:type="pct"/>
            <w:tcBorders>
              <w:top w:val="nil"/>
              <w:left w:val="nil"/>
              <w:bottom w:val="nil"/>
              <w:right w:val="nil"/>
            </w:tcBorders>
            <w:shd w:val="clear" w:color="auto" w:fill="auto"/>
            <w:noWrap/>
            <w:vAlign w:val="bottom"/>
          </w:tcPr>
          <w:p w14:paraId="4D135843"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-0.016</w:t>
            </w:r>
          </w:p>
          <w:p w14:paraId="5ADADD87" w14:textId="587F610B"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(-0.50)</w:t>
            </w:r>
          </w:p>
        </w:tc>
        <w:tc>
          <w:tcPr>
            <w:tcW w:w="552" w:type="pct"/>
            <w:tcBorders>
              <w:top w:val="nil"/>
              <w:left w:val="nil"/>
              <w:bottom w:val="nil"/>
              <w:right w:val="nil"/>
            </w:tcBorders>
            <w:shd w:val="clear" w:color="auto" w:fill="auto"/>
            <w:noWrap/>
            <w:vAlign w:val="bottom"/>
          </w:tcPr>
          <w:p w14:paraId="31AB6E9B"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0.011</w:t>
            </w:r>
          </w:p>
          <w:p w14:paraId="19715AE3" w14:textId="67513410"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(0.48)</w:t>
            </w:r>
          </w:p>
        </w:tc>
        <w:tc>
          <w:tcPr>
            <w:tcW w:w="561" w:type="pct"/>
            <w:tcBorders>
              <w:top w:val="nil"/>
              <w:left w:val="nil"/>
              <w:bottom w:val="nil"/>
              <w:right w:val="single" w:sz="4" w:space="0" w:color="auto"/>
            </w:tcBorders>
            <w:shd w:val="clear" w:color="auto" w:fill="auto"/>
            <w:noWrap/>
            <w:vAlign w:val="bottom"/>
          </w:tcPr>
          <w:p w14:paraId="7CAE13A6"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0.013</w:t>
            </w:r>
          </w:p>
          <w:p w14:paraId="2CB87DF3" w14:textId="3FE9B9EA"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(0.54)</w:t>
            </w:r>
          </w:p>
        </w:tc>
        <w:tc>
          <w:tcPr>
            <w:tcW w:w="551" w:type="pct"/>
            <w:tcBorders>
              <w:top w:val="nil"/>
              <w:left w:val="single" w:sz="4" w:space="0" w:color="auto"/>
              <w:bottom w:val="nil"/>
              <w:right w:val="nil"/>
            </w:tcBorders>
            <w:shd w:val="clear" w:color="auto" w:fill="auto"/>
            <w:noWrap/>
            <w:vAlign w:val="bottom"/>
          </w:tcPr>
          <w:p w14:paraId="1F604214"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-0.024</w:t>
            </w:r>
          </w:p>
          <w:p w14:paraId="3CC491B1" w14:textId="72C7A603"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(-0.92)</w:t>
            </w:r>
          </w:p>
        </w:tc>
        <w:tc>
          <w:tcPr>
            <w:tcW w:w="549" w:type="pct"/>
            <w:tcBorders>
              <w:top w:val="nil"/>
              <w:left w:val="nil"/>
              <w:bottom w:val="nil"/>
              <w:right w:val="nil"/>
            </w:tcBorders>
            <w:shd w:val="clear" w:color="auto" w:fill="auto"/>
            <w:noWrap/>
            <w:vAlign w:val="bottom"/>
          </w:tcPr>
          <w:p w14:paraId="2A357C29"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0.002</w:t>
            </w:r>
          </w:p>
          <w:p w14:paraId="5C1618E7" w14:textId="0C919E67"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w:t>
            </w:r>
          </w:p>
        </w:tc>
        <w:tc>
          <w:tcPr>
            <w:tcW w:w="549" w:type="pct"/>
            <w:tcBorders>
              <w:top w:val="nil"/>
              <w:left w:val="nil"/>
              <w:bottom w:val="nil"/>
              <w:right w:val="nil"/>
            </w:tcBorders>
            <w:shd w:val="clear" w:color="auto" w:fill="auto"/>
            <w:noWrap/>
            <w:vAlign w:val="bottom"/>
          </w:tcPr>
          <w:p w14:paraId="392E964E"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0.019</w:t>
            </w:r>
          </w:p>
          <w:p w14:paraId="56C63B72" w14:textId="6B6FADCF"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(0.55)</w:t>
            </w:r>
          </w:p>
        </w:tc>
        <w:tc>
          <w:tcPr>
            <w:tcW w:w="559" w:type="pct"/>
            <w:tcBorders>
              <w:top w:val="nil"/>
              <w:left w:val="nil"/>
              <w:bottom w:val="nil"/>
              <w:right w:val="nil"/>
            </w:tcBorders>
            <w:shd w:val="clear" w:color="auto" w:fill="auto"/>
            <w:noWrap/>
            <w:vAlign w:val="bottom"/>
          </w:tcPr>
          <w:p w14:paraId="12566C7B"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0.017</w:t>
            </w:r>
          </w:p>
          <w:p w14:paraId="0DE362FA" w14:textId="47200AC2" w:rsidR="00B85457"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(0.49)</w:t>
            </w:r>
          </w:p>
        </w:tc>
      </w:tr>
      <w:tr w:rsidR="00C9320F" w:rsidRPr="00245E91" w14:paraId="2D21BB99" w14:textId="77777777" w:rsidTr="00D83DD8">
        <w:trPr>
          <w:trHeight w:val="240"/>
        </w:trPr>
        <w:tc>
          <w:tcPr>
            <w:tcW w:w="570" w:type="pct"/>
            <w:tcBorders>
              <w:top w:val="nil"/>
              <w:left w:val="nil"/>
              <w:bottom w:val="nil"/>
              <w:right w:val="nil"/>
            </w:tcBorders>
            <w:shd w:val="clear" w:color="auto" w:fill="auto"/>
            <w:noWrap/>
            <w:vAlign w:val="bottom"/>
          </w:tcPr>
          <w:p w14:paraId="41D18FB8" w14:textId="77777777" w:rsidR="002B12BF" w:rsidRPr="00245E91" w:rsidRDefault="002B12BF" w:rsidP="00194092">
            <w:pPr>
              <w:spacing w:after="0" w:line="240" w:lineRule="auto"/>
              <w:ind w:right="-194"/>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STOCKISSUE</w:t>
            </w:r>
          </w:p>
          <w:p w14:paraId="0C9511DA" w14:textId="581F3F70" w:rsidR="00E77B63" w:rsidRPr="00245E91" w:rsidRDefault="00E77B63" w:rsidP="00194092">
            <w:pPr>
              <w:spacing w:after="0" w:line="240" w:lineRule="auto"/>
              <w:ind w:right="-194"/>
              <w:contextualSpacing/>
              <w:rPr>
                <w:rFonts w:ascii="Times New Roman" w:eastAsia="Times New Roman" w:hAnsi="Times New Roman"/>
                <w:i/>
                <w:color w:val="000000"/>
                <w:sz w:val="15"/>
                <w:szCs w:val="15"/>
              </w:rPr>
            </w:pPr>
          </w:p>
        </w:tc>
        <w:tc>
          <w:tcPr>
            <w:tcW w:w="554" w:type="pct"/>
            <w:tcBorders>
              <w:top w:val="nil"/>
              <w:left w:val="nil"/>
              <w:bottom w:val="nil"/>
              <w:right w:val="nil"/>
            </w:tcBorders>
            <w:shd w:val="clear" w:color="auto" w:fill="auto"/>
            <w:noWrap/>
            <w:vAlign w:val="bottom"/>
          </w:tcPr>
          <w:p w14:paraId="5674A6AC"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-0.013</w:t>
            </w:r>
          </w:p>
          <w:p w14:paraId="4DDA8BAC" w14:textId="1F668C24"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(-0.47)</w:t>
            </w:r>
          </w:p>
        </w:tc>
        <w:tc>
          <w:tcPr>
            <w:tcW w:w="552" w:type="pct"/>
            <w:tcBorders>
              <w:top w:val="nil"/>
              <w:left w:val="nil"/>
              <w:bottom w:val="nil"/>
              <w:right w:val="nil"/>
            </w:tcBorders>
            <w:shd w:val="clear" w:color="auto" w:fill="auto"/>
            <w:noWrap/>
            <w:vAlign w:val="bottom"/>
          </w:tcPr>
          <w:p w14:paraId="0D2E0003"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-0.001</w:t>
            </w:r>
          </w:p>
          <w:p w14:paraId="542D1728" w14:textId="7C1E77AC"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w:t>
            </w:r>
          </w:p>
        </w:tc>
        <w:tc>
          <w:tcPr>
            <w:tcW w:w="552" w:type="pct"/>
            <w:tcBorders>
              <w:top w:val="nil"/>
              <w:left w:val="nil"/>
              <w:bottom w:val="nil"/>
              <w:right w:val="nil"/>
            </w:tcBorders>
            <w:shd w:val="clear" w:color="auto" w:fill="auto"/>
            <w:noWrap/>
            <w:vAlign w:val="bottom"/>
          </w:tcPr>
          <w:p w14:paraId="4D1CCC3E"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0.045</w:t>
            </w:r>
          </w:p>
          <w:p w14:paraId="60DE32EB" w14:textId="38E4BFA6"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(1.52)</w:t>
            </w:r>
          </w:p>
        </w:tc>
        <w:tc>
          <w:tcPr>
            <w:tcW w:w="561" w:type="pct"/>
            <w:tcBorders>
              <w:top w:val="nil"/>
              <w:left w:val="nil"/>
              <w:bottom w:val="nil"/>
              <w:right w:val="single" w:sz="4" w:space="0" w:color="auto"/>
            </w:tcBorders>
            <w:shd w:val="clear" w:color="auto" w:fill="auto"/>
            <w:noWrap/>
            <w:vAlign w:val="bottom"/>
          </w:tcPr>
          <w:p w14:paraId="17B75FC0"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0.046</w:t>
            </w:r>
          </w:p>
          <w:p w14:paraId="475455F6" w14:textId="220E041B"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(1.51)</w:t>
            </w:r>
          </w:p>
        </w:tc>
        <w:tc>
          <w:tcPr>
            <w:tcW w:w="551" w:type="pct"/>
            <w:tcBorders>
              <w:top w:val="nil"/>
              <w:left w:val="single" w:sz="4" w:space="0" w:color="auto"/>
              <w:bottom w:val="nil"/>
              <w:right w:val="nil"/>
            </w:tcBorders>
            <w:shd w:val="clear" w:color="auto" w:fill="auto"/>
            <w:noWrap/>
            <w:vAlign w:val="bottom"/>
          </w:tcPr>
          <w:p w14:paraId="1886CB3A"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-0.044</w:t>
            </w:r>
          </w:p>
          <w:p w14:paraId="09728A20" w14:textId="2FAD5720"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(-1.14)</w:t>
            </w:r>
          </w:p>
        </w:tc>
        <w:tc>
          <w:tcPr>
            <w:tcW w:w="549" w:type="pct"/>
            <w:tcBorders>
              <w:top w:val="nil"/>
              <w:left w:val="nil"/>
              <w:bottom w:val="nil"/>
              <w:right w:val="nil"/>
            </w:tcBorders>
            <w:shd w:val="clear" w:color="auto" w:fill="auto"/>
            <w:noWrap/>
            <w:vAlign w:val="bottom"/>
          </w:tcPr>
          <w:p w14:paraId="5AE4D3FA"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-0.022</w:t>
            </w:r>
          </w:p>
          <w:p w14:paraId="0A29933E" w14:textId="5FA0AFBC"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(-0.65)</w:t>
            </w:r>
          </w:p>
        </w:tc>
        <w:tc>
          <w:tcPr>
            <w:tcW w:w="549" w:type="pct"/>
            <w:tcBorders>
              <w:top w:val="nil"/>
              <w:left w:val="nil"/>
              <w:bottom w:val="nil"/>
              <w:right w:val="nil"/>
            </w:tcBorders>
            <w:shd w:val="clear" w:color="auto" w:fill="auto"/>
            <w:noWrap/>
            <w:vAlign w:val="bottom"/>
          </w:tcPr>
          <w:p w14:paraId="3DADDD3F"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0.022</w:t>
            </w:r>
          </w:p>
          <w:p w14:paraId="78026C0A" w14:textId="70810A47"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(1.27)</w:t>
            </w:r>
          </w:p>
        </w:tc>
        <w:tc>
          <w:tcPr>
            <w:tcW w:w="559" w:type="pct"/>
            <w:tcBorders>
              <w:top w:val="nil"/>
              <w:left w:val="nil"/>
              <w:bottom w:val="nil"/>
              <w:right w:val="nil"/>
            </w:tcBorders>
            <w:shd w:val="clear" w:color="auto" w:fill="auto"/>
            <w:noWrap/>
            <w:vAlign w:val="bottom"/>
          </w:tcPr>
          <w:p w14:paraId="09AED1E1"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0.022</w:t>
            </w:r>
          </w:p>
          <w:p w14:paraId="0FF7B685" w14:textId="3CE4131E"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(1.28)</w:t>
            </w:r>
          </w:p>
        </w:tc>
      </w:tr>
      <w:tr w:rsidR="00C9320F" w:rsidRPr="00245E91" w14:paraId="18F5707B" w14:textId="77777777" w:rsidTr="00D83DD8">
        <w:trPr>
          <w:trHeight w:val="240"/>
        </w:trPr>
        <w:tc>
          <w:tcPr>
            <w:tcW w:w="570" w:type="pct"/>
            <w:tcBorders>
              <w:top w:val="nil"/>
              <w:left w:val="nil"/>
              <w:bottom w:val="nil"/>
              <w:right w:val="nil"/>
            </w:tcBorders>
            <w:shd w:val="clear" w:color="auto" w:fill="auto"/>
            <w:noWrap/>
            <w:vAlign w:val="bottom"/>
          </w:tcPr>
          <w:p w14:paraId="23BADD70" w14:textId="77777777" w:rsidR="002B12BF" w:rsidRPr="00245E91" w:rsidRDefault="002B12BF" w:rsidP="00194092">
            <w:pPr>
              <w:spacing w:after="0" w:line="240" w:lineRule="auto"/>
              <w:ind w:right="-194"/>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DEBTISSUE</w:t>
            </w:r>
          </w:p>
          <w:p w14:paraId="17D21F9F" w14:textId="68691E43" w:rsidR="00E77B63" w:rsidRPr="00245E91" w:rsidRDefault="00E77B63" w:rsidP="00194092">
            <w:pPr>
              <w:spacing w:after="0" w:line="240" w:lineRule="auto"/>
              <w:ind w:right="-194"/>
              <w:contextualSpacing/>
              <w:rPr>
                <w:rFonts w:ascii="Times New Roman" w:eastAsia="Times New Roman" w:hAnsi="Times New Roman"/>
                <w:i/>
                <w:color w:val="000000"/>
                <w:sz w:val="15"/>
                <w:szCs w:val="15"/>
              </w:rPr>
            </w:pPr>
          </w:p>
        </w:tc>
        <w:tc>
          <w:tcPr>
            <w:tcW w:w="554" w:type="pct"/>
            <w:tcBorders>
              <w:top w:val="nil"/>
              <w:left w:val="nil"/>
              <w:bottom w:val="nil"/>
              <w:right w:val="nil"/>
            </w:tcBorders>
            <w:shd w:val="clear" w:color="auto" w:fill="auto"/>
            <w:noWrap/>
            <w:vAlign w:val="bottom"/>
          </w:tcPr>
          <w:p w14:paraId="6DC4372B"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-0.043</w:t>
            </w:r>
          </w:p>
          <w:p w14:paraId="7313D2C7" w14:textId="153161D8" w:rsidR="00E77B63" w:rsidRPr="00245E91" w:rsidRDefault="00C9320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(-1.69*)</w:t>
            </w:r>
          </w:p>
        </w:tc>
        <w:tc>
          <w:tcPr>
            <w:tcW w:w="552" w:type="pct"/>
            <w:tcBorders>
              <w:top w:val="nil"/>
              <w:left w:val="nil"/>
              <w:bottom w:val="nil"/>
              <w:right w:val="nil"/>
            </w:tcBorders>
            <w:shd w:val="clear" w:color="auto" w:fill="auto"/>
            <w:noWrap/>
            <w:vAlign w:val="bottom"/>
          </w:tcPr>
          <w:p w14:paraId="0FCE907E"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-0.038</w:t>
            </w:r>
          </w:p>
          <w:p w14:paraId="5A8A0916" w14:textId="01772888" w:rsidR="00E77B63" w:rsidRPr="00245E91" w:rsidRDefault="00C9320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(-1.44)</w:t>
            </w:r>
          </w:p>
        </w:tc>
        <w:tc>
          <w:tcPr>
            <w:tcW w:w="552" w:type="pct"/>
            <w:tcBorders>
              <w:top w:val="nil"/>
              <w:left w:val="nil"/>
              <w:bottom w:val="nil"/>
              <w:right w:val="nil"/>
            </w:tcBorders>
            <w:shd w:val="clear" w:color="auto" w:fill="auto"/>
            <w:noWrap/>
            <w:vAlign w:val="bottom"/>
          </w:tcPr>
          <w:p w14:paraId="7FD9FE32"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-0.034</w:t>
            </w:r>
          </w:p>
          <w:p w14:paraId="7C8B874D" w14:textId="0AC3AD47" w:rsidR="00E77B63" w:rsidRPr="00245E91" w:rsidRDefault="00C9320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(-1.57)</w:t>
            </w:r>
          </w:p>
        </w:tc>
        <w:tc>
          <w:tcPr>
            <w:tcW w:w="561" w:type="pct"/>
            <w:tcBorders>
              <w:top w:val="nil"/>
              <w:left w:val="nil"/>
              <w:bottom w:val="nil"/>
              <w:right w:val="single" w:sz="4" w:space="0" w:color="auto"/>
            </w:tcBorders>
            <w:shd w:val="clear" w:color="auto" w:fill="auto"/>
            <w:noWrap/>
            <w:vAlign w:val="bottom"/>
          </w:tcPr>
          <w:p w14:paraId="4FD480CB"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-0.034</w:t>
            </w:r>
          </w:p>
          <w:p w14:paraId="0FD28DE9" w14:textId="502009B1" w:rsidR="00E77B63" w:rsidRPr="00245E91" w:rsidRDefault="00C9320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(-1.58)</w:t>
            </w:r>
          </w:p>
        </w:tc>
        <w:tc>
          <w:tcPr>
            <w:tcW w:w="551" w:type="pct"/>
            <w:tcBorders>
              <w:top w:val="nil"/>
              <w:left w:val="single" w:sz="4" w:space="0" w:color="auto"/>
              <w:bottom w:val="nil"/>
              <w:right w:val="nil"/>
            </w:tcBorders>
            <w:shd w:val="clear" w:color="auto" w:fill="auto"/>
            <w:noWrap/>
            <w:vAlign w:val="bottom"/>
          </w:tcPr>
          <w:p w14:paraId="68DDF586" w14:textId="1AA44303" w:rsidR="00E77B63"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-0.001</w:t>
            </w:r>
          </w:p>
          <w:p w14:paraId="1B9ADDB7" w14:textId="74F76DDD" w:rsidR="00E77B63" w:rsidRPr="00245E91" w:rsidRDefault="00C9320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w:t>
            </w:r>
          </w:p>
        </w:tc>
        <w:tc>
          <w:tcPr>
            <w:tcW w:w="549" w:type="pct"/>
            <w:tcBorders>
              <w:top w:val="nil"/>
              <w:left w:val="nil"/>
              <w:bottom w:val="nil"/>
              <w:right w:val="nil"/>
            </w:tcBorders>
            <w:shd w:val="clear" w:color="auto" w:fill="auto"/>
            <w:noWrap/>
            <w:vAlign w:val="bottom"/>
          </w:tcPr>
          <w:p w14:paraId="1ACD1CE3"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-0.018</w:t>
            </w:r>
          </w:p>
          <w:p w14:paraId="1F38868E" w14:textId="5ADAF392" w:rsidR="00E77B63" w:rsidRPr="00245E91" w:rsidRDefault="00C9320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(-0.51)</w:t>
            </w:r>
          </w:p>
        </w:tc>
        <w:tc>
          <w:tcPr>
            <w:tcW w:w="549" w:type="pct"/>
            <w:tcBorders>
              <w:top w:val="nil"/>
              <w:left w:val="nil"/>
              <w:bottom w:val="nil"/>
              <w:right w:val="nil"/>
            </w:tcBorders>
            <w:shd w:val="clear" w:color="auto" w:fill="auto"/>
            <w:noWrap/>
            <w:vAlign w:val="bottom"/>
          </w:tcPr>
          <w:p w14:paraId="734524F2"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-0.012</w:t>
            </w:r>
          </w:p>
          <w:p w14:paraId="568EBD97" w14:textId="5D75D340" w:rsidR="00E77B63" w:rsidRPr="00245E91" w:rsidRDefault="00C9320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(-0.48)</w:t>
            </w:r>
          </w:p>
        </w:tc>
        <w:tc>
          <w:tcPr>
            <w:tcW w:w="559" w:type="pct"/>
            <w:tcBorders>
              <w:top w:val="nil"/>
              <w:left w:val="nil"/>
              <w:bottom w:val="nil"/>
              <w:right w:val="nil"/>
            </w:tcBorders>
            <w:shd w:val="clear" w:color="auto" w:fill="auto"/>
            <w:noWrap/>
            <w:vAlign w:val="bottom"/>
          </w:tcPr>
          <w:p w14:paraId="07648051"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-0.011</w:t>
            </w:r>
          </w:p>
          <w:p w14:paraId="3D0C390D" w14:textId="7F1E222C" w:rsidR="00E77B63" w:rsidRPr="00245E91" w:rsidRDefault="00C9320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(-0.44)</w:t>
            </w:r>
          </w:p>
        </w:tc>
      </w:tr>
      <w:tr w:rsidR="00C9320F" w:rsidRPr="00245E91" w14:paraId="089AB7BB" w14:textId="77777777" w:rsidTr="00D83DD8">
        <w:trPr>
          <w:trHeight w:val="240"/>
        </w:trPr>
        <w:tc>
          <w:tcPr>
            <w:tcW w:w="570" w:type="pct"/>
            <w:tcBorders>
              <w:top w:val="nil"/>
              <w:left w:val="nil"/>
              <w:bottom w:val="nil"/>
              <w:right w:val="nil"/>
            </w:tcBorders>
            <w:shd w:val="clear" w:color="auto" w:fill="auto"/>
            <w:noWrap/>
            <w:vAlign w:val="bottom"/>
            <w:hideMark/>
          </w:tcPr>
          <w:p w14:paraId="3CBF7121" w14:textId="77777777" w:rsidR="00E77B63" w:rsidRPr="00245E91" w:rsidRDefault="002B12BF" w:rsidP="0042373A">
            <w:pPr>
              <w:spacing w:after="0" w:line="240" w:lineRule="auto"/>
              <w:ind w:right="-194"/>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BIG8</w:t>
            </w:r>
          </w:p>
          <w:p w14:paraId="3C45D0D4" w14:textId="4BF62392" w:rsidR="00B85457" w:rsidRPr="00245E91" w:rsidRDefault="00B85457" w:rsidP="0042373A">
            <w:pPr>
              <w:spacing w:after="0" w:line="240" w:lineRule="auto"/>
              <w:ind w:right="-194"/>
              <w:contextualSpacing/>
              <w:rPr>
                <w:rFonts w:ascii="Times New Roman" w:eastAsia="Times New Roman" w:hAnsi="Times New Roman"/>
                <w:i/>
                <w:color w:val="000000"/>
                <w:sz w:val="15"/>
                <w:szCs w:val="15"/>
              </w:rPr>
            </w:pPr>
          </w:p>
        </w:tc>
        <w:tc>
          <w:tcPr>
            <w:tcW w:w="554" w:type="pct"/>
            <w:tcBorders>
              <w:top w:val="nil"/>
              <w:left w:val="nil"/>
              <w:bottom w:val="nil"/>
              <w:right w:val="nil"/>
            </w:tcBorders>
            <w:shd w:val="clear" w:color="auto" w:fill="auto"/>
            <w:noWrap/>
            <w:vAlign w:val="bottom"/>
            <w:hideMark/>
          </w:tcPr>
          <w:p w14:paraId="7FA9708B"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-0.026</w:t>
            </w:r>
          </w:p>
          <w:p w14:paraId="5D69283E" w14:textId="24F723CC"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(-0.55)</w:t>
            </w:r>
          </w:p>
        </w:tc>
        <w:tc>
          <w:tcPr>
            <w:tcW w:w="552" w:type="pct"/>
            <w:tcBorders>
              <w:top w:val="nil"/>
              <w:left w:val="nil"/>
              <w:bottom w:val="nil"/>
              <w:right w:val="nil"/>
            </w:tcBorders>
            <w:shd w:val="clear" w:color="auto" w:fill="auto"/>
            <w:noWrap/>
            <w:vAlign w:val="bottom"/>
            <w:hideMark/>
          </w:tcPr>
          <w:p w14:paraId="624AAD97"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-0.045</w:t>
            </w:r>
          </w:p>
          <w:p w14:paraId="2639ACAA" w14:textId="66BA5818"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(-1.01)</w:t>
            </w:r>
          </w:p>
        </w:tc>
        <w:tc>
          <w:tcPr>
            <w:tcW w:w="552" w:type="pct"/>
            <w:tcBorders>
              <w:top w:val="nil"/>
              <w:left w:val="nil"/>
              <w:bottom w:val="nil"/>
              <w:right w:val="nil"/>
            </w:tcBorders>
            <w:shd w:val="clear" w:color="auto" w:fill="auto"/>
            <w:noWrap/>
            <w:vAlign w:val="bottom"/>
            <w:hideMark/>
          </w:tcPr>
          <w:p w14:paraId="6E9EE87B"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-0.055</w:t>
            </w:r>
          </w:p>
          <w:p w14:paraId="0DA1BCF1" w14:textId="75A50146"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(-1.97**)</w:t>
            </w:r>
          </w:p>
        </w:tc>
        <w:tc>
          <w:tcPr>
            <w:tcW w:w="561" w:type="pct"/>
            <w:tcBorders>
              <w:top w:val="nil"/>
              <w:left w:val="nil"/>
              <w:bottom w:val="nil"/>
              <w:right w:val="single" w:sz="4" w:space="0" w:color="auto"/>
            </w:tcBorders>
            <w:shd w:val="clear" w:color="auto" w:fill="auto"/>
            <w:noWrap/>
            <w:vAlign w:val="bottom"/>
            <w:hideMark/>
          </w:tcPr>
          <w:p w14:paraId="026B2316"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-0.052</w:t>
            </w:r>
          </w:p>
          <w:p w14:paraId="10DA3276" w14:textId="12B81F42"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(-1.87*)</w:t>
            </w:r>
          </w:p>
        </w:tc>
        <w:tc>
          <w:tcPr>
            <w:tcW w:w="551" w:type="pct"/>
            <w:tcBorders>
              <w:top w:val="nil"/>
              <w:left w:val="single" w:sz="4" w:space="0" w:color="auto"/>
              <w:bottom w:val="nil"/>
              <w:right w:val="nil"/>
            </w:tcBorders>
            <w:shd w:val="clear" w:color="auto" w:fill="auto"/>
            <w:noWrap/>
            <w:vAlign w:val="bottom"/>
            <w:hideMark/>
          </w:tcPr>
          <w:p w14:paraId="2F6CF32A"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0.044</w:t>
            </w:r>
          </w:p>
          <w:p w14:paraId="1DCE823B" w14:textId="377F7164"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(1.23)</w:t>
            </w:r>
          </w:p>
        </w:tc>
        <w:tc>
          <w:tcPr>
            <w:tcW w:w="549" w:type="pct"/>
            <w:tcBorders>
              <w:top w:val="nil"/>
              <w:left w:val="nil"/>
              <w:bottom w:val="nil"/>
              <w:right w:val="nil"/>
            </w:tcBorders>
            <w:shd w:val="clear" w:color="auto" w:fill="auto"/>
            <w:noWrap/>
            <w:vAlign w:val="bottom"/>
            <w:hideMark/>
          </w:tcPr>
          <w:p w14:paraId="3AF8D22B"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0.045</w:t>
            </w:r>
          </w:p>
          <w:p w14:paraId="1666CF1A" w14:textId="474ECD99"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(1.25)</w:t>
            </w:r>
          </w:p>
        </w:tc>
        <w:tc>
          <w:tcPr>
            <w:tcW w:w="549" w:type="pct"/>
            <w:tcBorders>
              <w:top w:val="nil"/>
              <w:left w:val="nil"/>
              <w:bottom w:val="nil"/>
              <w:right w:val="nil"/>
            </w:tcBorders>
            <w:shd w:val="clear" w:color="auto" w:fill="auto"/>
            <w:noWrap/>
            <w:vAlign w:val="bottom"/>
            <w:hideMark/>
          </w:tcPr>
          <w:p w14:paraId="55C67D48"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-0.048</w:t>
            </w:r>
          </w:p>
          <w:p w14:paraId="0123DEBB" w14:textId="0BA18471"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(-1.55)</w:t>
            </w:r>
          </w:p>
        </w:tc>
        <w:tc>
          <w:tcPr>
            <w:tcW w:w="559" w:type="pct"/>
            <w:tcBorders>
              <w:top w:val="nil"/>
              <w:left w:val="nil"/>
              <w:bottom w:val="nil"/>
              <w:right w:val="nil"/>
            </w:tcBorders>
            <w:shd w:val="clear" w:color="auto" w:fill="auto"/>
            <w:noWrap/>
            <w:vAlign w:val="bottom"/>
            <w:hideMark/>
          </w:tcPr>
          <w:p w14:paraId="59611CE2"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-0.049</w:t>
            </w:r>
          </w:p>
          <w:p w14:paraId="58246DF2" w14:textId="6C956FF6"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(-1.58)</w:t>
            </w:r>
          </w:p>
        </w:tc>
      </w:tr>
      <w:tr w:rsidR="00C9320F" w:rsidRPr="00245E91" w14:paraId="73DE8874" w14:textId="77777777" w:rsidTr="00D83DD8">
        <w:trPr>
          <w:trHeight w:val="240"/>
        </w:trPr>
        <w:tc>
          <w:tcPr>
            <w:tcW w:w="570" w:type="pct"/>
            <w:tcBorders>
              <w:top w:val="nil"/>
              <w:left w:val="nil"/>
              <w:bottom w:val="nil"/>
              <w:right w:val="nil"/>
            </w:tcBorders>
            <w:shd w:val="clear" w:color="auto" w:fill="auto"/>
            <w:noWrap/>
            <w:vAlign w:val="bottom"/>
            <w:hideMark/>
          </w:tcPr>
          <w:p w14:paraId="001B8455" w14:textId="1D5EE6BC" w:rsidR="00B85457" w:rsidRPr="00245E91" w:rsidRDefault="002B12BF" w:rsidP="00194092">
            <w:pPr>
              <w:spacing w:after="0" w:line="240" w:lineRule="auto"/>
              <w:ind w:right="-194"/>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TENURE</w:t>
            </w:r>
          </w:p>
          <w:p w14:paraId="1FFD1D9C" w14:textId="6492447D" w:rsidR="00E77B63" w:rsidRPr="00245E91" w:rsidRDefault="00E77B63" w:rsidP="00194092">
            <w:pPr>
              <w:spacing w:after="0" w:line="240" w:lineRule="auto"/>
              <w:ind w:right="-194"/>
              <w:contextualSpacing/>
              <w:rPr>
                <w:rFonts w:ascii="Times New Roman" w:eastAsia="Times New Roman" w:hAnsi="Times New Roman"/>
                <w:i/>
                <w:color w:val="000000"/>
                <w:sz w:val="15"/>
                <w:szCs w:val="15"/>
              </w:rPr>
            </w:pPr>
          </w:p>
        </w:tc>
        <w:tc>
          <w:tcPr>
            <w:tcW w:w="554" w:type="pct"/>
            <w:tcBorders>
              <w:top w:val="nil"/>
              <w:left w:val="nil"/>
              <w:bottom w:val="nil"/>
              <w:right w:val="nil"/>
            </w:tcBorders>
            <w:shd w:val="clear" w:color="auto" w:fill="auto"/>
            <w:noWrap/>
            <w:vAlign w:val="bottom"/>
            <w:hideMark/>
          </w:tcPr>
          <w:p w14:paraId="357230E1" w14:textId="4D8709E5"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0.062</w:t>
            </w:r>
          </w:p>
          <w:p w14:paraId="4C659E20" w14:textId="623A06AB" w:rsidR="00E77B63" w:rsidRPr="00245E91" w:rsidRDefault="00B85457" w:rsidP="0042373A">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(1.93*)</w:t>
            </w:r>
          </w:p>
        </w:tc>
        <w:tc>
          <w:tcPr>
            <w:tcW w:w="552" w:type="pct"/>
            <w:tcBorders>
              <w:top w:val="nil"/>
              <w:left w:val="nil"/>
              <w:bottom w:val="nil"/>
              <w:right w:val="nil"/>
            </w:tcBorders>
            <w:shd w:val="clear" w:color="auto" w:fill="auto"/>
            <w:noWrap/>
            <w:vAlign w:val="bottom"/>
            <w:hideMark/>
          </w:tcPr>
          <w:p w14:paraId="440E9A7B" w14:textId="4B6227A3"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0.067</w:t>
            </w:r>
          </w:p>
          <w:p w14:paraId="717001CC" w14:textId="508C5B9B" w:rsidR="00E77B63" w:rsidRPr="00245E91" w:rsidRDefault="00B85457" w:rsidP="0042373A">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(1.95*)</w:t>
            </w:r>
          </w:p>
        </w:tc>
        <w:tc>
          <w:tcPr>
            <w:tcW w:w="552" w:type="pct"/>
            <w:tcBorders>
              <w:top w:val="nil"/>
              <w:left w:val="nil"/>
              <w:bottom w:val="nil"/>
              <w:right w:val="nil"/>
            </w:tcBorders>
            <w:shd w:val="clear" w:color="auto" w:fill="auto"/>
            <w:noWrap/>
            <w:vAlign w:val="bottom"/>
            <w:hideMark/>
          </w:tcPr>
          <w:p w14:paraId="0FC9DB6D" w14:textId="1490AEEB"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0.016</w:t>
            </w:r>
          </w:p>
          <w:p w14:paraId="7101D695" w14:textId="03D33D2D" w:rsidR="00E77B63" w:rsidRPr="00245E91" w:rsidRDefault="00B85457" w:rsidP="0042373A">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(0.80)</w:t>
            </w:r>
          </w:p>
        </w:tc>
        <w:tc>
          <w:tcPr>
            <w:tcW w:w="561" w:type="pct"/>
            <w:tcBorders>
              <w:top w:val="nil"/>
              <w:left w:val="nil"/>
              <w:bottom w:val="nil"/>
              <w:right w:val="single" w:sz="4" w:space="0" w:color="auto"/>
            </w:tcBorders>
            <w:shd w:val="clear" w:color="auto" w:fill="auto"/>
            <w:noWrap/>
            <w:vAlign w:val="bottom"/>
            <w:hideMark/>
          </w:tcPr>
          <w:p w14:paraId="226C7B1F" w14:textId="3751CE79"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0.015</w:t>
            </w:r>
          </w:p>
          <w:p w14:paraId="6E920C7C" w14:textId="2565B2FA" w:rsidR="00E77B63" w:rsidRPr="00245E91" w:rsidRDefault="00B85457" w:rsidP="0042373A">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(0.69)</w:t>
            </w:r>
          </w:p>
        </w:tc>
        <w:tc>
          <w:tcPr>
            <w:tcW w:w="551" w:type="pct"/>
            <w:tcBorders>
              <w:top w:val="nil"/>
              <w:left w:val="single" w:sz="4" w:space="0" w:color="auto"/>
              <w:bottom w:val="nil"/>
              <w:right w:val="nil"/>
            </w:tcBorders>
            <w:shd w:val="clear" w:color="auto" w:fill="auto"/>
            <w:noWrap/>
            <w:vAlign w:val="bottom"/>
            <w:hideMark/>
          </w:tcPr>
          <w:p w14:paraId="396A0CD5" w14:textId="47287F5E"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0.064</w:t>
            </w:r>
          </w:p>
          <w:p w14:paraId="73F5E2B6" w14:textId="43E42DD6" w:rsidR="00E77B63" w:rsidRPr="00245E91" w:rsidRDefault="00B85457" w:rsidP="0042373A">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(1.62)</w:t>
            </w:r>
          </w:p>
        </w:tc>
        <w:tc>
          <w:tcPr>
            <w:tcW w:w="549" w:type="pct"/>
            <w:tcBorders>
              <w:top w:val="nil"/>
              <w:left w:val="nil"/>
              <w:bottom w:val="nil"/>
              <w:right w:val="nil"/>
            </w:tcBorders>
            <w:shd w:val="clear" w:color="auto" w:fill="auto"/>
            <w:noWrap/>
            <w:vAlign w:val="bottom"/>
            <w:hideMark/>
          </w:tcPr>
          <w:p w14:paraId="28C15B82" w14:textId="6DEFAF0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0.060</w:t>
            </w:r>
          </w:p>
          <w:p w14:paraId="3B074F16" w14:textId="70966FA9" w:rsidR="00E77B63" w:rsidRPr="00245E91" w:rsidRDefault="00B85457" w:rsidP="0042373A">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(2.36**)</w:t>
            </w:r>
          </w:p>
        </w:tc>
        <w:tc>
          <w:tcPr>
            <w:tcW w:w="549" w:type="pct"/>
            <w:tcBorders>
              <w:top w:val="nil"/>
              <w:left w:val="nil"/>
              <w:bottom w:val="nil"/>
              <w:right w:val="nil"/>
            </w:tcBorders>
            <w:shd w:val="clear" w:color="auto" w:fill="auto"/>
            <w:noWrap/>
            <w:vAlign w:val="bottom"/>
            <w:hideMark/>
          </w:tcPr>
          <w:p w14:paraId="3CCBB9D0" w14:textId="5EAB0680"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0.037</w:t>
            </w:r>
          </w:p>
          <w:p w14:paraId="2271D948" w14:textId="3F2F0D16" w:rsidR="00E77B63" w:rsidRPr="00245E91" w:rsidRDefault="00B85457" w:rsidP="0042373A">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(1.48)</w:t>
            </w:r>
          </w:p>
        </w:tc>
        <w:tc>
          <w:tcPr>
            <w:tcW w:w="559" w:type="pct"/>
            <w:tcBorders>
              <w:top w:val="nil"/>
              <w:left w:val="nil"/>
              <w:bottom w:val="nil"/>
              <w:right w:val="nil"/>
            </w:tcBorders>
            <w:shd w:val="clear" w:color="auto" w:fill="auto"/>
            <w:noWrap/>
            <w:vAlign w:val="bottom"/>
            <w:hideMark/>
          </w:tcPr>
          <w:p w14:paraId="5980CF10" w14:textId="371C731C"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0.038</w:t>
            </w:r>
          </w:p>
          <w:p w14:paraId="04A97447" w14:textId="747BB981" w:rsidR="00E77B63" w:rsidRPr="00245E91" w:rsidRDefault="00B85457" w:rsidP="0042373A">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(1.42)</w:t>
            </w:r>
          </w:p>
        </w:tc>
      </w:tr>
      <w:tr w:rsidR="00C9320F" w:rsidRPr="00245E91" w14:paraId="2D49CEC0" w14:textId="77777777" w:rsidTr="00D83DD8">
        <w:trPr>
          <w:trHeight w:val="240"/>
        </w:trPr>
        <w:tc>
          <w:tcPr>
            <w:tcW w:w="570" w:type="pct"/>
            <w:tcBorders>
              <w:top w:val="nil"/>
              <w:left w:val="nil"/>
              <w:bottom w:val="nil"/>
              <w:right w:val="nil"/>
            </w:tcBorders>
            <w:shd w:val="clear" w:color="auto" w:fill="auto"/>
            <w:noWrap/>
            <w:vAlign w:val="bottom"/>
            <w:hideMark/>
          </w:tcPr>
          <w:p w14:paraId="32D14D51" w14:textId="057A4F99" w:rsidR="00B85457" w:rsidRPr="00245E91" w:rsidRDefault="002B12BF" w:rsidP="00194092">
            <w:pPr>
              <w:spacing w:after="0" w:line="240" w:lineRule="auto"/>
              <w:ind w:right="-194"/>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INSTOWN</w:t>
            </w:r>
          </w:p>
          <w:p w14:paraId="34B85443" w14:textId="63D622ED" w:rsidR="00E77B63" w:rsidRPr="00245E91" w:rsidRDefault="00E77B63" w:rsidP="00194092">
            <w:pPr>
              <w:spacing w:after="0" w:line="240" w:lineRule="auto"/>
              <w:ind w:right="-194"/>
              <w:contextualSpacing/>
              <w:rPr>
                <w:rFonts w:ascii="Times New Roman" w:eastAsia="Times New Roman" w:hAnsi="Times New Roman"/>
                <w:i/>
                <w:color w:val="000000"/>
                <w:sz w:val="15"/>
                <w:szCs w:val="15"/>
              </w:rPr>
            </w:pPr>
          </w:p>
        </w:tc>
        <w:tc>
          <w:tcPr>
            <w:tcW w:w="554" w:type="pct"/>
            <w:tcBorders>
              <w:top w:val="nil"/>
              <w:left w:val="nil"/>
              <w:bottom w:val="nil"/>
              <w:right w:val="nil"/>
            </w:tcBorders>
            <w:shd w:val="clear" w:color="auto" w:fill="auto"/>
            <w:noWrap/>
            <w:vAlign w:val="bottom"/>
            <w:hideMark/>
          </w:tcPr>
          <w:p w14:paraId="25BD51DD" w14:textId="62A18C53"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0.022</w:t>
            </w:r>
          </w:p>
          <w:p w14:paraId="1E8559F2" w14:textId="4F00C029" w:rsidR="00E77B63" w:rsidRPr="00245E91" w:rsidRDefault="00B85457" w:rsidP="0042373A">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(0.40)</w:t>
            </w:r>
          </w:p>
        </w:tc>
        <w:tc>
          <w:tcPr>
            <w:tcW w:w="552" w:type="pct"/>
            <w:tcBorders>
              <w:top w:val="nil"/>
              <w:left w:val="nil"/>
              <w:bottom w:val="nil"/>
              <w:right w:val="nil"/>
            </w:tcBorders>
            <w:shd w:val="clear" w:color="auto" w:fill="auto"/>
            <w:noWrap/>
            <w:vAlign w:val="bottom"/>
            <w:hideMark/>
          </w:tcPr>
          <w:p w14:paraId="6BB13CAE" w14:textId="4953A1D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-0.005</w:t>
            </w:r>
          </w:p>
          <w:p w14:paraId="7CD856F4" w14:textId="54A557AB" w:rsidR="00E77B63" w:rsidRPr="00245E91" w:rsidRDefault="00B85457" w:rsidP="0042373A">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w:t>
            </w:r>
          </w:p>
        </w:tc>
        <w:tc>
          <w:tcPr>
            <w:tcW w:w="552" w:type="pct"/>
            <w:tcBorders>
              <w:top w:val="nil"/>
              <w:left w:val="nil"/>
              <w:bottom w:val="nil"/>
              <w:right w:val="nil"/>
            </w:tcBorders>
            <w:shd w:val="clear" w:color="auto" w:fill="auto"/>
            <w:noWrap/>
            <w:vAlign w:val="bottom"/>
            <w:hideMark/>
          </w:tcPr>
          <w:p w14:paraId="702AC686" w14:textId="2CFB5159"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-0.076</w:t>
            </w:r>
          </w:p>
          <w:p w14:paraId="128CB7C5" w14:textId="30DEF8DE" w:rsidR="00E77B63" w:rsidRPr="00245E91" w:rsidRDefault="00B85457" w:rsidP="0042373A">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(-2.17**)</w:t>
            </w:r>
          </w:p>
        </w:tc>
        <w:tc>
          <w:tcPr>
            <w:tcW w:w="561" w:type="pct"/>
            <w:tcBorders>
              <w:top w:val="nil"/>
              <w:left w:val="nil"/>
              <w:bottom w:val="nil"/>
              <w:right w:val="single" w:sz="4" w:space="0" w:color="auto"/>
            </w:tcBorders>
            <w:shd w:val="clear" w:color="auto" w:fill="auto"/>
            <w:noWrap/>
            <w:vAlign w:val="bottom"/>
            <w:hideMark/>
          </w:tcPr>
          <w:p w14:paraId="02C6F60A" w14:textId="262817D0"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-0.073</w:t>
            </w:r>
          </w:p>
          <w:p w14:paraId="3B72AE0C" w14:textId="0CAD64A0" w:rsidR="00E77B63" w:rsidRPr="00245E91" w:rsidRDefault="00B85457" w:rsidP="0042373A">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(-2.08**)</w:t>
            </w:r>
          </w:p>
        </w:tc>
        <w:tc>
          <w:tcPr>
            <w:tcW w:w="551" w:type="pct"/>
            <w:tcBorders>
              <w:top w:val="nil"/>
              <w:left w:val="single" w:sz="4" w:space="0" w:color="auto"/>
              <w:bottom w:val="nil"/>
              <w:right w:val="nil"/>
            </w:tcBorders>
            <w:shd w:val="clear" w:color="auto" w:fill="auto"/>
            <w:noWrap/>
            <w:vAlign w:val="bottom"/>
            <w:hideMark/>
          </w:tcPr>
          <w:p w14:paraId="6E7053CE" w14:textId="0E4A955B"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0.074</w:t>
            </w:r>
          </w:p>
          <w:p w14:paraId="398BE604" w14:textId="3525A3B2" w:rsidR="00E77B63" w:rsidRPr="00245E91" w:rsidRDefault="00B85457" w:rsidP="0042373A">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(1.54)</w:t>
            </w:r>
          </w:p>
        </w:tc>
        <w:tc>
          <w:tcPr>
            <w:tcW w:w="549" w:type="pct"/>
            <w:tcBorders>
              <w:top w:val="nil"/>
              <w:left w:val="nil"/>
              <w:bottom w:val="nil"/>
              <w:right w:val="nil"/>
            </w:tcBorders>
            <w:shd w:val="clear" w:color="auto" w:fill="auto"/>
            <w:noWrap/>
            <w:vAlign w:val="bottom"/>
            <w:hideMark/>
          </w:tcPr>
          <w:p w14:paraId="20A31808" w14:textId="416335EA"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0.070</w:t>
            </w:r>
          </w:p>
          <w:p w14:paraId="4703F142" w14:textId="27BE1844" w:rsidR="00E77B63" w:rsidRPr="00245E91" w:rsidRDefault="00B85457" w:rsidP="0042373A">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(1.80*)</w:t>
            </w:r>
          </w:p>
        </w:tc>
        <w:tc>
          <w:tcPr>
            <w:tcW w:w="549" w:type="pct"/>
            <w:tcBorders>
              <w:top w:val="nil"/>
              <w:left w:val="nil"/>
              <w:bottom w:val="nil"/>
              <w:right w:val="nil"/>
            </w:tcBorders>
            <w:shd w:val="clear" w:color="auto" w:fill="auto"/>
            <w:noWrap/>
            <w:vAlign w:val="bottom"/>
            <w:hideMark/>
          </w:tcPr>
          <w:p w14:paraId="246EB770" w14:textId="1C77B38D"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0.009</w:t>
            </w:r>
          </w:p>
          <w:p w14:paraId="7D4B4797" w14:textId="52AC3133" w:rsidR="00E77B63" w:rsidRPr="00245E91" w:rsidRDefault="00B85457" w:rsidP="0042373A">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(0.56)</w:t>
            </w:r>
          </w:p>
        </w:tc>
        <w:tc>
          <w:tcPr>
            <w:tcW w:w="559" w:type="pct"/>
            <w:tcBorders>
              <w:top w:val="nil"/>
              <w:left w:val="nil"/>
              <w:bottom w:val="nil"/>
              <w:right w:val="nil"/>
            </w:tcBorders>
            <w:shd w:val="clear" w:color="auto" w:fill="auto"/>
            <w:noWrap/>
            <w:vAlign w:val="bottom"/>
            <w:hideMark/>
          </w:tcPr>
          <w:p w14:paraId="1A90D258" w14:textId="65239854"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0.009</w:t>
            </w:r>
          </w:p>
          <w:p w14:paraId="4C066B29" w14:textId="02B07FD8" w:rsidR="00E77B63" w:rsidRPr="00245E91" w:rsidRDefault="00B85457" w:rsidP="0042373A">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(0.51)</w:t>
            </w:r>
          </w:p>
        </w:tc>
      </w:tr>
      <w:tr w:rsidR="00C9320F" w:rsidRPr="00245E91" w14:paraId="1351D46B" w14:textId="77777777" w:rsidTr="00D83DD8">
        <w:trPr>
          <w:trHeight w:val="240"/>
        </w:trPr>
        <w:tc>
          <w:tcPr>
            <w:tcW w:w="570" w:type="pct"/>
            <w:tcBorders>
              <w:top w:val="nil"/>
              <w:left w:val="nil"/>
              <w:bottom w:val="nil"/>
              <w:right w:val="nil"/>
            </w:tcBorders>
            <w:shd w:val="clear" w:color="auto" w:fill="auto"/>
            <w:noWrap/>
            <w:vAlign w:val="bottom"/>
            <w:hideMark/>
          </w:tcPr>
          <w:p w14:paraId="77480057" w14:textId="77777777" w:rsidR="002B12BF" w:rsidRPr="00245E91" w:rsidRDefault="002B12BF" w:rsidP="00194092">
            <w:pPr>
              <w:spacing w:after="0" w:line="240" w:lineRule="auto"/>
              <w:ind w:right="-194"/>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NUMANALYST</w:t>
            </w:r>
          </w:p>
          <w:p w14:paraId="7C024B29" w14:textId="7263BC9E" w:rsidR="00E77B63" w:rsidRPr="00245E91" w:rsidRDefault="00E77B63" w:rsidP="00194092">
            <w:pPr>
              <w:spacing w:after="0" w:line="240" w:lineRule="auto"/>
              <w:ind w:right="-194"/>
              <w:contextualSpacing/>
              <w:rPr>
                <w:rFonts w:ascii="Times New Roman" w:eastAsia="Times New Roman" w:hAnsi="Times New Roman"/>
                <w:i/>
                <w:color w:val="000000"/>
                <w:sz w:val="15"/>
                <w:szCs w:val="15"/>
              </w:rPr>
            </w:pPr>
          </w:p>
        </w:tc>
        <w:tc>
          <w:tcPr>
            <w:tcW w:w="554" w:type="pct"/>
            <w:tcBorders>
              <w:top w:val="nil"/>
              <w:left w:val="nil"/>
              <w:bottom w:val="nil"/>
              <w:right w:val="nil"/>
            </w:tcBorders>
            <w:shd w:val="clear" w:color="auto" w:fill="auto"/>
            <w:noWrap/>
            <w:vAlign w:val="bottom"/>
            <w:hideMark/>
          </w:tcPr>
          <w:p w14:paraId="4E55231D"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-0.035</w:t>
            </w:r>
          </w:p>
          <w:p w14:paraId="7F0A6465" w14:textId="5786E4BA"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(-0.69)</w:t>
            </w:r>
          </w:p>
        </w:tc>
        <w:tc>
          <w:tcPr>
            <w:tcW w:w="552" w:type="pct"/>
            <w:tcBorders>
              <w:top w:val="nil"/>
              <w:left w:val="nil"/>
              <w:bottom w:val="nil"/>
              <w:right w:val="nil"/>
            </w:tcBorders>
            <w:shd w:val="clear" w:color="auto" w:fill="auto"/>
            <w:noWrap/>
            <w:vAlign w:val="bottom"/>
            <w:hideMark/>
          </w:tcPr>
          <w:p w14:paraId="2FF3BFC7"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-0.032</w:t>
            </w:r>
          </w:p>
          <w:p w14:paraId="4CBA6450" w14:textId="3F9D4773"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(-0.74)</w:t>
            </w:r>
          </w:p>
        </w:tc>
        <w:tc>
          <w:tcPr>
            <w:tcW w:w="552" w:type="pct"/>
            <w:tcBorders>
              <w:top w:val="nil"/>
              <w:left w:val="nil"/>
              <w:bottom w:val="nil"/>
              <w:right w:val="nil"/>
            </w:tcBorders>
            <w:shd w:val="clear" w:color="auto" w:fill="auto"/>
            <w:noWrap/>
            <w:vAlign w:val="bottom"/>
            <w:hideMark/>
          </w:tcPr>
          <w:p w14:paraId="5EED4788"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0.090</w:t>
            </w:r>
          </w:p>
          <w:p w14:paraId="25A72103" w14:textId="1D18156B"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(3.11***)</w:t>
            </w:r>
          </w:p>
        </w:tc>
        <w:tc>
          <w:tcPr>
            <w:tcW w:w="561" w:type="pct"/>
            <w:tcBorders>
              <w:top w:val="nil"/>
              <w:left w:val="nil"/>
              <w:bottom w:val="nil"/>
              <w:right w:val="single" w:sz="4" w:space="0" w:color="auto"/>
            </w:tcBorders>
            <w:shd w:val="clear" w:color="auto" w:fill="auto"/>
            <w:noWrap/>
            <w:vAlign w:val="bottom"/>
            <w:hideMark/>
          </w:tcPr>
          <w:p w14:paraId="3132C26E"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0.088</w:t>
            </w:r>
          </w:p>
          <w:p w14:paraId="17AA42AA" w14:textId="3D4544FD"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(3.00***)</w:t>
            </w:r>
          </w:p>
        </w:tc>
        <w:tc>
          <w:tcPr>
            <w:tcW w:w="551" w:type="pct"/>
            <w:tcBorders>
              <w:top w:val="nil"/>
              <w:left w:val="single" w:sz="4" w:space="0" w:color="auto"/>
              <w:bottom w:val="nil"/>
              <w:right w:val="nil"/>
            </w:tcBorders>
            <w:shd w:val="clear" w:color="auto" w:fill="auto"/>
            <w:noWrap/>
            <w:vAlign w:val="bottom"/>
            <w:hideMark/>
          </w:tcPr>
          <w:p w14:paraId="6D509EB7"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-0.060</w:t>
            </w:r>
          </w:p>
          <w:p w14:paraId="79CC2DAD" w14:textId="47E46A8D"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(-1.80*)</w:t>
            </w:r>
          </w:p>
        </w:tc>
        <w:tc>
          <w:tcPr>
            <w:tcW w:w="549" w:type="pct"/>
            <w:tcBorders>
              <w:top w:val="nil"/>
              <w:left w:val="nil"/>
              <w:bottom w:val="nil"/>
              <w:right w:val="nil"/>
            </w:tcBorders>
            <w:shd w:val="clear" w:color="auto" w:fill="auto"/>
            <w:noWrap/>
            <w:vAlign w:val="bottom"/>
            <w:hideMark/>
          </w:tcPr>
          <w:p w14:paraId="07784B31"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-0.066</w:t>
            </w:r>
          </w:p>
          <w:p w14:paraId="29012F59" w14:textId="02CB4E3A"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(-2.05**)</w:t>
            </w:r>
          </w:p>
        </w:tc>
        <w:tc>
          <w:tcPr>
            <w:tcW w:w="549" w:type="pct"/>
            <w:tcBorders>
              <w:top w:val="nil"/>
              <w:left w:val="nil"/>
              <w:bottom w:val="nil"/>
              <w:right w:val="nil"/>
            </w:tcBorders>
            <w:shd w:val="clear" w:color="auto" w:fill="auto"/>
            <w:noWrap/>
            <w:vAlign w:val="bottom"/>
            <w:hideMark/>
          </w:tcPr>
          <w:p w14:paraId="0097D07E"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0.014</w:t>
            </w:r>
          </w:p>
          <w:p w14:paraId="2D823995" w14:textId="6EBE56AB"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(0.73)</w:t>
            </w:r>
          </w:p>
        </w:tc>
        <w:tc>
          <w:tcPr>
            <w:tcW w:w="559" w:type="pct"/>
            <w:tcBorders>
              <w:top w:val="nil"/>
              <w:left w:val="nil"/>
              <w:bottom w:val="nil"/>
              <w:right w:val="nil"/>
            </w:tcBorders>
            <w:shd w:val="clear" w:color="auto" w:fill="auto"/>
            <w:noWrap/>
            <w:vAlign w:val="bottom"/>
            <w:hideMark/>
          </w:tcPr>
          <w:p w14:paraId="3F06B0FF"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0.013</w:t>
            </w:r>
          </w:p>
          <w:p w14:paraId="77E7D135" w14:textId="6F4C14FD"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(0.67)</w:t>
            </w:r>
          </w:p>
        </w:tc>
      </w:tr>
      <w:tr w:rsidR="00C9320F" w:rsidRPr="00245E91" w14:paraId="4705CE37" w14:textId="77777777" w:rsidTr="00D83DD8">
        <w:trPr>
          <w:trHeight w:val="240"/>
        </w:trPr>
        <w:tc>
          <w:tcPr>
            <w:tcW w:w="570" w:type="pct"/>
            <w:tcBorders>
              <w:top w:val="nil"/>
              <w:left w:val="nil"/>
              <w:bottom w:val="nil"/>
              <w:right w:val="nil"/>
            </w:tcBorders>
            <w:shd w:val="clear" w:color="auto" w:fill="auto"/>
            <w:noWrap/>
            <w:vAlign w:val="bottom"/>
            <w:hideMark/>
          </w:tcPr>
          <w:p w14:paraId="6A258AB7" w14:textId="77777777" w:rsidR="002B12BF" w:rsidRPr="00245E91" w:rsidRDefault="002B12BF" w:rsidP="00194092">
            <w:pPr>
              <w:spacing w:after="0" w:line="240" w:lineRule="auto"/>
              <w:ind w:right="-194"/>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SOX</w:t>
            </w:r>
          </w:p>
          <w:p w14:paraId="618E4EAD" w14:textId="681AE08E" w:rsidR="00E77B63" w:rsidRPr="00245E91" w:rsidRDefault="00E77B63" w:rsidP="00194092">
            <w:pPr>
              <w:spacing w:after="0" w:line="240" w:lineRule="auto"/>
              <w:ind w:right="-194"/>
              <w:contextualSpacing/>
              <w:rPr>
                <w:rFonts w:ascii="Times New Roman" w:eastAsia="Times New Roman" w:hAnsi="Times New Roman"/>
                <w:i/>
                <w:color w:val="000000"/>
                <w:sz w:val="15"/>
                <w:szCs w:val="15"/>
              </w:rPr>
            </w:pPr>
          </w:p>
        </w:tc>
        <w:tc>
          <w:tcPr>
            <w:tcW w:w="554" w:type="pct"/>
            <w:tcBorders>
              <w:top w:val="nil"/>
              <w:left w:val="nil"/>
              <w:bottom w:val="nil"/>
              <w:right w:val="nil"/>
            </w:tcBorders>
            <w:shd w:val="clear" w:color="auto" w:fill="auto"/>
            <w:noWrap/>
            <w:vAlign w:val="bottom"/>
            <w:hideMark/>
          </w:tcPr>
          <w:p w14:paraId="057C0744"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0.054</w:t>
            </w:r>
          </w:p>
          <w:p w14:paraId="2B6D1FFC" w14:textId="48E9646F"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(0.24)</w:t>
            </w:r>
          </w:p>
        </w:tc>
        <w:tc>
          <w:tcPr>
            <w:tcW w:w="552" w:type="pct"/>
            <w:tcBorders>
              <w:top w:val="nil"/>
              <w:left w:val="nil"/>
              <w:bottom w:val="nil"/>
              <w:right w:val="nil"/>
            </w:tcBorders>
            <w:shd w:val="clear" w:color="auto" w:fill="auto"/>
            <w:noWrap/>
            <w:vAlign w:val="bottom"/>
            <w:hideMark/>
          </w:tcPr>
          <w:p w14:paraId="68FCCD90"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-0.357</w:t>
            </w:r>
          </w:p>
          <w:p w14:paraId="1470D7EC" w14:textId="642085E8"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(-2.86***)</w:t>
            </w:r>
          </w:p>
        </w:tc>
        <w:tc>
          <w:tcPr>
            <w:tcW w:w="552" w:type="pct"/>
            <w:tcBorders>
              <w:top w:val="nil"/>
              <w:left w:val="nil"/>
              <w:bottom w:val="nil"/>
              <w:right w:val="nil"/>
            </w:tcBorders>
            <w:shd w:val="clear" w:color="auto" w:fill="auto"/>
            <w:noWrap/>
            <w:vAlign w:val="bottom"/>
            <w:hideMark/>
          </w:tcPr>
          <w:p w14:paraId="66BE7F4E"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0.348</w:t>
            </w:r>
          </w:p>
          <w:p w14:paraId="48183640" w14:textId="78DDBCE2"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(1.760*)</w:t>
            </w:r>
          </w:p>
        </w:tc>
        <w:tc>
          <w:tcPr>
            <w:tcW w:w="561" w:type="pct"/>
            <w:tcBorders>
              <w:top w:val="nil"/>
              <w:left w:val="nil"/>
              <w:bottom w:val="nil"/>
              <w:right w:val="single" w:sz="4" w:space="0" w:color="auto"/>
            </w:tcBorders>
            <w:shd w:val="clear" w:color="auto" w:fill="auto"/>
            <w:noWrap/>
            <w:vAlign w:val="bottom"/>
            <w:hideMark/>
          </w:tcPr>
          <w:p w14:paraId="5BA31BE9"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0.365</w:t>
            </w:r>
          </w:p>
          <w:p w14:paraId="63E613F5" w14:textId="269FB5F0"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(1.98**)</w:t>
            </w:r>
          </w:p>
        </w:tc>
        <w:tc>
          <w:tcPr>
            <w:tcW w:w="551" w:type="pct"/>
            <w:tcBorders>
              <w:top w:val="nil"/>
              <w:left w:val="single" w:sz="4" w:space="0" w:color="auto"/>
              <w:bottom w:val="nil"/>
              <w:right w:val="nil"/>
            </w:tcBorders>
            <w:shd w:val="clear" w:color="auto" w:fill="auto"/>
            <w:noWrap/>
            <w:vAlign w:val="bottom"/>
            <w:hideMark/>
          </w:tcPr>
          <w:p w14:paraId="50BCDBD1"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-0.076</w:t>
            </w:r>
          </w:p>
          <w:p w14:paraId="0C988EA0" w14:textId="18D57ABF"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(-0.23)</w:t>
            </w:r>
          </w:p>
        </w:tc>
        <w:tc>
          <w:tcPr>
            <w:tcW w:w="549" w:type="pct"/>
            <w:tcBorders>
              <w:top w:val="nil"/>
              <w:left w:val="nil"/>
              <w:bottom w:val="nil"/>
              <w:right w:val="nil"/>
            </w:tcBorders>
            <w:shd w:val="clear" w:color="auto" w:fill="auto"/>
            <w:noWrap/>
            <w:vAlign w:val="bottom"/>
            <w:hideMark/>
          </w:tcPr>
          <w:p w14:paraId="12BD1535"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-0.224</w:t>
            </w:r>
          </w:p>
          <w:p w14:paraId="53A443D3" w14:textId="787210EF"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(-0.74)</w:t>
            </w:r>
          </w:p>
        </w:tc>
        <w:tc>
          <w:tcPr>
            <w:tcW w:w="549" w:type="pct"/>
            <w:tcBorders>
              <w:top w:val="nil"/>
              <w:left w:val="nil"/>
              <w:bottom w:val="nil"/>
              <w:right w:val="nil"/>
            </w:tcBorders>
            <w:shd w:val="clear" w:color="auto" w:fill="auto"/>
            <w:noWrap/>
            <w:vAlign w:val="bottom"/>
            <w:hideMark/>
          </w:tcPr>
          <w:p w14:paraId="1BE41E16"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0.136</w:t>
            </w:r>
          </w:p>
          <w:p w14:paraId="5FCADC3A" w14:textId="48B7316C"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(0.89)</w:t>
            </w:r>
          </w:p>
        </w:tc>
        <w:tc>
          <w:tcPr>
            <w:tcW w:w="559" w:type="pct"/>
            <w:tcBorders>
              <w:top w:val="nil"/>
              <w:left w:val="nil"/>
              <w:bottom w:val="nil"/>
              <w:right w:val="nil"/>
            </w:tcBorders>
            <w:shd w:val="clear" w:color="auto" w:fill="auto"/>
            <w:noWrap/>
            <w:vAlign w:val="bottom"/>
            <w:hideMark/>
          </w:tcPr>
          <w:p w14:paraId="61009724"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0.120</w:t>
            </w:r>
          </w:p>
          <w:p w14:paraId="046F9077" w14:textId="7410BBB9"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(0.76)</w:t>
            </w:r>
          </w:p>
        </w:tc>
      </w:tr>
      <w:tr w:rsidR="00C9320F" w:rsidRPr="00245E91" w14:paraId="3452534F" w14:textId="77777777" w:rsidTr="00D83DD8">
        <w:trPr>
          <w:trHeight w:val="240"/>
        </w:trPr>
        <w:tc>
          <w:tcPr>
            <w:tcW w:w="570" w:type="pct"/>
            <w:tcBorders>
              <w:top w:val="nil"/>
              <w:left w:val="nil"/>
              <w:bottom w:val="nil"/>
              <w:right w:val="nil"/>
            </w:tcBorders>
            <w:shd w:val="clear" w:color="auto" w:fill="auto"/>
            <w:noWrap/>
            <w:vAlign w:val="bottom"/>
            <w:hideMark/>
          </w:tcPr>
          <w:p w14:paraId="093F584D" w14:textId="77777777" w:rsidR="002B12BF" w:rsidRPr="00245E91" w:rsidRDefault="002B12BF" w:rsidP="00194092">
            <w:pPr>
              <w:spacing w:after="0" w:line="240" w:lineRule="auto"/>
              <w:ind w:right="-194"/>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RESID_RM1</w:t>
            </w:r>
          </w:p>
          <w:p w14:paraId="57918BD5" w14:textId="702652B2" w:rsidR="00E77B63" w:rsidRPr="00245E91" w:rsidRDefault="00E77B63" w:rsidP="00194092">
            <w:pPr>
              <w:spacing w:after="0" w:line="240" w:lineRule="auto"/>
              <w:ind w:right="-194"/>
              <w:contextualSpacing/>
              <w:rPr>
                <w:rFonts w:ascii="Times New Roman" w:eastAsia="Times New Roman" w:hAnsi="Times New Roman"/>
                <w:i/>
                <w:color w:val="000000"/>
                <w:sz w:val="15"/>
                <w:szCs w:val="15"/>
              </w:rPr>
            </w:pPr>
          </w:p>
        </w:tc>
        <w:tc>
          <w:tcPr>
            <w:tcW w:w="554" w:type="pct"/>
            <w:tcBorders>
              <w:top w:val="nil"/>
              <w:left w:val="nil"/>
              <w:bottom w:val="nil"/>
              <w:right w:val="nil"/>
            </w:tcBorders>
            <w:shd w:val="clear" w:color="auto" w:fill="auto"/>
            <w:noWrap/>
            <w:vAlign w:val="bottom"/>
            <w:hideMark/>
          </w:tcPr>
          <w:p w14:paraId="05AE5D8C" w14:textId="77777777" w:rsidR="002B12BF" w:rsidRPr="00245E91" w:rsidRDefault="002B12BF" w:rsidP="00194092">
            <w:pPr>
              <w:spacing w:line="240" w:lineRule="auto"/>
              <w:contextualSpacing/>
              <w:rPr>
                <w:rFonts w:ascii="Times New Roman" w:hAnsi="Times New Roman"/>
                <w:color w:val="000000"/>
                <w:sz w:val="15"/>
                <w:szCs w:val="15"/>
              </w:rPr>
            </w:pPr>
          </w:p>
        </w:tc>
        <w:tc>
          <w:tcPr>
            <w:tcW w:w="552" w:type="pct"/>
            <w:tcBorders>
              <w:top w:val="nil"/>
              <w:left w:val="nil"/>
              <w:bottom w:val="nil"/>
              <w:right w:val="nil"/>
            </w:tcBorders>
            <w:shd w:val="clear" w:color="auto" w:fill="auto"/>
            <w:noWrap/>
            <w:vAlign w:val="bottom"/>
            <w:hideMark/>
          </w:tcPr>
          <w:p w14:paraId="0D477E4F" w14:textId="77777777" w:rsidR="002B12BF" w:rsidRPr="00245E91" w:rsidRDefault="002B12BF" w:rsidP="00194092">
            <w:pPr>
              <w:spacing w:line="240" w:lineRule="auto"/>
              <w:contextualSpacing/>
              <w:rPr>
                <w:rFonts w:ascii="Times New Roman" w:hAnsi="Times New Roman"/>
                <w:sz w:val="15"/>
                <w:szCs w:val="15"/>
              </w:rPr>
            </w:pPr>
          </w:p>
        </w:tc>
        <w:tc>
          <w:tcPr>
            <w:tcW w:w="552" w:type="pct"/>
            <w:tcBorders>
              <w:top w:val="nil"/>
              <w:left w:val="nil"/>
              <w:bottom w:val="nil"/>
              <w:right w:val="nil"/>
            </w:tcBorders>
            <w:shd w:val="clear" w:color="auto" w:fill="auto"/>
            <w:noWrap/>
            <w:vAlign w:val="bottom"/>
            <w:hideMark/>
          </w:tcPr>
          <w:p w14:paraId="1CFE13C4"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0.113</w:t>
            </w:r>
          </w:p>
          <w:p w14:paraId="0AC543E4" w14:textId="6019B3AF" w:rsidR="00B85457"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(2.60***)</w:t>
            </w:r>
          </w:p>
        </w:tc>
        <w:tc>
          <w:tcPr>
            <w:tcW w:w="561" w:type="pct"/>
            <w:tcBorders>
              <w:top w:val="nil"/>
              <w:left w:val="nil"/>
              <w:bottom w:val="nil"/>
              <w:right w:val="single" w:sz="4" w:space="0" w:color="auto"/>
            </w:tcBorders>
            <w:shd w:val="clear" w:color="auto" w:fill="auto"/>
            <w:noWrap/>
            <w:vAlign w:val="bottom"/>
            <w:hideMark/>
          </w:tcPr>
          <w:p w14:paraId="4CCA353A" w14:textId="77777777" w:rsidR="002B12BF" w:rsidRPr="00245E91" w:rsidRDefault="002B12BF" w:rsidP="00194092">
            <w:pPr>
              <w:spacing w:line="240" w:lineRule="auto"/>
              <w:contextualSpacing/>
              <w:rPr>
                <w:rFonts w:ascii="Times New Roman" w:hAnsi="Times New Roman"/>
                <w:color w:val="000000"/>
                <w:sz w:val="15"/>
                <w:szCs w:val="15"/>
              </w:rPr>
            </w:pPr>
          </w:p>
        </w:tc>
        <w:tc>
          <w:tcPr>
            <w:tcW w:w="551" w:type="pct"/>
            <w:tcBorders>
              <w:top w:val="nil"/>
              <w:left w:val="single" w:sz="4" w:space="0" w:color="auto"/>
              <w:bottom w:val="nil"/>
              <w:right w:val="nil"/>
            </w:tcBorders>
            <w:shd w:val="clear" w:color="auto" w:fill="auto"/>
            <w:noWrap/>
            <w:vAlign w:val="bottom"/>
            <w:hideMark/>
          </w:tcPr>
          <w:p w14:paraId="0468E324" w14:textId="77777777" w:rsidR="002B12BF" w:rsidRPr="00245E91" w:rsidRDefault="002B12BF" w:rsidP="00194092">
            <w:pPr>
              <w:spacing w:line="240" w:lineRule="auto"/>
              <w:contextualSpacing/>
              <w:rPr>
                <w:rFonts w:ascii="Times New Roman" w:hAnsi="Times New Roman"/>
                <w:sz w:val="15"/>
                <w:szCs w:val="15"/>
              </w:rPr>
            </w:pPr>
          </w:p>
        </w:tc>
        <w:tc>
          <w:tcPr>
            <w:tcW w:w="549" w:type="pct"/>
            <w:tcBorders>
              <w:top w:val="nil"/>
              <w:left w:val="nil"/>
              <w:bottom w:val="nil"/>
              <w:right w:val="nil"/>
            </w:tcBorders>
            <w:shd w:val="clear" w:color="auto" w:fill="auto"/>
            <w:noWrap/>
            <w:vAlign w:val="bottom"/>
            <w:hideMark/>
          </w:tcPr>
          <w:p w14:paraId="46DE933A" w14:textId="77777777" w:rsidR="002B12BF" w:rsidRPr="00245E91" w:rsidRDefault="002B12BF" w:rsidP="00194092">
            <w:pPr>
              <w:spacing w:line="240" w:lineRule="auto"/>
              <w:contextualSpacing/>
              <w:rPr>
                <w:rFonts w:ascii="Times New Roman" w:hAnsi="Times New Roman"/>
                <w:sz w:val="15"/>
                <w:szCs w:val="15"/>
              </w:rPr>
            </w:pPr>
          </w:p>
        </w:tc>
        <w:tc>
          <w:tcPr>
            <w:tcW w:w="549" w:type="pct"/>
            <w:tcBorders>
              <w:top w:val="nil"/>
              <w:left w:val="nil"/>
              <w:bottom w:val="nil"/>
              <w:right w:val="nil"/>
            </w:tcBorders>
            <w:shd w:val="clear" w:color="auto" w:fill="auto"/>
            <w:noWrap/>
            <w:vAlign w:val="bottom"/>
            <w:hideMark/>
          </w:tcPr>
          <w:p w14:paraId="763E26C8"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0.134</w:t>
            </w:r>
          </w:p>
          <w:p w14:paraId="63C2E5EB" w14:textId="1BB0EBED" w:rsidR="00B85457"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(3.38***)</w:t>
            </w:r>
          </w:p>
        </w:tc>
        <w:tc>
          <w:tcPr>
            <w:tcW w:w="559" w:type="pct"/>
            <w:tcBorders>
              <w:top w:val="nil"/>
              <w:left w:val="nil"/>
              <w:bottom w:val="nil"/>
              <w:right w:val="nil"/>
            </w:tcBorders>
            <w:shd w:val="clear" w:color="auto" w:fill="auto"/>
            <w:noWrap/>
            <w:vAlign w:val="bottom"/>
            <w:hideMark/>
          </w:tcPr>
          <w:p w14:paraId="46FB5E02" w14:textId="77777777" w:rsidR="002B12BF" w:rsidRPr="00245E91" w:rsidRDefault="002B12BF" w:rsidP="00194092">
            <w:pPr>
              <w:spacing w:line="240" w:lineRule="auto"/>
              <w:contextualSpacing/>
              <w:rPr>
                <w:rFonts w:ascii="Times New Roman" w:hAnsi="Times New Roman"/>
                <w:color w:val="000000"/>
                <w:sz w:val="15"/>
                <w:szCs w:val="15"/>
              </w:rPr>
            </w:pPr>
          </w:p>
        </w:tc>
      </w:tr>
      <w:tr w:rsidR="00C9320F" w:rsidRPr="00245E91" w14:paraId="4CF93423" w14:textId="77777777" w:rsidTr="00D83DD8">
        <w:trPr>
          <w:trHeight w:val="240"/>
        </w:trPr>
        <w:tc>
          <w:tcPr>
            <w:tcW w:w="570" w:type="pct"/>
            <w:tcBorders>
              <w:top w:val="nil"/>
              <w:left w:val="nil"/>
              <w:bottom w:val="nil"/>
              <w:right w:val="nil"/>
            </w:tcBorders>
            <w:shd w:val="clear" w:color="auto" w:fill="auto"/>
            <w:noWrap/>
            <w:vAlign w:val="bottom"/>
            <w:hideMark/>
          </w:tcPr>
          <w:p w14:paraId="7F67A22B" w14:textId="16FCE2B4" w:rsidR="00B85457" w:rsidRPr="00245E91" w:rsidRDefault="002B12BF" w:rsidP="00194092">
            <w:pPr>
              <w:spacing w:after="0" w:line="240" w:lineRule="auto"/>
              <w:ind w:right="-194"/>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RESID_RM2</w:t>
            </w:r>
          </w:p>
          <w:p w14:paraId="1D4317C1" w14:textId="60F1D71C" w:rsidR="00E77B63" w:rsidRPr="00245E91" w:rsidRDefault="00E77B63" w:rsidP="00194092">
            <w:pPr>
              <w:spacing w:after="0" w:line="240" w:lineRule="auto"/>
              <w:ind w:right="-194"/>
              <w:contextualSpacing/>
              <w:rPr>
                <w:rFonts w:ascii="Times New Roman" w:eastAsia="Times New Roman" w:hAnsi="Times New Roman"/>
                <w:i/>
                <w:color w:val="000000"/>
                <w:sz w:val="15"/>
                <w:szCs w:val="15"/>
              </w:rPr>
            </w:pPr>
          </w:p>
        </w:tc>
        <w:tc>
          <w:tcPr>
            <w:tcW w:w="554" w:type="pct"/>
            <w:tcBorders>
              <w:top w:val="nil"/>
              <w:left w:val="nil"/>
              <w:bottom w:val="nil"/>
              <w:right w:val="nil"/>
            </w:tcBorders>
            <w:shd w:val="clear" w:color="auto" w:fill="auto"/>
            <w:noWrap/>
            <w:vAlign w:val="bottom"/>
            <w:hideMark/>
          </w:tcPr>
          <w:p w14:paraId="31F31364" w14:textId="77777777" w:rsidR="002B12BF" w:rsidRPr="00245E91" w:rsidRDefault="002B12BF" w:rsidP="00194092">
            <w:pPr>
              <w:spacing w:line="240" w:lineRule="auto"/>
              <w:contextualSpacing/>
              <w:rPr>
                <w:rFonts w:ascii="Times New Roman" w:hAnsi="Times New Roman"/>
                <w:sz w:val="15"/>
                <w:szCs w:val="15"/>
              </w:rPr>
            </w:pPr>
          </w:p>
        </w:tc>
        <w:tc>
          <w:tcPr>
            <w:tcW w:w="552" w:type="pct"/>
            <w:tcBorders>
              <w:top w:val="nil"/>
              <w:left w:val="nil"/>
              <w:bottom w:val="nil"/>
              <w:right w:val="nil"/>
            </w:tcBorders>
            <w:shd w:val="clear" w:color="auto" w:fill="auto"/>
            <w:noWrap/>
            <w:vAlign w:val="bottom"/>
            <w:hideMark/>
          </w:tcPr>
          <w:p w14:paraId="553BB9B8" w14:textId="77777777" w:rsidR="002B12BF" w:rsidRPr="00245E91" w:rsidRDefault="002B12BF" w:rsidP="00194092">
            <w:pPr>
              <w:spacing w:line="240" w:lineRule="auto"/>
              <w:contextualSpacing/>
              <w:rPr>
                <w:rFonts w:ascii="Times New Roman" w:hAnsi="Times New Roman"/>
                <w:sz w:val="15"/>
                <w:szCs w:val="15"/>
              </w:rPr>
            </w:pPr>
          </w:p>
        </w:tc>
        <w:tc>
          <w:tcPr>
            <w:tcW w:w="552" w:type="pct"/>
            <w:tcBorders>
              <w:top w:val="nil"/>
              <w:left w:val="nil"/>
              <w:bottom w:val="nil"/>
              <w:right w:val="nil"/>
            </w:tcBorders>
            <w:shd w:val="clear" w:color="auto" w:fill="auto"/>
            <w:noWrap/>
            <w:vAlign w:val="bottom"/>
            <w:hideMark/>
          </w:tcPr>
          <w:p w14:paraId="6F50B23D" w14:textId="77777777" w:rsidR="002B12BF" w:rsidRPr="00245E91" w:rsidRDefault="002B12BF" w:rsidP="00194092">
            <w:pPr>
              <w:spacing w:line="240" w:lineRule="auto"/>
              <w:contextualSpacing/>
              <w:rPr>
                <w:rFonts w:ascii="Times New Roman" w:hAnsi="Times New Roman"/>
                <w:sz w:val="15"/>
                <w:szCs w:val="15"/>
              </w:rPr>
            </w:pPr>
          </w:p>
        </w:tc>
        <w:tc>
          <w:tcPr>
            <w:tcW w:w="561" w:type="pct"/>
            <w:tcBorders>
              <w:top w:val="nil"/>
              <w:left w:val="nil"/>
              <w:bottom w:val="nil"/>
              <w:right w:val="single" w:sz="4" w:space="0" w:color="auto"/>
            </w:tcBorders>
            <w:shd w:val="clear" w:color="auto" w:fill="auto"/>
            <w:noWrap/>
            <w:vAlign w:val="bottom"/>
            <w:hideMark/>
          </w:tcPr>
          <w:p w14:paraId="04B10326"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0.149</w:t>
            </w:r>
          </w:p>
          <w:p w14:paraId="05D2CBAB" w14:textId="1F1FEA9D"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(4.65***)</w:t>
            </w:r>
          </w:p>
        </w:tc>
        <w:tc>
          <w:tcPr>
            <w:tcW w:w="551" w:type="pct"/>
            <w:tcBorders>
              <w:top w:val="nil"/>
              <w:left w:val="single" w:sz="4" w:space="0" w:color="auto"/>
              <w:bottom w:val="nil"/>
              <w:right w:val="nil"/>
            </w:tcBorders>
            <w:shd w:val="clear" w:color="auto" w:fill="auto"/>
            <w:noWrap/>
            <w:vAlign w:val="bottom"/>
            <w:hideMark/>
          </w:tcPr>
          <w:p w14:paraId="02DC1C31" w14:textId="77777777" w:rsidR="002B12BF" w:rsidRPr="00245E91" w:rsidRDefault="002B12BF" w:rsidP="00194092">
            <w:pPr>
              <w:spacing w:line="240" w:lineRule="auto"/>
              <w:contextualSpacing/>
              <w:rPr>
                <w:rFonts w:ascii="Times New Roman" w:hAnsi="Times New Roman"/>
                <w:color w:val="000000"/>
                <w:sz w:val="15"/>
                <w:szCs w:val="15"/>
              </w:rPr>
            </w:pPr>
          </w:p>
        </w:tc>
        <w:tc>
          <w:tcPr>
            <w:tcW w:w="549" w:type="pct"/>
            <w:tcBorders>
              <w:top w:val="nil"/>
              <w:left w:val="nil"/>
              <w:bottom w:val="nil"/>
              <w:right w:val="nil"/>
            </w:tcBorders>
            <w:shd w:val="clear" w:color="auto" w:fill="auto"/>
            <w:noWrap/>
            <w:vAlign w:val="bottom"/>
            <w:hideMark/>
          </w:tcPr>
          <w:p w14:paraId="513238B3" w14:textId="77777777" w:rsidR="002B12BF" w:rsidRPr="00245E91" w:rsidRDefault="002B12BF" w:rsidP="00194092">
            <w:pPr>
              <w:spacing w:line="240" w:lineRule="auto"/>
              <w:contextualSpacing/>
              <w:rPr>
                <w:rFonts w:ascii="Times New Roman" w:hAnsi="Times New Roman"/>
                <w:sz w:val="15"/>
                <w:szCs w:val="15"/>
              </w:rPr>
            </w:pPr>
          </w:p>
        </w:tc>
        <w:tc>
          <w:tcPr>
            <w:tcW w:w="549" w:type="pct"/>
            <w:tcBorders>
              <w:top w:val="nil"/>
              <w:left w:val="nil"/>
              <w:bottom w:val="nil"/>
              <w:right w:val="nil"/>
            </w:tcBorders>
            <w:shd w:val="clear" w:color="auto" w:fill="auto"/>
            <w:noWrap/>
            <w:vAlign w:val="bottom"/>
            <w:hideMark/>
          </w:tcPr>
          <w:p w14:paraId="0EB60E03" w14:textId="77777777" w:rsidR="002B12BF" w:rsidRPr="00245E91" w:rsidRDefault="002B12BF" w:rsidP="00194092">
            <w:pPr>
              <w:spacing w:line="240" w:lineRule="auto"/>
              <w:contextualSpacing/>
              <w:rPr>
                <w:rFonts w:ascii="Times New Roman" w:hAnsi="Times New Roman"/>
                <w:sz w:val="15"/>
                <w:szCs w:val="15"/>
              </w:rPr>
            </w:pPr>
          </w:p>
        </w:tc>
        <w:tc>
          <w:tcPr>
            <w:tcW w:w="559" w:type="pct"/>
            <w:tcBorders>
              <w:top w:val="nil"/>
              <w:left w:val="nil"/>
              <w:bottom w:val="nil"/>
              <w:right w:val="nil"/>
            </w:tcBorders>
            <w:shd w:val="clear" w:color="auto" w:fill="auto"/>
            <w:noWrap/>
            <w:vAlign w:val="bottom"/>
            <w:hideMark/>
          </w:tcPr>
          <w:p w14:paraId="4B3DE5F8"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0.129</w:t>
            </w:r>
          </w:p>
          <w:p w14:paraId="7944518B" w14:textId="58E6D98E" w:rsidR="00E77B63" w:rsidRPr="00245E91" w:rsidRDefault="00B85457"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(4.19***)</w:t>
            </w:r>
          </w:p>
        </w:tc>
      </w:tr>
      <w:tr w:rsidR="00C9320F" w:rsidRPr="00245E91" w14:paraId="0A5D8102" w14:textId="77777777" w:rsidTr="00D83DD8">
        <w:trPr>
          <w:trHeight w:val="240"/>
        </w:trPr>
        <w:tc>
          <w:tcPr>
            <w:tcW w:w="570" w:type="pct"/>
            <w:tcBorders>
              <w:top w:val="nil"/>
              <w:left w:val="nil"/>
              <w:bottom w:val="nil"/>
              <w:right w:val="nil"/>
            </w:tcBorders>
            <w:shd w:val="clear" w:color="auto" w:fill="auto"/>
            <w:noWrap/>
            <w:vAlign w:val="bottom"/>
            <w:hideMark/>
          </w:tcPr>
          <w:p w14:paraId="0B11A20D" w14:textId="77777777" w:rsidR="002B12BF" w:rsidRPr="00245E91" w:rsidRDefault="002B12BF" w:rsidP="00194092">
            <w:pPr>
              <w:spacing w:after="0" w:line="240" w:lineRule="auto"/>
              <w:ind w:right="-194"/>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Adj. R-squared</w:t>
            </w:r>
          </w:p>
        </w:tc>
        <w:tc>
          <w:tcPr>
            <w:tcW w:w="554" w:type="pct"/>
            <w:tcBorders>
              <w:top w:val="nil"/>
              <w:left w:val="nil"/>
              <w:bottom w:val="nil"/>
              <w:right w:val="nil"/>
            </w:tcBorders>
            <w:shd w:val="clear" w:color="auto" w:fill="auto"/>
            <w:noWrap/>
            <w:vAlign w:val="bottom"/>
            <w:hideMark/>
          </w:tcPr>
          <w:p w14:paraId="3E828A64" w14:textId="2F432FC4"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w:t>
            </w:r>
            <w:r w:rsidR="002B0ADB" w:rsidRPr="00245E91">
              <w:rPr>
                <w:rFonts w:ascii="Times New Roman" w:hAnsi="Times New Roman"/>
                <w:color w:val="000000"/>
                <w:sz w:val="15"/>
                <w:szCs w:val="15"/>
              </w:rPr>
              <w:t>7</w:t>
            </w:r>
          </w:p>
        </w:tc>
        <w:tc>
          <w:tcPr>
            <w:tcW w:w="552" w:type="pct"/>
            <w:tcBorders>
              <w:top w:val="nil"/>
              <w:left w:val="nil"/>
              <w:bottom w:val="nil"/>
              <w:right w:val="nil"/>
            </w:tcBorders>
            <w:shd w:val="clear" w:color="auto" w:fill="auto"/>
            <w:noWrap/>
            <w:vAlign w:val="bottom"/>
            <w:hideMark/>
          </w:tcPr>
          <w:p w14:paraId="3103E49D" w14:textId="3F8C3916"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0.14</w:t>
            </w:r>
          </w:p>
        </w:tc>
        <w:tc>
          <w:tcPr>
            <w:tcW w:w="552" w:type="pct"/>
            <w:tcBorders>
              <w:top w:val="nil"/>
              <w:left w:val="nil"/>
              <w:bottom w:val="nil"/>
              <w:right w:val="nil"/>
            </w:tcBorders>
            <w:shd w:val="clear" w:color="auto" w:fill="auto"/>
            <w:noWrap/>
            <w:vAlign w:val="bottom"/>
            <w:hideMark/>
          </w:tcPr>
          <w:p w14:paraId="7D661D0B" w14:textId="0176D464"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w:t>
            </w:r>
            <w:r w:rsidR="002B0ADB" w:rsidRPr="00245E91">
              <w:rPr>
                <w:rFonts w:ascii="Times New Roman" w:hAnsi="Times New Roman"/>
                <w:color w:val="000000"/>
                <w:sz w:val="15"/>
                <w:szCs w:val="15"/>
              </w:rPr>
              <w:t>7</w:t>
            </w:r>
          </w:p>
        </w:tc>
        <w:tc>
          <w:tcPr>
            <w:tcW w:w="561" w:type="pct"/>
            <w:tcBorders>
              <w:top w:val="nil"/>
              <w:left w:val="nil"/>
              <w:bottom w:val="nil"/>
              <w:right w:val="single" w:sz="4" w:space="0" w:color="auto"/>
            </w:tcBorders>
            <w:shd w:val="clear" w:color="auto" w:fill="auto"/>
            <w:noWrap/>
            <w:vAlign w:val="bottom"/>
            <w:hideMark/>
          </w:tcPr>
          <w:p w14:paraId="5175302C" w14:textId="46BEBA2C"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w:t>
            </w:r>
            <w:r w:rsidR="002B0ADB" w:rsidRPr="00245E91">
              <w:rPr>
                <w:rFonts w:ascii="Times New Roman" w:hAnsi="Times New Roman"/>
                <w:color w:val="000000"/>
                <w:sz w:val="15"/>
                <w:szCs w:val="15"/>
              </w:rPr>
              <w:t>8</w:t>
            </w:r>
          </w:p>
        </w:tc>
        <w:tc>
          <w:tcPr>
            <w:tcW w:w="551" w:type="pct"/>
            <w:tcBorders>
              <w:top w:val="nil"/>
              <w:left w:val="single" w:sz="4" w:space="0" w:color="auto"/>
              <w:bottom w:val="nil"/>
              <w:right w:val="nil"/>
            </w:tcBorders>
            <w:shd w:val="clear" w:color="auto" w:fill="auto"/>
            <w:noWrap/>
            <w:vAlign w:val="bottom"/>
            <w:hideMark/>
          </w:tcPr>
          <w:p w14:paraId="17C5E785" w14:textId="1DF90C85"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w:t>
            </w:r>
          </w:p>
        </w:tc>
        <w:tc>
          <w:tcPr>
            <w:tcW w:w="549" w:type="pct"/>
            <w:tcBorders>
              <w:top w:val="nil"/>
              <w:left w:val="nil"/>
              <w:bottom w:val="nil"/>
              <w:right w:val="nil"/>
            </w:tcBorders>
            <w:shd w:val="clear" w:color="auto" w:fill="auto"/>
            <w:noWrap/>
            <w:vAlign w:val="bottom"/>
            <w:hideMark/>
          </w:tcPr>
          <w:p w14:paraId="1E4FA37F" w14:textId="766203C9"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w:t>
            </w:r>
            <w:r w:rsidR="002B0ADB" w:rsidRPr="00245E91">
              <w:rPr>
                <w:rFonts w:ascii="Times New Roman" w:hAnsi="Times New Roman"/>
                <w:color w:val="000000"/>
                <w:sz w:val="15"/>
                <w:szCs w:val="15"/>
              </w:rPr>
              <w:t>2</w:t>
            </w:r>
          </w:p>
        </w:tc>
        <w:tc>
          <w:tcPr>
            <w:tcW w:w="549" w:type="pct"/>
            <w:tcBorders>
              <w:top w:val="nil"/>
              <w:left w:val="nil"/>
              <w:bottom w:val="nil"/>
              <w:right w:val="nil"/>
            </w:tcBorders>
            <w:shd w:val="clear" w:color="auto" w:fill="auto"/>
            <w:noWrap/>
            <w:vAlign w:val="bottom"/>
            <w:hideMark/>
          </w:tcPr>
          <w:p w14:paraId="7040123B" w14:textId="29381C13"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0.24</w:t>
            </w:r>
          </w:p>
        </w:tc>
        <w:tc>
          <w:tcPr>
            <w:tcW w:w="559" w:type="pct"/>
            <w:tcBorders>
              <w:top w:val="nil"/>
              <w:left w:val="nil"/>
              <w:bottom w:val="nil"/>
              <w:right w:val="nil"/>
            </w:tcBorders>
            <w:shd w:val="clear" w:color="auto" w:fill="auto"/>
            <w:noWrap/>
            <w:vAlign w:val="bottom"/>
            <w:hideMark/>
          </w:tcPr>
          <w:p w14:paraId="65084C21" w14:textId="6899C7A9"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0.24</w:t>
            </w:r>
          </w:p>
        </w:tc>
      </w:tr>
      <w:tr w:rsidR="00C9320F" w:rsidRPr="00245E91" w14:paraId="5D58A8F2" w14:textId="77777777" w:rsidTr="00D83DD8">
        <w:trPr>
          <w:trHeight w:val="240"/>
        </w:trPr>
        <w:tc>
          <w:tcPr>
            <w:tcW w:w="570" w:type="pct"/>
            <w:tcBorders>
              <w:top w:val="nil"/>
              <w:left w:val="nil"/>
              <w:bottom w:val="nil"/>
              <w:right w:val="nil"/>
            </w:tcBorders>
            <w:shd w:val="clear" w:color="auto" w:fill="auto"/>
            <w:noWrap/>
            <w:vAlign w:val="bottom"/>
            <w:hideMark/>
          </w:tcPr>
          <w:p w14:paraId="402AD63C" w14:textId="77777777" w:rsidR="002B12BF" w:rsidRPr="00245E91" w:rsidRDefault="002B12BF" w:rsidP="00194092">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Year fixed effect</w:t>
            </w:r>
          </w:p>
        </w:tc>
        <w:tc>
          <w:tcPr>
            <w:tcW w:w="554" w:type="pct"/>
            <w:tcBorders>
              <w:top w:val="nil"/>
              <w:left w:val="nil"/>
              <w:bottom w:val="nil"/>
              <w:right w:val="nil"/>
            </w:tcBorders>
            <w:shd w:val="clear" w:color="auto" w:fill="auto"/>
            <w:noWrap/>
            <w:vAlign w:val="bottom"/>
            <w:hideMark/>
          </w:tcPr>
          <w:p w14:paraId="46699197"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52" w:type="pct"/>
            <w:tcBorders>
              <w:top w:val="nil"/>
              <w:left w:val="nil"/>
              <w:bottom w:val="nil"/>
              <w:right w:val="nil"/>
            </w:tcBorders>
            <w:shd w:val="clear" w:color="auto" w:fill="auto"/>
            <w:noWrap/>
            <w:vAlign w:val="bottom"/>
            <w:hideMark/>
          </w:tcPr>
          <w:p w14:paraId="5B0326DE"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52" w:type="pct"/>
            <w:tcBorders>
              <w:top w:val="nil"/>
              <w:left w:val="nil"/>
              <w:bottom w:val="nil"/>
              <w:right w:val="nil"/>
            </w:tcBorders>
            <w:shd w:val="clear" w:color="auto" w:fill="auto"/>
            <w:noWrap/>
            <w:vAlign w:val="bottom"/>
            <w:hideMark/>
          </w:tcPr>
          <w:p w14:paraId="22F70AC3"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61" w:type="pct"/>
            <w:tcBorders>
              <w:top w:val="nil"/>
              <w:left w:val="nil"/>
              <w:bottom w:val="nil"/>
              <w:right w:val="single" w:sz="4" w:space="0" w:color="auto"/>
            </w:tcBorders>
            <w:shd w:val="clear" w:color="auto" w:fill="auto"/>
            <w:noWrap/>
            <w:vAlign w:val="bottom"/>
            <w:hideMark/>
          </w:tcPr>
          <w:p w14:paraId="7A6494D5"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51" w:type="pct"/>
            <w:tcBorders>
              <w:top w:val="nil"/>
              <w:left w:val="single" w:sz="4" w:space="0" w:color="auto"/>
              <w:bottom w:val="nil"/>
              <w:right w:val="nil"/>
            </w:tcBorders>
            <w:shd w:val="clear" w:color="auto" w:fill="auto"/>
            <w:noWrap/>
            <w:vAlign w:val="bottom"/>
            <w:hideMark/>
          </w:tcPr>
          <w:p w14:paraId="7FAE9FD8"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49" w:type="pct"/>
            <w:tcBorders>
              <w:top w:val="nil"/>
              <w:left w:val="nil"/>
              <w:bottom w:val="nil"/>
              <w:right w:val="nil"/>
            </w:tcBorders>
            <w:shd w:val="clear" w:color="auto" w:fill="auto"/>
            <w:noWrap/>
            <w:vAlign w:val="bottom"/>
            <w:hideMark/>
          </w:tcPr>
          <w:p w14:paraId="69371408"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49" w:type="pct"/>
            <w:tcBorders>
              <w:top w:val="nil"/>
              <w:left w:val="nil"/>
              <w:bottom w:val="nil"/>
              <w:right w:val="nil"/>
            </w:tcBorders>
            <w:shd w:val="clear" w:color="auto" w:fill="auto"/>
            <w:noWrap/>
            <w:vAlign w:val="bottom"/>
            <w:hideMark/>
          </w:tcPr>
          <w:p w14:paraId="01086CC6"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59" w:type="pct"/>
            <w:tcBorders>
              <w:top w:val="nil"/>
              <w:left w:val="nil"/>
              <w:bottom w:val="nil"/>
              <w:right w:val="nil"/>
            </w:tcBorders>
            <w:shd w:val="clear" w:color="auto" w:fill="auto"/>
            <w:noWrap/>
            <w:vAlign w:val="bottom"/>
            <w:hideMark/>
          </w:tcPr>
          <w:p w14:paraId="3B4190B1"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r>
      <w:tr w:rsidR="00C9320F" w:rsidRPr="00245E91" w14:paraId="6852611E" w14:textId="77777777" w:rsidTr="00D83DD8">
        <w:trPr>
          <w:trHeight w:val="240"/>
        </w:trPr>
        <w:tc>
          <w:tcPr>
            <w:tcW w:w="570" w:type="pct"/>
            <w:tcBorders>
              <w:top w:val="nil"/>
              <w:left w:val="nil"/>
              <w:right w:val="nil"/>
            </w:tcBorders>
            <w:shd w:val="clear" w:color="auto" w:fill="auto"/>
            <w:noWrap/>
            <w:vAlign w:val="bottom"/>
            <w:hideMark/>
          </w:tcPr>
          <w:p w14:paraId="2D563EA1" w14:textId="6E8D9886" w:rsidR="002B12BF" w:rsidRPr="00245E91" w:rsidRDefault="002B12BF" w:rsidP="0042373A">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Clustered by firm</w:t>
            </w:r>
          </w:p>
        </w:tc>
        <w:tc>
          <w:tcPr>
            <w:tcW w:w="554" w:type="pct"/>
            <w:tcBorders>
              <w:top w:val="nil"/>
              <w:left w:val="nil"/>
              <w:bottom w:val="nil"/>
              <w:right w:val="nil"/>
            </w:tcBorders>
            <w:shd w:val="clear" w:color="auto" w:fill="auto"/>
            <w:noWrap/>
            <w:vAlign w:val="bottom"/>
            <w:hideMark/>
          </w:tcPr>
          <w:p w14:paraId="60AD83D9"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52" w:type="pct"/>
            <w:tcBorders>
              <w:top w:val="nil"/>
              <w:left w:val="nil"/>
              <w:bottom w:val="nil"/>
              <w:right w:val="nil"/>
            </w:tcBorders>
            <w:shd w:val="clear" w:color="auto" w:fill="auto"/>
            <w:noWrap/>
            <w:vAlign w:val="bottom"/>
            <w:hideMark/>
          </w:tcPr>
          <w:p w14:paraId="7BA8021B"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52" w:type="pct"/>
            <w:tcBorders>
              <w:top w:val="nil"/>
              <w:left w:val="nil"/>
              <w:bottom w:val="nil"/>
              <w:right w:val="nil"/>
            </w:tcBorders>
            <w:shd w:val="clear" w:color="auto" w:fill="auto"/>
            <w:noWrap/>
            <w:vAlign w:val="bottom"/>
            <w:hideMark/>
          </w:tcPr>
          <w:p w14:paraId="7765C3AF"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61" w:type="pct"/>
            <w:tcBorders>
              <w:top w:val="nil"/>
              <w:left w:val="nil"/>
              <w:bottom w:val="nil"/>
              <w:right w:val="single" w:sz="4" w:space="0" w:color="auto"/>
            </w:tcBorders>
            <w:shd w:val="clear" w:color="auto" w:fill="auto"/>
            <w:noWrap/>
            <w:vAlign w:val="bottom"/>
            <w:hideMark/>
          </w:tcPr>
          <w:p w14:paraId="161116C6"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51" w:type="pct"/>
            <w:tcBorders>
              <w:top w:val="nil"/>
              <w:left w:val="single" w:sz="4" w:space="0" w:color="auto"/>
              <w:bottom w:val="nil"/>
              <w:right w:val="nil"/>
            </w:tcBorders>
            <w:shd w:val="clear" w:color="auto" w:fill="auto"/>
            <w:noWrap/>
            <w:vAlign w:val="bottom"/>
            <w:hideMark/>
          </w:tcPr>
          <w:p w14:paraId="28A369B2"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49" w:type="pct"/>
            <w:tcBorders>
              <w:top w:val="nil"/>
              <w:left w:val="nil"/>
              <w:bottom w:val="nil"/>
              <w:right w:val="nil"/>
            </w:tcBorders>
            <w:shd w:val="clear" w:color="auto" w:fill="auto"/>
            <w:noWrap/>
            <w:vAlign w:val="bottom"/>
            <w:hideMark/>
          </w:tcPr>
          <w:p w14:paraId="201A9B3F"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49" w:type="pct"/>
            <w:tcBorders>
              <w:top w:val="nil"/>
              <w:left w:val="nil"/>
              <w:bottom w:val="nil"/>
              <w:right w:val="nil"/>
            </w:tcBorders>
            <w:shd w:val="clear" w:color="auto" w:fill="auto"/>
            <w:noWrap/>
            <w:vAlign w:val="bottom"/>
            <w:hideMark/>
          </w:tcPr>
          <w:p w14:paraId="37C2819A"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59" w:type="pct"/>
            <w:tcBorders>
              <w:top w:val="nil"/>
              <w:left w:val="nil"/>
              <w:bottom w:val="nil"/>
              <w:right w:val="nil"/>
            </w:tcBorders>
            <w:shd w:val="clear" w:color="auto" w:fill="auto"/>
            <w:noWrap/>
            <w:vAlign w:val="bottom"/>
            <w:hideMark/>
          </w:tcPr>
          <w:p w14:paraId="3BF2AFE3"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r>
      <w:tr w:rsidR="00C9320F" w:rsidRPr="00245E91" w14:paraId="5639DB6F" w14:textId="77777777" w:rsidTr="00D83DD8">
        <w:trPr>
          <w:trHeight w:val="240"/>
        </w:trPr>
        <w:tc>
          <w:tcPr>
            <w:tcW w:w="570" w:type="pct"/>
            <w:tcBorders>
              <w:top w:val="nil"/>
              <w:left w:val="nil"/>
              <w:bottom w:val="single" w:sz="4" w:space="0" w:color="auto"/>
              <w:right w:val="nil"/>
            </w:tcBorders>
            <w:shd w:val="clear" w:color="auto" w:fill="auto"/>
            <w:noWrap/>
            <w:vAlign w:val="bottom"/>
            <w:hideMark/>
          </w:tcPr>
          <w:p w14:paraId="3B64AAF1" w14:textId="77777777" w:rsidR="002B12BF" w:rsidRPr="00245E91" w:rsidRDefault="002B12BF" w:rsidP="00194092">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Observations</w:t>
            </w:r>
          </w:p>
        </w:tc>
        <w:tc>
          <w:tcPr>
            <w:tcW w:w="554" w:type="pct"/>
            <w:tcBorders>
              <w:top w:val="nil"/>
              <w:left w:val="nil"/>
              <w:bottom w:val="single" w:sz="4" w:space="0" w:color="auto"/>
              <w:right w:val="nil"/>
            </w:tcBorders>
            <w:shd w:val="clear" w:color="auto" w:fill="auto"/>
            <w:noWrap/>
            <w:vAlign w:val="bottom"/>
            <w:hideMark/>
          </w:tcPr>
          <w:p w14:paraId="1FFEC0BC"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3,065</w:t>
            </w:r>
          </w:p>
        </w:tc>
        <w:tc>
          <w:tcPr>
            <w:tcW w:w="552" w:type="pct"/>
            <w:tcBorders>
              <w:top w:val="nil"/>
              <w:left w:val="nil"/>
              <w:bottom w:val="single" w:sz="4" w:space="0" w:color="auto"/>
              <w:right w:val="nil"/>
            </w:tcBorders>
            <w:shd w:val="clear" w:color="auto" w:fill="auto"/>
            <w:noWrap/>
            <w:vAlign w:val="bottom"/>
            <w:hideMark/>
          </w:tcPr>
          <w:p w14:paraId="0B34B654"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3,034</w:t>
            </w:r>
          </w:p>
        </w:tc>
        <w:tc>
          <w:tcPr>
            <w:tcW w:w="552" w:type="pct"/>
            <w:tcBorders>
              <w:top w:val="nil"/>
              <w:left w:val="nil"/>
              <w:bottom w:val="single" w:sz="4" w:space="0" w:color="auto"/>
              <w:right w:val="nil"/>
            </w:tcBorders>
            <w:shd w:val="clear" w:color="auto" w:fill="auto"/>
            <w:noWrap/>
            <w:vAlign w:val="bottom"/>
            <w:hideMark/>
          </w:tcPr>
          <w:p w14:paraId="004379AE"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3,019</w:t>
            </w:r>
          </w:p>
        </w:tc>
        <w:tc>
          <w:tcPr>
            <w:tcW w:w="561" w:type="pct"/>
            <w:tcBorders>
              <w:top w:val="nil"/>
              <w:left w:val="nil"/>
              <w:bottom w:val="single" w:sz="4" w:space="0" w:color="auto"/>
              <w:right w:val="single" w:sz="4" w:space="0" w:color="auto"/>
            </w:tcBorders>
            <w:shd w:val="clear" w:color="auto" w:fill="auto"/>
            <w:noWrap/>
            <w:vAlign w:val="bottom"/>
            <w:hideMark/>
          </w:tcPr>
          <w:p w14:paraId="379FAE6D"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3,019</w:t>
            </w:r>
          </w:p>
        </w:tc>
        <w:tc>
          <w:tcPr>
            <w:tcW w:w="551" w:type="pct"/>
            <w:tcBorders>
              <w:top w:val="nil"/>
              <w:left w:val="single" w:sz="4" w:space="0" w:color="auto"/>
              <w:bottom w:val="single" w:sz="4" w:space="0" w:color="auto"/>
              <w:right w:val="nil"/>
            </w:tcBorders>
            <w:shd w:val="clear" w:color="auto" w:fill="auto"/>
            <w:noWrap/>
            <w:vAlign w:val="bottom"/>
            <w:hideMark/>
          </w:tcPr>
          <w:p w14:paraId="03F35781"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2,912</w:t>
            </w:r>
          </w:p>
        </w:tc>
        <w:tc>
          <w:tcPr>
            <w:tcW w:w="549" w:type="pct"/>
            <w:tcBorders>
              <w:top w:val="nil"/>
              <w:left w:val="nil"/>
              <w:bottom w:val="single" w:sz="4" w:space="0" w:color="auto"/>
              <w:right w:val="nil"/>
            </w:tcBorders>
            <w:shd w:val="clear" w:color="auto" w:fill="auto"/>
            <w:noWrap/>
            <w:vAlign w:val="bottom"/>
            <w:hideMark/>
          </w:tcPr>
          <w:p w14:paraId="2970B1CD"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2,897</w:t>
            </w:r>
          </w:p>
        </w:tc>
        <w:tc>
          <w:tcPr>
            <w:tcW w:w="549" w:type="pct"/>
            <w:tcBorders>
              <w:top w:val="nil"/>
              <w:left w:val="nil"/>
              <w:bottom w:val="single" w:sz="4" w:space="0" w:color="auto"/>
              <w:right w:val="nil"/>
            </w:tcBorders>
            <w:shd w:val="clear" w:color="auto" w:fill="auto"/>
            <w:noWrap/>
            <w:vAlign w:val="bottom"/>
            <w:hideMark/>
          </w:tcPr>
          <w:p w14:paraId="6361D951"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2,894</w:t>
            </w:r>
          </w:p>
        </w:tc>
        <w:tc>
          <w:tcPr>
            <w:tcW w:w="559" w:type="pct"/>
            <w:tcBorders>
              <w:top w:val="nil"/>
              <w:left w:val="nil"/>
              <w:bottom w:val="single" w:sz="4" w:space="0" w:color="auto"/>
              <w:right w:val="nil"/>
            </w:tcBorders>
            <w:shd w:val="clear" w:color="auto" w:fill="auto"/>
            <w:noWrap/>
            <w:vAlign w:val="bottom"/>
            <w:hideMark/>
          </w:tcPr>
          <w:p w14:paraId="3BDADC15" w14:textId="77777777" w:rsidR="002B12BF" w:rsidRPr="00245E91" w:rsidRDefault="002B12BF" w:rsidP="0019409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2,894</w:t>
            </w:r>
          </w:p>
        </w:tc>
      </w:tr>
    </w:tbl>
    <w:p w14:paraId="23D1817E" w14:textId="77777777" w:rsidR="002B12BF" w:rsidRPr="00245E91" w:rsidRDefault="002B12BF" w:rsidP="002B12BF">
      <w:pPr>
        <w:rPr>
          <w:rFonts w:ascii="Times New Roman" w:hAnsi="Times New Roman"/>
          <w:sz w:val="15"/>
          <w:szCs w:val="15"/>
        </w:rPr>
      </w:pPr>
    </w:p>
    <w:p w14:paraId="297FF484" w14:textId="77777777" w:rsidR="00116862" w:rsidRPr="00245E91" w:rsidRDefault="002B12BF" w:rsidP="00116862">
      <w:pPr>
        <w:spacing w:after="0" w:line="240" w:lineRule="auto"/>
        <w:rPr>
          <w:rFonts w:ascii="Times New Roman" w:hAnsi="Times New Roman"/>
          <w:b/>
          <w:sz w:val="15"/>
          <w:szCs w:val="15"/>
        </w:rPr>
      </w:pPr>
      <w:r w:rsidRPr="00245E91">
        <w:rPr>
          <w:rFonts w:ascii="Times New Roman" w:hAnsi="Times New Roman"/>
          <w:sz w:val="15"/>
          <w:szCs w:val="15"/>
        </w:rPr>
        <w:br w:type="page"/>
      </w:r>
      <w:r w:rsidR="00116862" w:rsidRPr="00245E91">
        <w:rPr>
          <w:rFonts w:ascii="Times New Roman" w:hAnsi="Times New Roman"/>
          <w:b/>
          <w:sz w:val="15"/>
          <w:szCs w:val="15"/>
        </w:rPr>
        <w:t xml:space="preserve">Table 7 - Cross-sectional Analyses of Earnings Management – Low Institutional Ownership vs. High Institutional Ownership </w:t>
      </w:r>
    </w:p>
    <w:p w14:paraId="62A45F3E" w14:textId="79203336" w:rsidR="00116862" w:rsidRPr="00245E91" w:rsidRDefault="00EE4A1C" w:rsidP="00116862">
      <w:pPr>
        <w:spacing w:after="0" w:line="240" w:lineRule="auto"/>
        <w:rPr>
          <w:rFonts w:ascii="Times New Roman" w:hAnsi="Times New Roman"/>
          <w:sz w:val="15"/>
          <w:szCs w:val="15"/>
        </w:rPr>
      </w:pPr>
      <w:r w:rsidRPr="00245E91">
        <w:rPr>
          <w:rFonts w:ascii="Times New Roman" w:hAnsi="Times New Roman"/>
          <w:sz w:val="15"/>
          <w:szCs w:val="15"/>
        </w:rPr>
        <w:t xml:space="preserve">The sample includes MLPs and all Non-MLP firms in the same industry in the same year. </w:t>
      </w:r>
      <w:r w:rsidR="00116862" w:rsidRPr="00245E91">
        <w:rPr>
          <w:rFonts w:ascii="Times New Roman" w:hAnsi="Times New Roman"/>
          <w:sz w:val="15"/>
          <w:szCs w:val="15"/>
        </w:rPr>
        <w:t>The dependent variables are RM1, RM2 and DA, alternatively. RM1 is the sum of RDISX and RPROD. RM2 is the sum of RDISX, RPROD and RCFO. RDISX is the abnormal discretionary expenditure. RPROD is the abnormal production costs. RCFO is the abnormal cash flow. DA is the discretionary accrual. MLP is the dummy variable for MLP firms. LN(Assets) is the natural log of total assets. MKTSHARE is the ratio of firm sales to total sales of all firms in the same industry. DEBT is the ratio of debt-to-assets. NOA is net operating assets and is calculated as total assets minus cash and short-term investment scaled by total assets. OPERCYCLE is the days of receivable plus the days of inventory less the days of payable at the beginning of the year. ROA is net income to total assets ratio. MKBK is the market-to-book ratio of equity. LIQUIDITY is the average of the ratio of monthly trading volume to shares outstanding in the year. STOCKISSUE is the ratio of the amount of sales of common stock and preferred stock in the year to the market capitalization of the firm. DEBISSUE is the ratio of the amount of long-term debt issuance to the firm’s assets. BIG8 is the dummy variable for firms with auditors in the top 8. TENURE is the number of years the auditor has audited the client. INSTOWN is the percentage of institutional ownership at the beginning of year. NUMANALYST is the number of analysts following the firm. RESID_RM1 and RESID_RM2 are the residuals from Models 4 and 5. *, **, and *** indicate the significance levels of 10%, 5% and 1%, respectively.</w:t>
      </w:r>
    </w:p>
    <w:tbl>
      <w:tblPr>
        <w:tblW w:w="5000" w:type="pct"/>
        <w:tblLook w:val="04A0" w:firstRow="1" w:lastRow="0" w:firstColumn="1" w:lastColumn="0" w:noHBand="0" w:noVBand="1"/>
      </w:tblPr>
      <w:tblGrid>
        <w:gridCol w:w="2160"/>
        <w:gridCol w:w="1351"/>
        <w:gridCol w:w="1351"/>
        <w:gridCol w:w="1350"/>
        <w:gridCol w:w="1350"/>
        <w:gridCol w:w="1350"/>
        <w:gridCol w:w="1350"/>
        <w:gridCol w:w="1350"/>
        <w:gridCol w:w="1348"/>
      </w:tblGrid>
      <w:tr w:rsidR="00116862" w:rsidRPr="00245E91" w14:paraId="3FF14B16" w14:textId="77777777" w:rsidTr="00D83DD8">
        <w:trPr>
          <w:trHeight w:val="20"/>
        </w:trPr>
        <w:tc>
          <w:tcPr>
            <w:tcW w:w="833" w:type="pct"/>
            <w:tcBorders>
              <w:top w:val="single" w:sz="4" w:space="0" w:color="auto"/>
              <w:left w:val="nil"/>
              <w:right w:val="nil"/>
            </w:tcBorders>
            <w:shd w:val="clear" w:color="auto" w:fill="auto"/>
            <w:noWrap/>
            <w:vAlign w:val="bottom"/>
            <w:hideMark/>
          </w:tcPr>
          <w:p w14:paraId="04FB98DD" w14:textId="77777777" w:rsidR="00116862" w:rsidRPr="00245E91" w:rsidRDefault="00116862" w:rsidP="00116862">
            <w:pPr>
              <w:spacing w:after="0" w:line="240" w:lineRule="auto"/>
              <w:contextualSpacing/>
              <w:rPr>
                <w:rFonts w:ascii="Times New Roman" w:eastAsia="Times New Roman" w:hAnsi="Times New Roman"/>
                <w:b/>
                <w:i/>
                <w:sz w:val="15"/>
                <w:szCs w:val="15"/>
              </w:rPr>
            </w:pPr>
          </w:p>
        </w:tc>
        <w:tc>
          <w:tcPr>
            <w:tcW w:w="2084" w:type="pct"/>
            <w:gridSpan w:val="4"/>
            <w:tcBorders>
              <w:top w:val="single" w:sz="4" w:space="0" w:color="auto"/>
              <w:left w:val="nil"/>
              <w:right w:val="single" w:sz="4" w:space="0" w:color="auto"/>
            </w:tcBorders>
            <w:shd w:val="clear" w:color="auto" w:fill="auto"/>
            <w:noWrap/>
            <w:vAlign w:val="bottom"/>
            <w:hideMark/>
          </w:tcPr>
          <w:p w14:paraId="432404E4" w14:textId="77777777" w:rsidR="00116862" w:rsidRPr="00245E91" w:rsidRDefault="00116862" w:rsidP="00F7612D">
            <w:pPr>
              <w:spacing w:after="0" w:line="240" w:lineRule="auto"/>
              <w:contextualSpacing/>
              <w:jc w:val="center"/>
              <w:rPr>
                <w:rFonts w:ascii="Times New Roman" w:eastAsia="Times New Roman" w:hAnsi="Times New Roman"/>
                <w:b/>
                <w:i/>
                <w:sz w:val="15"/>
                <w:szCs w:val="15"/>
              </w:rPr>
            </w:pPr>
            <w:r w:rsidRPr="00245E91">
              <w:rPr>
                <w:rFonts w:ascii="Times New Roman" w:eastAsia="Times New Roman" w:hAnsi="Times New Roman"/>
                <w:b/>
                <w:i/>
                <w:color w:val="000000"/>
                <w:sz w:val="15"/>
                <w:szCs w:val="15"/>
              </w:rPr>
              <w:t>Panel A – Low Institutional Ownership</w:t>
            </w:r>
          </w:p>
        </w:tc>
        <w:tc>
          <w:tcPr>
            <w:tcW w:w="2083" w:type="pct"/>
            <w:gridSpan w:val="4"/>
            <w:tcBorders>
              <w:top w:val="single" w:sz="4" w:space="0" w:color="auto"/>
              <w:left w:val="single" w:sz="4" w:space="0" w:color="auto"/>
              <w:bottom w:val="nil"/>
              <w:right w:val="nil"/>
            </w:tcBorders>
            <w:shd w:val="clear" w:color="auto" w:fill="auto"/>
            <w:noWrap/>
            <w:vAlign w:val="bottom"/>
            <w:hideMark/>
          </w:tcPr>
          <w:p w14:paraId="57DC77EB" w14:textId="77777777" w:rsidR="00116862" w:rsidRPr="00245E91" w:rsidRDefault="00116862" w:rsidP="00F7612D">
            <w:pPr>
              <w:spacing w:after="0" w:line="240" w:lineRule="auto"/>
              <w:contextualSpacing/>
              <w:jc w:val="center"/>
              <w:rPr>
                <w:rFonts w:ascii="Times New Roman" w:eastAsia="Times New Roman" w:hAnsi="Times New Roman"/>
                <w:color w:val="000000"/>
                <w:sz w:val="15"/>
                <w:szCs w:val="15"/>
              </w:rPr>
            </w:pPr>
            <w:r w:rsidRPr="00245E91">
              <w:rPr>
                <w:rFonts w:ascii="Times New Roman" w:eastAsia="Times New Roman" w:hAnsi="Times New Roman"/>
                <w:b/>
                <w:i/>
                <w:color w:val="000000"/>
                <w:sz w:val="15"/>
                <w:szCs w:val="15"/>
              </w:rPr>
              <w:t>Panel B – High Institutional Ownership</w:t>
            </w:r>
          </w:p>
        </w:tc>
      </w:tr>
      <w:tr w:rsidR="00116862" w:rsidRPr="00245E91" w14:paraId="300097E5" w14:textId="77777777" w:rsidTr="00D83DD8">
        <w:trPr>
          <w:trHeight w:val="20"/>
        </w:trPr>
        <w:tc>
          <w:tcPr>
            <w:tcW w:w="833" w:type="pct"/>
            <w:tcBorders>
              <w:top w:val="nil"/>
              <w:left w:val="nil"/>
              <w:bottom w:val="single" w:sz="4" w:space="0" w:color="auto"/>
              <w:right w:val="nil"/>
            </w:tcBorders>
            <w:shd w:val="clear" w:color="auto" w:fill="auto"/>
            <w:noWrap/>
            <w:vAlign w:val="bottom"/>
            <w:hideMark/>
          </w:tcPr>
          <w:p w14:paraId="26DA673B" w14:textId="77777777" w:rsidR="00116862" w:rsidRPr="00245E91" w:rsidRDefault="00116862" w:rsidP="00116862">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Variables</w:t>
            </w:r>
          </w:p>
        </w:tc>
        <w:tc>
          <w:tcPr>
            <w:tcW w:w="521" w:type="pct"/>
            <w:tcBorders>
              <w:top w:val="nil"/>
              <w:left w:val="nil"/>
              <w:bottom w:val="single" w:sz="4" w:space="0" w:color="auto"/>
              <w:right w:val="nil"/>
            </w:tcBorders>
            <w:shd w:val="clear" w:color="auto" w:fill="auto"/>
            <w:noWrap/>
            <w:vAlign w:val="bottom"/>
            <w:hideMark/>
          </w:tcPr>
          <w:p w14:paraId="23B70CEA" w14:textId="77777777" w:rsidR="00116862" w:rsidRPr="00245E91" w:rsidRDefault="00116862" w:rsidP="00116862">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1 – RM1</w:t>
            </w:r>
          </w:p>
        </w:tc>
        <w:tc>
          <w:tcPr>
            <w:tcW w:w="521" w:type="pct"/>
            <w:tcBorders>
              <w:top w:val="nil"/>
              <w:left w:val="nil"/>
              <w:bottom w:val="single" w:sz="4" w:space="0" w:color="auto"/>
              <w:right w:val="nil"/>
            </w:tcBorders>
            <w:shd w:val="clear" w:color="auto" w:fill="auto"/>
            <w:noWrap/>
            <w:vAlign w:val="bottom"/>
            <w:hideMark/>
          </w:tcPr>
          <w:p w14:paraId="4077359D" w14:textId="77777777" w:rsidR="00116862" w:rsidRPr="00245E91" w:rsidRDefault="00116862" w:rsidP="00116862">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2 – RM2</w:t>
            </w:r>
          </w:p>
        </w:tc>
        <w:tc>
          <w:tcPr>
            <w:tcW w:w="521" w:type="pct"/>
            <w:tcBorders>
              <w:top w:val="nil"/>
              <w:left w:val="nil"/>
              <w:bottom w:val="single" w:sz="4" w:space="0" w:color="auto"/>
              <w:right w:val="nil"/>
            </w:tcBorders>
            <w:shd w:val="clear" w:color="auto" w:fill="auto"/>
            <w:noWrap/>
            <w:vAlign w:val="bottom"/>
            <w:hideMark/>
          </w:tcPr>
          <w:p w14:paraId="3850A240" w14:textId="77777777" w:rsidR="00116862" w:rsidRPr="00245E91" w:rsidRDefault="00116862" w:rsidP="00116862">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3 – DA</w:t>
            </w:r>
          </w:p>
        </w:tc>
        <w:tc>
          <w:tcPr>
            <w:tcW w:w="521" w:type="pct"/>
            <w:tcBorders>
              <w:top w:val="nil"/>
              <w:left w:val="nil"/>
              <w:bottom w:val="single" w:sz="4" w:space="0" w:color="auto"/>
              <w:right w:val="single" w:sz="4" w:space="0" w:color="auto"/>
            </w:tcBorders>
            <w:shd w:val="clear" w:color="auto" w:fill="auto"/>
            <w:noWrap/>
            <w:vAlign w:val="bottom"/>
            <w:hideMark/>
          </w:tcPr>
          <w:p w14:paraId="086D3F67" w14:textId="77777777" w:rsidR="00116862" w:rsidRPr="00245E91" w:rsidRDefault="00116862" w:rsidP="00116862">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4 – DA</w:t>
            </w:r>
          </w:p>
        </w:tc>
        <w:tc>
          <w:tcPr>
            <w:tcW w:w="521" w:type="pct"/>
            <w:tcBorders>
              <w:top w:val="nil"/>
              <w:left w:val="single" w:sz="4" w:space="0" w:color="auto"/>
              <w:bottom w:val="single" w:sz="4" w:space="0" w:color="auto"/>
              <w:right w:val="nil"/>
            </w:tcBorders>
            <w:shd w:val="clear" w:color="auto" w:fill="auto"/>
            <w:noWrap/>
            <w:vAlign w:val="bottom"/>
            <w:hideMark/>
          </w:tcPr>
          <w:p w14:paraId="62261733" w14:textId="77777777" w:rsidR="00116862" w:rsidRPr="00245E91" w:rsidRDefault="00116862" w:rsidP="00116862">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1 – RM1</w:t>
            </w:r>
          </w:p>
        </w:tc>
        <w:tc>
          <w:tcPr>
            <w:tcW w:w="521" w:type="pct"/>
            <w:tcBorders>
              <w:top w:val="nil"/>
              <w:left w:val="nil"/>
              <w:bottom w:val="single" w:sz="4" w:space="0" w:color="auto"/>
              <w:right w:val="nil"/>
            </w:tcBorders>
            <w:shd w:val="clear" w:color="auto" w:fill="auto"/>
            <w:noWrap/>
            <w:vAlign w:val="bottom"/>
            <w:hideMark/>
          </w:tcPr>
          <w:p w14:paraId="6A54F5FD" w14:textId="77777777" w:rsidR="00116862" w:rsidRPr="00245E91" w:rsidRDefault="00116862" w:rsidP="00116862">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2 – RM2</w:t>
            </w:r>
          </w:p>
        </w:tc>
        <w:tc>
          <w:tcPr>
            <w:tcW w:w="521" w:type="pct"/>
            <w:tcBorders>
              <w:top w:val="nil"/>
              <w:left w:val="nil"/>
              <w:bottom w:val="single" w:sz="4" w:space="0" w:color="auto"/>
              <w:right w:val="nil"/>
            </w:tcBorders>
            <w:shd w:val="clear" w:color="auto" w:fill="auto"/>
            <w:noWrap/>
            <w:vAlign w:val="bottom"/>
            <w:hideMark/>
          </w:tcPr>
          <w:p w14:paraId="586DCB6B" w14:textId="77777777" w:rsidR="00116862" w:rsidRPr="00245E91" w:rsidRDefault="00116862" w:rsidP="00116862">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3 – DA</w:t>
            </w:r>
          </w:p>
        </w:tc>
        <w:tc>
          <w:tcPr>
            <w:tcW w:w="520" w:type="pct"/>
            <w:tcBorders>
              <w:top w:val="nil"/>
              <w:left w:val="nil"/>
              <w:bottom w:val="single" w:sz="4" w:space="0" w:color="auto"/>
              <w:right w:val="nil"/>
            </w:tcBorders>
            <w:shd w:val="clear" w:color="auto" w:fill="auto"/>
            <w:noWrap/>
            <w:vAlign w:val="bottom"/>
            <w:hideMark/>
          </w:tcPr>
          <w:p w14:paraId="07219FEA" w14:textId="77777777" w:rsidR="00116862" w:rsidRPr="00245E91" w:rsidRDefault="00116862" w:rsidP="00116862">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4 – DA</w:t>
            </w:r>
          </w:p>
        </w:tc>
      </w:tr>
      <w:tr w:rsidR="00116862" w:rsidRPr="00245E91" w14:paraId="360B61C9" w14:textId="77777777" w:rsidTr="00D83DD8">
        <w:trPr>
          <w:trHeight w:val="20"/>
        </w:trPr>
        <w:tc>
          <w:tcPr>
            <w:tcW w:w="833" w:type="pct"/>
            <w:tcBorders>
              <w:top w:val="single" w:sz="4" w:space="0" w:color="auto"/>
              <w:left w:val="nil"/>
              <w:bottom w:val="nil"/>
              <w:right w:val="nil"/>
            </w:tcBorders>
            <w:shd w:val="clear" w:color="auto" w:fill="auto"/>
            <w:noWrap/>
            <w:vAlign w:val="bottom"/>
            <w:hideMark/>
          </w:tcPr>
          <w:p w14:paraId="21CFF566" w14:textId="77777777" w:rsidR="00116862" w:rsidRPr="00245E91" w:rsidRDefault="00116862" w:rsidP="00116862">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Constant</w:t>
            </w:r>
          </w:p>
        </w:tc>
        <w:tc>
          <w:tcPr>
            <w:tcW w:w="521" w:type="pct"/>
            <w:tcBorders>
              <w:top w:val="nil"/>
              <w:left w:val="nil"/>
              <w:bottom w:val="nil"/>
              <w:right w:val="nil"/>
            </w:tcBorders>
            <w:shd w:val="clear" w:color="auto" w:fill="auto"/>
            <w:noWrap/>
            <w:vAlign w:val="bottom"/>
            <w:hideMark/>
          </w:tcPr>
          <w:p w14:paraId="42060F4A"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-0.183</w:t>
            </w:r>
          </w:p>
        </w:tc>
        <w:tc>
          <w:tcPr>
            <w:tcW w:w="521" w:type="pct"/>
            <w:tcBorders>
              <w:top w:val="nil"/>
              <w:left w:val="nil"/>
              <w:bottom w:val="nil"/>
              <w:right w:val="nil"/>
            </w:tcBorders>
            <w:shd w:val="clear" w:color="auto" w:fill="auto"/>
            <w:noWrap/>
            <w:vAlign w:val="bottom"/>
            <w:hideMark/>
          </w:tcPr>
          <w:p w14:paraId="7D855D6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-0.050</w:t>
            </w:r>
          </w:p>
        </w:tc>
        <w:tc>
          <w:tcPr>
            <w:tcW w:w="521" w:type="pct"/>
            <w:tcBorders>
              <w:top w:val="nil"/>
              <w:left w:val="nil"/>
              <w:bottom w:val="nil"/>
              <w:right w:val="nil"/>
            </w:tcBorders>
            <w:shd w:val="clear" w:color="auto" w:fill="auto"/>
            <w:noWrap/>
            <w:vAlign w:val="bottom"/>
            <w:hideMark/>
          </w:tcPr>
          <w:p w14:paraId="005E0CB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0.149</w:t>
            </w:r>
          </w:p>
        </w:tc>
        <w:tc>
          <w:tcPr>
            <w:tcW w:w="521" w:type="pct"/>
            <w:tcBorders>
              <w:top w:val="nil"/>
              <w:left w:val="nil"/>
              <w:bottom w:val="nil"/>
              <w:right w:val="single" w:sz="4" w:space="0" w:color="auto"/>
            </w:tcBorders>
            <w:shd w:val="clear" w:color="auto" w:fill="auto"/>
            <w:noWrap/>
            <w:vAlign w:val="bottom"/>
            <w:hideMark/>
          </w:tcPr>
          <w:p w14:paraId="331BAF7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0.148</w:t>
            </w:r>
          </w:p>
        </w:tc>
        <w:tc>
          <w:tcPr>
            <w:tcW w:w="521" w:type="pct"/>
            <w:tcBorders>
              <w:top w:val="nil"/>
              <w:left w:val="single" w:sz="4" w:space="0" w:color="auto"/>
              <w:bottom w:val="nil"/>
              <w:right w:val="nil"/>
            </w:tcBorders>
            <w:shd w:val="clear" w:color="auto" w:fill="auto"/>
            <w:noWrap/>
            <w:vAlign w:val="bottom"/>
            <w:hideMark/>
          </w:tcPr>
          <w:p w14:paraId="482724E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-0.065</w:t>
            </w:r>
          </w:p>
        </w:tc>
        <w:tc>
          <w:tcPr>
            <w:tcW w:w="521" w:type="pct"/>
            <w:tcBorders>
              <w:top w:val="nil"/>
              <w:left w:val="nil"/>
              <w:bottom w:val="nil"/>
              <w:right w:val="nil"/>
            </w:tcBorders>
            <w:shd w:val="clear" w:color="auto" w:fill="auto"/>
            <w:noWrap/>
            <w:vAlign w:val="bottom"/>
            <w:hideMark/>
          </w:tcPr>
          <w:p w14:paraId="20C05EE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0.001</w:t>
            </w:r>
          </w:p>
        </w:tc>
        <w:tc>
          <w:tcPr>
            <w:tcW w:w="521" w:type="pct"/>
            <w:tcBorders>
              <w:top w:val="nil"/>
              <w:left w:val="nil"/>
              <w:bottom w:val="nil"/>
              <w:right w:val="nil"/>
            </w:tcBorders>
            <w:shd w:val="clear" w:color="auto" w:fill="auto"/>
            <w:noWrap/>
            <w:vAlign w:val="bottom"/>
            <w:hideMark/>
          </w:tcPr>
          <w:p w14:paraId="0F05B6B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0.030</w:t>
            </w:r>
          </w:p>
        </w:tc>
        <w:tc>
          <w:tcPr>
            <w:tcW w:w="520" w:type="pct"/>
            <w:tcBorders>
              <w:top w:val="nil"/>
              <w:left w:val="nil"/>
              <w:bottom w:val="nil"/>
              <w:right w:val="nil"/>
            </w:tcBorders>
            <w:shd w:val="clear" w:color="auto" w:fill="auto"/>
            <w:noWrap/>
            <w:vAlign w:val="bottom"/>
            <w:hideMark/>
          </w:tcPr>
          <w:p w14:paraId="693F221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0.037</w:t>
            </w:r>
          </w:p>
        </w:tc>
      </w:tr>
      <w:tr w:rsidR="00116862" w:rsidRPr="00245E91" w14:paraId="33BB7CBD" w14:textId="77777777" w:rsidTr="00D83DD8">
        <w:trPr>
          <w:trHeight w:val="20"/>
        </w:trPr>
        <w:tc>
          <w:tcPr>
            <w:tcW w:w="833" w:type="pct"/>
            <w:tcBorders>
              <w:top w:val="nil"/>
              <w:left w:val="nil"/>
              <w:bottom w:val="nil"/>
              <w:right w:val="nil"/>
            </w:tcBorders>
            <w:shd w:val="clear" w:color="auto" w:fill="auto"/>
            <w:noWrap/>
            <w:vAlign w:val="bottom"/>
            <w:hideMark/>
          </w:tcPr>
          <w:p w14:paraId="6DB333E8" w14:textId="77777777" w:rsidR="00116862" w:rsidRPr="00245E91" w:rsidRDefault="00116862" w:rsidP="00116862">
            <w:pPr>
              <w:spacing w:after="0" w:line="240" w:lineRule="auto"/>
              <w:contextualSpacing/>
              <w:rPr>
                <w:rFonts w:ascii="Times New Roman" w:eastAsia="Times New Roman" w:hAnsi="Times New Roman"/>
                <w:color w:val="000000"/>
                <w:sz w:val="15"/>
                <w:szCs w:val="15"/>
              </w:rPr>
            </w:pPr>
          </w:p>
        </w:tc>
        <w:tc>
          <w:tcPr>
            <w:tcW w:w="521" w:type="pct"/>
            <w:tcBorders>
              <w:top w:val="nil"/>
              <w:left w:val="nil"/>
              <w:bottom w:val="nil"/>
              <w:right w:val="nil"/>
            </w:tcBorders>
            <w:shd w:val="clear" w:color="auto" w:fill="auto"/>
            <w:noWrap/>
            <w:vAlign w:val="bottom"/>
            <w:hideMark/>
          </w:tcPr>
          <w:p w14:paraId="0EDB4DF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(-2.89***)</w:t>
            </w:r>
          </w:p>
        </w:tc>
        <w:tc>
          <w:tcPr>
            <w:tcW w:w="521" w:type="pct"/>
            <w:tcBorders>
              <w:top w:val="nil"/>
              <w:left w:val="nil"/>
              <w:bottom w:val="nil"/>
              <w:right w:val="nil"/>
            </w:tcBorders>
            <w:shd w:val="clear" w:color="auto" w:fill="auto"/>
            <w:noWrap/>
            <w:vAlign w:val="bottom"/>
            <w:hideMark/>
          </w:tcPr>
          <w:p w14:paraId="0E4A817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(-0.71)</w:t>
            </w:r>
          </w:p>
        </w:tc>
        <w:tc>
          <w:tcPr>
            <w:tcW w:w="521" w:type="pct"/>
            <w:tcBorders>
              <w:top w:val="nil"/>
              <w:left w:val="nil"/>
              <w:bottom w:val="nil"/>
              <w:right w:val="nil"/>
            </w:tcBorders>
            <w:shd w:val="clear" w:color="auto" w:fill="auto"/>
            <w:noWrap/>
            <w:vAlign w:val="bottom"/>
            <w:hideMark/>
          </w:tcPr>
          <w:p w14:paraId="5B5503A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(4.09***)</w:t>
            </w:r>
          </w:p>
        </w:tc>
        <w:tc>
          <w:tcPr>
            <w:tcW w:w="521" w:type="pct"/>
            <w:tcBorders>
              <w:top w:val="nil"/>
              <w:left w:val="nil"/>
              <w:bottom w:val="nil"/>
              <w:right w:val="single" w:sz="4" w:space="0" w:color="auto"/>
            </w:tcBorders>
            <w:shd w:val="clear" w:color="auto" w:fill="auto"/>
            <w:noWrap/>
            <w:vAlign w:val="bottom"/>
            <w:hideMark/>
          </w:tcPr>
          <w:p w14:paraId="6778EBB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(4.26***)</w:t>
            </w:r>
          </w:p>
        </w:tc>
        <w:tc>
          <w:tcPr>
            <w:tcW w:w="521" w:type="pct"/>
            <w:tcBorders>
              <w:top w:val="nil"/>
              <w:left w:val="single" w:sz="4" w:space="0" w:color="auto"/>
              <w:bottom w:val="nil"/>
              <w:right w:val="nil"/>
            </w:tcBorders>
            <w:shd w:val="clear" w:color="auto" w:fill="auto"/>
            <w:noWrap/>
            <w:vAlign w:val="bottom"/>
            <w:hideMark/>
          </w:tcPr>
          <w:p w14:paraId="24F7961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(-0.64)</w:t>
            </w:r>
          </w:p>
        </w:tc>
        <w:tc>
          <w:tcPr>
            <w:tcW w:w="521" w:type="pct"/>
            <w:tcBorders>
              <w:top w:val="nil"/>
              <w:left w:val="nil"/>
              <w:bottom w:val="nil"/>
              <w:right w:val="nil"/>
            </w:tcBorders>
            <w:shd w:val="clear" w:color="auto" w:fill="auto"/>
            <w:noWrap/>
            <w:vAlign w:val="bottom"/>
            <w:hideMark/>
          </w:tcPr>
          <w:p w14:paraId="494686B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w:t>
            </w:r>
          </w:p>
        </w:tc>
        <w:tc>
          <w:tcPr>
            <w:tcW w:w="521" w:type="pct"/>
            <w:tcBorders>
              <w:top w:val="nil"/>
              <w:left w:val="nil"/>
              <w:bottom w:val="nil"/>
              <w:right w:val="nil"/>
            </w:tcBorders>
            <w:shd w:val="clear" w:color="auto" w:fill="auto"/>
            <w:noWrap/>
            <w:vAlign w:val="bottom"/>
            <w:hideMark/>
          </w:tcPr>
          <w:p w14:paraId="31AAEC7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(0.62)</w:t>
            </w:r>
          </w:p>
        </w:tc>
        <w:tc>
          <w:tcPr>
            <w:tcW w:w="520" w:type="pct"/>
            <w:tcBorders>
              <w:top w:val="nil"/>
              <w:left w:val="nil"/>
              <w:bottom w:val="nil"/>
              <w:right w:val="nil"/>
            </w:tcBorders>
            <w:shd w:val="clear" w:color="auto" w:fill="auto"/>
            <w:noWrap/>
            <w:vAlign w:val="bottom"/>
            <w:hideMark/>
          </w:tcPr>
          <w:p w14:paraId="053DED0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(0.75)</w:t>
            </w:r>
          </w:p>
        </w:tc>
      </w:tr>
      <w:tr w:rsidR="00116862" w:rsidRPr="00245E91" w14:paraId="7380BB4E" w14:textId="77777777" w:rsidTr="00D83DD8">
        <w:trPr>
          <w:trHeight w:val="20"/>
        </w:trPr>
        <w:tc>
          <w:tcPr>
            <w:tcW w:w="833" w:type="pct"/>
            <w:tcBorders>
              <w:top w:val="nil"/>
              <w:left w:val="nil"/>
              <w:bottom w:val="nil"/>
              <w:right w:val="nil"/>
            </w:tcBorders>
            <w:shd w:val="clear" w:color="auto" w:fill="auto"/>
            <w:noWrap/>
            <w:vAlign w:val="bottom"/>
            <w:hideMark/>
          </w:tcPr>
          <w:p w14:paraId="3AAD2BE9"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MLP</w:t>
            </w:r>
          </w:p>
        </w:tc>
        <w:tc>
          <w:tcPr>
            <w:tcW w:w="521" w:type="pct"/>
            <w:tcBorders>
              <w:top w:val="nil"/>
              <w:left w:val="nil"/>
              <w:bottom w:val="nil"/>
              <w:right w:val="nil"/>
            </w:tcBorders>
            <w:shd w:val="clear" w:color="auto" w:fill="auto"/>
            <w:noWrap/>
            <w:vAlign w:val="bottom"/>
            <w:hideMark/>
          </w:tcPr>
          <w:p w14:paraId="207A6DE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0.241</w:t>
            </w:r>
          </w:p>
        </w:tc>
        <w:tc>
          <w:tcPr>
            <w:tcW w:w="521" w:type="pct"/>
            <w:tcBorders>
              <w:top w:val="nil"/>
              <w:left w:val="nil"/>
              <w:bottom w:val="nil"/>
              <w:right w:val="nil"/>
            </w:tcBorders>
            <w:shd w:val="clear" w:color="auto" w:fill="auto"/>
            <w:noWrap/>
            <w:vAlign w:val="bottom"/>
            <w:hideMark/>
          </w:tcPr>
          <w:p w14:paraId="13D6EBB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0.223</w:t>
            </w:r>
          </w:p>
        </w:tc>
        <w:tc>
          <w:tcPr>
            <w:tcW w:w="521" w:type="pct"/>
            <w:tcBorders>
              <w:top w:val="nil"/>
              <w:left w:val="nil"/>
              <w:bottom w:val="nil"/>
              <w:right w:val="nil"/>
            </w:tcBorders>
            <w:shd w:val="clear" w:color="auto" w:fill="auto"/>
            <w:noWrap/>
            <w:vAlign w:val="bottom"/>
            <w:hideMark/>
          </w:tcPr>
          <w:p w14:paraId="371EB409"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-0.022</w:t>
            </w:r>
          </w:p>
        </w:tc>
        <w:tc>
          <w:tcPr>
            <w:tcW w:w="521" w:type="pct"/>
            <w:tcBorders>
              <w:top w:val="nil"/>
              <w:left w:val="nil"/>
              <w:bottom w:val="nil"/>
              <w:right w:val="single" w:sz="4" w:space="0" w:color="auto"/>
            </w:tcBorders>
            <w:shd w:val="clear" w:color="auto" w:fill="auto"/>
            <w:noWrap/>
            <w:vAlign w:val="bottom"/>
            <w:hideMark/>
          </w:tcPr>
          <w:p w14:paraId="2FED993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-0.025</w:t>
            </w:r>
          </w:p>
        </w:tc>
        <w:tc>
          <w:tcPr>
            <w:tcW w:w="521" w:type="pct"/>
            <w:tcBorders>
              <w:top w:val="nil"/>
              <w:left w:val="single" w:sz="4" w:space="0" w:color="auto"/>
              <w:bottom w:val="nil"/>
              <w:right w:val="nil"/>
            </w:tcBorders>
            <w:shd w:val="clear" w:color="auto" w:fill="auto"/>
            <w:noWrap/>
            <w:vAlign w:val="bottom"/>
            <w:hideMark/>
          </w:tcPr>
          <w:p w14:paraId="491B5B39"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0.121</w:t>
            </w:r>
          </w:p>
        </w:tc>
        <w:tc>
          <w:tcPr>
            <w:tcW w:w="521" w:type="pct"/>
            <w:tcBorders>
              <w:top w:val="nil"/>
              <w:left w:val="nil"/>
              <w:bottom w:val="nil"/>
              <w:right w:val="nil"/>
            </w:tcBorders>
            <w:shd w:val="clear" w:color="auto" w:fill="auto"/>
            <w:noWrap/>
            <w:vAlign w:val="bottom"/>
            <w:hideMark/>
          </w:tcPr>
          <w:p w14:paraId="398772C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0.121</w:t>
            </w:r>
          </w:p>
        </w:tc>
        <w:tc>
          <w:tcPr>
            <w:tcW w:w="521" w:type="pct"/>
            <w:tcBorders>
              <w:top w:val="nil"/>
              <w:left w:val="nil"/>
              <w:bottom w:val="nil"/>
              <w:right w:val="nil"/>
            </w:tcBorders>
            <w:shd w:val="clear" w:color="auto" w:fill="auto"/>
            <w:noWrap/>
            <w:vAlign w:val="bottom"/>
            <w:hideMark/>
          </w:tcPr>
          <w:p w14:paraId="1C4BD4D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-0.010</w:t>
            </w:r>
          </w:p>
        </w:tc>
        <w:tc>
          <w:tcPr>
            <w:tcW w:w="520" w:type="pct"/>
            <w:tcBorders>
              <w:top w:val="nil"/>
              <w:left w:val="nil"/>
              <w:bottom w:val="nil"/>
              <w:right w:val="nil"/>
            </w:tcBorders>
            <w:shd w:val="clear" w:color="auto" w:fill="auto"/>
            <w:noWrap/>
            <w:vAlign w:val="bottom"/>
            <w:hideMark/>
          </w:tcPr>
          <w:p w14:paraId="24307EE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-0.014</w:t>
            </w:r>
          </w:p>
        </w:tc>
      </w:tr>
      <w:tr w:rsidR="00116862" w:rsidRPr="00245E91" w14:paraId="43A03B62" w14:textId="77777777" w:rsidTr="00D83DD8">
        <w:trPr>
          <w:trHeight w:val="20"/>
        </w:trPr>
        <w:tc>
          <w:tcPr>
            <w:tcW w:w="833" w:type="pct"/>
            <w:tcBorders>
              <w:top w:val="nil"/>
              <w:left w:val="nil"/>
              <w:bottom w:val="nil"/>
              <w:right w:val="nil"/>
            </w:tcBorders>
            <w:shd w:val="clear" w:color="auto" w:fill="auto"/>
            <w:noWrap/>
            <w:vAlign w:val="bottom"/>
            <w:hideMark/>
          </w:tcPr>
          <w:p w14:paraId="2C9E8E4E"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p>
        </w:tc>
        <w:tc>
          <w:tcPr>
            <w:tcW w:w="521" w:type="pct"/>
            <w:tcBorders>
              <w:top w:val="nil"/>
              <w:left w:val="nil"/>
              <w:bottom w:val="nil"/>
              <w:right w:val="nil"/>
            </w:tcBorders>
            <w:shd w:val="clear" w:color="auto" w:fill="auto"/>
            <w:noWrap/>
            <w:vAlign w:val="bottom"/>
            <w:hideMark/>
          </w:tcPr>
          <w:p w14:paraId="59C620A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(3.92***)</w:t>
            </w:r>
          </w:p>
        </w:tc>
        <w:tc>
          <w:tcPr>
            <w:tcW w:w="521" w:type="pct"/>
            <w:tcBorders>
              <w:top w:val="nil"/>
              <w:left w:val="nil"/>
              <w:bottom w:val="nil"/>
              <w:right w:val="nil"/>
            </w:tcBorders>
            <w:shd w:val="clear" w:color="auto" w:fill="auto"/>
            <w:noWrap/>
            <w:vAlign w:val="bottom"/>
            <w:hideMark/>
          </w:tcPr>
          <w:p w14:paraId="20DE6F3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(4.094**)</w:t>
            </w:r>
          </w:p>
        </w:tc>
        <w:tc>
          <w:tcPr>
            <w:tcW w:w="521" w:type="pct"/>
            <w:tcBorders>
              <w:top w:val="nil"/>
              <w:left w:val="nil"/>
              <w:bottom w:val="nil"/>
              <w:right w:val="nil"/>
            </w:tcBorders>
            <w:shd w:val="clear" w:color="auto" w:fill="auto"/>
            <w:noWrap/>
            <w:vAlign w:val="bottom"/>
            <w:hideMark/>
          </w:tcPr>
          <w:p w14:paraId="105E848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(-0.89)</w:t>
            </w:r>
          </w:p>
        </w:tc>
        <w:tc>
          <w:tcPr>
            <w:tcW w:w="521" w:type="pct"/>
            <w:tcBorders>
              <w:top w:val="nil"/>
              <w:left w:val="nil"/>
              <w:bottom w:val="nil"/>
              <w:right w:val="single" w:sz="4" w:space="0" w:color="auto"/>
            </w:tcBorders>
            <w:shd w:val="clear" w:color="auto" w:fill="auto"/>
            <w:noWrap/>
            <w:vAlign w:val="bottom"/>
            <w:hideMark/>
          </w:tcPr>
          <w:p w14:paraId="150FE5B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(-1.01)</w:t>
            </w:r>
          </w:p>
        </w:tc>
        <w:tc>
          <w:tcPr>
            <w:tcW w:w="521" w:type="pct"/>
            <w:tcBorders>
              <w:top w:val="nil"/>
              <w:left w:val="single" w:sz="4" w:space="0" w:color="auto"/>
              <w:bottom w:val="nil"/>
              <w:right w:val="nil"/>
            </w:tcBorders>
            <w:shd w:val="clear" w:color="auto" w:fill="auto"/>
            <w:noWrap/>
            <w:vAlign w:val="bottom"/>
            <w:hideMark/>
          </w:tcPr>
          <w:p w14:paraId="1DEBBAA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(2.89***)</w:t>
            </w:r>
          </w:p>
        </w:tc>
        <w:tc>
          <w:tcPr>
            <w:tcW w:w="521" w:type="pct"/>
            <w:tcBorders>
              <w:top w:val="nil"/>
              <w:left w:val="nil"/>
              <w:bottom w:val="nil"/>
              <w:right w:val="nil"/>
            </w:tcBorders>
            <w:shd w:val="clear" w:color="auto" w:fill="auto"/>
            <w:noWrap/>
            <w:vAlign w:val="bottom"/>
            <w:hideMark/>
          </w:tcPr>
          <w:p w14:paraId="77645C1A"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(2.97***)</w:t>
            </w:r>
          </w:p>
        </w:tc>
        <w:tc>
          <w:tcPr>
            <w:tcW w:w="521" w:type="pct"/>
            <w:tcBorders>
              <w:top w:val="nil"/>
              <w:left w:val="nil"/>
              <w:bottom w:val="nil"/>
              <w:right w:val="nil"/>
            </w:tcBorders>
            <w:shd w:val="clear" w:color="auto" w:fill="auto"/>
            <w:noWrap/>
            <w:vAlign w:val="bottom"/>
            <w:hideMark/>
          </w:tcPr>
          <w:p w14:paraId="602E3D91"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(-0.34)</w:t>
            </w:r>
          </w:p>
        </w:tc>
        <w:tc>
          <w:tcPr>
            <w:tcW w:w="520" w:type="pct"/>
            <w:tcBorders>
              <w:top w:val="nil"/>
              <w:left w:val="nil"/>
              <w:bottom w:val="nil"/>
              <w:right w:val="nil"/>
            </w:tcBorders>
            <w:shd w:val="clear" w:color="auto" w:fill="auto"/>
            <w:noWrap/>
            <w:vAlign w:val="bottom"/>
            <w:hideMark/>
          </w:tcPr>
          <w:p w14:paraId="68FCC1B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(-0.48)</w:t>
            </w:r>
          </w:p>
        </w:tc>
      </w:tr>
      <w:tr w:rsidR="00116862" w:rsidRPr="00245E91" w14:paraId="4B922D38" w14:textId="77777777" w:rsidTr="00D83DD8">
        <w:trPr>
          <w:trHeight w:val="20"/>
        </w:trPr>
        <w:tc>
          <w:tcPr>
            <w:tcW w:w="833" w:type="pct"/>
            <w:tcBorders>
              <w:top w:val="nil"/>
              <w:left w:val="nil"/>
              <w:bottom w:val="nil"/>
              <w:right w:val="nil"/>
            </w:tcBorders>
            <w:shd w:val="clear" w:color="auto" w:fill="auto"/>
            <w:noWrap/>
            <w:vAlign w:val="bottom"/>
            <w:hideMark/>
          </w:tcPr>
          <w:p w14:paraId="7512F764"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LN(Assets)</w:t>
            </w:r>
          </w:p>
        </w:tc>
        <w:tc>
          <w:tcPr>
            <w:tcW w:w="521" w:type="pct"/>
            <w:tcBorders>
              <w:top w:val="nil"/>
              <w:left w:val="nil"/>
              <w:bottom w:val="nil"/>
              <w:right w:val="nil"/>
            </w:tcBorders>
            <w:shd w:val="clear" w:color="auto" w:fill="auto"/>
            <w:noWrap/>
            <w:vAlign w:val="bottom"/>
            <w:hideMark/>
          </w:tcPr>
          <w:p w14:paraId="73A99A8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0.025</w:t>
            </w:r>
          </w:p>
        </w:tc>
        <w:tc>
          <w:tcPr>
            <w:tcW w:w="521" w:type="pct"/>
            <w:tcBorders>
              <w:top w:val="nil"/>
              <w:left w:val="nil"/>
              <w:bottom w:val="nil"/>
              <w:right w:val="nil"/>
            </w:tcBorders>
            <w:shd w:val="clear" w:color="auto" w:fill="auto"/>
            <w:noWrap/>
            <w:vAlign w:val="bottom"/>
            <w:hideMark/>
          </w:tcPr>
          <w:p w14:paraId="4C9A402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-0.002</w:t>
            </w:r>
          </w:p>
        </w:tc>
        <w:tc>
          <w:tcPr>
            <w:tcW w:w="521" w:type="pct"/>
            <w:tcBorders>
              <w:top w:val="nil"/>
              <w:left w:val="nil"/>
              <w:bottom w:val="nil"/>
              <w:right w:val="nil"/>
            </w:tcBorders>
            <w:shd w:val="clear" w:color="auto" w:fill="auto"/>
            <w:noWrap/>
            <w:vAlign w:val="bottom"/>
            <w:hideMark/>
          </w:tcPr>
          <w:p w14:paraId="549AFB0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-0.101</w:t>
            </w:r>
          </w:p>
        </w:tc>
        <w:tc>
          <w:tcPr>
            <w:tcW w:w="521" w:type="pct"/>
            <w:tcBorders>
              <w:top w:val="nil"/>
              <w:left w:val="nil"/>
              <w:bottom w:val="nil"/>
              <w:right w:val="single" w:sz="4" w:space="0" w:color="auto"/>
            </w:tcBorders>
            <w:shd w:val="clear" w:color="auto" w:fill="auto"/>
            <w:noWrap/>
            <w:vAlign w:val="bottom"/>
            <w:hideMark/>
          </w:tcPr>
          <w:p w14:paraId="589DB2A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-0.098</w:t>
            </w:r>
          </w:p>
        </w:tc>
        <w:tc>
          <w:tcPr>
            <w:tcW w:w="521" w:type="pct"/>
            <w:tcBorders>
              <w:top w:val="nil"/>
              <w:left w:val="single" w:sz="4" w:space="0" w:color="auto"/>
              <w:bottom w:val="nil"/>
              <w:right w:val="nil"/>
            </w:tcBorders>
            <w:shd w:val="clear" w:color="auto" w:fill="auto"/>
            <w:noWrap/>
            <w:vAlign w:val="bottom"/>
            <w:hideMark/>
          </w:tcPr>
          <w:p w14:paraId="34DBB2D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0.122</w:t>
            </w:r>
          </w:p>
        </w:tc>
        <w:tc>
          <w:tcPr>
            <w:tcW w:w="521" w:type="pct"/>
            <w:tcBorders>
              <w:top w:val="nil"/>
              <w:left w:val="nil"/>
              <w:bottom w:val="nil"/>
              <w:right w:val="nil"/>
            </w:tcBorders>
            <w:shd w:val="clear" w:color="auto" w:fill="auto"/>
            <w:noWrap/>
            <w:vAlign w:val="bottom"/>
            <w:hideMark/>
          </w:tcPr>
          <w:p w14:paraId="6B67E95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0.114</w:t>
            </w:r>
          </w:p>
        </w:tc>
        <w:tc>
          <w:tcPr>
            <w:tcW w:w="521" w:type="pct"/>
            <w:tcBorders>
              <w:top w:val="nil"/>
              <w:left w:val="nil"/>
              <w:bottom w:val="nil"/>
              <w:right w:val="nil"/>
            </w:tcBorders>
            <w:shd w:val="clear" w:color="auto" w:fill="auto"/>
            <w:noWrap/>
            <w:vAlign w:val="bottom"/>
            <w:hideMark/>
          </w:tcPr>
          <w:p w14:paraId="0C6ED02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-0.032</w:t>
            </w:r>
          </w:p>
        </w:tc>
        <w:tc>
          <w:tcPr>
            <w:tcW w:w="520" w:type="pct"/>
            <w:tcBorders>
              <w:top w:val="nil"/>
              <w:left w:val="nil"/>
              <w:bottom w:val="nil"/>
              <w:right w:val="nil"/>
            </w:tcBorders>
            <w:shd w:val="clear" w:color="auto" w:fill="auto"/>
            <w:noWrap/>
            <w:vAlign w:val="bottom"/>
            <w:hideMark/>
          </w:tcPr>
          <w:p w14:paraId="12330D4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-0.032</w:t>
            </w:r>
          </w:p>
        </w:tc>
      </w:tr>
      <w:tr w:rsidR="00116862" w:rsidRPr="00245E91" w14:paraId="5FB8C0DA" w14:textId="77777777" w:rsidTr="00D83DD8">
        <w:trPr>
          <w:trHeight w:val="20"/>
        </w:trPr>
        <w:tc>
          <w:tcPr>
            <w:tcW w:w="833" w:type="pct"/>
            <w:tcBorders>
              <w:top w:val="nil"/>
              <w:left w:val="nil"/>
              <w:bottom w:val="nil"/>
              <w:right w:val="nil"/>
            </w:tcBorders>
            <w:shd w:val="clear" w:color="auto" w:fill="auto"/>
            <w:noWrap/>
            <w:vAlign w:val="bottom"/>
            <w:hideMark/>
          </w:tcPr>
          <w:p w14:paraId="41DDACEA"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p>
        </w:tc>
        <w:tc>
          <w:tcPr>
            <w:tcW w:w="521" w:type="pct"/>
            <w:tcBorders>
              <w:top w:val="nil"/>
              <w:left w:val="nil"/>
              <w:bottom w:val="nil"/>
              <w:right w:val="nil"/>
            </w:tcBorders>
            <w:shd w:val="clear" w:color="auto" w:fill="auto"/>
            <w:noWrap/>
            <w:vAlign w:val="bottom"/>
            <w:hideMark/>
          </w:tcPr>
          <w:p w14:paraId="703F523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(0.51)</w:t>
            </w:r>
          </w:p>
        </w:tc>
        <w:tc>
          <w:tcPr>
            <w:tcW w:w="521" w:type="pct"/>
            <w:tcBorders>
              <w:top w:val="nil"/>
              <w:left w:val="nil"/>
              <w:bottom w:val="nil"/>
              <w:right w:val="nil"/>
            </w:tcBorders>
            <w:shd w:val="clear" w:color="auto" w:fill="auto"/>
            <w:noWrap/>
            <w:vAlign w:val="bottom"/>
            <w:hideMark/>
          </w:tcPr>
          <w:p w14:paraId="4842E811"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w:t>
            </w:r>
          </w:p>
        </w:tc>
        <w:tc>
          <w:tcPr>
            <w:tcW w:w="521" w:type="pct"/>
            <w:tcBorders>
              <w:top w:val="nil"/>
              <w:left w:val="nil"/>
              <w:bottom w:val="nil"/>
              <w:right w:val="nil"/>
            </w:tcBorders>
            <w:shd w:val="clear" w:color="auto" w:fill="auto"/>
            <w:noWrap/>
            <w:vAlign w:val="bottom"/>
            <w:hideMark/>
          </w:tcPr>
          <w:p w14:paraId="49CDC26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(-3.23***)</w:t>
            </w:r>
          </w:p>
        </w:tc>
        <w:tc>
          <w:tcPr>
            <w:tcW w:w="521" w:type="pct"/>
            <w:tcBorders>
              <w:top w:val="nil"/>
              <w:left w:val="nil"/>
              <w:bottom w:val="nil"/>
              <w:right w:val="single" w:sz="4" w:space="0" w:color="auto"/>
            </w:tcBorders>
            <w:shd w:val="clear" w:color="auto" w:fill="auto"/>
            <w:noWrap/>
            <w:vAlign w:val="bottom"/>
            <w:hideMark/>
          </w:tcPr>
          <w:p w14:paraId="75A77DF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(-3.22***)</w:t>
            </w:r>
          </w:p>
        </w:tc>
        <w:tc>
          <w:tcPr>
            <w:tcW w:w="521" w:type="pct"/>
            <w:tcBorders>
              <w:top w:val="nil"/>
              <w:left w:val="single" w:sz="4" w:space="0" w:color="auto"/>
              <w:bottom w:val="nil"/>
              <w:right w:val="nil"/>
            </w:tcBorders>
            <w:shd w:val="clear" w:color="auto" w:fill="auto"/>
            <w:noWrap/>
            <w:vAlign w:val="bottom"/>
            <w:hideMark/>
          </w:tcPr>
          <w:p w14:paraId="3597A44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(2.25**)</w:t>
            </w:r>
          </w:p>
        </w:tc>
        <w:tc>
          <w:tcPr>
            <w:tcW w:w="521" w:type="pct"/>
            <w:tcBorders>
              <w:top w:val="nil"/>
              <w:left w:val="nil"/>
              <w:bottom w:val="nil"/>
              <w:right w:val="nil"/>
            </w:tcBorders>
            <w:shd w:val="clear" w:color="auto" w:fill="auto"/>
            <w:noWrap/>
            <w:vAlign w:val="bottom"/>
            <w:hideMark/>
          </w:tcPr>
          <w:p w14:paraId="1585F8E9"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(2.13**)</w:t>
            </w:r>
          </w:p>
        </w:tc>
        <w:tc>
          <w:tcPr>
            <w:tcW w:w="521" w:type="pct"/>
            <w:tcBorders>
              <w:top w:val="nil"/>
              <w:left w:val="nil"/>
              <w:bottom w:val="nil"/>
              <w:right w:val="nil"/>
            </w:tcBorders>
            <w:shd w:val="clear" w:color="auto" w:fill="auto"/>
            <w:noWrap/>
            <w:vAlign w:val="bottom"/>
            <w:hideMark/>
          </w:tcPr>
          <w:p w14:paraId="4FAAB03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(-0.83)</w:t>
            </w:r>
          </w:p>
        </w:tc>
        <w:tc>
          <w:tcPr>
            <w:tcW w:w="520" w:type="pct"/>
            <w:tcBorders>
              <w:top w:val="nil"/>
              <w:left w:val="nil"/>
              <w:bottom w:val="nil"/>
              <w:right w:val="nil"/>
            </w:tcBorders>
            <w:shd w:val="clear" w:color="auto" w:fill="auto"/>
            <w:noWrap/>
            <w:vAlign w:val="bottom"/>
            <w:hideMark/>
          </w:tcPr>
          <w:p w14:paraId="62367F2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(-0.82)</w:t>
            </w:r>
          </w:p>
        </w:tc>
      </w:tr>
      <w:tr w:rsidR="00116862" w:rsidRPr="00245E91" w14:paraId="51CC2F93" w14:textId="77777777" w:rsidTr="00D83DD8">
        <w:trPr>
          <w:trHeight w:val="20"/>
        </w:trPr>
        <w:tc>
          <w:tcPr>
            <w:tcW w:w="833" w:type="pct"/>
            <w:tcBorders>
              <w:top w:val="nil"/>
              <w:left w:val="nil"/>
              <w:bottom w:val="nil"/>
              <w:right w:val="nil"/>
            </w:tcBorders>
            <w:shd w:val="clear" w:color="auto" w:fill="auto"/>
            <w:noWrap/>
            <w:vAlign w:val="bottom"/>
            <w:hideMark/>
          </w:tcPr>
          <w:p w14:paraId="4DCB4230"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MKTSHARE</w:t>
            </w:r>
          </w:p>
        </w:tc>
        <w:tc>
          <w:tcPr>
            <w:tcW w:w="521" w:type="pct"/>
            <w:tcBorders>
              <w:top w:val="nil"/>
              <w:left w:val="nil"/>
              <w:bottom w:val="nil"/>
              <w:right w:val="nil"/>
            </w:tcBorders>
            <w:shd w:val="clear" w:color="auto" w:fill="auto"/>
            <w:noWrap/>
            <w:vAlign w:val="bottom"/>
            <w:hideMark/>
          </w:tcPr>
          <w:p w14:paraId="09B700D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0.025</w:t>
            </w:r>
          </w:p>
        </w:tc>
        <w:tc>
          <w:tcPr>
            <w:tcW w:w="521" w:type="pct"/>
            <w:tcBorders>
              <w:top w:val="nil"/>
              <w:left w:val="nil"/>
              <w:bottom w:val="nil"/>
              <w:right w:val="nil"/>
            </w:tcBorders>
            <w:shd w:val="clear" w:color="auto" w:fill="auto"/>
            <w:noWrap/>
            <w:vAlign w:val="bottom"/>
            <w:hideMark/>
          </w:tcPr>
          <w:p w14:paraId="4CA8AE1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0.031</w:t>
            </w:r>
          </w:p>
        </w:tc>
        <w:tc>
          <w:tcPr>
            <w:tcW w:w="521" w:type="pct"/>
            <w:tcBorders>
              <w:top w:val="nil"/>
              <w:left w:val="nil"/>
              <w:bottom w:val="nil"/>
              <w:right w:val="nil"/>
            </w:tcBorders>
            <w:shd w:val="clear" w:color="auto" w:fill="auto"/>
            <w:noWrap/>
            <w:vAlign w:val="bottom"/>
            <w:hideMark/>
          </w:tcPr>
          <w:p w14:paraId="7E2BB511"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-0.001</w:t>
            </w:r>
          </w:p>
        </w:tc>
        <w:tc>
          <w:tcPr>
            <w:tcW w:w="521" w:type="pct"/>
            <w:tcBorders>
              <w:top w:val="nil"/>
              <w:left w:val="nil"/>
              <w:bottom w:val="nil"/>
              <w:right w:val="single" w:sz="4" w:space="0" w:color="auto"/>
            </w:tcBorders>
            <w:shd w:val="clear" w:color="auto" w:fill="auto"/>
            <w:noWrap/>
            <w:vAlign w:val="bottom"/>
            <w:hideMark/>
          </w:tcPr>
          <w:p w14:paraId="6DCE520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0.003</w:t>
            </w:r>
          </w:p>
        </w:tc>
        <w:tc>
          <w:tcPr>
            <w:tcW w:w="521" w:type="pct"/>
            <w:tcBorders>
              <w:top w:val="nil"/>
              <w:left w:val="single" w:sz="4" w:space="0" w:color="auto"/>
              <w:bottom w:val="nil"/>
              <w:right w:val="nil"/>
            </w:tcBorders>
            <w:shd w:val="clear" w:color="auto" w:fill="auto"/>
            <w:noWrap/>
            <w:vAlign w:val="bottom"/>
            <w:hideMark/>
          </w:tcPr>
          <w:p w14:paraId="1F2D8BF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0.122</w:t>
            </w:r>
          </w:p>
        </w:tc>
        <w:tc>
          <w:tcPr>
            <w:tcW w:w="521" w:type="pct"/>
            <w:tcBorders>
              <w:top w:val="nil"/>
              <w:left w:val="nil"/>
              <w:bottom w:val="nil"/>
              <w:right w:val="nil"/>
            </w:tcBorders>
            <w:shd w:val="clear" w:color="auto" w:fill="auto"/>
            <w:noWrap/>
            <w:vAlign w:val="bottom"/>
            <w:hideMark/>
          </w:tcPr>
          <w:p w14:paraId="315F703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0.129</w:t>
            </w:r>
          </w:p>
        </w:tc>
        <w:tc>
          <w:tcPr>
            <w:tcW w:w="521" w:type="pct"/>
            <w:tcBorders>
              <w:top w:val="nil"/>
              <w:left w:val="nil"/>
              <w:bottom w:val="nil"/>
              <w:right w:val="nil"/>
            </w:tcBorders>
            <w:shd w:val="clear" w:color="auto" w:fill="auto"/>
            <w:noWrap/>
            <w:vAlign w:val="bottom"/>
            <w:hideMark/>
          </w:tcPr>
          <w:p w14:paraId="35603CD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0.031</w:t>
            </w:r>
          </w:p>
        </w:tc>
        <w:tc>
          <w:tcPr>
            <w:tcW w:w="520" w:type="pct"/>
            <w:tcBorders>
              <w:top w:val="nil"/>
              <w:left w:val="nil"/>
              <w:bottom w:val="nil"/>
              <w:right w:val="nil"/>
            </w:tcBorders>
            <w:shd w:val="clear" w:color="auto" w:fill="auto"/>
            <w:noWrap/>
            <w:vAlign w:val="bottom"/>
            <w:hideMark/>
          </w:tcPr>
          <w:p w14:paraId="480A64D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0.033</w:t>
            </w:r>
          </w:p>
        </w:tc>
      </w:tr>
      <w:tr w:rsidR="00116862" w:rsidRPr="00245E91" w14:paraId="11456CA0" w14:textId="77777777" w:rsidTr="00D83DD8">
        <w:trPr>
          <w:trHeight w:val="20"/>
        </w:trPr>
        <w:tc>
          <w:tcPr>
            <w:tcW w:w="833" w:type="pct"/>
            <w:tcBorders>
              <w:top w:val="nil"/>
              <w:left w:val="nil"/>
              <w:bottom w:val="nil"/>
              <w:right w:val="nil"/>
            </w:tcBorders>
            <w:shd w:val="clear" w:color="auto" w:fill="auto"/>
            <w:noWrap/>
            <w:vAlign w:val="bottom"/>
            <w:hideMark/>
          </w:tcPr>
          <w:p w14:paraId="214A0A92"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p>
        </w:tc>
        <w:tc>
          <w:tcPr>
            <w:tcW w:w="521" w:type="pct"/>
            <w:tcBorders>
              <w:top w:val="nil"/>
              <w:left w:val="nil"/>
              <w:bottom w:val="nil"/>
              <w:right w:val="nil"/>
            </w:tcBorders>
            <w:shd w:val="clear" w:color="auto" w:fill="auto"/>
            <w:noWrap/>
            <w:vAlign w:val="bottom"/>
            <w:hideMark/>
          </w:tcPr>
          <w:p w14:paraId="308459A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(0.63)</w:t>
            </w:r>
          </w:p>
        </w:tc>
        <w:tc>
          <w:tcPr>
            <w:tcW w:w="521" w:type="pct"/>
            <w:tcBorders>
              <w:top w:val="nil"/>
              <w:left w:val="nil"/>
              <w:bottom w:val="nil"/>
              <w:right w:val="nil"/>
            </w:tcBorders>
            <w:shd w:val="clear" w:color="auto" w:fill="auto"/>
            <w:noWrap/>
            <w:vAlign w:val="bottom"/>
            <w:hideMark/>
          </w:tcPr>
          <w:p w14:paraId="60705AF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(0.87)</w:t>
            </w:r>
          </w:p>
        </w:tc>
        <w:tc>
          <w:tcPr>
            <w:tcW w:w="521" w:type="pct"/>
            <w:tcBorders>
              <w:top w:val="nil"/>
              <w:left w:val="nil"/>
              <w:bottom w:val="nil"/>
              <w:right w:val="nil"/>
            </w:tcBorders>
            <w:shd w:val="clear" w:color="auto" w:fill="auto"/>
            <w:noWrap/>
            <w:vAlign w:val="bottom"/>
            <w:hideMark/>
          </w:tcPr>
          <w:p w14:paraId="515ECD3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(-0.10)</w:t>
            </w:r>
          </w:p>
        </w:tc>
        <w:tc>
          <w:tcPr>
            <w:tcW w:w="521" w:type="pct"/>
            <w:tcBorders>
              <w:top w:val="nil"/>
              <w:left w:val="nil"/>
              <w:bottom w:val="nil"/>
              <w:right w:val="single" w:sz="4" w:space="0" w:color="auto"/>
            </w:tcBorders>
            <w:shd w:val="clear" w:color="auto" w:fill="auto"/>
            <w:noWrap/>
            <w:vAlign w:val="bottom"/>
            <w:hideMark/>
          </w:tcPr>
          <w:p w14:paraId="3CF45B4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(0.21)</w:t>
            </w:r>
          </w:p>
        </w:tc>
        <w:tc>
          <w:tcPr>
            <w:tcW w:w="521" w:type="pct"/>
            <w:tcBorders>
              <w:top w:val="nil"/>
              <w:left w:val="single" w:sz="4" w:space="0" w:color="auto"/>
              <w:bottom w:val="nil"/>
              <w:right w:val="nil"/>
            </w:tcBorders>
            <w:shd w:val="clear" w:color="auto" w:fill="auto"/>
            <w:noWrap/>
            <w:vAlign w:val="bottom"/>
            <w:hideMark/>
          </w:tcPr>
          <w:p w14:paraId="055E7C8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(3.62***)</w:t>
            </w:r>
          </w:p>
        </w:tc>
        <w:tc>
          <w:tcPr>
            <w:tcW w:w="521" w:type="pct"/>
            <w:tcBorders>
              <w:top w:val="nil"/>
              <w:left w:val="nil"/>
              <w:bottom w:val="nil"/>
              <w:right w:val="nil"/>
            </w:tcBorders>
            <w:shd w:val="clear" w:color="auto" w:fill="auto"/>
            <w:noWrap/>
            <w:vAlign w:val="bottom"/>
            <w:hideMark/>
          </w:tcPr>
          <w:p w14:paraId="14DBF05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(4.78***)</w:t>
            </w:r>
          </w:p>
        </w:tc>
        <w:tc>
          <w:tcPr>
            <w:tcW w:w="521" w:type="pct"/>
            <w:tcBorders>
              <w:top w:val="nil"/>
              <w:left w:val="nil"/>
              <w:bottom w:val="nil"/>
              <w:right w:val="nil"/>
            </w:tcBorders>
            <w:shd w:val="clear" w:color="auto" w:fill="auto"/>
            <w:noWrap/>
            <w:vAlign w:val="bottom"/>
            <w:hideMark/>
          </w:tcPr>
          <w:p w14:paraId="549FA39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(0.66)</w:t>
            </w:r>
          </w:p>
        </w:tc>
        <w:tc>
          <w:tcPr>
            <w:tcW w:w="520" w:type="pct"/>
            <w:tcBorders>
              <w:top w:val="nil"/>
              <w:left w:val="nil"/>
              <w:bottom w:val="nil"/>
              <w:right w:val="nil"/>
            </w:tcBorders>
            <w:shd w:val="clear" w:color="auto" w:fill="auto"/>
            <w:noWrap/>
            <w:vAlign w:val="bottom"/>
            <w:hideMark/>
          </w:tcPr>
          <w:p w14:paraId="0B532F2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(0.68)</w:t>
            </w:r>
          </w:p>
        </w:tc>
      </w:tr>
      <w:tr w:rsidR="00116862" w:rsidRPr="00245E91" w14:paraId="2BB9C179" w14:textId="77777777" w:rsidTr="00D83DD8">
        <w:trPr>
          <w:trHeight w:val="20"/>
        </w:trPr>
        <w:tc>
          <w:tcPr>
            <w:tcW w:w="833" w:type="pct"/>
            <w:tcBorders>
              <w:top w:val="nil"/>
              <w:left w:val="nil"/>
              <w:bottom w:val="nil"/>
              <w:right w:val="nil"/>
            </w:tcBorders>
            <w:shd w:val="clear" w:color="auto" w:fill="auto"/>
            <w:noWrap/>
            <w:vAlign w:val="bottom"/>
            <w:hideMark/>
          </w:tcPr>
          <w:p w14:paraId="2F64EE19"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DEBT</w:t>
            </w:r>
          </w:p>
        </w:tc>
        <w:tc>
          <w:tcPr>
            <w:tcW w:w="521" w:type="pct"/>
            <w:tcBorders>
              <w:top w:val="nil"/>
              <w:left w:val="nil"/>
              <w:bottom w:val="nil"/>
              <w:right w:val="nil"/>
            </w:tcBorders>
            <w:shd w:val="clear" w:color="auto" w:fill="auto"/>
            <w:noWrap/>
            <w:vAlign w:val="bottom"/>
            <w:hideMark/>
          </w:tcPr>
          <w:p w14:paraId="4E0F02D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0.084</w:t>
            </w:r>
          </w:p>
        </w:tc>
        <w:tc>
          <w:tcPr>
            <w:tcW w:w="521" w:type="pct"/>
            <w:tcBorders>
              <w:top w:val="nil"/>
              <w:left w:val="nil"/>
              <w:bottom w:val="nil"/>
              <w:right w:val="nil"/>
            </w:tcBorders>
            <w:shd w:val="clear" w:color="auto" w:fill="auto"/>
            <w:noWrap/>
            <w:vAlign w:val="bottom"/>
            <w:hideMark/>
          </w:tcPr>
          <w:p w14:paraId="30ED7A3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0.076</w:t>
            </w:r>
          </w:p>
        </w:tc>
        <w:tc>
          <w:tcPr>
            <w:tcW w:w="521" w:type="pct"/>
            <w:tcBorders>
              <w:top w:val="nil"/>
              <w:left w:val="nil"/>
              <w:bottom w:val="nil"/>
              <w:right w:val="nil"/>
            </w:tcBorders>
            <w:shd w:val="clear" w:color="auto" w:fill="auto"/>
            <w:noWrap/>
            <w:vAlign w:val="bottom"/>
            <w:hideMark/>
          </w:tcPr>
          <w:p w14:paraId="2176E7C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0.006</w:t>
            </w:r>
          </w:p>
        </w:tc>
        <w:tc>
          <w:tcPr>
            <w:tcW w:w="521" w:type="pct"/>
            <w:tcBorders>
              <w:top w:val="nil"/>
              <w:left w:val="nil"/>
              <w:bottom w:val="nil"/>
              <w:right w:val="single" w:sz="4" w:space="0" w:color="auto"/>
            </w:tcBorders>
            <w:shd w:val="clear" w:color="auto" w:fill="auto"/>
            <w:noWrap/>
            <w:vAlign w:val="bottom"/>
            <w:hideMark/>
          </w:tcPr>
          <w:p w14:paraId="69A6759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0.011</w:t>
            </w:r>
          </w:p>
        </w:tc>
        <w:tc>
          <w:tcPr>
            <w:tcW w:w="521" w:type="pct"/>
            <w:tcBorders>
              <w:top w:val="nil"/>
              <w:left w:val="single" w:sz="4" w:space="0" w:color="auto"/>
              <w:bottom w:val="nil"/>
              <w:right w:val="nil"/>
            </w:tcBorders>
            <w:shd w:val="clear" w:color="auto" w:fill="auto"/>
            <w:noWrap/>
            <w:vAlign w:val="bottom"/>
            <w:hideMark/>
          </w:tcPr>
          <w:p w14:paraId="31F8FEF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0.124</w:t>
            </w:r>
          </w:p>
        </w:tc>
        <w:tc>
          <w:tcPr>
            <w:tcW w:w="521" w:type="pct"/>
            <w:tcBorders>
              <w:top w:val="nil"/>
              <w:left w:val="nil"/>
              <w:bottom w:val="nil"/>
              <w:right w:val="nil"/>
            </w:tcBorders>
            <w:shd w:val="clear" w:color="auto" w:fill="auto"/>
            <w:noWrap/>
            <w:vAlign w:val="bottom"/>
            <w:hideMark/>
          </w:tcPr>
          <w:p w14:paraId="385A018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0.156</w:t>
            </w:r>
          </w:p>
        </w:tc>
        <w:tc>
          <w:tcPr>
            <w:tcW w:w="521" w:type="pct"/>
            <w:tcBorders>
              <w:top w:val="nil"/>
              <w:left w:val="nil"/>
              <w:bottom w:val="nil"/>
              <w:right w:val="nil"/>
            </w:tcBorders>
            <w:shd w:val="clear" w:color="auto" w:fill="auto"/>
            <w:noWrap/>
            <w:vAlign w:val="bottom"/>
            <w:hideMark/>
          </w:tcPr>
          <w:p w14:paraId="6FFA646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0.030</w:t>
            </w:r>
          </w:p>
        </w:tc>
        <w:tc>
          <w:tcPr>
            <w:tcW w:w="520" w:type="pct"/>
            <w:tcBorders>
              <w:top w:val="nil"/>
              <w:left w:val="nil"/>
              <w:bottom w:val="nil"/>
              <w:right w:val="nil"/>
            </w:tcBorders>
            <w:shd w:val="clear" w:color="auto" w:fill="auto"/>
            <w:noWrap/>
            <w:vAlign w:val="bottom"/>
            <w:hideMark/>
          </w:tcPr>
          <w:p w14:paraId="73EB7A2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0.027</w:t>
            </w:r>
          </w:p>
        </w:tc>
      </w:tr>
      <w:tr w:rsidR="00116862" w:rsidRPr="00245E91" w14:paraId="294E20F5" w14:textId="77777777" w:rsidTr="00D83DD8">
        <w:trPr>
          <w:trHeight w:val="20"/>
        </w:trPr>
        <w:tc>
          <w:tcPr>
            <w:tcW w:w="833" w:type="pct"/>
            <w:tcBorders>
              <w:top w:val="nil"/>
              <w:left w:val="nil"/>
              <w:bottom w:val="nil"/>
              <w:right w:val="nil"/>
            </w:tcBorders>
            <w:shd w:val="clear" w:color="auto" w:fill="auto"/>
            <w:noWrap/>
            <w:vAlign w:val="bottom"/>
            <w:hideMark/>
          </w:tcPr>
          <w:p w14:paraId="10400551"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p>
        </w:tc>
        <w:tc>
          <w:tcPr>
            <w:tcW w:w="521" w:type="pct"/>
            <w:tcBorders>
              <w:top w:val="nil"/>
              <w:left w:val="nil"/>
              <w:bottom w:val="nil"/>
              <w:right w:val="nil"/>
            </w:tcBorders>
            <w:shd w:val="clear" w:color="auto" w:fill="auto"/>
            <w:noWrap/>
            <w:vAlign w:val="bottom"/>
            <w:hideMark/>
          </w:tcPr>
          <w:p w14:paraId="0318BD69"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(1.73*)</w:t>
            </w:r>
          </w:p>
        </w:tc>
        <w:tc>
          <w:tcPr>
            <w:tcW w:w="521" w:type="pct"/>
            <w:tcBorders>
              <w:top w:val="nil"/>
              <w:left w:val="nil"/>
              <w:bottom w:val="nil"/>
              <w:right w:val="nil"/>
            </w:tcBorders>
            <w:shd w:val="clear" w:color="auto" w:fill="auto"/>
            <w:noWrap/>
            <w:vAlign w:val="bottom"/>
            <w:hideMark/>
          </w:tcPr>
          <w:p w14:paraId="67271579"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(1.80*)</w:t>
            </w:r>
          </w:p>
        </w:tc>
        <w:tc>
          <w:tcPr>
            <w:tcW w:w="521" w:type="pct"/>
            <w:tcBorders>
              <w:top w:val="nil"/>
              <w:left w:val="nil"/>
              <w:bottom w:val="nil"/>
              <w:right w:val="nil"/>
            </w:tcBorders>
            <w:shd w:val="clear" w:color="auto" w:fill="auto"/>
            <w:noWrap/>
            <w:vAlign w:val="bottom"/>
            <w:hideMark/>
          </w:tcPr>
          <w:p w14:paraId="616FA2D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(0.18)</w:t>
            </w:r>
          </w:p>
        </w:tc>
        <w:tc>
          <w:tcPr>
            <w:tcW w:w="521" w:type="pct"/>
            <w:tcBorders>
              <w:top w:val="nil"/>
              <w:left w:val="nil"/>
              <w:bottom w:val="nil"/>
              <w:right w:val="single" w:sz="4" w:space="0" w:color="auto"/>
            </w:tcBorders>
            <w:shd w:val="clear" w:color="auto" w:fill="auto"/>
            <w:noWrap/>
            <w:vAlign w:val="bottom"/>
            <w:hideMark/>
          </w:tcPr>
          <w:p w14:paraId="12C7FC5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(0.35)</w:t>
            </w:r>
          </w:p>
        </w:tc>
        <w:tc>
          <w:tcPr>
            <w:tcW w:w="521" w:type="pct"/>
            <w:tcBorders>
              <w:top w:val="nil"/>
              <w:left w:val="single" w:sz="4" w:space="0" w:color="auto"/>
              <w:bottom w:val="nil"/>
              <w:right w:val="nil"/>
            </w:tcBorders>
            <w:shd w:val="clear" w:color="auto" w:fill="auto"/>
            <w:noWrap/>
            <w:vAlign w:val="bottom"/>
            <w:hideMark/>
          </w:tcPr>
          <w:p w14:paraId="1D273E7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(2.70***)</w:t>
            </w:r>
          </w:p>
        </w:tc>
        <w:tc>
          <w:tcPr>
            <w:tcW w:w="521" w:type="pct"/>
            <w:tcBorders>
              <w:top w:val="nil"/>
              <w:left w:val="nil"/>
              <w:bottom w:val="nil"/>
              <w:right w:val="nil"/>
            </w:tcBorders>
            <w:shd w:val="clear" w:color="auto" w:fill="auto"/>
            <w:noWrap/>
            <w:vAlign w:val="bottom"/>
            <w:hideMark/>
          </w:tcPr>
          <w:p w14:paraId="0595087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(3.67***)</w:t>
            </w:r>
          </w:p>
        </w:tc>
        <w:tc>
          <w:tcPr>
            <w:tcW w:w="521" w:type="pct"/>
            <w:tcBorders>
              <w:top w:val="nil"/>
              <w:left w:val="nil"/>
              <w:bottom w:val="nil"/>
              <w:right w:val="nil"/>
            </w:tcBorders>
            <w:shd w:val="clear" w:color="auto" w:fill="auto"/>
            <w:noWrap/>
            <w:vAlign w:val="bottom"/>
            <w:hideMark/>
          </w:tcPr>
          <w:p w14:paraId="4171B86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(1.21)</w:t>
            </w:r>
          </w:p>
        </w:tc>
        <w:tc>
          <w:tcPr>
            <w:tcW w:w="520" w:type="pct"/>
            <w:tcBorders>
              <w:top w:val="nil"/>
              <w:left w:val="nil"/>
              <w:bottom w:val="nil"/>
              <w:right w:val="nil"/>
            </w:tcBorders>
            <w:shd w:val="clear" w:color="auto" w:fill="auto"/>
            <w:noWrap/>
            <w:vAlign w:val="bottom"/>
            <w:hideMark/>
          </w:tcPr>
          <w:p w14:paraId="42BB5F91"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(1.09)</w:t>
            </w:r>
          </w:p>
        </w:tc>
      </w:tr>
      <w:tr w:rsidR="00116862" w:rsidRPr="00245E91" w14:paraId="0BA30AC1" w14:textId="77777777" w:rsidTr="00D83DD8">
        <w:trPr>
          <w:trHeight w:val="20"/>
        </w:trPr>
        <w:tc>
          <w:tcPr>
            <w:tcW w:w="833" w:type="pct"/>
            <w:tcBorders>
              <w:top w:val="nil"/>
              <w:left w:val="nil"/>
              <w:bottom w:val="nil"/>
              <w:right w:val="nil"/>
            </w:tcBorders>
            <w:shd w:val="clear" w:color="auto" w:fill="auto"/>
            <w:noWrap/>
            <w:vAlign w:val="bottom"/>
            <w:hideMark/>
          </w:tcPr>
          <w:p w14:paraId="35532455"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NOA</w:t>
            </w:r>
          </w:p>
        </w:tc>
        <w:tc>
          <w:tcPr>
            <w:tcW w:w="521" w:type="pct"/>
            <w:tcBorders>
              <w:top w:val="nil"/>
              <w:left w:val="nil"/>
              <w:bottom w:val="nil"/>
              <w:right w:val="nil"/>
            </w:tcBorders>
            <w:shd w:val="clear" w:color="auto" w:fill="auto"/>
            <w:noWrap/>
            <w:vAlign w:val="bottom"/>
            <w:hideMark/>
          </w:tcPr>
          <w:p w14:paraId="51A595B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0.099</w:t>
            </w:r>
          </w:p>
        </w:tc>
        <w:tc>
          <w:tcPr>
            <w:tcW w:w="521" w:type="pct"/>
            <w:tcBorders>
              <w:top w:val="nil"/>
              <w:left w:val="nil"/>
              <w:bottom w:val="nil"/>
              <w:right w:val="nil"/>
            </w:tcBorders>
            <w:shd w:val="clear" w:color="auto" w:fill="auto"/>
            <w:noWrap/>
            <w:vAlign w:val="bottom"/>
            <w:hideMark/>
          </w:tcPr>
          <w:p w14:paraId="586E4ABA"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0.038</w:t>
            </w:r>
          </w:p>
        </w:tc>
        <w:tc>
          <w:tcPr>
            <w:tcW w:w="521" w:type="pct"/>
            <w:tcBorders>
              <w:top w:val="nil"/>
              <w:left w:val="nil"/>
              <w:bottom w:val="nil"/>
              <w:right w:val="nil"/>
            </w:tcBorders>
            <w:shd w:val="clear" w:color="auto" w:fill="auto"/>
            <w:noWrap/>
            <w:vAlign w:val="bottom"/>
            <w:hideMark/>
          </w:tcPr>
          <w:p w14:paraId="1A359DF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-0.051</w:t>
            </w:r>
          </w:p>
        </w:tc>
        <w:tc>
          <w:tcPr>
            <w:tcW w:w="521" w:type="pct"/>
            <w:tcBorders>
              <w:top w:val="nil"/>
              <w:left w:val="nil"/>
              <w:bottom w:val="nil"/>
              <w:right w:val="single" w:sz="4" w:space="0" w:color="auto"/>
            </w:tcBorders>
            <w:shd w:val="clear" w:color="auto" w:fill="auto"/>
            <w:noWrap/>
            <w:vAlign w:val="bottom"/>
            <w:hideMark/>
          </w:tcPr>
          <w:p w14:paraId="15F9986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-0.054</w:t>
            </w:r>
          </w:p>
        </w:tc>
        <w:tc>
          <w:tcPr>
            <w:tcW w:w="521" w:type="pct"/>
            <w:tcBorders>
              <w:top w:val="nil"/>
              <w:left w:val="single" w:sz="4" w:space="0" w:color="auto"/>
              <w:bottom w:val="nil"/>
              <w:right w:val="nil"/>
            </w:tcBorders>
            <w:shd w:val="clear" w:color="auto" w:fill="auto"/>
            <w:noWrap/>
            <w:vAlign w:val="bottom"/>
            <w:hideMark/>
          </w:tcPr>
          <w:p w14:paraId="2359279A"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-0.051</w:t>
            </w:r>
          </w:p>
        </w:tc>
        <w:tc>
          <w:tcPr>
            <w:tcW w:w="521" w:type="pct"/>
            <w:tcBorders>
              <w:top w:val="nil"/>
              <w:left w:val="nil"/>
              <w:bottom w:val="nil"/>
              <w:right w:val="nil"/>
            </w:tcBorders>
            <w:shd w:val="clear" w:color="auto" w:fill="auto"/>
            <w:noWrap/>
            <w:vAlign w:val="bottom"/>
            <w:hideMark/>
          </w:tcPr>
          <w:p w14:paraId="2E50F38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-0.081</w:t>
            </w:r>
          </w:p>
        </w:tc>
        <w:tc>
          <w:tcPr>
            <w:tcW w:w="521" w:type="pct"/>
            <w:tcBorders>
              <w:top w:val="nil"/>
              <w:left w:val="nil"/>
              <w:bottom w:val="nil"/>
              <w:right w:val="nil"/>
            </w:tcBorders>
            <w:shd w:val="clear" w:color="auto" w:fill="auto"/>
            <w:noWrap/>
            <w:vAlign w:val="bottom"/>
            <w:hideMark/>
          </w:tcPr>
          <w:p w14:paraId="729C08F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-0.007</w:t>
            </w:r>
          </w:p>
        </w:tc>
        <w:tc>
          <w:tcPr>
            <w:tcW w:w="520" w:type="pct"/>
            <w:tcBorders>
              <w:top w:val="nil"/>
              <w:left w:val="nil"/>
              <w:bottom w:val="nil"/>
              <w:right w:val="nil"/>
            </w:tcBorders>
            <w:shd w:val="clear" w:color="auto" w:fill="auto"/>
            <w:noWrap/>
            <w:vAlign w:val="bottom"/>
            <w:hideMark/>
          </w:tcPr>
          <w:p w14:paraId="6710D40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-0.010</w:t>
            </w:r>
          </w:p>
        </w:tc>
      </w:tr>
      <w:tr w:rsidR="00116862" w:rsidRPr="00245E91" w14:paraId="25C6A5B0" w14:textId="77777777" w:rsidTr="00D83DD8">
        <w:trPr>
          <w:trHeight w:val="20"/>
        </w:trPr>
        <w:tc>
          <w:tcPr>
            <w:tcW w:w="833" w:type="pct"/>
            <w:tcBorders>
              <w:top w:val="nil"/>
              <w:left w:val="nil"/>
              <w:bottom w:val="nil"/>
              <w:right w:val="nil"/>
            </w:tcBorders>
            <w:shd w:val="clear" w:color="auto" w:fill="auto"/>
            <w:noWrap/>
            <w:vAlign w:val="bottom"/>
            <w:hideMark/>
          </w:tcPr>
          <w:p w14:paraId="08E04B69"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p>
        </w:tc>
        <w:tc>
          <w:tcPr>
            <w:tcW w:w="521" w:type="pct"/>
            <w:tcBorders>
              <w:top w:val="nil"/>
              <w:left w:val="nil"/>
              <w:bottom w:val="nil"/>
              <w:right w:val="nil"/>
            </w:tcBorders>
            <w:shd w:val="clear" w:color="auto" w:fill="auto"/>
            <w:noWrap/>
            <w:vAlign w:val="bottom"/>
            <w:hideMark/>
          </w:tcPr>
          <w:p w14:paraId="1FB99E9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(2.68***)</w:t>
            </w:r>
          </w:p>
        </w:tc>
        <w:tc>
          <w:tcPr>
            <w:tcW w:w="521" w:type="pct"/>
            <w:tcBorders>
              <w:top w:val="nil"/>
              <w:left w:val="nil"/>
              <w:bottom w:val="nil"/>
              <w:right w:val="nil"/>
            </w:tcBorders>
            <w:shd w:val="clear" w:color="auto" w:fill="auto"/>
            <w:noWrap/>
            <w:vAlign w:val="bottom"/>
            <w:hideMark/>
          </w:tcPr>
          <w:p w14:paraId="2F05B71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(1.10)</w:t>
            </w:r>
          </w:p>
        </w:tc>
        <w:tc>
          <w:tcPr>
            <w:tcW w:w="521" w:type="pct"/>
            <w:tcBorders>
              <w:top w:val="nil"/>
              <w:left w:val="nil"/>
              <w:bottom w:val="nil"/>
              <w:right w:val="nil"/>
            </w:tcBorders>
            <w:shd w:val="clear" w:color="auto" w:fill="auto"/>
            <w:noWrap/>
            <w:vAlign w:val="bottom"/>
            <w:hideMark/>
          </w:tcPr>
          <w:p w14:paraId="094E861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(-2.03**)</w:t>
            </w:r>
          </w:p>
        </w:tc>
        <w:tc>
          <w:tcPr>
            <w:tcW w:w="521" w:type="pct"/>
            <w:tcBorders>
              <w:top w:val="nil"/>
              <w:left w:val="nil"/>
              <w:bottom w:val="nil"/>
              <w:right w:val="single" w:sz="4" w:space="0" w:color="auto"/>
            </w:tcBorders>
            <w:shd w:val="clear" w:color="auto" w:fill="auto"/>
            <w:noWrap/>
            <w:vAlign w:val="bottom"/>
            <w:hideMark/>
          </w:tcPr>
          <w:p w14:paraId="247BD151"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(-2.22**)</w:t>
            </w:r>
          </w:p>
        </w:tc>
        <w:tc>
          <w:tcPr>
            <w:tcW w:w="521" w:type="pct"/>
            <w:tcBorders>
              <w:top w:val="nil"/>
              <w:left w:val="single" w:sz="4" w:space="0" w:color="auto"/>
              <w:bottom w:val="nil"/>
              <w:right w:val="nil"/>
            </w:tcBorders>
            <w:shd w:val="clear" w:color="auto" w:fill="auto"/>
            <w:noWrap/>
            <w:vAlign w:val="bottom"/>
            <w:hideMark/>
          </w:tcPr>
          <w:p w14:paraId="3D19CE8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(-1.23)</w:t>
            </w:r>
          </w:p>
        </w:tc>
        <w:tc>
          <w:tcPr>
            <w:tcW w:w="521" w:type="pct"/>
            <w:tcBorders>
              <w:top w:val="nil"/>
              <w:left w:val="nil"/>
              <w:bottom w:val="nil"/>
              <w:right w:val="nil"/>
            </w:tcBorders>
            <w:shd w:val="clear" w:color="auto" w:fill="auto"/>
            <w:noWrap/>
            <w:vAlign w:val="bottom"/>
            <w:hideMark/>
          </w:tcPr>
          <w:p w14:paraId="2215743A"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(-2.12**)</w:t>
            </w:r>
          </w:p>
        </w:tc>
        <w:tc>
          <w:tcPr>
            <w:tcW w:w="521" w:type="pct"/>
            <w:tcBorders>
              <w:top w:val="nil"/>
              <w:left w:val="nil"/>
              <w:bottom w:val="nil"/>
              <w:right w:val="nil"/>
            </w:tcBorders>
            <w:shd w:val="clear" w:color="auto" w:fill="auto"/>
            <w:noWrap/>
            <w:vAlign w:val="bottom"/>
            <w:hideMark/>
          </w:tcPr>
          <w:p w14:paraId="2C18A4B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(-0.26)</w:t>
            </w:r>
          </w:p>
        </w:tc>
        <w:tc>
          <w:tcPr>
            <w:tcW w:w="520" w:type="pct"/>
            <w:tcBorders>
              <w:top w:val="nil"/>
              <w:left w:val="nil"/>
              <w:bottom w:val="nil"/>
              <w:right w:val="nil"/>
            </w:tcBorders>
            <w:shd w:val="clear" w:color="auto" w:fill="auto"/>
            <w:noWrap/>
            <w:vAlign w:val="bottom"/>
            <w:hideMark/>
          </w:tcPr>
          <w:p w14:paraId="487403E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(-0.41)</w:t>
            </w:r>
          </w:p>
        </w:tc>
      </w:tr>
      <w:tr w:rsidR="00116862" w:rsidRPr="00245E91" w14:paraId="2472B291" w14:textId="77777777" w:rsidTr="00D83DD8">
        <w:trPr>
          <w:trHeight w:val="20"/>
        </w:trPr>
        <w:tc>
          <w:tcPr>
            <w:tcW w:w="833" w:type="pct"/>
            <w:tcBorders>
              <w:top w:val="nil"/>
              <w:left w:val="nil"/>
              <w:bottom w:val="nil"/>
              <w:right w:val="nil"/>
            </w:tcBorders>
            <w:shd w:val="clear" w:color="auto" w:fill="auto"/>
            <w:noWrap/>
            <w:vAlign w:val="bottom"/>
            <w:hideMark/>
          </w:tcPr>
          <w:p w14:paraId="50CF1293"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OPERCYCLE</w:t>
            </w:r>
          </w:p>
        </w:tc>
        <w:tc>
          <w:tcPr>
            <w:tcW w:w="521" w:type="pct"/>
            <w:tcBorders>
              <w:top w:val="nil"/>
              <w:left w:val="nil"/>
              <w:bottom w:val="nil"/>
              <w:right w:val="nil"/>
            </w:tcBorders>
            <w:shd w:val="clear" w:color="auto" w:fill="auto"/>
            <w:noWrap/>
            <w:vAlign w:val="bottom"/>
            <w:hideMark/>
          </w:tcPr>
          <w:p w14:paraId="33086FB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0.020</w:t>
            </w:r>
          </w:p>
        </w:tc>
        <w:tc>
          <w:tcPr>
            <w:tcW w:w="521" w:type="pct"/>
            <w:tcBorders>
              <w:top w:val="nil"/>
              <w:left w:val="nil"/>
              <w:bottom w:val="nil"/>
              <w:right w:val="nil"/>
            </w:tcBorders>
            <w:shd w:val="clear" w:color="auto" w:fill="auto"/>
            <w:noWrap/>
            <w:vAlign w:val="bottom"/>
            <w:hideMark/>
          </w:tcPr>
          <w:p w14:paraId="65B3736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0.040</w:t>
            </w:r>
          </w:p>
        </w:tc>
        <w:tc>
          <w:tcPr>
            <w:tcW w:w="521" w:type="pct"/>
            <w:tcBorders>
              <w:top w:val="nil"/>
              <w:left w:val="nil"/>
              <w:bottom w:val="nil"/>
              <w:right w:val="nil"/>
            </w:tcBorders>
            <w:shd w:val="clear" w:color="auto" w:fill="auto"/>
            <w:noWrap/>
            <w:vAlign w:val="bottom"/>
            <w:hideMark/>
          </w:tcPr>
          <w:p w14:paraId="306057F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0.011</w:t>
            </w:r>
          </w:p>
        </w:tc>
        <w:tc>
          <w:tcPr>
            <w:tcW w:w="521" w:type="pct"/>
            <w:tcBorders>
              <w:top w:val="nil"/>
              <w:left w:val="nil"/>
              <w:bottom w:val="nil"/>
              <w:right w:val="single" w:sz="4" w:space="0" w:color="auto"/>
            </w:tcBorders>
            <w:shd w:val="clear" w:color="auto" w:fill="auto"/>
            <w:noWrap/>
            <w:vAlign w:val="bottom"/>
            <w:hideMark/>
          </w:tcPr>
          <w:p w14:paraId="7B1C8FF9"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0.014</w:t>
            </w:r>
          </w:p>
        </w:tc>
        <w:tc>
          <w:tcPr>
            <w:tcW w:w="521" w:type="pct"/>
            <w:tcBorders>
              <w:top w:val="nil"/>
              <w:left w:val="single" w:sz="4" w:space="0" w:color="auto"/>
              <w:bottom w:val="nil"/>
              <w:right w:val="nil"/>
            </w:tcBorders>
            <w:shd w:val="clear" w:color="auto" w:fill="auto"/>
            <w:noWrap/>
            <w:vAlign w:val="bottom"/>
            <w:hideMark/>
          </w:tcPr>
          <w:p w14:paraId="11CC487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0.100</w:t>
            </w:r>
          </w:p>
        </w:tc>
        <w:tc>
          <w:tcPr>
            <w:tcW w:w="521" w:type="pct"/>
            <w:tcBorders>
              <w:top w:val="nil"/>
              <w:left w:val="nil"/>
              <w:bottom w:val="nil"/>
              <w:right w:val="nil"/>
            </w:tcBorders>
            <w:shd w:val="clear" w:color="auto" w:fill="auto"/>
            <w:noWrap/>
            <w:vAlign w:val="bottom"/>
            <w:hideMark/>
          </w:tcPr>
          <w:p w14:paraId="650473D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0.126</w:t>
            </w:r>
          </w:p>
        </w:tc>
        <w:tc>
          <w:tcPr>
            <w:tcW w:w="521" w:type="pct"/>
            <w:tcBorders>
              <w:top w:val="nil"/>
              <w:left w:val="nil"/>
              <w:bottom w:val="nil"/>
              <w:right w:val="nil"/>
            </w:tcBorders>
            <w:shd w:val="clear" w:color="auto" w:fill="auto"/>
            <w:noWrap/>
            <w:vAlign w:val="bottom"/>
            <w:hideMark/>
          </w:tcPr>
          <w:p w14:paraId="76DDCA6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0.023</w:t>
            </w:r>
          </w:p>
        </w:tc>
        <w:tc>
          <w:tcPr>
            <w:tcW w:w="520" w:type="pct"/>
            <w:tcBorders>
              <w:top w:val="nil"/>
              <w:left w:val="nil"/>
              <w:bottom w:val="nil"/>
              <w:right w:val="nil"/>
            </w:tcBorders>
            <w:shd w:val="clear" w:color="auto" w:fill="auto"/>
            <w:noWrap/>
            <w:vAlign w:val="bottom"/>
            <w:hideMark/>
          </w:tcPr>
          <w:p w14:paraId="35AC0CC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0.025</w:t>
            </w:r>
          </w:p>
        </w:tc>
      </w:tr>
      <w:tr w:rsidR="00116862" w:rsidRPr="00245E91" w14:paraId="18D93466" w14:textId="77777777" w:rsidTr="00D83DD8">
        <w:trPr>
          <w:trHeight w:val="20"/>
        </w:trPr>
        <w:tc>
          <w:tcPr>
            <w:tcW w:w="833" w:type="pct"/>
            <w:tcBorders>
              <w:top w:val="nil"/>
              <w:left w:val="nil"/>
              <w:bottom w:val="nil"/>
              <w:right w:val="nil"/>
            </w:tcBorders>
            <w:shd w:val="clear" w:color="auto" w:fill="auto"/>
            <w:noWrap/>
            <w:vAlign w:val="bottom"/>
            <w:hideMark/>
          </w:tcPr>
          <w:p w14:paraId="5F3925B6"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p>
        </w:tc>
        <w:tc>
          <w:tcPr>
            <w:tcW w:w="521" w:type="pct"/>
            <w:tcBorders>
              <w:top w:val="nil"/>
              <w:left w:val="nil"/>
              <w:bottom w:val="nil"/>
              <w:right w:val="nil"/>
            </w:tcBorders>
            <w:shd w:val="clear" w:color="auto" w:fill="auto"/>
            <w:noWrap/>
            <w:vAlign w:val="bottom"/>
            <w:hideMark/>
          </w:tcPr>
          <w:p w14:paraId="2E68AA6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(0.52)</w:t>
            </w:r>
          </w:p>
        </w:tc>
        <w:tc>
          <w:tcPr>
            <w:tcW w:w="521" w:type="pct"/>
            <w:tcBorders>
              <w:top w:val="nil"/>
              <w:left w:val="nil"/>
              <w:bottom w:val="nil"/>
              <w:right w:val="nil"/>
            </w:tcBorders>
            <w:shd w:val="clear" w:color="auto" w:fill="auto"/>
            <w:noWrap/>
            <w:vAlign w:val="bottom"/>
            <w:hideMark/>
          </w:tcPr>
          <w:p w14:paraId="005F2CB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(1.32)</w:t>
            </w:r>
          </w:p>
        </w:tc>
        <w:tc>
          <w:tcPr>
            <w:tcW w:w="521" w:type="pct"/>
            <w:tcBorders>
              <w:top w:val="nil"/>
              <w:left w:val="nil"/>
              <w:bottom w:val="nil"/>
              <w:right w:val="nil"/>
            </w:tcBorders>
            <w:shd w:val="clear" w:color="auto" w:fill="auto"/>
            <w:noWrap/>
            <w:vAlign w:val="bottom"/>
            <w:hideMark/>
          </w:tcPr>
          <w:p w14:paraId="5E42E11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(0.40)</w:t>
            </w:r>
          </w:p>
        </w:tc>
        <w:tc>
          <w:tcPr>
            <w:tcW w:w="521" w:type="pct"/>
            <w:tcBorders>
              <w:top w:val="nil"/>
              <w:left w:val="nil"/>
              <w:bottom w:val="nil"/>
              <w:right w:val="single" w:sz="4" w:space="0" w:color="auto"/>
            </w:tcBorders>
            <w:shd w:val="clear" w:color="auto" w:fill="auto"/>
            <w:noWrap/>
            <w:vAlign w:val="bottom"/>
            <w:hideMark/>
          </w:tcPr>
          <w:p w14:paraId="46C0FD5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(0.54)</w:t>
            </w:r>
          </w:p>
        </w:tc>
        <w:tc>
          <w:tcPr>
            <w:tcW w:w="521" w:type="pct"/>
            <w:tcBorders>
              <w:top w:val="nil"/>
              <w:left w:val="single" w:sz="4" w:space="0" w:color="auto"/>
              <w:bottom w:val="nil"/>
              <w:right w:val="nil"/>
            </w:tcBorders>
            <w:shd w:val="clear" w:color="auto" w:fill="auto"/>
            <w:noWrap/>
            <w:vAlign w:val="bottom"/>
            <w:hideMark/>
          </w:tcPr>
          <w:p w14:paraId="74C3518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(3.13***)</w:t>
            </w:r>
          </w:p>
        </w:tc>
        <w:tc>
          <w:tcPr>
            <w:tcW w:w="521" w:type="pct"/>
            <w:tcBorders>
              <w:top w:val="nil"/>
              <w:left w:val="nil"/>
              <w:bottom w:val="nil"/>
              <w:right w:val="nil"/>
            </w:tcBorders>
            <w:shd w:val="clear" w:color="auto" w:fill="auto"/>
            <w:noWrap/>
            <w:vAlign w:val="bottom"/>
            <w:hideMark/>
          </w:tcPr>
          <w:p w14:paraId="041CD72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(3.72***)</w:t>
            </w:r>
          </w:p>
        </w:tc>
        <w:tc>
          <w:tcPr>
            <w:tcW w:w="521" w:type="pct"/>
            <w:tcBorders>
              <w:top w:val="nil"/>
              <w:left w:val="nil"/>
              <w:bottom w:val="nil"/>
              <w:right w:val="nil"/>
            </w:tcBorders>
            <w:shd w:val="clear" w:color="auto" w:fill="auto"/>
            <w:noWrap/>
            <w:vAlign w:val="bottom"/>
            <w:hideMark/>
          </w:tcPr>
          <w:p w14:paraId="6177DFD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(0.89)</w:t>
            </w:r>
          </w:p>
        </w:tc>
        <w:tc>
          <w:tcPr>
            <w:tcW w:w="520" w:type="pct"/>
            <w:tcBorders>
              <w:top w:val="nil"/>
              <w:left w:val="nil"/>
              <w:bottom w:val="nil"/>
              <w:right w:val="nil"/>
            </w:tcBorders>
            <w:shd w:val="clear" w:color="auto" w:fill="auto"/>
            <w:noWrap/>
            <w:vAlign w:val="bottom"/>
            <w:hideMark/>
          </w:tcPr>
          <w:p w14:paraId="4ED33D0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(0.95)</w:t>
            </w:r>
          </w:p>
        </w:tc>
      </w:tr>
      <w:tr w:rsidR="00116862" w:rsidRPr="00245E91" w14:paraId="6C8A6110" w14:textId="77777777" w:rsidTr="00D83DD8">
        <w:trPr>
          <w:trHeight w:val="20"/>
        </w:trPr>
        <w:tc>
          <w:tcPr>
            <w:tcW w:w="833" w:type="pct"/>
            <w:tcBorders>
              <w:top w:val="nil"/>
              <w:left w:val="nil"/>
              <w:bottom w:val="nil"/>
              <w:right w:val="nil"/>
            </w:tcBorders>
            <w:shd w:val="clear" w:color="auto" w:fill="auto"/>
            <w:noWrap/>
            <w:vAlign w:val="bottom"/>
            <w:hideMark/>
          </w:tcPr>
          <w:p w14:paraId="5FBBF463"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ROA</w:t>
            </w:r>
          </w:p>
        </w:tc>
        <w:tc>
          <w:tcPr>
            <w:tcW w:w="521" w:type="pct"/>
            <w:tcBorders>
              <w:top w:val="nil"/>
              <w:left w:val="nil"/>
              <w:bottom w:val="nil"/>
              <w:right w:val="nil"/>
            </w:tcBorders>
            <w:shd w:val="clear" w:color="auto" w:fill="auto"/>
            <w:noWrap/>
            <w:vAlign w:val="bottom"/>
            <w:hideMark/>
          </w:tcPr>
          <w:p w14:paraId="489B50C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-0.095</w:t>
            </w:r>
          </w:p>
        </w:tc>
        <w:tc>
          <w:tcPr>
            <w:tcW w:w="521" w:type="pct"/>
            <w:tcBorders>
              <w:top w:val="nil"/>
              <w:left w:val="nil"/>
              <w:bottom w:val="nil"/>
              <w:right w:val="nil"/>
            </w:tcBorders>
            <w:shd w:val="clear" w:color="auto" w:fill="auto"/>
            <w:noWrap/>
            <w:vAlign w:val="bottom"/>
            <w:hideMark/>
          </w:tcPr>
          <w:p w14:paraId="0977DCA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-0.268</w:t>
            </w:r>
          </w:p>
        </w:tc>
        <w:tc>
          <w:tcPr>
            <w:tcW w:w="521" w:type="pct"/>
            <w:tcBorders>
              <w:top w:val="nil"/>
              <w:left w:val="nil"/>
              <w:bottom w:val="nil"/>
              <w:right w:val="nil"/>
            </w:tcBorders>
            <w:shd w:val="clear" w:color="auto" w:fill="auto"/>
            <w:noWrap/>
            <w:vAlign w:val="bottom"/>
            <w:hideMark/>
          </w:tcPr>
          <w:p w14:paraId="5659E3F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0.534</w:t>
            </w:r>
          </w:p>
        </w:tc>
        <w:tc>
          <w:tcPr>
            <w:tcW w:w="521" w:type="pct"/>
            <w:tcBorders>
              <w:top w:val="nil"/>
              <w:left w:val="nil"/>
              <w:bottom w:val="nil"/>
              <w:right w:val="single" w:sz="4" w:space="0" w:color="auto"/>
            </w:tcBorders>
            <w:shd w:val="clear" w:color="auto" w:fill="auto"/>
            <w:noWrap/>
            <w:vAlign w:val="bottom"/>
            <w:hideMark/>
          </w:tcPr>
          <w:p w14:paraId="518C468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0.532</w:t>
            </w:r>
          </w:p>
        </w:tc>
        <w:tc>
          <w:tcPr>
            <w:tcW w:w="521" w:type="pct"/>
            <w:tcBorders>
              <w:top w:val="nil"/>
              <w:left w:val="single" w:sz="4" w:space="0" w:color="auto"/>
              <w:bottom w:val="nil"/>
              <w:right w:val="nil"/>
            </w:tcBorders>
            <w:shd w:val="clear" w:color="auto" w:fill="auto"/>
            <w:noWrap/>
            <w:vAlign w:val="bottom"/>
            <w:hideMark/>
          </w:tcPr>
          <w:p w14:paraId="0D79F51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-0.223</w:t>
            </w:r>
          </w:p>
        </w:tc>
        <w:tc>
          <w:tcPr>
            <w:tcW w:w="521" w:type="pct"/>
            <w:tcBorders>
              <w:top w:val="nil"/>
              <w:left w:val="nil"/>
              <w:bottom w:val="nil"/>
              <w:right w:val="nil"/>
            </w:tcBorders>
            <w:shd w:val="clear" w:color="auto" w:fill="auto"/>
            <w:noWrap/>
            <w:vAlign w:val="bottom"/>
            <w:hideMark/>
          </w:tcPr>
          <w:p w14:paraId="1ABD5E7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-0.282</w:t>
            </w:r>
          </w:p>
        </w:tc>
        <w:tc>
          <w:tcPr>
            <w:tcW w:w="521" w:type="pct"/>
            <w:tcBorders>
              <w:top w:val="nil"/>
              <w:left w:val="nil"/>
              <w:bottom w:val="nil"/>
              <w:right w:val="nil"/>
            </w:tcBorders>
            <w:shd w:val="clear" w:color="auto" w:fill="auto"/>
            <w:noWrap/>
            <w:vAlign w:val="bottom"/>
            <w:hideMark/>
          </w:tcPr>
          <w:p w14:paraId="6DDD912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0.364</w:t>
            </w:r>
          </w:p>
        </w:tc>
        <w:tc>
          <w:tcPr>
            <w:tcW w:w="520" w:type="pct"/>
            <w:tcBorders>
              <w:top w:val="nil"/>
              <w:left w:val="nil"/>
              <w:bottom w:val="nil"/>
              <w:right w:val="nil"/>
            </w:tcBorders>
            <w:shd w:val="clear" w:color="auto" w:fill="auto"/>
            <w:noWrap/>
            <w:vAlign w:val="bottom"/>
            <w:hideMark/>
          </w:tcPr>
          <w:p w14:paraId="68179A61"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0.355</w:t>
            </w:r>
          </w:p>
        </w:tc>
      </w:tr>
      <w:tr w:rsidR="00116862" w:rsidRPr="00245E91" w14:paraId="343EC7AB" w14:textId="77777777" w:rsidTr="00D83DD8">
        <w:trPr>
          <w:trHeight w:val="20"/>
        </w:trPr>
        <w:tc>
          <w:tcPr>
            <w:tcW w:w="833" w:type="pct"/>
            <w:tcBorders>
              <w:top w:val="nil"/>
              <w:left w:val="nil"/>
              <w:bottom w:val="nil"/>
              <w:right w:val="nil"/>
            </w:tcBorders>
            <w:shd w:val="clear" w:color="auto" w:fill="auto"/>
            <w:noWrap/>
            <w:vAlign w:val="bottom"/>
            <w:hideMark/>
          </w:tcPr>
          <w:p w14:paraId="13BA9D40"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p>
        </w:tc>
        <w:tc>
          <w:tcPr>
            <w:tcW w:w="521" w:type="pct"/>
            <w:tcBorders>
              <w:top w:val="nil"/>
              <w:left w:val="nil"/>
              <w:bottom w:val="nil"/>
              <w:right w:val="nil"/>
            </w:tcBorders>
            <w:shd w:val="clear" w:color="auto" w:fill="auto"/>
            <w:noWrap/>
            <w:vAlign w:val="bottom"/>
            <w:hideMark/>
          </w:tcPr>
          <w:p w14:paraId="792F4C3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(-2.0**)</w:t>
            </w:r>
          </w:p>
        </w:tc>
        <w:tc>
          <w:tcPr>
            <w:tcW w:w="521" w:type="pct"/>
            <w:tcBorders>
              <w:top w:val="nil"/>
              <w:left w:val="nil"/>
              <w:bottom w:val="nil"/>
              <w:right w:val="nil"/>
            </w:tcBorders>
            <w:shd w:val="clear" w:color="auto" w:fill="auto"/>
            <w:noWrap/>
            <w:vAlign w:val="bottom"/>
            <w:hideMark/>
          </w:tcPr>
          <w:p w14:paraId="268C652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(-6.73***)</w:t>
            </w:r>
          </w:p>
        </w:tc>
        <w:tc>
          <w:tcPr>
            <w:tcW w:w="521" w:type="pct"/>
            <w:tcBorders>
              <w:top w:val="nil"/>
              <w:left w:val="nil"/>
              <w:bottom w:val="nil"/>
              <w:right w:val="nil"/>
            </w:tcBorders>
            <w:shd w:val="clear" w:color="auto" w:fill="auto"/>
            <w:noWrap/>
            <w:vAlign w:val="bottom"/>
            <w:hideMark/>
          </w:tcPr>
          <w:p w14:paraId="73123EF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(13.17***)</w:t>
            </w:r>
          </w:p>
        </w:tc>
        <w:tc>
          <w:tcPr>
            <w:tcW w:w="521" w:type="pct"/>
            <w:tcBorders>
              <w:top w:val="nil"/>
              <w:left w:val="nil"/>
              <w:bottom w:val="nil"/>
              <w:right w:val="single" w:sz="4" w:space="0" w:color="auto"/>
            </w:tcBorders>
            <w:shd w:val="clear" w:color="auto" w:fill="auto"/>
            <w:noWrap/>
            <w:vAlign w:val="bottom"/>
            <w:hideMark/>
          </w:tcPr>
          <w:p w14:paraId="1E0799B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(13.44***)</w:t>
            </w:r>
          </w:p>
        </w:tc>
        <w:tc>
          <w:tcPr>
            <w:tcW w:w="521" w:type="pct"/>
            <w:tcBorders>
              <w:top w:val="nil"/>
              <w:left w:val="single" w:sz="4" w:space="0" w:color="auto"/>
              <w:bottom w:val="nil"/>
              <w:right w:val="nil"/>
            </w:tcBorders>
            <w:shd w:val="clear" w:color="auto" w:fill="auto"/>
            <w:noWrap/>
            <w:vAlign w:val="bottom"/>
            <w:hideMark/>
          </w:tcPr>
          <w:p w14:paraId="24A0329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(-6.53***)</w:t>
            </w:r>
          </w:p>
        </w:tc>
        <w:tc>
          <w:tcPr>
            <w:tcW w:w="521" w:type="pct"/>
            <w:tcBorders>
              <w:top w:val="nil"/>
              <w:left w:val="nil"/>
              <w:bottom w:val="nil"/>
              <w:right w:val="nil"/>
            </w:tcBorders>
            <w:shd w:val="clear" w:color="auto" w:fill="auto"/>
            <w:noWrap/>
            <w:vAlign w:val="bottom"/>
            <w:hideMark/>
          </w:tcPr>
          <w:p w14:paraId="30C14DB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(-9.81***)</w:t>
            </w:r>
          </w:p>
        </w:tc>
        <w:tc>
          <w:tcPr>
            <w:tcW w:w="521" w:type="pct"/>
            <w:tcBorders>
              <w:top w:val="nil"/>
              <w:left w:val="nil"/>
              <w:bottom w:val="nil"/>
              <w:right w:val="nil"/>
            </w:tcBorders>
            <w:shd w:val="clear" w:color="auto" w:fill="auto"/>
            <w:noWrap/>
            <w:vAlign w:val="bottom"/>
            <w:hideMark/>
          </w:tcPr>
          <w:p w14:paraId="02CEC87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(10.72***)</w:t>
            </w:r>
          </w:p>
        </w:tc>
        <w:tc>
          <w:tcPr>
            <w:tcW w:w="520" w:type="pct"/>
            <w:tcBorders>
              <w:top w:val="nil"/>
              <w:left w:val="nil"/>
              <w:bottom w:val="nil"/>
              <w:right w:val="nil"/>
            </w:tcBorders>
            <w:shd w:val="clear" w:color="auto" w:fill="auto"/>
            <w:noWrap/>
            <w:vAlign w:val="bottom"/>
            <w:hideMark/>
          </w:tcPr>
          <w:p w14:paraId="51EE0B9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(10.76***)</w:t>
            </w:r>
          </w:p>
        </w:tc>
      </w:tr>
      <w:tr w:rsidR="00116862" w:rsidRPr="00245E91" w14:paraId="2F80393A" w14:textId="77777777" w:rsidTr="00D83DD8">
        <w:trPr>
          <w:trHeight w:val="20"/>
        </w:trPr>
        <w:tc>
          <w:tcPr>
            <w:tcW w:w="833" w:type="pct"/>
            <w:tcBorders>
              <w:top w:val="nil"/>
              <w:left w:val="nil"/>
              <w:bottom w:val="nil"/>
              <w:right w:val="nil"/>
            </w:tcBorders>
            <w:shd w:val="clear" w:color="auto" w:fill="auto"/>
            <w:noWrap/>
            <w:vAlign w:val="bottom"/>
            <w:hideMark/>
          </w:tcPr>
          <w:p w14:paraId="677EBD9D"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MKBK</w:t>
            </w:r>
          </w:p>
        </w:tc>
        <w:tc>
          <w:tcPr>
            <w:tcW w:w="521" w:type="pct"/>
            <w:tcBorders>
              <w:top w:val="nil"/>
              <w:left w:val="nil"/>
              <w:bottom w:val="nil"/>
              <w:right w:val="nil"/>
            </w:tcBorders>
            <w:shd w:val="clear" w:color="auto" w:fill="auto"/>
            <w:noWrap/>
            <w:vAlign w:val="bottom"/>
            <w:hideMark/>
          </w:tcPr>
          <w:p w14:paraId="043D2FB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-0.058</w:t>
            </w:r>
          </w:p>
        </w:tc>
        <w:tc>
          <w:tcPr>
            <w:tcW w:w="521" w:type="pct"/>
            <w:tcBorders>
              <w:top w:val="nil"/>
              <w:left w:val="nil"/>
              <w:bottom w:val="nil"/>
              <w:right w:val="nil"/>
            </w:tcBorders>
            <w:shd w:val="clear" w:color="auto" w:fill="auto"/>
            <w:noWrap/>
            <w:vAlign w:val="bottom"/>
            <w:hideMark/>
          </w:tcPr>
          <w:p w14:paraId="3A5C46B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-0.043</w:t>
            </w:r>
          </w:p>
        </w:tc>
        <w:tc>
          <w:tcPr>
            <w:tcW w:w="521" w:type="pct"/>
            <w:tcBorders>
              <w:top w:val="nil"/>
              <w:left w:val="nil"/>
              <w:bottom w:val="nil"/>
              <w:right w:val="nil"/>
            </w:tcBorders>
            <w:shd w:val="clear" w:color="auto" w:fill="auto"/>
            <w:noWrap/>
            <w:vAlign w:val="bottom"/>
            <w:hideMark/>
          </w:tcPr>
          <w:p w14:paraId="0112908A"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0.028</w:t>
            </w:r>
          </w:p>
        </w:tc>
        <w:tc>
          <w:tcPr>
            <w:tcW w:w="521" w:type="pct"/>
            <w:tcBorders>
              <w:top w:val="nil"/>
              <w:left w:val="nil"/>
              <w:bottom w:val="nil"/>
              <w:right w:val="single" w:sz="4" w:space="0" w:color="auto"/>
            </w:tcBorders>
            <w:shd w:val="clear" w:color="auto" w:fill="auto"/>
            <w:noWrap/>
            <w:vAlign w:val="bottom"/>
            <w:hideMark/>
          </w:tcPr>
          <w:p w14:paraId="403FA35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0.026</w:t>
            </w:r>
          </w:p>
        </w:tc>
        <w:tc>
          <w:tcPr>
            <w:tcW w:w="521" w:type="pct"/>
            <w:tcBorders>
              <w:top w:val="nil"/>
              <w:left w:val="single" w:sz="4" w:space="0" w:color="auto"/>
              <w:bottom w:val="nil"/>
              <w:right w:val="nil"/>
            </w:tcBorders>
            <w:shd w:val="clear" w:color="auto" w:fill="auto"/>
            <w:noWrap/>
            <w:vAlign w:val="bottom"/>
            <w:hideMark/>
          </w:tcPr>
          <w:p w14:paraId="646B57EA"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0.030</w:t>
            </w:r>
          </w:p>
        </w:tc>
        <w:tc>
          <w:tcPr>
            <w:tcW w:w="521" w:type="pct"/>
            <w:tcBorders>
              <w:top w:val="nil"/>
              <w:left w:val="nil"/>
              <w:bottom w:val="nil"/>
              <w:right w:val="nil"/>
            </w:tcBorders>
            <w:shd w:val="clear" w:color="auto" w:fill="auto"/>
            <w:noWrap/>
            <w:vAlign w:val="bottom"/>
            <w:hideMark/>
          </w:tcPr>
          <w:p w14:paraId="0518A09A"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-0.017</w:t>
            </w:r>
          </w:p>
        </w:tc>
        <w:tc>
          <w:tcPr>
            <w:tcW w:w="521" w:type="pct"/>
            <w:tcBorders>
              <w:top w:val="nil"/>
              <w:left w:val="nil"/>
              <w:bottom w:val="nil"/>
              <w:right w:val="nil"/>
            </w:tcBorders>
            <w:shd w:val="clear" w:color="auto" w:fill="auto"/>
            <w:noWrap/>
            <w:vAlign w:val="bottom"/>
            <w:hideMark/>
          </w:tcPr>
          <w:p w14:paraId="1CD5D95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0.006</w:t>
            </w:r>
          </w:p>
        </w:tc>
        <w:tc>
          <w:tcPr>
            <w:tcW w:w="520" w:type="pct"/>
            <w:tcBorders>
              <w:top w:val="nil"/>
              <w:left w:val="nil"/>
              <w:bottom w:val="nil"/>
              <w:right w:val="nil"/>
            </w:tcBorders>
            <w:shd w:val="clear" w:color="auto" w:fill="auto"/>
            <w:noWrap/>
            <w:vAlign w:val="bottom"/>
            <w:hideMark/>
          </w:tcPr>
          <w:p w14:paraId="52FF843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0.012</w:t>
            </w:r>
          </w:p>
        </w:tc>
      </w:tr>
      <w:tr w:rsidR="00116862" w:rsidRPr="00245E91" w14:paraId="51A00B90" w14:textId="77777777" w:rsidTr="00D83DD8">
        <w:trPr>
          <w:trHeight w:val="20"/>
        </w:trPr>
        <w:tc>
          <w:tcPr>
            <w:tcW w:w="833" w:type="pct"/>
            <w:tcBorders>
              <w:top w:val="nil"/>
              <w:left w:val="nil"/>
              <w:bottom w:val="nil"/>
              <w:right w:val="nil"/>
            </w:tcBorders>
            <w:shd w:val="clear" w:color="auto" w:fill="auto"/>
            <w:noWrap/>
            <w:vAlign w:val="bottom"/>
            <w:hideMark/>
          </w:tcPr>
          <w:p w14:paraId="65203A96"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p>
        </w:tc>
        <w:tc>
          <w:tcPr>
            <w:tcW w:w="521" w:type="pct"/>
            <w:tcBorders>
              <w:top w:val="nil"/>
              <w:left w:val="nil"/>
              <w:bottom w:val="nil"/>
              <w:right w:val="nil"/>
            </w:tcBorders>
            <w:shd w:val="clear" w:color="auto" w:fill="auto"/>
            <w:noWrap/>
            <w:vAlign w:val="bottom"/>
            <w:hideMark/>
          </w:tcPr>
          <w:p w14:paraId="2074888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(-1.52)</w:t>
            </w:r>
          </w:p>
        </w:tc>
        <w:tc>
          <w:tcPr>
            <w:tcW w:w="521" w:type="pct"/>
            <w:tcBorders>
              <w:top w:val="nil"/>
              <w:left w:val="nil"/>
              <w:bottom w:val="nil"/>
              <w:right w:val="nil"/>
            </w:tcBorders>
            <w:shd w:val="clear" w:color="auto" w:fill="auto"/>
            <w:noWrap/>
            <w:vAlign w:val="bottom"/>
            <w:hideMark/>
          </w:tcPr>
          <w:p w14:paraId="31A5619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(-1.40)</w:t>
            </w:r>
          </w:p>
        </w:tc>
        <w:tc>
          <w:tcPr>
            <w:tcW w:w="521" w:type="pct"/>
            <w:tcBorders>
              <w:top w:val="nil"/>
              <w:left w:val="nil"/>
              <w:bottom w:val="nil"/>
              <w:right w:val="nil"/>
            </w:tcBorders>
            <w:shd w:val="clear" w:color="auto" w:fill="auto"/>
            <w:noWrap/>
            <w:vAlign w:val="bottom"/>
            <w:hideMark/>
          </w:tcPr>
          <w:p w14:paraId="309D44C1"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(0.80)</w:t>
            </w:r>
          </w:p>
        </w:tc>
        <w:tc>
          <w:tcPr>
            <w:tcW w:w="521" w:type="pct"/>
            <w:tcBorders>
              <w:top w:val="nil"/>
              <w:left w:val="nil"/>
              <w:bottom w:val="nil"/>
              <w:right w:val="single" w:sz="4" w:space="0" w:color="auto"/>
            </w:tcBorders>
            <w:shd w:val="clear" w:color="auto" w:fill="auto"/>
            <w:noWrap/>
            <w:vAlign w:val="bottom"/>
            <w:hideMark/>
          </w:tcPr>
          <w:p w14:paraId="1C637FB9"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(0.74)</w:t>
            </w:r>
          </w:p>
        </w:tc>
        <w:tc>
          <w:tcPr>
            <w:tcW w:w="521" w:type="pct"/>
            <w:tcBorders>
              <w:top w:val="nil"/>
              <w:left w:val="single" w:sz="4" w:space="0" w:color="auto"/>
              <w:bottom w:val="nil"/>
              <w:right w:val="nil"/>
            </w:tcBorders>
            <w:shd w:val="clear" w:color="auto" w:fill="auto"/>
            <w:noWrap/>
            <w:vAlign w:val="bottom"/>
            <w:hideMark/>
          </w:tcPr>
          <w:p w14:paraId="3027AD5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(0.86)</w:t>
            </w:r>
          </w:p>
        </w:tc>
        <w:tc>
          <w:tcPr>
            <w:tcW w:w="521" w:type="pct"/>
            <w:tcBorders>
              <w:top w:val="nil"/>
              <w:left w:val="nil"/>
              <w:bottom w:val="nil"/>
              <w:right w:val="nil"/>
            </w:tcBorders>
            <w:shd w:val="clear" w:color="auto" w:fill="auto"/>
            <w:noWrap/>
            <w:vAlign w:val="bottom"/>
            <w:hideMark/>
          </w:tcPr>
          <w:p w14:paraId="7D324B0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(-0.60)</w:t>
            </w:r>
          </w:p>
        </w:tc>
        <w:tc>
          <w:tcPr>
            <w:tcW w:w="521" w:type="pct"/>
            <w:tcBorders>
              <w:top w:val="nil"/>
              <w:left w:val="nil"/>
              <w:bottom w:val="nil"/>
              <w:right w:val="nil"/>
            </w:tcBorders>
            <w:shd w:val="clear" w:color="auto" w:fill="auto"/>
            <w:noWrap/>
            <w:vAlign w:val="bottom"/>
            <w:hideMark/>
          </w:tcPr>
          <w:p w14:paraId="0D755CF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(0.24)</w:t>
            </w:r>
          </w:p>
        </w:tc>
        <w:tc>
          <w:tcPr>
            <w:tcW w:w="520" w:type="pct"/>
            <w:tcBorders>
              <w:top w:val="nil"/>
              <w:left w:val="nil"/>
              <w:bottom w:val="nil"/>
              <w:right w:val="nil"/>
            </w:tcBorders>
            <w:shd w:val="clear" w:color="auto" w:fill="auto"/>
            <w:noWrap/>
            <w:vAlign w:val="bottom"/>
            <w:hideMark/>
          </w:tcPr>
          <w:p w14:paraId="6A7CD26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(0.48)</w:t>
            </w:r>
          </w:p>
        </w:tc>
      </w:tr>
      <w:tr w:rsidR="00116862" w:rsidRPr="00245E91" w14:paraId="11F07D00" w14:textId="77777777" w:rsidTr="00D83DD8">
        <w:trPr>
          <w:trHeight w:val="20"/>
        </w:trPr>
        <w:tc>
          <w:tcPr>
            <w:tcW w:w="833" w:type="pct"/>
            <w:tcBorders>
              <w:top w:val="nil"/>
              <w:left w:val="nil"/>
              <w:bottom w:val="nil"/>
              <w:right w:val="nil"/>
            </w:tcBorders>
            <w:shd w:val="clear" w:color="auto" w:fill="auto"/>
            <w:noWrap/>
            <w:vAlign w:val="bottom"/>
          </w:tcPr>
          <w:p w14:paraId="03E866DD"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LIQUIDITY</w:t>
            </w:r>
          </w:p>
        </w:tc>
        <w:tc>
          <w:tcPr>
            <w:tcW w:w="521" w:type="pct"/>
            <w:tcBorders>
              <w:top w:val="nil"/>
              <w:left w:val="nil"/>
              <w:bottom w:val="nil"/>
              <w:right w:val="nil"/>
            </w:tcBorders>
            <w:shd w:val="clear" w:color="auto" w:fill="auto"/>
            <w:noWrap/>
            <w:vAlign w:val="bottom"/>
          </w:tcPr>
          <w:p w14:paraId="05BECDB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-0.032</w:t>
            </w:r>
          </w:p>
        </w:tc>
        <w:tc>
          <w:tcPr>
            <w:tcW w:w="521" w:type="pct"/>
            <w:tcBorders>
              <w:top w:val="nil"/>
              <w:left w:val="nil"/>
              <w:bottom w:val="nil"/>
              <w:right w:val="nil"/>
            </w:tcBorders>
            <w:shd w:val="clear" w:color="auto" w:fill="auto"/>
            <w:noWrap/>
            <w:vAlign w:val="bottom"/>
          </w:tcPr>
          <w:p w14:paraId="03E64CA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-0.008</w:t>
            </w:r>
          </w:p>
        </w:tc>
        <w:tc>
          <w:tcPr>
            <w:tcW w:w="521" w:type="pct"/>
            <w:tcBorders>
              <w:top w:val="nil"/>
              <w:left w:val="nil"/>
              <w:bottom w:val="nil"/>
              <w:right w:val="nil"/>
            </w:tcBorders>
            <w:shd w:val="clear" w:color="auto" w:fill="auto"/>
            <w:noWrap/>
            <w:vAlign w:val="bottom"/>
          </w:tcPr>
          <w:p w14:paraId="3518845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0.037</w:t>
            </w:r>
          </w:p>
        </w:tc>
        <w:tc>
          <w:tcPr>
            <w:tcW w:w="521" w:type="pct"/>
            <w:tcBorders>
              <w:top w:val="nil"/>
              <w:left w:val="nil"/>
              <w:bottom w:val="nil"/>
              <w:right w:val="single" w:sz="4" w:space="0" w:color="auto"/>
            </w:tcBorders>
            <w:shd w:val="clear" w:color="auto" w:fill="auto"/>
            <w:noWrap/>
            <w:vAlign w:val="bottom"/>
          </w:tcPr>
          <w:p w14:paraId="0899718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0.036</w:t>
            </w:r>
          </w:p>
        </w:tc>
        <w:tc>
          <w:tcPr>
            <w:tcW w:w="521" w:type="pct"/>
            <w:tcBorders>
              <w:top w:val="nil"/>
              <w:left w:val="single" w:sz="4" w:space="0" w:color="auto"/>
              <w:bottom w:val="nil"/>
              <w:right w:val="nil"/>
            </w:tcBorders>
            <w:shd w:val="clear" w:color="auto" w:fill="auto"/>
            <w:noWrap/>
            <w:vAlign w:val="bottom"/>
          </w:tcPr>
          <w:p w14:paraId="01A5B1F9"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-0.018</w:t>
            </w:r>
          </w:p>
        </w:tc>
        <w:tc>
          <w:tcPr>
            <w:tcW w:w="521" w:type="pct"/>
            <w:tcBorders>
              <w:top w:val="nil"/>
              <w:left w:val="nil"/>
              <w:bottom w:val="nil"/>
              <w:right w:val="nil"/>
            </w:tcBorders>
            <w:shd w:val="clear" w:color="auto" w:fill="auto"/>
            <w:noWrap/>
            <w:vAlign w:val="bottom"/>
          </w:tcPr>
          <w:p w14:paraId="4CA9541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-0.027</w:t>
            </w:r>
          </w:p>
        </w:tc>
        <w:tc>
          <w:tcPr>
            <w:tcW w:w="521" w:type="pct"/>
            <w:tcBorders>
              <w:top w:val="nil"/>
              <w:left w:val="nil"/>
              <w:bottom w:val="nil"/>
              <w:right w:val="nil"/>
            </w:tcBorders>
            <w:shd w:val="clear" w:color="auto" w:fill="auto"/>
            <w:noWrap/>
            <w:vAlign w:val="bottom"/>
          </w:tcPr>
          <w:p w14:paraId="170B6D1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-0.021</w:t>
            </w:r>
          </w:p>
        </w:tc>
        <w:tc>
          <w:tcPr>
            <w:tcW w:w="520" w:type="pct"/>
            <w:tcBorders>
              <w:top w:val="nil"/>
              <w:left w:val="nil"/>
              <w:bottom w:val="nil"/>
              <w:right w:val="nil"/>
            </w:tcBorders>
            <w:shd w:val="clear" w:color="auto" w:fill="auto"/>
            <w:noWrap/>
            <w:vAlign w:val="bottom"/>
          </w:tcPr>
          <w:p w14:paraId="2C63F66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-0.018</w:t>
            </w:r>
          </w:p>
        </w:tc>
      </w:tr>
      <w:tr w:rsidR="00116862" w:rsidRPr="00245E91" w14:paraId="472B7371" w14:textId="77777777" w:rsidTr="00D83DD8">
        <w:trPr>
          <w:trHeight w:val="20"/>
        </w:trPr>
        <w:tc>
          <w:tcPr>
            <w:tcW w:w="833" w:type="pct"/>
            <w:tcBorders>
              <w:top w:val="nil"/>
              <w:left w:val="nil"/>
              <w:bottom w:val="nil"/>
              <w:right w:val="nil"/>
            </w:tcBorders>
            <w:shd w:val="clear" w:color="auto" w:fill="auto"/>
            <w:noWrap/>
            <w:vAlign w:val="bottom"/>
          </w:tcPr>
          <w:p w14:paraId="51F82996"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p>
        </w:tc>
        <w:tc>
          <w:tcPr>
            <w:tcW w:w="521" w:type="pct"/>
            <w:tcBorders>
              <w:top w:val="nil"/>
              <w:left w:val="nil"/>
              <w:bottom w:val="nil"/>
              <w:right w:val="nil"/>
            </w:tcBorders>
            <w:shd w:val="clear" w:color="auto" w:fill="auto"/>
            <w:noWrap/>
            <w:vAlign w:val="bottom"/>
          </w:tcPr>
          <w:p w14:paraId="38604F5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(-1.08)</w:t>
            </w:r>
          </w:p>
        </w:tc>
        <w:tc>
          <w:tcPr>
            <w:tcW w:w="521" w:type="pct"/>
            <w:tcBorders>
              <w:top w:val="nil"/>
              <w:left w:val="nil"/>
              <w:bottom w:val="nil"/>
              <w:right w:val="nil"/>
            </w:tcBorders>
            <w:shd w:val="clear" w:color="auto" w:fill="auto"/>
            <w:noWrap/>
            <w:vAlign w:val="bottom"/>
          </w:tcPr>
          <w:p w14:paraId="61D15D8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(-0.28)</w:t>
            </w:r>
          </w:p>
        </w:tc>
        <w:tc>
          <w:tcPr>
            <w:tcW w:w="521" w:type="pct"/>
            <w:tcBorders>
              <w:top w:val="nil"/>
              <w:left w:val="nil"/>
              <w:bottom w:val="nil"/>
              <w:right w:val="nil"/>
            </w:tcBorders>
            <w:shd w:val="clear" w:color="auto" w:fill="auto"/>
            <w:noWrap/>
            <w:vAlign w:val="bottom"/>
          </w:tcPr>
          <w:p w14:paraId="37FDED7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w:t>
            </w:r>
          </w:p>
        </w:tc>
        <w:tc>
          <w:tcPr>
            <w:tcW w:w="521" w:type="pct"/>
            <w:tcBorders>
              <w:top w:val="nil"/>
              <w:left w:val="nil"/>
              <w:bottom w:val="nil"/>
              <w:right w:val="single" w:sz="4" w:space="0" w:color="auto"/>
            </w:tcBorders>
            <w:shd w:val="clear" w:color="auto" w:fill="auto"/>
            <w:noWrap/>
            <w:vAlign w:val="bottom"/>
          </w:tcPr>
          <w:p w14:paraId="238BDDE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(0.97)</w:t>
            </w:r>
          </w:p>
        </w:tc>
        <w:tc>
          <w:tcPr>
            <w:tcW w:w="521" w:type="pct"/>
            <w:tcBorders>
              <w:top w:val="nil"/>
              <w:left w:val="single" w:sz="4" w:space="0" w:color="auto"/>
              <w:bottom w:val="nil"/>
              <w:right w:val="nil"/>
            </w:tcBorders>
            <w:shd w:val="clear" w:color="auto" w:fill="auto"/>
            <w:noWrap/>
            <w:vAlign w:val="bottom"/>
          </w:tcPr>
          <w:p w14:paraId="47CBA69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(-0.58)</w:t>
            </w:r>
          </w:p>
        </w:tc>
        <w:tc>
          <w:tcPr>
            <w:tcW w:w="521" w:type="pct"/>
            <w:tcBorders>
              <w:top w:val="nil"/>
              <w:left w:val="nil"/>
              <w:bottom w:val="nil"/>
              <w:right w:val="nil"/>
            </w:tcBorders>
            <w:shd w:val="clear" w:color="auto" w:fill="auto"/>
            <w:noWrap/>
            <w:vAlign w:val="bottom"/>
          </w:tcPr>
          <w:p w14:paraId="6AC24B3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(-0.88)</w:t>
            </w:r>
          </w:p>
        </w:tc>
        <w:tc>
          <w:tcPr>
            <w:tcW w:w="521" w:type="pct"/>
            <w:tcBorders>
              <w:top w:val="nil"/>
              <w:left w:val="nil"/>
              <w:bottom w:val="nil"/>
              <w:right w:val="nil"/>
            </w:tcBorders>
            <w:shd w:val="clear" w:color="auto" w:fill="auto"/>
            <w:noWrap/>
            <w:vAlign w:val="bottom"/>
          </w:tcPr>
          <w:p w14:paraId="3ACB5EF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(-0.90)</w:t>
            </w:r>
          </w:p>
        </w:tc>
        <w:tc>
          <w:tcPr>
            <w:tcW w:w="520" w:type="pct"/>
            <w:tcBorders>
              <w:top w:val="nil"/>
              <w:left w:val="nil"/>
              <w:bottom w:val="nil"/>
              <w:right w:val="nil"/>
            </w:tcBorders>
            <w:shd w:val="clear" w:color="auto" w:fill="auto"/>
            <w:noWrap/>
            <w:vAlign w:val="bottom"/>
          </w:tcPr>
          <w:p w14:paraId="2706B3C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(-0.74)</w:t>
            </w:r>
          </w:p>
        </w:tc>
      </w:tr>
      <w:tr w:rsidR="00116862" w:rsidRPr="00245E91" w14:paraId="0A4E6270" w14:textId="77777777" w:rsidTr="00D83DD8">
        <w:trPr>
          <w:trHeight w:val="20"/>
        </w:trPr>
        <w:tc>
          <w:tcPr>
            <w:tcW w:w="833" w:type="pct"/>
            <w:tcBorders>
              <w:top w:val="nil"/>
              <w:left w:val="nil"/>
              <w:bottom w:val="nil"/>
              <w:right w:val="nil"/>
            </w:tcBorders>
            <w:shd w:val="clear" w:color="auto" w:fill="auto"/>
            <w:noWrap/>
            <w:vAlign w:val="bottom"/>
          </w:tcPr>
          <w:p w14:paraId="68F89EF3"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STOCKISSUE</w:t>
            </w:r>
          </w:p>
        </w:tc>
        <w:tc>
          <w:tcPr>
            <w:tcW w:w="521" w:type="pct"/>
            <w:tcBorders>
              <w:top w:val="nil"/>
              <w:left w:val="nil"/>
              <w:bottom w:val="nil"/>
              <w:right w:val="nil"/>
            </w:tcBorders>
            <w:shd w:val="clear" w:color="auto" w:fill="auto"/>
            <w:noWrap/>
            <w:vAlign w:val="bottom"/>
          </w:tcPr>
          <w:p w14:paraId="24F6B58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-0.044</w:t>
            </w:r>
          </w:p>
        </w:tc>
        <w:tc>
          <w:tcPr>
            <w:tcW w:w="521" w:type="pct"/>
            <w:tcBorders>
              <w:top w:val="nil"/>
              <w:left w:val="nil"/>
              <w:bottom w:val="nil"/>
              <w:right w:val="nil"/>
            </w:tcBorders>
            <w:shd w:val="clear" w:color="auto" w:fill="auto"/>
            <w:noWrap/>
            <w:vAlign w:val="bottom"/>
          </w:tcPr>
          <w:p w14:paraId="279DFEEA"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-0.018</w:t>
            </w:r>
          </w:p>
        </w:tc>
        <w:tc>
          <w:tcPr>
            <w:tcW w:w="521" w:type="pct"/>
            <w:tcBorders>
              <w:top w:val="nil"/>
              <w:left w:val="nil"/>
              <w:bottom w:val="nil"/>
              <w:right w:val="nil"/>
            </w:tcBorders>
            <w:shd w:val="clear" w:color="auto" w:fill="auto"/>
            <w:noWrap/>
            <w:vAlign w:val="bottom"/>
          </w:tcPr>
          <w:p w14:paraId="734923C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0.030</w:t>
            </w:r>
          </w:p>
        </w:tc>
        <w:tc>
          <w:tcPr>
            <w:tcW w:w="521" w:type="pct"/>
            <w:tcBorders>
              <w:top w:val="nil"/>
              <w:left w:val="nil"/>
              <w:bottom w:val="nil"/>
              <w:right w:val="single" w:sz="4" w:space="0" w:color="auto"/>
            </w:tcBorders>
            <w:shd w:val="clear" w:color="auto" w:fill="auto"/>
            <w:noWrap/>
            <w:vAlign w:val="bottom"/>
          </w:tcPr>
          <w:p w14:paraId="57EF9D01"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0.030</w:t>
            </w:r>
          </w:p>
        </w:tc>
        <w:tc>
          <w:tcPr>
            <w:tcW w:w="521" w:type="pct"/>
            <w:tcBorders>
              <w:top w:val="nil"/>
              <w:left w:val="single" w:sz="4" w:space="0" w:color="auto"/>
              <w:bottom w:val="nil"/>
              <w:right w:val="nil"/>
            </w:tcBorders>
            <w:shd w:val="clear" w:color="auto" w:fill="auto"/>
            <w:noWrap/>
            <w:vAlign w:val="bottom"/>
          </w:tcPr>
          <w:p w14:paraId="1E67234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-0.006</w:t>
            </w:r>
          </w:p>
        </w:tc>
        <w:tc>
          <w:tcPr>
            <w:tcW w:w="521" w:type="pct"/>
            <w:tcBorders>
              <w:top w:val="nil"/>
              <w:left w:val="nil"/>
              <w:bottom w:val="nil"/>
              <w:right w:val="nil"/>
            </w:tcBorders>
            <w:shd w:val="clear" w:color="auto" w:fill="auto"/>
            <w:noWrap/>
            <w:vAlign w:val="bottom"/>
          </w:tcPr>
          <w:p w14:paraId="75C1348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0.004</w:t>
            </w:r>
          </w:p>
        </w:tc>
        <w:tc>
          <w:tcPr>
            <w:tcW w:w="521" w:type="pct"/>
            <w:tcBorders>
              <w:top w:val="nil"/>
              <w:left w:val="nil"/>
              <w:bottom w:val="nil"/>
              <w:right w:val="nil"/>
            </w:tcBorders>
            <w:shd w:val="clear" w:color="auto" w:fill="auto"/>
            <w:noWrap/>
            <w:vAlign w:val="bottom"/>
          </w:tcPr>
          <w:p w14:paraId="100A1CA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0.031</w:t>
            </w:r>
          </w:p>
        </w:tc>
        <w:tc>
          <w:tcPr>
            <w:tcW w:w="520" w:type="pct"/>
            <w:tcBorders>
              <w:top w:val="nil"/>
              <w:left w:val="nil"/>
              <w:bottom w:val="nil"/>
              <w:right w:val="nil"/>
            </w:tcBorders>
            <w:shd w:val="clear" w:color="auto" w:fill="auto"/>
            <w:noWrap/>
            <w:vAlign w:val="bottom"/>
          </w:tcPr>
          <w:p w14:paraId="6EFA104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0.032</w:t>
            </w:r>
          </w:p>
        </w:tc>
      </w:tr>
      <w:tr w:rsidR="00116862" w:rsidRPr="00245E91" w14:paraId="2F8DE3DA" w14:textId="77777777" w:rsidTr="00D83DD8">
        <w:trPr>
          <w:trHeight w:val="20"/>
        </w:trPr>
        <w:tc>
          <w:tcPr>
            <w:tcW w:w="833" w:type="pct"/>
            <w:tcBorders>
              <w:top w:val="nil"/>
              <w:left w:val="nil"/>
              <w:bottom w:val="nil"/>
              <w:right w:val="nil"/>
            </w:tcBorders>
            <w:shd w:val="clear" w:color="auto" w:fill="auto"/>
            <w:noWrap/>
            <w:vAlign w:val="bottom"/>
          </w:tcPr>
          <w:p w14:paraId="7C230779"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p>
        </w:tc>
        <w:tc>
          <w:tcPr>
            <w:tcW w:w="521" w:type="pct"/>
            <w:tcBorders>
              <w:top w:val="nil"/>
              <w:left w:val="nil"/>
              <w:bottom w:val="nil"/>
              <w:right w:val="nil"/>
            </w:tcBorders>
            <w:shd w:val="clear" w:color="auto" w:fill="auto"/>
            <w:noWrap/>
            <w:vAlign w:val="bottom"/>
          </w:tcPr>
          <w:p w14:paraId="66E2B44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(-1.08)</w:t>
            </w:r>
          </w:p>
        </w:tc>
        <w:tc>
          <w:tcPr>
            <w:tcW w:w="521" w:type="pct"/>
            <w:tcBorders>
              <w:top w:val="nil"/>
              <w:left w:val="nil"/>
              <w:bottom w:val="nil"/>
              <w:right w:val="nil"/>
            </w:tcBorders>
            <w:shd w:val="clear" w:color="auto" w:fill="auto"/>
            <w:noWrap/>
            <w:vAlign w:val="bottom"/>
          </w:tcPr>
          <w:p w14:paraId="222AE36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(-0.56)</w:t>
            </w:r>
          </w:p>
        </w:tc>
        <w:tc>
          <w:tcPr>
            <w:tcW w:w="521" w:type="pct"/>
            <w:tcBorders>
              <w:top w:val="nil"/>
              <w:left w:val="nil"/>
              <w:bottom w:val="nil"/>
              <w:right w:val="nil"/>
            </w:tcBorders>
            <w:shd w:val="clear" w:color="auto" w:fill="auto"/>
            <w:noWrap/>
            <w:vAlign w:val="bottom"/>
          </w:tcPr>
          <w:p w14:paraId="6263D26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(1.15)</w:t>
            </w:r>
          </w:p>
        </w:tc>
        <w:tc>
          <w:tcPr>
            <w:tcW w:w="521" w:type="pct"/>
            <w:tcBorders>
              <w:top w:val="nil"/>
              <w:left w:val="nil"/>
              <w:bottom w:val="nil"/>
              <w:right w:val="single" w:sz="4" w:space="0" w:color="auto"/>
            </w:tcBorders>
            <w:shd w:val="clear" w:color="auto" w:fill="auto"/>
            <w:noWrap/>
            <w:vAlign w:val="bottom"/>
          </w:tcPr>
          <w:p w14:paraId="2A8C3C7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(1.17)</w:t>
            </w:r>
          </w:p>
        </w:tc>
        <w:tc>
          <w:tcPr>
            <w:tcW w:w="521" w:type="pct"/>
            <w:tcBorders>
              <w:top w:val="nil"/>
              <w:left w:val="single" w:sz="4" w:space="0" w:color="auto"/>
              <w:bottom w:val="nil"/>
              <w:right w:val="nil"/>
            </w:tcBorders>
            <w:shd w:val="clear" w:color="auto" w:fill="auto"/>
            <w:noWrap/>
            <w:vAlign w:val="bottom"/>
          </w:tcPr>
          <w:p w14:paraId="60F7B8A1"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(-0.29)</w:t>
            </w:r>
          </w:p>
        </w:tc>
        <w:tc>
          <w:tcPr>
            <w:tcW w:w="521" w:type="pct"/>
            <w:tcBorders>
              <w:top w:val="nil"/>
              <w:left w:val="nil"/>
              <w:bottom w:val="nil"/>
              <w:right w:val="nil"/>
            </w:tcBorders>
            <w:shd w:val="clear" w:color="auto" w:fill="auto"/>
            <w:noWrap/>
            <w:vAlign w:val="bottom"/>
          </w:tcPr>
          <w:p w14:paraId="1A72E2D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(0.17)</w:t>
            </w:r>
          </w:p>
        </w:tc>
        <w:tc>
          <w:tcPr>
            <w:tcW w:w="521" w:type="pct"/>
            <w:tcBorders>
              <w:top w:val="nil"/>
              <w:left w:val="nil"/>
              <w:bottom w:val="nil"/>
              <w:right w:val="nil"/>
            </w:tcBorders>
            <w:shd w:val="clear" w:color="auto" w:fill="auto"/>
            <w:noWrap/>
            <w:vAlign w:val="bottom"/>
          </w:tcPr>
          <w:p w14:paraId="447415B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(1.62)</w:t>
            </w:r>
          </w:p>
        </w:tc>
        <w:tc>
          <w:tcPr>
            <w:tcW w:w="520" w:type="pct"/>
            <w:tcBorders>
              <w:top w:val="nil"/>
              <w:left w:val="nil"/>
              <w:bottom w:val="nil"/>
              <w:right w:val="nil"/>
            </w:tcBorders>
            <w:shd w:val="clear" w:color="auto" w:fill="auto"/>
            <w:noWrap/>
            <w:vAlign w:val="bottom"/>
          </w:tcPr>
          <w:p w14:paraId="3472B4C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(1.71*)</w:t>
            </w:r>
          </w:p>
        </w:tc>
      </w:tr>
      <w:tr w:rsidR="00116862" w:rsidRPr="00245E91" w14:paraId="2FFD0E00" w14:textId="77777777" w:rsidTr="00D83DD8">
        <w:trPr>
          <w:trHeight w:val="20"/>
        </w:trPr>
        <w:tc>
          <w:tcPr>
            <w:tcW w:w="833" w:type="pct"/>
            <w:tcBorders>
              <w:top w:val="nil"/>
              <w:left w:val="nil"/>
              <w:bottom w:val="nil"/>
              <w:right w:val="nil"/>
            </w:tcBorders>
            <w:shd w:val="clear" w:color="auto" w:fill="auto"/>
            <w:noWrap/>
            <w:vAlign w:val="bottom"/>
          </w:tcPr>
          <w:p w14:paraId="716AE674"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DEBTISSUE</w:t>
            </w:r>
          </w:p>
        </w:tc>
        <w:tc>
          <w:tcPr>
            <w:tcW w:w="521" w:type="pct"/>
            <w:tcBorders>
              <w:top w:val="nil"/>
              <w:left w:val="nil"/>
              <w:bottom w:val="nil"/>
              <w:right w:val="nil"/>
            </w:tcBorders>
            <w:shd w:val="clear" w:color="auto" w:fill="auto"/>
            <w:noWrap/>
            <w:vAlign w:val="bottom"/>
          </w:tcPr>
          <w:p w14:paraId="2D17DC3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-0.077</w:t>
            </w:r>
          </w:p>
        </w:tc>
        <w:tc>
          <w:tcPr>
            <w:tcW w:w="521" w:type="pct"/>
            <w:tcBorders>
              <w:top w:val="nil"/>
              <w:left w:val="nil"/>
              <w:bottom w:val="nil"/>
              <w:right w:val="nil"/>
            </w:tcBorders>
            <w:shd w:val="clear" w:color="auto" w:fill="auto"/>
            <w:noWrap/>
            <w:vAlign w:val="bottom"/>
          </w:tcPr>
          <w:p w14:paraId="0766F49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-0.086</w:t>
            </w:r>
          </w:p>
        </w:tc>
        <w:tc>
          <w:tcPr>
            <w:tcW w:w="521" w:type="pct"/>
            <w:tcBorders>
              <w:top w:val="nil"/>
              <w:left w:val="nil"/>
              <w:bottom w:val="nil"/>
              <w:right w:val="nil"/>
            </w:tcBorders>
            <w:shd w:val="clear" w:color="auto" w:fill="auto"/>
            <w:noWrap/>
            <w:vAlign w:val="bottom"/>
          </w:tcPr>
          <w:p w14:paraId="13C1B52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-0.054</w:t>
            </w:r>
          </w:p>
        </w:tc>
        <w:tc>
          <w:tcPr>
            <w:tcW w:w="521" w:type="pct"/>
            <w:tcBorders>
              <w:top w:val="nil"/>
              <w:left w:val="nil"/>
              <w:bottom w:val="nil"/>
              <w:right w:val="single" w:sz="4" w:space="0" w:color="auto"/>
            </w:tcBorders>
            <w:shd w:val="clear" w:color="auto" w:fill="auto"/>
            <w:noWrap/>
            <w:vAlign w:val="bottom"/>
          </w:tcPr>
          <w:p w14:paraId="094E3A8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-0.050</w:t>
            </w:r>
          </w:p>
        </w:tc>
        <w:tc>
          <w:tcPr>
            <w:tcW w:w="521" w:type="pct"/>
            <w:tcBorders>
              <w:top w:val="nil"/>
              <w:left w:val="single" w:sz="4" w:space="0" w:color="auto"/>
              <w:bottom w:val="nil"/>
              <w:right w:val="nil"/>
            </w:tcBorders>
            <w:shd w:val="clear" w:color="auto" w:fill="auto"/>
            <w:noWrap/>
            <w:vAlign w:val="bottom"/>
          </w:tcPr>
          <w:p w14:paraId="192940B1"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0.040</w:t>
            </w:r>
          </w:p>
        </w:tc>
        <w:tc>
          <w:tcPr>
            <w:tcW w:w="521" w:type="pct"/>
            <w:tcBorders>
              <w:top w:val="nil"/>
              <w:left w:val="nil"/>
              <w:bottom w:val="nil"/>
              <w:right w:val="nil"/>
            </w:tcBorders>
            <w:shd w:val="clear" w:color="auto" w:fill="auto"/>
            <w:noWrap/>
            <w:vAlign w:val="bottom"/>
          </w:tcPr>
          <w:p w14:paraId="5EA37761"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0.028</w:t>
            </w:r>
          </w:p>
        </w:tc>
        <w:tc>
          <w:tcPr>
            <w:tcW w:w="521" w:type="pct"/>
            <w:tcBorders>
              <w:top w:val="nil"/>
              <w:left w:val="nil"/>
              <w:bottom w:val="nil"/>
              <w:right w:val="nil"/>
            </w:tcBorders>
            <w:shd w:val="clear" w:color="auto" w:fill="auto"/>
            <w:noWrap/>
            <w:vAlign w:val="bottom"/>
          </w:tcPr>
          <w:p w14:paraId="40279D1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0.011</w:t>
            </w:r>
          </w:p>
        </w:tc>
        <w:tc>
          <w:tcPr>
            <w:tcW w:w="520" w:type="pct"/>
            <w:tcBorders>
              <w:top w:val="nil"/>
              <w:left w:val="nil"/>
              <w:bottom w:val="nil"/>
              <w:right w:val="nil"/>
            </w:tcBorders>
            <w:shd w:val="clear" w:color="auto" w:fill="auto"/>
            <w:noWrap/>
            <w:vAlign w:val="bottom"/>
          </w:tcPr>
          <w:p w14:paraId="4AC2D89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0.013</w:t>
            </w:r>
          </w:p>
        </w:tc>
      </w:tr>
      <w:tr w:rsidR="00116862" w:rsidRPr="00245E91" w14:paraId="0A0B4E71" w14:textId="77777777" w:rsidTr="00D83DD8">
        <w:trPr>
          <w:trHeight w:val="20"/>
        </w:trPr>
        <w:tc>
          <w:tcPr>
            <w:tcW w:w="833" w:type="pct"/>
            <w:tcBorders>
              <w:top w:val="nil"/>
              <w:left w:val="nil"/>
              <w:bottom w:val="nil"/>
              <w:right w:val="nil"/>
            </w:tcBorders>
            <w:shd w:val="clear" w:color="auto" w:fill="auto"/>
            <w:noWrap/>
            <w:vAlign w:val="bottom"/>
          </w:tcPr>
          <w:p w14:paraId="1A0EDF5C"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p>
        </w:tc>
        <w:tc>
          <w:tcPr>
            <w:tcW w:w="521" w:type="pct"/>
            <w:tcBorders>
              <w:top w:val="nil"/>
              <w:left w:val="nil"/>
              <w:bottom w:val="nil"/>
              <w:right w:val="nil"/>
            </w:tcBorders>
            <w:shd w:val="clear" w:color="auto" w:fill="auto"/>
            <w:noWrap/>
            <w:vAlign w:val="bottom"/>
          </w:tcPr>
          <w:p w14:paraId="479B793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(-2.28**)</w:t>
            </w:r>
          </w:p>
        </w:tc>
        <w:tc>
          <w:tcPr>
            <w:tcW w:w="521" w:type="pct"/>
            <w:tcBorders>
              <w:top w:val="nil"/>
              <w:left w:val="nil"/>
              <w:bottom w:val="nil"/>
              <w:right w:val="nil"/>
            </w:tcBorders>
            <w:shd w:val="clear" w:color="auto" w:fill="auto"/>
            <w:noWrap/>
            <w:vAlign w:val="bottom"/>
          </w:tcPr>
          <w:p w14:paraId="328697B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(-2.74***)</w:t>
            </w:r>
          </w:p>
        </w:tc>
        <w:tc>
          <w:tcPr>
            <w:tcW w:w="521" w:type="pct"/>
            <w:tcBorders>
              <w:top w:val="nil"/>
              <w:left w:val="nil"/>
              <w:bottom w:val="nil"/>
              <w:right w:val="nil"/>
            </w:tcBorders>
            <w:shd w:val="clear" w:color="auto" w:fill="auto"/>
            <w:noWrap/>
            <w:vAlign w:val="bottom"/>
          </w:tcPr>
          <w:p w14:paraId="7077F63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(-1.97**)</w:t>
            </w:r>
          </w:p>
        </w:tc>
        <w:tc>
          <w:tcPr>
            <w:tcW w:w="521" w:type="pct"/>
            <w:tcBorders>
              <w:top w:val="nil"/>
              <w:left w:val="nil"/>
              <w:bottom w:val="nil"/>
              <w:right w:val="single" w:sz="4" w:space="0" w:color="auto"/>
            </w:tcBorders>
            <w:shd w:val="clear" w:color="auto" w:fill="auto"/>
            <w:noWrap/>
            <w:vAlign w:val="bottom"/>
          </w:tcPr>
          <w:p w14:paraId="452C890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(-1.85*)</w:t>
            </w:r>
          </w:p>
        </w:tc>
        <w:tc>
          <w:tcPr>
            <w:tcW w:w="521" w:type="pct"/>
            <w:tcBorders>
              <w:top w:val="nil"/>
              <w:left w:val="single" w:sz="4" w:space="0" w:color="auto"/>
              <w:bottom w:val="nil"/>
              <w:right w:val="nil"/>
            </w:tcBorders>
            <w:shd w:val="clear" w:color="auto" w:fill="auto"/>
            <w:noWrap/>
            <w:vAlign w:val="bottom"/>
          </w:tcPr>
          <w:p w14:paraId="589263B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(1.17)</w:t>
            </w:r>
          </w:p>
        </w:tc>
        <w:tc>
          <w:tcPr>
            <w:tcW w:w="521" w:type="pct"/>
            <w:tcBorders>
              <w:top w:val="nil"/>
              <w:left w:val="nil"/>
              <w:bottom w:val="nil"/>
              <w:right w:val="nil"/>
            </w:tcBorders>
            <w:shd w:val="clear" w:color="auto" w:fill="auto"/>
            <w:noWrap/>
            <w:vAlign w:val="bottom"/>
          </w:tcPr>
          <w:p w14:paraId="0307E22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(0.84)</w:t>
            </w:r>
          </w:p>
        </w:tc>
        <w:tc>
          <w:tcPr>
            <w:tcW w:w="521" w:type="pct"/>
            <w:tcBorders>
              <w:top w:val="nil"/>
              <w:left w:val="nil"/>
              <w:bottom w:val="nil"/>
              <w:right w:val="nil"/>
            </w:tcBorders>
            <w:shd w:val="clear" w:color="auto" w:fill="auto"/>
            <w:noWrap/>
            <w:vAlign w:val="bottom"/>
          </w:tcPr>
          <w:p w14:paraId="607B01D9"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(0.44)</w:t>
            </w:r>
          </w:p>
        </w:tc>
        <w:tc>
          <w:tcPr>
            <w:tcW w:w="520" w:type="pct"/>
            <w:tcBorders>
              <w:top w:val="nil"/>
              <w:left w:val="nil"/>
              <w:bottom w:val="nil"/>
              <w:right w:val="nil"/>
            </w:tcBorders>
            <w:shd w:val="clear" w:color="auto" w:fill="auto"/>
            <w:noWrap/>
            <w:vAlign w:val="bottom"/>
          </w:tcPr>
          <w:p w14:paraId="6A02D75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(0.51)</w:t>
            </w:r>
          </w:p>
        </w:tc>
      </w:tr>
      <w:tr w:rsidR="00116862" w:rsidRPr="00245E91" w14:paraId="3D9D2A2B" w14:textId="77777777" w:rsidTr="00D83DD8">
        <w:trPr>
          <w:trHeight w:val="20"/>
        </w:trPr>
        <w:tc>
          <w:tcPr>
            <w:tcW w:w="833" w:type="pct"/>
            <w:tcBorders>
              <w:top w:val="nil"/>
              <w:left w:val="nil"/>
              <w:bottom w:val="nil"/>
              <w:right w:val="nil"/>
            </w:tcBorders>
            <w:shd w:val="clear" w:color="auto" w:fill="auto"/>
            <w:noWrap/>
            <w:vAlign w:val="bottom"/>
            <w:hideMark/>
          </w:tcPr>
          <w:p w14:paraId="6ECCFCDF"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BIG8</w:t>
            </w:r>
          </w:p>
        </w:tc>
        <w:tc>
          <w:tcPr>
            <w:tcW w:w="521" w:type="pct"/>
            <w:tcBorders>
              <w:top w:val="nil"/>
              <w:left w:val="nil"/>
              <w:bottom w:val="nil"/>
              <w:right w:val="nil"/>
            </w:tcBorders>
            <w:shd w:val="clear" w:color="auto" w:fill="auto"/>
            <w:noWrap/>
            <w:vAlign w:val="bottom"/>
            <w:hideMark/>
          </w:tcPr>
          <w:p w14:paraId="490DDD3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-0.011</w:t>
            </w:r>
          </w:p>
        </w:tc>
        <w:tc>
          <w:tcPr>
            <w:tcW w:w="521" w:type="pct"/>
            <w:tcBorders>
              <w:top w:val="nil"/>
              <w:left w:val="nil"/>
              <w:bottom w:val="nil"/>
              <w:right w:val="nil"/>
            </w:tcBorders>
            <w:shd w:val="clear" w:color="auto" w:fill="auto"/>
            <w:noWrap/>
            <w:vAlign w:val="bottom"/>
            <w:hideMark/>
          </w:tcPr>
          <w:p w14:paraId="33EC578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-0.021</w:t>
            </w:r>
          </w:p>
        </w:tc>
        <w:tc>
          <w:tcPr>
            <w:tcW w:w="521" w:type="pct"/>
            <w:tcBorders>
              <w:top w:val="nil"/>
              <w:left w:val="nil"/>
              <w:bottom w:val="nil"/>
              <w:right w:val="nil"/>
            </w:tcBorders>
            <w:shd w:val="clear" w:color="auto" w:fill="auto"/>
            <w:noWrap/>
            <w:vAlign w:val="bottom"/>
            <w:hideMark/>
          </w:tcPr>
          <w:p w14:paraId="0CE6BA0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-0.029</w:t>
            </w:r>
          </w:p>
        </w:tc>
        <w:tc>
          <w:tcPr>
            <w:tcW w:w="521" w:type="pct"/>
            <w:tcBorders>
              <w:top w:val="nil"/>
              <w:left w:val="nil"/>
              <w:bottom w:val="nil"/>
              <w:right w:val="single" w:sz="4" w:space="0" w:color="auto"/>
            </w:tcBorders>
            <w:shd w:val="clear" w:color="auto" w:fill="auto"/>
            <w:noWrap/>
            <w:vAlign w:val="bottom"/>
            <w:hideMark/>
          </w:tcPr>
          <w:p w14:paraId="0A7A5151"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-0.028</w:t>
            </w:r>
          </w:p>
        </w:tc>
        <w:tc>
          <w:tcPr>
            <w:tcW w:w="521" w:type="pct"/>
            <w:tcBorders>
              <w:top w:val="nil"/>
              <w:left w:val="single" w:sz="4" w:space="0" w:color="auto"/>
              <w:bottom w:val="nil"/>
              <w:right w:val="nil"/>
            </w:tcBorders>
            <w:shd w:val="clear" w:color="auto" w:fill="auto"/>
            <w:noWrap/>
            <w:vAlign w:val="bottom"/>
            <w:hideMark/>
          </w:tcPr>
          <w:p w14:paraId="118E569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0.056</w:t>
            </w:r>
          </w:p>
        </w:tc>
        <w:tc>
          <w:tcPr>
            <w:tcW w:w="521" w:type="pct"/>
            <w:tcBorders>
              <w:top w:val="nil"/>
              <w:left w:val="nil"/>
              <w:bottom w:val="nil"/>
              <w:right w:val="nil"/>
            </w:tcBorders>
            <w:shd w:val="clear" w:color="auto" w:fill="auto"/>
            <w:noWrap/>
            <w:vAlign w:val="bottom"/>
            <w:hideMark/>
          </w:tcPr>
          <w:p w14:paraId="1C9B866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0.047</w:t>
            </w:r>
          </w:p>
        </w:tc>
        <w:tc>
          <w:tcPr>
            <w:tcW w:w="521" w:type="pct"/>
            <w:tcBorders>
              <w:top w:val="nil"/>
              <w:left w:val="nil"/>
              <w:bottom w:val="nil"/>
              <w:right w:val="nil"/>
            </w:tcBorders>
            <w:shd w:val="clear" w:color="auto" w:fill="auto"/>
            <w:noWrap/>
            <w:vAlign w:val="bottom"/>
            <w:hideMark/>
          </w:tcPr>
          <w:p w14:paraId="157F670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-0.067</w:t>
            </w:r>
          </w:p>
        </w:tc>
        <w:tc>
          <w:tcPr>
            <w:tcW w:w="520" w:type="pct"/>
            <w:tcBorders>
              <w:top w:val="nil"/>
              <w:left w:val="nil"/>
              <w:bottom w:val="nil"/>
              <w:right w:val="nil"/>
            </w:tcBorders>
            <w:shd w:val="clear" w:color="auto" w:fill="auto"/>
            <w:noWrap/>
            <w:vAlign w:val="bottom"/>
            <w:hideMark/>
          </w:tcPr>
          <w:p w14:paraId="53A0099A"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-0.066</w:t>
            </w:r>
          </w:p>
        </w:tc>
      </w:tr>
      <w:tr w:rsidR="00116862" w:rsidRPr="00245E91" w14:paraId="1398EE93" w14:textId="77777777" w:rsidTr="00D83DD8">
        <w:trPr>
          <w:trHeight w:val="20"/>
        </w:trPr>
        <w:tc>
          <w:tcPr>
            <w:tcW w:w="833" w:type="pct"/>
            <w:tcBorders>
              <w:top w:val="nil"/>
              <w:left w:val="nil"/>
              <w:bottom w:val="nil"/>
              <w:right w:val="nil"/>
            </w:tcBorders>
            <w:shd w:val="clear" w:color="auto" w:fill="auto"/>
            <w:noWrap/>
            <w:vAlign w:val="bottom"/>
            <w:hideMark/>
          </w:tcPr>
          <w:p w14:paraId="51678990"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p>
        </w:tc>
        <w:tc>
          <w:tcPr>
            <w:tcW w:w="521" w:type="pct"/>
            <w:tcBorders>
              <w:top w:val="nil"/>
              <w:left w:val="nil"/>
              <w:bottom w:val="nil"/>
              <w:right w:val="nil"/>
            </w:tcBorders>
            <w:shd w:val="clear" w:color="auto" w:fill="auto"/>
            <w:noWrap/>
            <w:vAlign w:val="bottom"/>
            <w:hideMark/>
          </w:tcPr>
          <w:p w14:paraId="0C15404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(-0.28)</w:t>
            </w:r>
          </w:p>
        </w:tc>
        <w:tc>
          <w:tcPr>
            <w:tcW w:w="521" w:type="pct"/>
            <w:tcBorders>
              <w:top w:val="nil"/>
              <w:left w:val="nil"/>
              <w:bottom w:val="nil"/>
              <w:right w:val="nil"/>
            </w:tcBorders>
            <w:shd w:val="clear" w:color="auto" w:fill="auto"/>
            <w:noWrap/>
            <w:vAlign w:val="bottom"/>
            <w:hideMark/>
          </w:tcPr>
          <w:p w14:paraId="264F3A3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(-0.51)</w:t>
            </w:r>
          </w:p>
        </w:tc>
        <w:tc>
          <w:tcPr>
            <w:tcW w:w="521" w:type="pct"/>
            <w:tcBorders>
              <w:top w:val="nil"/>
              <w:left w:val="nil"/>
              <w:bottom w:val="nil"/>
              <w:right w:val="nil"/>
            </w:tcBorders>
            <w:shd w:val="clear" w:color="auto" w:fill="auto"/>
            <w:noWrap/>
            <w:vAlign w:val="bottom"/>
            <w:hideMark/>
          </w:tcPr>
          <w:p w14:paraId="4878E45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(-1.07)</w:t>
            </w:r>
          </w:p>
        </w:tc>
        <w:tc>
          <w:tcPr>
            <w:tcW w:w="521" w:type="pct"/>
            <w:tcBorders>
              <w:top w:val="nil"/>
              <w:left w:val="nil"/>
              <w:bottom w:val="nil"/>
              <w:right w:val="single" w:sz="4" w:space="0" w:color="auto"/>
            </w:tcBorders>
            <w:shd w:val="clear" w:color="auto" w:fill="auto"/>
            <w:noWrap/>
            <w:vAlign w:val="bottom"/>
            <w:hideMark/>
          </w:tcPr>
          <w:p w14:paraId="60DD86D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(-1.02)</w:t>
            </w:r>
          </w:p>
        </w:tc>
        <w:tc>
          <w:tcPr>
            <w:tcW w:w="521" w:type="pct"/>
            <w:tcBorders>
              <w:top w:val="nil"/>
              <w:left w:val="single" w:sz="4" w:space="0" w:color="auto"/>
              <w:bottom w:val="nil"/>
              <w:right w:val="nil"/>
            </w:tcBorders>
            <w:shd w:val="clear" w:color="auto" w:fill="auto"/>
            <w:noWrap/>
            <w:vAlign w:val="bottom"/>
            <w:hideMark/>
          </w:tcPr>
          <w:p w14:paraId="2D8AFC1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(1.47)</w:t>
            </w:r>
          </w:p>
        </w:tc>
        <w:tc>
          <w:tcPr>
            <w:tcW w:w="521" w:type="pct"/>
            <w:tcBorders>
              <w:top w:val="nil"/>
              <w:left w:val="nil"/>
              <w:bottom w:val="nil"/>
              <w:right w:val="nil"/>
            </w:tcBorders>
            <w:shd w:val="clear" w:color="auto" w:fill="auto"/>
            <w:noWrap/>
            <w:vAlign w:val="bottom"/>
            <w:hideMark/>
          </w:tcPr>
          <w:p w14:paraId="47F6B0B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(1.30)</w:t>
            </w:r>
          </w:p>
        </w:tc>
        <w:tc>
          <w:tcPr>
            <w:tcW w:w="521" w:type="pct"/>
            <w:tcBorders>
              <w:top w:val="nil"/>
              <w:left w:val="nil"/>
              <w:bottom w:val="nil"/>
              <w:right w:val="nil"/>
            </w:tcBorders>
            <w:shd w:val="clear" w:color="auto" w:fill="auto"/>
            <w:noWrap/>
            <w:vAlign w:val="bottom"/>
            <w:hideMark/>
          </w:tcPr>
          <w:p w14:paraId="5DE7121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(-2.12**)</w:t>
            </w:r>
          </w:p>
        </w:tc>
        <w:tc>
          <w:tcPr>
            <w:tcW w:w="520" w:type="pct"/>
            <w:tcBorders>
              <w:top w:val="nil"/>
              <w:left w:val="nil"/>
              <w:bottom w:val="nil"/>
              <w:right w:val="nil"/>
            </w:tcBorders>
            <w:shd w:val="clear" w:color="auto" w:fill="auto"/>
            <w:noWrap/>
            <w:vAlign w:val="bottom"/>
            <w:hideMark/>
          </w:tcPr>
          <w:p w14:paraId="04AD9E2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(-2.08**)</w:t>
            </w:r>
          </w:p>
        </w:tc>
      </w:tr>
      <w:tr w:rsidR="00116862" w:rsidRPr="00245E91" w14:paraId="3491856A" w14:textId="77777777" w:rsidTr="00D83DD8">
        <w:trPr>
          <w:trHeight w:val="20"/>
        </w:trPr>
        <w:tc>
          <w:tcPr>
            <w:tcW w:w="833" w:type="pct"/>
            <w:tcBorders>
              <w:top w:val="nil"/>
              <w:left w:val="nil"/>
              <w:bottom w:val="nil"/>
              <w:right w:val="nil"/>
            </w:tcBorders>
            <w:shd w:val="clear" w:color="auto" w:fill="auto"/>
            <w:noWrap/>
            <w:vAlign w:val="bottom"/>
            <w:hideMark/>
          </w:tcPr>
          <w:p w14:paraId="6D053DEA"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TENURE</w:t>
            </w:r>
          </w:p>
        </w:tc>
        <w:tc>
          <w:tcPr>
            <w:tcW w:w="521" w:type="pct"/>
            <w:tcBorders>
              <w:top w:val="nil"/>
              <w:left w:val="nil"/>
              <w:bottom w:val="nil"/>
              <w:right w:val="nil"/>
            </w:tcBorders>
            <w:shd w:val="clear" w:color="auto" w:fill="auto"/>
            <w:noWrap/>
            <w:vAlign w:val="bottom"/>
            <w:hideMark/>
          </w:tcPr>
          <w:p w14:paraId="7D2522E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0.035</w:t>
            </w:r>
          </w:p>
        </w:tc>
        <w:tc>
          <w:tcPr>
            <w:tcW w:w="521" w:type="pct"/>
            <w:tcBorders>
              <w:top w:val="nil"/>
              <w:left w:val="nil"/>
              <w:bottom w:val="nil"/>
              <w:right w:val="nil"/>
            </w:tcBorders>
            <w:shd w:val="clear" w:color="auto" w:fill="auto"/>
            <w:noWrap/>
            <w:vAlign w:val="bottom"/>
            <w:hideMark/>
          </w:tcPr>
          <w:p w14:paraId="14B9038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0.047</w:t>
            </w:r>
          </w:p>
        </w:tc>
        <w:tc>
          <w:tcPr>
            <w:tcW w:w="521" w:type="pct"/>
            <w:tcBorders>
              <w:top w:val="nil"/>
              <w:left w:val="nil"/>
              <w:bottom w:val="nil"/>
              <w:right w:val="nil"/>
            </w:tcBorders>
            <w:shd w:val="clear" w:color="auto" w:fill="auto"/>
            <w:noWrap/>
            <w:vAlign w:val="bottom"/>
            <w:hideMark/>
          </w:tcPr>
          <w:p w14:paraId="18C87B5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0.030</w:t>
            </w:r>
          </w:p>
        </w:tc>
        <w:tc>
          <w:tcPr>
            <w:tcW w:w="521" w:type="pct"/>
            <w:tcBorders>
              <w:top w:val="nil"/>
              <w:left w:val="nil"/>
              <w:bottom w:val="nil"/>
              <w:right w:val="single" w:sz="4" w:space="0" w:color="auto"/>
            </w:tcBorders>
            <w:shd w:val="clear" w:color="auto" w:fill="auto"/>
            <w:noWrap/>
            <w:vAlign w:val="bottom"/>
            <w:hideMark/>
          </w:tcPr>
          <w:p w14:paraId="5E30FF7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0.029</w:t>
            </w:r>
          </w:p>
        </w:tc>
        <w:tc>
          <w:tcPr>
            <w:tcW w:w="521" w:type="pct"/>
            <w:tcBorders>
              <w:top w:val="nil"/>
              <w:left w:val="single" w:sz="4" w:space="0" w:color="auto"/>
              <w:bottom w:val="nil"/>
              <w:right w:val="nil"/>
            </w:tcBorders>
            <w:shd w:val="clear" w:color="auto" w:fill="auto"/>
            <w:noWrap/>
            <w:vAlign w:val="bottom"/>
            <w:hideMark/>
          </w:tcPr>
          <w:p w14:paraId="18C554E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0.043</w:t>
            </w:r>
          </w:p>
        </w:tc>
        <w:tc>
          <w:tcPr>
            <w:tcW w:w="521" w:type="pct"/>
            <w:tcBorders>
              <w:top w:val="nil"/>
              <w:left w:val="nil"/>
              <w:bottom w:val="nil"/>
              <w:right w:val="nil"/>
            </w:tcBorders>
            <w:shd w:val="clear" w:color="auto" w:fill="auto"/>
            <w:noWrap/>
            <w:vAlign w:val="bottom"/>
            <w:hideMark/>
          </w:tcPr>
          <w:p w14:paraId="6557894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0.025</w:t>
            </w:r>
          </w:p>
        </w:tc>
        <w:tc>
          <w:tcPr>
            <w:tcW w:w="521" w:type="pct"/>
            <w:tcBorders>
              <w:top w:val="nil"/>
              <w:left w:val="nil"/>
              <w:bottom w:val="nil"/>
              <w:right w:val="nil"/>
            </w:tcBorders>
            <w:shd w:val="clear" w:color="auto" w:fill="auto"/>
            <w:noWrap/>
            <w:vAlign w:val="bottom"/>
            <w:hideMark/>
          </w:tcPr>
          <w:p w14:paraId="6A3AFED9"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0.026</w:t>
            </w:r>
          </w:p>
        </w:tc>
        <w:tc>
          <w:tcPr>
            <w:tcW w:w="520" w:type="pct"/>
            <w:tcBorders>
              <w:top w:val="nil"/>
              <w:left w:val="nil"/>
              <w:bottom w:val="nil"/>
              <w:right w:val="nil"/>
            </w:tcBorders>
            <w:shd w:val="clear" w:color="auto" w:fill="auto"/>
            <w:noWrap/>
            <w:vAlign w:val="bottom"/>
            <w:hideMark/>
          </w:tcPr>
          <w:p w14:paraId="744FCDA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0.028</w:t>
            </w:r>
          </w:p>
        </w:tc>
      </w:tr>
      <w:tr w:rsidR="00116862" w:rsidRPr="00245E91" w14:paraId="56CCF13B" w14:textId="77777777" w:rsidTr="00D83DD8">
        <w:trPr>
          <w:trHeight w:val="20"/>
        </w:trPr>
        <w:tc>
          <w:tcPr>
            <w:tcW w:w="833" w:type="pct"/>
            <w:tcBorders>
              <w:top w:val="nil"/>
              <w:left w:val="nil"/>
              <w:bottom w:val="nil"/>
              <w:right w:val="nil"/>
            </w:tcBorders>
            <w:shd w:val="clear" w:color="auto" w:fill="auto"/>
            <w:noWrap/>
            <w:vAlign w:val="bottom"/>
            <w:hideMark/>
          </w:tcPr>
          <w:p w14:paraId="4DB81630"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p>
        </w:tc>
        <w:tc>
          <w:tcPr>
            <w:tcW w:w="521" w:type="pct"/>
            <w:tcBorders>
              <w:top w:val="nil"/>
              <w:left w:val="nil"/>
              <w:bottom w:val="nil"/>
              <w:right w:val="nil"/>
            </w:tcBorders>
            <w:shd w:val="clear" w:color="auto" w:fill="auto"/>
            <w:noWrap/>
            <w:vAlign w:val="bottom"/>
            <w:hideMark/>
          </w:tcPr>
          <w:p w14:paraId="2A3811B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(1.33)</w:t>
            </w:r>
          </w:p>
        </w:tc>
        <w:tc>
          <w:tcPr>
            <w:tcW w:w="521" w:type="pct"/>
            <w:tcBorders>
              <w:top w:val="nil"/>
              <w:left w:val="nil"/>
              <w:bottom w:val="nil"/>
              <w:right w:val="nil"/>
            </w:tcBorders>
            <w:shd w:val="clear" w:color="auto" w:fill="auto"/>
            <w:noWrap/>
            <w:vAlign w:val="bottom"/>
            <w:hideMark/>
          </w:tcPr>
          <w:p w14:paraId="440D8BDA"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(1.66*)</w:t>
            </w:r>
          </w:p>
        </w:tc>
        <w:tc>
          <w:tcPr>
            <w:tcW w:w="521" w:type="pct"/>
            <w:tcBorders>
              <w:top w:val="nil"/>
              <w:left w:val="nil"/>
              <w:bottom w:val="nil"/>
              <w:right w:val="nil"/>
            </w:tcBorders>
            <w:shd w:val="clear" w:color="auto" w:fill="auto"/>
            <w:noWrap/>
            <w:vAlign w:val="bottom"/>
            <w:hideMark/>
          </w:tcPr>
          <w:p w14:paraId="56BAFE4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(1.74*)</w:t>
            </w:r>
          </w:p>
        </w:tc>
        <w:tc>
          <w:tcPr>
            <w:tcW w:w="521" w:type="pct"/>
            <w:tcBorders>
              <w:top w:val="nil"/>
              <w:left w:val="nil"/>
              <w:bottom w:val="nil"/>
              <w:right w:val="single" w:sz="4" w:space="0" w:color="auto"/>
            </w:tcBorders>
            <w:shd w:val="clear" w:color="auto" w:fill="auto"/>
            <w:noWrap/>
            <w:vAlign w:val="bottom"/>
            <w:hideMark/>
          </w:tcPr>
          <w:p w14:paraId="5EB948E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(1.74*)</w:t>
            </w:r>
          </w:p>
        </w:tc>
        <w:tc>
          <w:tcPr>
            <w:tcW w:w="521" w:type="pct"/>
            <w:tcBorders>
              <w:top w:val="nil"/>
              <w:left w:val="single" w:sz="4" w:space="0" w:color="auto"/>
              <w:bottom w:val="nil"/>
              <w:right w:val="nil"/>
            </w:tcBorders>
            <w:shd w:val="clear" w:color="auto" w:fill="auto"/>
            <w:noWrap/>
            <w:vAlign w:val="bottom"/>
            <w:hideMark/>
          </w:tcPr>
          <w:p w14:paraId="052E835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(0.95)</w:t>
            </w:r>
          </w:p>
        </w:tc>
        <w:tc>
          <w:tcPr>
            <w:tcW w:w="521" w:type="pct"/>
            <w:tcBorders>
              <w:top w:val="nil"/>
              <w:left w:val="nil"/>
              <w:bottom w:val="nil"/>
              <w:right w:val="nil"/>
            </w:tcBorders>
            <w:shd w:val="clear" w:color="auto" w:fill="auto"/>
            <w:noWrap/>
            <w:vAlign w:val="bottom"/>
            <w:hideMark/>
          </w:tcPr>
          <w:p w14:paraId="64723829"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(0.68)</w:t>
            </w:r>
          </w:p>
        </w:tc>
        <w:tc>
          <w:tcPr>
            <w:tcW w:w="521" w:type="pct"/>
            <w:tcBorders>
              <w:top w:val="nil"/>
              <w:left w:val="nil"/>
              <w:bottom w:val="nil"/>
              <w:right w:val="nil"/>
            </w:tcBorders>
            <w:shd w:val="clear" w:color="auto" w:fill="auto"/>
            <w:noWrap/>
            <w:vAlign w:val="bottom"/>
            <w:hideMark/>
          </w:tcPr>
          <w:p w14:paraId="0CE171A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(0.97)</w:t>
            </w:r>
          </w:p>
        </w:tc>
        <w:tc>
          <w:tcPr>
            <w:tcW w:w="520" w:type="pct"/>
            <w:tcBorders>
              <w:top w:val="nil"/>
              <w:left w:val="nil"/>
              <w:bottom w:val="nil"/>
              <w:right w:val="nil"/>
            </w:tcBorders>
            <w:shd w:val="clear" w:color="auto" w:fill="auto"/>
            <w:noWrap/>
            <w:vAlign w:val="bottom"/>
            <w:hideMark/>
          </w:tcPr>
          <w:p w14:paraId="3FD12D8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(0.934)</w:t>
            </w:r>
          </w:p>
        </w:tc>
      </w:tr>
      <w:tr w:rsidR="00116862" w:rsidRPr="00245E91" w14:paraId="07B238BB" w14:textId="77777777" w:rsidTr="00D83DD8">
        <w:trPr>
          <w:trHeight w:val="20"/>
        </w:trPr>
        <w:tc>
          <w:tcPr>
            <w:tcW w:w="833" w:type="pct"/>
            <w:tcBorders>
              <w:top w:val="nil"/>
              <w:left w:val="nil"/>
              <w:bottom w:val="nil"/>
              <w:right w:val="nil"/>
            </w:tcBorders>
            <w:shd w:val="clear" w:color="auto" w:fill="auto"/>
            <w:noWrap/>
            <w:vAlign w:val="bottom"/>
            <w:hideMark/>
          </w:tcPr>
          <w:p w14:paraId="0F4F4612"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INSTOWN</w:t>
            </w:r>
          </w:p>
        </w:tc>
        <w:tc>
          <w:tcPr>
            <w:tcW w:w="521" w:type="pct"/>
            <w:tcBorders>
              <w:top w:val="nil"/>
              <w:left w:val="nil"/>
              <w:bottom w:val="nil"/>
              <w:right w:val="nil"/>
            </w:tcBorders>
            <w:shd w:val="clear" w:color="auto" w:fill="auto"/>
            <w:noWrap/>
            <w:vAlign w:val="bottom"/>
            <w:hideMark/>
          </w:tcPr>
          <w:p w14:paraId="6F3FC7A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0.024</w:t>
            </w:r>
          </w:p>
        </w:tc>
        <w:tc>
          <w:tcPr>
            <w:tcW w:w="521" w:type="pct"/>
            <w:tcBorders>
              <w:top w:val="nil"/>
              <w:left w:val="nil"/>
              <w:bottom w:val="nil"/>
              <w:right w:val="nil"/>
            </w:tcBorders>
            <w:shd w:val="clear" w:color="auto" w:fill="auto"/>
            <w:noWrap/>
            <w:vAlign w:val="bottom"/>
            <w:hideMark/>
          </w:tcPr>
          <w:p w14:paraId="7CDB247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0.006</w:t>
            </w:r>
          </w:p>
        </w:tc>
        <w:tc>
          <w:tcPr>
            <w:tcW w:w="521" w:type="pct"/>
            <w:tcBorders>
              <w:top w:val="nil"/>
              <w:left w:val="nil"/>
              <w:bottom w:val="nil"/>
              <w:right w:val="nil"/>
            </w:tcBorders>
            <w:shd w:val="clear" w:color="auto" w:fill="auto"/>
            <w:noWrap/>
            <w:vAlign w:val="bottom"/>
            <w:hideMark/>
          </w:tcPr>
          <w:p w14:paraId="7E12B82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-0.026</w:t>
            </w:r>
          </w:p>
        </w:tc>
        <w:tc>
          <w:tcPr>
            <w:tcW w:w="521" w:type="pct"/>
            <w:tcBorders>
              <w:top w:val="nil"/>
              <w:left w:val="nil"/>
              <w:bottom w:val="nil"/>
              <w:right w:val="single" w:sz="4" w:space="0" w:color="auto"/>
            </w:tcBorders>
            <w:shd w:val="clear" w:color="auto" w:fill="auto"/>
            <w:noWrap/>
            <w:vAlign w:val="bottom"/>
            <w:hideMark/>
          </w:tcPr>
          <w:p w14:paraId="2F2EAE2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-0.024</w:t>
            </w:r>
          </w:p>
        </w:tc>
        <w:tc>
          <w:tcPr>
            <w:tcW w:w="521" w:type="pct"/>
            <w:tcBorders>
              <w:top w:val="nil"/>
              <w:left w:val="single" w:sz="4" w:space="0" w:color="auto"/>
              <w:bottom w:val="nil"/>
              <w:right w:val="nil"/>
            </w:tcBorders>
            <w:shd w:val="clear" w:color="auto" w:fill="auto"/>
            <w:noWrap/>
            <w:vAlign w:val="bottom"/>
            <w:hideMark/>
          </w:tcPr>
          <w:p w14:paraId="2CDC7BE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0.046</w:t>
            </w:r>
          </w:p>
        </w:tc>
        <w:tc>
          <w:tcPr>
            <w:tcW w:w="521" w:type="pct"/>
            <w:tcBorders>
              <w:top w:val="nil"/>
              <w:left w:val="nil"/>
              <w:bottom w:val="nil"/>
              <w:right w:val="nil"/>
            </w:tcBorders>
            <w:shd w:val="clear" w:color="auto" w:fill="auto"/>
            <w:noWrap/>
            <w:vAlign w:val="bottom"/>
            <w:hideMark/>
          </w:tcPr>
          <w:p w14:paraId="218AA71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0.040</w:t>
            </w:r>
          </w:p>
        </w:tc>
        <w:tc>
          <w:tcPr>
            <w:tcW w:w="521" w:type="pct"/>
            <w:tcBorders>
              <w:top w:val="nil"/>
              <w:left w:val="nil"/>
              <w:bottom w:val="nil"/>
              <w:right w:val="nil"/>
            </w:tcBorders>
            <w:shd w:val="clear" w:color="auto" w:fill="auto"/>
            <w:noWrap/>
            <w:vAlign w:val="bottom"/>
            <w:hideMark/>
          </w:tcPr>
          <w:p w14:paraId="5F39B49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0.018</w:t>
            </w:r>
          </w:p>
        </w:tc>
        <w:tc>
          <w:tcPr>
            <w:tcW w:w="520" w:type="pct"/>
            <w:tcBorders>
              <w:top w:val="nil"/>
              <w:left w:val="nil"/>
              <w:bottom w:val="nil"/>
              <w:right w:val="nil"/>
            </w:tcBorders>
            <w:shd w:val="clear" w:color="auto" w:fill="auto"/>
            <w:noWrap/>
            <w:vAlign w:val="bottom"/>
            <w:hideMark/>
          </w:tcPr>
          <w:p w14:paraId="43D2C3E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0.017</w:t>
            </w:r>
          </w:p>
        </w:tc>
      </w:tr>
      <w:tr w:rsidR="00116862" w:rsidRPr="00245E91" w14:paraId="216C2490" w14:textId="77777777" w:rsidTr="00D83DD8">
        <w:trPr>
          <w:trHeight w:val="20"/>
        </w:trPr>
        <w:tc>
          <w:tcPr>
            <w:tcW w:w="833" w:type="pct"/>
            <w:tcBorders>
              <w:top w:val="nil"/>
              <w:left w:val="nil"/>
              <w:bottom w:val="nil"/>
              <w:right w:val="nil"/>
            </w:tcBorders>
            <w:shd w:val="clear" w:color="auto" w:fill="auto"/>
            <w:noWrap/>
            <w:vAlign w:val="bottom"/>
            <w:hideMark/>
          </w:tcPr>
          <w:p w14:paraId="5B37202B"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p>
        </w:tc>
        <w:tc>
          <w:tcPr>
            <w:tcW w:w="521" w:type="pct"/>
            <w:tcBorders>
              <w:top w:val="nil"/>
              <w:left w:val="nil"/>
              <w:bottom w:val="nil"/>
              <w:right w:val="nil"/>
            </w:tcBorders>
            <w:shd w:val="clear" w:color="auto" w:fill="auto"/>
            <w:noWrap/>
            <w:vAlign w:val="bottom"/>
            <w:hideMark/>
          </w:tcPr>
          <w:p w14:paraId="6CDA015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(0.77)</w:t>
            </w:r>
          </w:p>
        </w:tc>
        <w:tc>
          <w:tcPr>
            <w:tcW w:w="521" w:type="pct"/>
            <w:tcBorders>
              <w:top w:val="nil"/>
              <w:left w:val="nil"/>
              <w:bottom w:val="nil"/>
              <w:right w:val="nil"/>
            </w:tcBorders>
            <w:shd w:val="clear" w:color="auto" w:fill="auto"/>
            <w:noWrap/>
            <w:vAlign w:val="bottom"/>
            <w:hideMark/>
          </w:tcPr>
          <w:p w14:paraId="027239C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(0.21)</w:t>
            </w:r>
          </w:p>
        </w:tc>
        <w:tc>
          <w:tcPr>
            <w:tcW w:w="521" w:type="pct"/>
            <w:tcBorders>
              <w:top w:val="nil"/>
              <w:left w:val="nil"/>
              <w:bottom w:val="nil"/>
              <w:right w:val="nil"/>
            </w:tcBorders>
            <w:shd w:val="clear" w:color="auto" w:fill="auto"/>
            <w:noWrap/>
            <w:vAlign w:val="bottom"/>
            <w:hideMark/>
          </w:tcPr>
          <w:p w14:paraId="731F52B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(-1.11)</w:t>
            </w:r>
          </w:p>
        </w:tc>
        <w:tc>
          <w:tcPr>
            <w:tcW w:w="521" w:type="pct"/>
            <w:tcBorders>
              <w:top w:val="nil"/>
              <w:left w:val="nil"/>
              <w:bottom w:val="nil"/>
              <w:right w:val="single" w:sz="4" w:space="0" w:color="auto"/>
            </w:tcBorders>
            <w:shd w:val="clear" w:color="auto" w:fill="auto"/>
            <w:noWrap/>
            <w:vAlign w:val="bottom"/>
            <w:hideMark/>
          </w:tcPr>
          <w:p w14:paraId="13B63FD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(-1.09)</w:t>
            </w:r>
          </w:p>
        </w:tc>
        <w:tc>
          <w:tcPr>
            <w:tcW w:w="521" w:type="pct"/>
            <w:tcBorders>
              <w:top w:val="nil"/>
              <w:left w:val="single" w:sz="4" w:space="0" w:color="auto"/>
              <w:bottom w:val="nil"/>
              <w:right w:val="nil"/>
            </w:tcBorders>
            <w:shd w:val="clear" w:color="auto" w:fill="auto"/>
            <w:noWrap/>
            <w:vAlign w:val="bottom"/>
            <w:hideMark/>
          </w:tcPr>
          <w:p w14:paraId="51BC96A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(1.23)</w:t>
            </w:r>
          </w:p>
        </w:tc>
        <w:tc>
          <w:tcPr>
            <w:tcW w:w="521" w:type="pct"/>
            <w:tcBorders>
              <w:top w:val="nil"/>
              <w:left w:val="nil"/>
              <w:bottom w:val="nil"/>
              <w:right w:val="nil"/>
            </w:tcBorders>
            <w:shd w:val="clear" w:color="auto" w:fill="auto"/>
            <w:noWrap/>
            <w:vAlign w:val="bottom"/>
            <w:hideMark/>
          </w:tcPr>
          <w:p w14:paraId="4AEBE28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(1.59)</w:t>
            </w:r>
          </w:p>
        </w:tc>
        <w:tc>
          <w:tcPr>
            <w:tcW w:w="521" w:type="pct"/>
            <w:tcBorders>
              <w:top w:val="nil"/>
              <w:left w:val="nil"/>
              <w:bottom w:val="nil"/>
              <w:right w:val="nil"/>
            </w:tcBorders>
            <w:shd w:val="clear" w:color="auto" w:fill="auto"/>
            <w:noWrap/>
            <w:vAlign w:val="bottom"/>
            <w:hideMark/>
          </w:tcPr>
          <w:p w14:paraId="565D28E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(1.16)</w:t>
            </w:r>
          </w:p>
        </w:tc>
        <w:tc>
          <w:tcPr>
            <w:tcW w:w="520" w:type="pct"/>
            <w:tcBorders>
              <w:top w:val="nil"/>
              <w:left w:val="nil"/>
              <w:bottom w:val="nil"/>
              <w:right w:val="nil"/>
            </w:tcBorders>
            <w:shd w:val="clear" w:color="auto" w:fill="auto"/>
            <w:noWrap/>
            <w:vAlign w:val="bottom"/>
            <w:hideMark/>
          </w:tcPr>
          <w:p w14:paraId="4EF829E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(1.05)</w:t>
            </w:r>
          </w:p>
        </w:tc>
      </w:tr>
      <w:tr w:rsidR="00116862" w:rsidRPr="00245E91" w14:paraId="3CE36C41" w14:textId="77777777" w:rsidTr="00D83DD8">
        <w:trPr>
          <w:trHeight w:val="20"/>
        </w:trPr>
        <w:tc>
          <w:tcPr>
            <w:tcW w:w="833" w:type="pct"/>
            <w:tcBorders>
              <w:top w:val="nil"/>
              <w:left w:val="nil"/>
              <w:bottom w:val="nil"/>
              <w:right w:val="nil"/>
            </w:tcBorders>
            <w:shd w:val="clear" w:color="auto" w:fill="auto"/>
            <w:noWrap/>
            <w:vAlign w:val="bottom"/>
            <w:hideMark/>
          </w:tcPr>
          <w:p w14:paraId="4CC37124"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NUMANALYST</w:t>
            </w:r>
          </w:p>
        </w:tc>
        <w:tc>
          <w:tcPr>
            <w:tcW w:w="521" w:type="pct"/>
            <w:tcBorders>
              <w:top w:val="nil"/>
              <w:left w:val="nil"/>
              <w:bottom w:val="nil"/>
              <w:right w:val="nil"/>
            </w:tcBorders>
            <w:shd w:val="clear" w:color="auto" w:fill="auto"/>
            <w:noWrap/>
            <w:vAlign w:val="bottom"/>
            <w:hideMark/>
          </w:tcPr>
          <w:p w14:paraId="00D8613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-0.009</w:t>
            </w:r>
          </w:p>
        </w:tc>
        <w:tc>
          <w:tcPr>
            <w:tcW w:w="521" w:type="pct"/>
            <w:tcBorders>
              <w:top w:val="nil"/>
              <w:left w:val="nil"/>
              <w:bottom w:val="nil"/>
              <w:right w:val="nil"/>
            </w:tcBorders>
            <w:shd w:val="clear" w:color="auto" w:fill="auto"/>
            <w:noWrap/>
            <w:vAlign w:val="bottom"/>
            <w:hideMark/>
          </w:tcPr>
          <w:p w14:paraId="0815A351"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-0.023</w:t>
            </w:r>
          </w:p>
        </w:tc>
        <w:tc>
          <w:tcPr>
            <w:tcW w:w="521" w:type="pct"/>
            <w:tcBorders>
              <w:top w:val="nil"/>
              <w:left w:val="nil"/>
              <w:bottom w:val="nil"/>
              <w:right w:val="nil"/>
            </w:tcBorders>
            <w:shd w:val="clear" w:color="auto" w:fill="auto"/>
            <w:noWrap/>
            <w:vAlign w:val="bottom"/>
            <w:hideMark/>
          </w:tcPr>
          <w:p w14:paraId="4127205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0.030</w:t>
            </w:r>
          </w:p>
        </w:tc>
        <w:tc>
          <w:tcPr>
            <w:tcW w:w="521" w:type="pct"/>
            <w:tcBorders>
              <w:top w:val="nil"/>
              <w:left w:val="nil"/>
              <w:bottom w:val="nil"/>
              <w:right w:val="single" w:sz="4" w:space="0" w:color="auto"/>
            </w:tcBorders>
            <w:shd w:val="clear" w:color="auto" w:fill="auto"/>
            <w:noWrap/>
            <w:vAlign w:val="bottom"/>
            <w:hideMark/>
          </w:tcPr>
          <w:p w14:paraId="1510544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0.030</w:t>
            </w:r>
          </w:p>
        </w:tc>
        <w:tc>
          <w:tcPr>
            <w:tcW w:w="521" w:type="pct"/>
            <w:tcBorders>
              <w:top w:val="nil"/>
              <w:left w:val="single" w:sz="4" w:space="0" w:color="auto"/>
              <w:bottom w:val="nil"/>
              <w:right w:val="nil"/>
            </w:tcBorders>
            <w:shd w:val="clear" w:color="auto" w:fill="auto"/>
            <w:noWrap/>
            <w:vAlign w:val="bottom"/>
            <w:hideMark/>
          </w:tcPr>
          <w:p w14:paraId="2E7DFF7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-0.107</w:t>
            </w:r>
          </w:p>
        </w:tc>
        <w:tc>
          <w:tcPr>
            <w:tcW w:w="521" w:type="pct"/>
            <w:tcBorders>
              <w:top w:val="nil"/>
              <w:left w:val="nil"/>
              <w:bottom w:val="nil"/>
              <w:right w:val="nil"/>
            </w:tcBorders>
            <w:shd w:val="clear" w:color="auto" w:fill="auto"/>
            <w:noWrap/>
            <w:vAlign w:val="bottom"/>
            <w:hideMark/>
          </w:tcPr>
          <w:p w14:paraId="32BE194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-0.105</w:t>
            </w:r>
          </w:p>
        </w:tc>
        <w:tc>
          <w:tcPr>
            <w:tcW w:w="521" w:type="pct"/>
            <w:tcBorders>
              <w:top w:val="nil"/>
              <w:left w:val="nil"/>
              <w:bottom w:val="nil"/>
              <w:right w:val="nil"/>
            </w:tcBorders>
            <w:shd w:val="clear" w:color="auto" w:fill="auto"/>
            <w:noWrap/>
            <w:vAlign w:val="bottom"/>
            <w:hideMark/>
          </w:tcPr>
          <w:p w14:paraId="41DC703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0.042</w:t>
            </w:r>
          </w:p>
        </w:tc>
        <w:tc>
          <w:tcPr>
            <w:tcW w:w="520" w:type="pct"/>
            <w:tcBorders>
              <w:top w:val="nil"/>
              <w:left w:val="nil"/>
              <w:bottom w:val="nil"/>
              <w:right w:val="nil"/>
            </w:tcBorders>
            <w:shd w:val="clear" w:color="auto" w:fill="auto"/>
            <w:noWrap/>
            <w:vAlign w:val="bottom"/>
            <w:hideMark/>
          </w:tcPr>
          <w:p w14:paraId="40CABDE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0.040</w:t>
            </w:r>
          </w:p>
        </w:tc>
      </w:tr>
      <w:tr w:rsidR="00116862" w:rsidRPr="00245E91" w14:paraId="551BBB9E" w14:textId="77777777" w:rsidTr="00D83DD8">
        <w:trPr>
          <w:trHeight w:val="20"/>
        </w:trPr>
        <w:tc>
          <w:tcPr>
            <w:tcW w:w="833" w:type="pct"/>
            <w:tcBorders>
              <w:top w:val="nil"/>
              <w:left w:val="nil"/>
              <w:bottom w:val="nil"/>
              <w:right w:val="nil"/>
            </w:tcBorders>
            <w:shd w:val="clear" w:color="auto" w:fill="auto"/>
            <w:noWrap/>
            <w:vAlign w:val="bottom"/>
            <w:hideMark/>
          </w:tcPr>
          <w:p w14:paraId="7BBCDBB1"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p>
        </w:tc>
        <w:tc>
          <w:tcPr>
            <w:tcW w:w="521" w:type="pct"/>
            <w:tcBorders>
              <w:top w:val="nil"/>
              <w:left w:val="nil"/>
              <w:bottom w:val="nil"/>
              <w:right w:val="nil"/>
            </w:tcBorders>
            <w:shd w:val="clear" w:color="auto" w:fill="auto"/>
            <w:noWrap/>
            <w:vAlign w:val="bottom"/>
            <w:hideMark/>
          </w:tcPr>
          <w:p w14:paraId="17450C9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(-0.35)</w:t>
            </w:r>
          </w:p>
        </w:tc>
        <w:tc>
          <w:tcPr>
            <w:tcW w:w="521" w:type="pct"/>
            <w:tcBorders>
              <w:top w:val="nil"/>
              <w:left w:val="nil"/>
              <w:bottom w:val="nil"/>
              <w:right w:val="nil"/>
            </w:tcBorders>
            <w:shd w:val="clear" w:color="auto" w:fill="auto"/>
            <w:noWrap/>
            <w:vAlign w:val="bottom"/>
            <w:hideMark/>
          </w:tcPr>
          <w:p w14:paraId="4F00B6E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(-0.86)</w:t>
            </w:r>
          </w:p>
        </w:tc>
        <w:tc>
          <w:tcPr>
            <w:tcW w:w="521" w:type="pct"/>
            <w:tcBorders>
              <w:top w:val="nil"/>
              <w:left w:val="nil"/>
              <w:bottom w:val="nil"/>
              <w:right w:val="nil"/>
            </w:tcBorders>
            <w:shd w:val="clear" w:color="auto" w:fill="auto"/>
            <w:noWrap/>
            <w:vAlign w:val="bottom"/>
            <w:hideMark/>
          </w:tcPr>
          <w:p w14:paraId="6976732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(1.88*)</w:t>
            </w:r>
          </w:p>
        </w:tc>
        <w:tc>
          <w:tcPr>
            <w:tcW w:w="521" w:type="pct"/>
            <w:tcBorders>
              <w:top w:val="nil"/>
              <w:left w:val="nil"/>
              <w:bottom w:val="nil"/>
              <w:right w:val="single" w:sz="4" w:space="0" w:color="auto"/>
            </w:tcBorders>
            <w:shd w:val="clear" w:color="auto" w:fill="auto"/>
            <w:noWrap/>
            <w:vAlign w:val="bottom"/>
            <w:hideMark/>
          </w:tcPr>
          <w:p w14:paraId="002D26F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(1.94*)</w:t>
            </w:r>
          </w:p>
        </w:tc>
        <w:tc>
          <w:tcPr>
            <w:tcW w:w="521" w:type="pct"/>
            <w:tcBorders>
              <w:top w:val="nil"/>
              <w:left w:val="single" w:sz="4" w:space="0" w:color="auto"/>
              <w:bottom w:val="nil"/>
              <w:right w:val="nil"/>
            </w:tcBorders>
            <w:shd w:val="clear" w:color="auto" w:fill="auto"/>
            <w:noWrap/>
            <w:vAlign w:val="bottom"/>
            <w:hideMark/>
          </w:tcPr>
          <w:p w14:paraId="5F3DA71A"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(-2.5**)</w:t>
            </w:r>
          </w:p>
        </w:tc>
        <w:tc>
          <w:tcPr>
            <w:tcW w:w="521" w:type="pct"/>
            <w:tcBorders>
              <w:top w:val="nil"/>
              <w:left w:val="nil"/>
              <w:bottom w:val="nil"/>
              <w:right w:val="nil"/>
            </w:tcBorders>
            <w:shd w:val="clear" w:color="auto" w:fill="auto"/>
            <w:noWrap/>
            <w:vAlign w:val="bottom"/>
            <w:hideMark/>
          </w:tcPr>
          <w:p w14:paraId="5B407F9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(-2.62***)</w:t>
            </w:r>
          </w:p>
        </w:tc>
        <w:tc>
          <w:tcPr>
            <w:tcW w:w="521" w:type="pct"/>
            <w:tcBorders>
              <w:top w:val="nil"/>
              <w:left w:val="nil"/>
              <w:bottom w:val="nil"/>
              <w:right w:val="nil"/>
            </w:tcBorders>
            <w:shd w:val="clear" w:color="auto" w:fill="auto"/>
            <w:noWrap/>
            <w:vAlign w:val="bottom"/>
            <w:hideMark/>
          </w:tcPr>
          <w:p w14:paraId="546AADD9"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(1.49)</w:t>
            </w:r>
          </w:p>
        </w:tc>
        <w:tc>
          <w:tcPr>
            <w:tcW w:w="520" w:type="pct"/>
            <w:tcBorders>
              <w:top w:val="nil"/>
              <w:left w:val="nil"/>
              <w:bottom w:val="nil"/>
              <w:right w:val="nil"/>
            </w:tcBorders>
            <w:shd w:val="clear" w:color="auto" w:fill="auto"/>
            <w:noWrap/>
            <w:vAlign w:val="bottom"/>
            <w:hideMark/>
          </w:tcPr>
          <w:p w14:paraId="1B9C455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(1.37)</w:t>
            </w:r>
          </w:p>
        </w:tc>
      </w:tr>
      <w:tr w:rsidR="00116862" w:rsidRPr="00245E91" w14:paraId="14D332F5" w14:textId="77777777" w:rsidTr="00D83DD8">
        <w:trPr>
          <w:trHeight w:val="20"/>
        </w:trPr>
        <w:tc>
          <w:tcPr>
            <w:tcW w:w="833" w:type="pct"/>
            <w:tcBorders>
              <w:top w:val="nil"/>
              <w:left w:val="nil"/>
              <w:bottom w:val="nil"/>
              <w:right w:val="nil"/>
            </w:tcBorders>
            <w:shd w:val="clear" w:color="auto" w:fill="auto"/>
            <w:noWrap/>
            <w:vAlign w:val="bottom"/>
            <w:hideMark/>
          </w:tcPr>
          <w:p w14:paraId="23F98706"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SOX</w:t>
            </w:r>
          </w:p>
        </w:tc>
        <w:tc>
          <w:tcPr>
            <w:tcW w:w="521" w:type="pct"/>
            <w:tcBorders>
              <w:top w:val="nil"/>
              <w:left w:val="nil"/>
              <w:bottom w:val="nil"/>
              <w:right w:val="nil"/>
            </w:tcBorders>
            <w:shd w:val="clear" w:color="auto" w:fill="auto"/>
            <w:noWrap/>
            <w:vAlign w:val="bottom"/>
            <w:hideMark/>
          </w:tcPr>
          <w:p w14:paraId="36BDB6D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0.189</w:t>
            </w:r>
          </w:p>
        </w:tc>
        <w:tc>
          <w:tcPr>
            <w:tcW w:w="521" w:type="pct"/>
            <w:tcBorders>
              <w:top w:val="nil"/>
              <w:left w:val="nil"/>
              <w:bottom w:val="nil"/>
              <w:right w:val="nil"/>
            </w:tcBorders>
            <w:shd w:val="clear" w:color="auto" w:fill="auto"/>
            <w:noWrap/>
            <w:vAlign w:val="bottom"/>
            <w:hideMark/>
          </w:tcPr>
          <w:p w14:paraId="271D134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-0.103</w:t>
            </w:r>
          </w:p>
        </w:tc>
        <w:tc>
          <w:tcPr>
            <w:tcW w:w="521" w:type="pct"/>
            <w:tcBorders>
              <w:top w:val="nil"/>
              <w:left w:val="nil"/>
              <w:bottom w:val="nil"/>
              <w:right w:val="nil"/>
            </w:tcBorders>
            <w:shd w:val="clear" w:color="auto" w:fill="auto"/>
            <w:noWrap/>
            <w:vAlign w:val="bottom"/>
            <w:hideMark/>
          </w:tcPr>
          <w:p w14:paraId="2179603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0.399</w:t>
            </w:r>
          </w:p>
        </w:tc>
        <w:tc>
          <w:tcPr>
            <w:tcW w:w="521" w:type="pct"/>
            <w:tcBorders>
              <w:top w:val="nil"/>
              <w:left w:val="nil"/>
              <w:bottom w:val="nil"/>
              <w:right w:val="single" w:sz="4" w:space="0" w:color="auto"/>
            </w:tcBorders>
            <w:shd w:val="clear" w:color="auto" w:fill="auto"/>
            <w:noWrap/>
            <w:vAlign w:val="bottom"/>
            <w:hideMark/>
          </w:tcPr>
          <w:p w14:paraId="486CD42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0.390</w:t>
            </w:r>
          </w:p>
        </w:tc>
        <w:tc>
          <w:tcPr>
            <w:tcW w:w="521" w:type="pct"/>
            <w:tcBorders>
              <w:top w:val="nil"/>
              <w:left w:val="single" w:sz="4" w:space="0" w:color="auto"/>
              <w:bottom w:val="nil"/>
              <w:right w:val="nil"/>
            </w:tcBorders>
            <w:shd w:val="clear" w:color="auto" w:fill="auto"/>
            <w:noWrap/>
            <w:vAlign w:val="bottom"/>
            <w:hideMark/>
          </w:tcPr>
          <w:p w14:paraId="1213C28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-0.215</w:t>
            </w:r>
          </w:p>
        </w:tc>
        <w:tc>
          <w:tcPr>
            <w:tcW w:w="521" w:type="pct"/>
            <w:tcBorders>
              <w:top w:val="nil"/>
              <w:left w:val="nil"/>
              <w:bottom w:val="nil"/>
              <w:right w:val="nil"/>
            </w:tcBorders>
            <w:shd w:val="clear" w:color="auto" w:fill="auto"/>
            <w:noWrap/>
            <w:vAlign w:val="bottom"/>
            <w:hideMark/>
          </w:tcPr>
          <w:p w14:paraId="1B1A46C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-0.491</w:t>
            </w:r>
          </w:p>
        </w:tc>
        <w:tc>
          <w:tcPr>
            <w:tcW w:w="521" w:type="pct"/>
            <w:tcBorders>
              <w:top w:val="nil"/>
              <w:left w:val="nil"/>
              <w:bottom w:val="nil"/>
              <w:right w:val="nil"/>
            </w:tcBorders>
            <w:shd w:val="clear" w:color="auto" w:fill="auto"/>
            <w:noWrap/>
            <w:vAlign w:val="bottom"/>
            <w:hideMark/>
          </w:tcPr>
          <w:p w14:paraId="5A1B022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0.035</w:t>
            </w:r>
          </w:p>
        </w:tc>
        <w:tc>
          <w:tcPr>
            <w:tcW w:w="520" w:type="pct"/>
            <w:tcBorders>
              <w:top w:val="nil"/>
              <w:left w:val="nil"/>
              <w:bottom w:val="nil"/>
              <w:right w:val="nil"/>
            </w:tcBorders>
            <w:shd w:val="clear" w:color="auto" w:fill="auto"/>
            <w:noWrap/>
            <w:vAlign w:val="bottom"/>
            <w:hideMark/>
          </w:tcPr>
          <w:p w14:paraId="592FAB8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0.031</w:t>
            </w:r>
          </w:p>
        </w:tc>
      </w:tr>
      <w:tr w:rsidR="00116862" w:rsidRPr="00245E91" w14:paraId="1E54E679" w14:textId="77777777" w:rsidTr="00D83DD8">
        <w:trPr>
          <w:trHeight w:val="20"/>
        </w:trPr>
        <w:tc>
          <w:tcPr>
            <w:tcW w:w="833" w:type="pct"/>
            <w:tcBorders>
              <w:top w:val="nil"/>
              <w:left w:val="nil"/>
              <w:bottom w:val="nil"/>
              <w:right w:val="nil"/>
            </w:tcBorders>
            <w:shd w:val="clear" w:color="auto" w:fill="auto"/>
            <w:noWrap/>
            <w:vAlign w:val="bottom"/>
            <w:hideMark/>
          </w:tcPr>
          <w:p w14:paraId="0556923C"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p>
        </w:tc>
        <w:tc>
          <w:tcPr>
            <w:tcW w:w="521" w:type="pct"/>
            <w:tcBorders>
              <w:top w:val="nil"/>
              <w:left w:val="nil"/>
              <w:bottom w:val="nil"/>
              <w:right w:val="nil"/>
            </w:tcBorders>
            <w:shd w:val="clear" w:color="auto" w:fill="auto"/>
            <w:noWrap/>
            <w:vAlign w:val="bottom"/>
            <w:hideMark/>
          </w:tcPr>
          <w:p w14:paraId="6534C83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(0.69)</w:t>
            </w:r>
          </w:p>
        </w:tc>
        <w:tc>
          <w:tcPr>
            <w:tcW w:w="521" w:type="pct"/>
            <w:tcBorders>
              <w:top w:val="nil"/>
              <w:left w:val="nil"/>
              <w:bottom w:val="nil"/>
              <w:right w:val="nil"/>
            </w:tcBorders>
            <w:shd w:val="clear" w:color="auto" w:fill="auto"/>
            <w:noWrap/>
            <w:vAlign w:val="bottom"/>
            <w:hideMark/>
          </w:tcPr>
          <w:p w14:paraId="34F287B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(-0.49)</w:t>
            </w:r>
          </w:p>
        </w:tc>
        <w:tc>
          <w:tcPr>
            <w:tcW w:w="521" w:type="pct"/>
            <w:tcBorders>
              <w:top w:val="nil"/>
              <w:left w:val="nil"/>
              <w:bottom w:val="nil"/>
              <w:right w:val="nil"/>
            </w:tcBorders>
            <w:shd w:val="clear" w:color="auto" w:fill="auto"/>
            <w:noWrap/>
            <w:vAlign w:val="bottom"/>
            <w:hideMark/>
          </w:tcPr>
          <w:p w14:paraId="574DD3E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(2.34**)</w:t>
            </w:r>
          </w:p>
        </w:tc>
        <w:tc>
          <w:tcPr>
            <w:tcW w:w="521" w:type="pct"/>
            <w:tcBorders>
              <w:top w:val="nil"/>
              <w:left w:val="nil"/>
              <w:bottom w:val="nil"/>
              <w:right w:val="single" w:sz="4" w:space="0" w:color="auto"/>
            </w:tcBorders>
            <w:shd w:val="clear" w:color="auto" w:fill="auto"/>
            <w:noWrap/>
            <w:vAlign w:val="bottom"/>
            <w:hideMark/>
          </w:tcPr>
          <w:p w14:paraId="5FC7C70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(2.37**)</w:t>
            </w:r>
          </w:p>
        </w:tc>
        <w:tc>
          <w:tcPr>
            <w:tcW w:w="521" w:type="pct"/>
            <w:tcBorders>
              <w:top w:val="nil"/>
              <w:left w:val="single" w:sz="4" w:space="0" w:color="auto"/>
              <w:bottom w:val="nil"/>
              <w:right w:val="nil"/>
            </w:tcBorders>
            <w:shd w:val="clear" w:color="auto" w:fill="auto"/>
            <w:noWrap/>
            <w:vAlign w:val="bottom"/>
            <w:hideMark/>
          </w:tcPr>
          <w:p w14:paraId="0E2BE7B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(-0.76)</w:t>
            </w:r>
          </w:p>
        </w:tc>
        <w:tc>
          <w:tcPr>
            <w:tcW w:w="521" w:type="pct"/>
            <w:tcBorders>
              <w:top w:val="nil"/>
              <w:left w:val="nil"/>
              <w:bottom w:val="nil"/>
              <w:right w:val="nil"/>
            </w:tcBorders>
            <w:shd w:val="clear" w:color="auto" w:fill="auto"/>
            <w:noWrap/>
            <w:vAlign w:val="bottom"/>
            <w:hideMark/>
          </w:tcPr>
          <w:p w14:paraId="4563F3A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(-2.87***)</w:t>
            </w:r>
          </w:p>
        </w:tc>
        <w:tc>
          <w:tcPr>
            <w:tcW w:w="521" w:type="pct"/>
            <w:tcBorders>
              <w:top w:val="nil"/>
              <w:left w:val="nil"/>
              <w:bottom w:val="nil"/>
              <w:right w:val="nil"/>
            </w:tcBorders>
            <w:shd w:val="clear" w:color="auto" w:fill="auto"/>
            <w:noWrap/>
            <w:vAlign w:val="bottom"/>
            <w:hideMark/>
          </w:tcPr>
          <w:p w14:paraId="26860CC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(0.290</w:t>
            </w:r>
          </w:p>
        </w:tc>
        <w:tc>
          <w:tcPr>
            <w:tcW w:w="520" w:type="pct"/>
            <w:tcBorders>
              <w:top w:val="nil"/>
              <w:left w:val="nil"/>
              <w:bottom w:val="nil"/>
              <w:right w:val="nil"/>
            </w:tcBorders>
            <w:shd w:val="clear" w:color="auto" w:fill="auto"/>
            <w:noWrap/>
            <w:vAlign w:val="bottom"/>
            <w:hideMark/>
          </w:tcPr>
          <w:p w14:paraId="7FA5FFD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(0.24)</w:t>
            </w:r>
          </w:p>
        </w:tc>
      </w:tr>
      <w:tr w:rsidR="00116862" w:rsidRPr="00245E91" w14:paraId="5A680927" w14:textId="77777777" w:rsidTr="00D83DD8">
        <w:trPr>
          <w:trHeight w:val="20"/>
        </w:trPr>
        <w:tc>
          <w:tcPr>
            <w:tcW w:w="833" w:type="pct"/>
            <w:tcBorders>
              <w:top w:val="nil"/>
              <w:left w:val="nil"/>
              <w:bottom w:val="nil"/>
              <w:right w:val="nil"/>
            </w:tcBorders>
            <w:shd w:val="clear" w:color="auto" w:fill="auto"/>
            <w:noWrap/>
            <w:vAlign w:val="bottom"/>
            <w:hideMark/>
          </w:tcPr>
          <w:p w14:paraId="3A1A841A"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RESID_RM1</w:t>
            </w:r>
          </w:p>
        </w:tc>
        <w:tc>
          <w:tcPr>
            <w:tcW w:w="521" w:type="pct"/>
            <w:tcBorders>
              <w:top w:val="nil"/>
              <w:left w:val="nil"/>
              <w:bottom w:val="nil"/>
              <w:right w:val="nil"/>
            </w:tcBorders>
            <w:shd w:val="clear" w:color="auto" w:fill="auto"/>
            <w:noWrap/>
            <w:vAlign w:val="bottom"/>
            <w:hideMark/>
          </w:tcPr>
          <w:p w14:paraId="264AB29D" w14:textId="77777777" w:rsidR="00116862" w:rsidRPr="00245E91" w:rsidRDefault="00116862" w:rsidP="00116862">
            <w:pPr>
              <w:spacing w:line="240" w:lineRule="auto"/>
              <w:contextualSpacing/>
              <w:rPr>
                <w:rFonts w:ascii="Times New Roman" w:hAnsi="Times New Roman"/>
                <w:color w:val="000000"/>
                <w:sz w:val="15"/>
                <w:szCs w:val="15"/>
              </w:rPr>
            </w:pPr>
          </w:p>
        </w:tc>
        <w:tc>
          <w:tcPr>
            <w:tcW w:w="521" w:type="pct"/>
            <w:tcBorders>
              <w:top w:val="nil"/>
              <w:left w:val="nil"/>
              <w:bottom w:val="nil"/>
              <w:right w:val="nil"/>
            </w:tcBorders>
            <w:shd w:val="clear" w:color="auto" w:fill="auto"/>
            <w:noWrap/>
            <w:vAlign w:val="bottom"/>
            <w:hideMark/>
          </w:tcPr>
          <w:p w14:paraId="1AB2EA5C" w14:textId="77777777" w:rsidR="00116862" w:rsidRPr="00245E91" w:rsidRDefault="00116862" w:rsidP="00116862">
            <w:pPr>
              <w:spacing w:line="240" w:lineRule="auto"/>
              <w:contextualSpacing/>
              <w:rPr>
                <w:rFonts w:ascii="Times New Roman" w:hAnsi="Times New Roman"/>
                <w:sz w:val="15"/>
                <w:szCs w:val="15"/>
              </w:rPr>
            </w:pPr>
          </w:p>
        </w:tc>
        <w:tc>
          <w:tcPr>
            <w:tcW w:w="521" w:type="pct"/>
            <w:tcBorders>
              <w:top w:val="nil"/>
              <w:left w:val="nil"/>
              <w:bottom w:val="nil"/>
              <w:right w:val="nil"/>
            </w:tcBorders>
            <w:shd w:val="clear" w:color="auto" w:fill="auto"/>
            <w:noWrap/>
            <w:vAlign w:val="bottom"/>
            <w:hideMark/>
          </w:tcPr>
          <w:p w14:paraId="5CD57D2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0.084</w:t>
            </w:r>
          </w:p>
        </w:tc>
        <w:tc>
          <w:tcPr>
            <w:tcW w:w="521" w:type="pct"/>
            <w:tcBorders>
              <w:top w:val="nil"/>
              <w:left w:val="nil"/>
              <w:bottom w:val="nil"/>
              <w:right w:val="single" w:sz="4" w:space="0" w:color="auto"/>
            </w:tcBorders>
            <w:shd w:val="clear" w:color="auto" w:fill="auto"/>
            <w:noWrap/>
            <w:vAlign w:val="bottom"/>
            <w:hideMark/>
          </w:tcPr>
          <w:p w14:paraId="052FF234" w14:textId="77777777" w:rsidR="00116862" w:rsidRPr="00245E91" w:rsidRDefault="00116862" w:rsidP="00116862">
            <w:pPr>
              <w:spacing w:line="240" w:lineRule="auto"/>
              <w:contextualSpacing/>
              <w:rPr>
                <w:rFonts w:ascii="Times New Roman" w:hAnsi="Times New Roman"/>
                <w:color w:val="000000"/>
                <w:sz w:val="15"/>
                <w:szCs w:val="15"/>
              </w:rPr>
            </w:pPr>
          </w:p>
        </w:tc>
        <w:tc>
          <w:tcPr>
            <w:tcW w:w="521" w:type="pct"/>
            <w:tcBorders>
              <w:top w:val="nil"/>
              <w:left w:val="single" w:sz="4" w:space="0" w:color="auto"/>
              <w:bottom w:val="nil"/>
              <w:right w:val="nil"/>
            </w:tcBorders>
            <w:shd w:val="clear" w:color="auto" w:fill="auto"/>
            <w:noWrap/>
            <w:vAlign w:val="bottom"/>
            <w:hideMark/>
          </w:tcPr>
          <w:p w14:paraId="1B6B79FA" w14:textId="77777777" w:rsidR="00116862" w:rsidRPr="00245E91" w:rsidRDefault="00116862" w:rsidP="00116862">
            <w:pPr>
              <w:spacing w:line="240" w:lineRule="auto"/>
              <w:contextualSpacing/>
              <w:rPr>
                <w:rFonts w:ascii="Times New Roman" w:hAnsi="Times New Roman"/>
                <w:sz w:val="15"/>
                <w:szCs w:val="15"/>
              </w:rPr>
            </w:pPr>
          </w:p>
        </w:tc>
        <w:tc>
          <w:tcPr>
            <w:tcW w:w="521" w:type="pct"/>
            <w:tcBorders>
              <w:top w:val="nil"/>
              <w:left w:val="nil"/>
              <w:bottom w:val="nil"/>
              <w:right w:val="nil"/>
            </w:tcBorders>
            <w:shd w:val="clear" w:color="auto" w:fill="auto"/>
            <w:noWrap/>
            <w:vAlign w:val="bottom"/>
            <w:hideMark/>
          </w:tcPr>
          <w:p w14:paraId="0533316F" w14:textId="77777777" w:rsidR="00116862" w:rsidRPr="00245E91" w:rsidRDefault="00116862" w:rsidP="00116862">
            <w:pPr>
              <w:spacing w:line="240" w:lineRule="auto"/>
              <w:contextualSpacing/>
              <w:rPr>
                <w:rFonts w:ascii="Times New Roman" w:hAnsi="Times New Roman"/>
                <w:sz w:val="15"/>
                <w:szCs w:val="15"/>
              </w:rPr>
            </w:pPr>
          </w:p>
        </w:tc>
        <w:tc>
          <w:tcPr>
            <w:tcW w:w="521" w:type="pct"/>
            <w:tcBorders>
              <w:top w:val="nil"/>
              <w:left w:val="nil"/>
              <w:bottom w:val="nil"/>
              <w:right w:val="nil"/>
            </w:tcBorders>
            <w:shd w:val="clear" w:color="auto" w:fill="auto"/>
            <w:noWrap/>
            <w:vAlign w:val="bottom"/>
            <w:hideMark/>
          </w:tcPr>
          <w:p w14:paraId="17FC18F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0.168</w:t>
            </w:r>
          </w:p>
        </w:tc>
        <w:tc>
          <w:tcPr>
            <w:tcW w:w="520" w:type="pct"/>
            <w:tcBorders>
              <w:top w:val="nil"/>
              <w:left w:val="nil"/>
              <w:bottom w:val="nil"/>
              <w:right w:val="nil"/>
            </w:tcBorders>
            <w:shd w:val="clear" w:color="auto" w:fill="auto"/>
            <w:noWrap/>
            <w:vAlign w:val="bottom"/>
            <w:hideMark/>
          </w:tcPr>
          <w:p w14:paraId="3D575516" w14:textId="77777777" w:rsidR="00116862" w:rsidRPr="00245E91" w:rsidRDefault="00116862" w:rsidP="00116862">
            <w:pPr>
              <w:spacing w:line="240" w:lineRule="auto"/>
              <w:contextualSpacing/>
              <w:rPr>
                <w:rFonts w:ascii="Times New Roman" w:hAnsi="Times New Roman"/>
                <w:color w:val="000000"/>
                <w:sz w:val="15"/>
                <w:szCs w:val="15"/>
              </w:rPr>
            </w:pPr>
          </w:p>
        </w:tc>
      </w:tr>
      <w:tr w:rsidR="00116862" w:rsidRPr="00245E91" w14:paraId="407FCE22" w14:textId="77777777" w:rsidTr="00D83DD8">
        <w:trPr>
          <w:trHeight w:val="20"/>
        </w:trPr>
        <w:tc>
          <w:tcPr>
            <w:tcW w:w="833" w:type="pct"/>
            <w:tcBorders>
              <w:top w:val="nil"/>
              <w:left w:val="nil"/>
              <w:bottom w:val="nil"/>
              <w:right w:val="nil"/>
            </w:tcBorders>
            <w:shd w:val="clear" w:color="auto" w:fill="auto"/>
            <w:noWrap/>
            <w:vAlign w:val="bottom"/>
            <w:hideMark/>
          </w:tcPr>
          <w:p w14:paraId="6434070A" w14:textId="77777777" w:rsidR="00116862" w:rsidRPr="00245E91" w:rsidRDefault="00116862" w:rsidP="00116862">
            <w:pPr>
              <w:spacing w:after="0" w:line="240" w:lineRule="auto"/>
              <w:contextualSpacing/>
              <w:rPr>
                <w:rFonts w:ascii="Times New Roman" w:eastAsia="Times New Roman" w:hAnsi="Times New Roman"/>
                <w:i/>
                <w:sz w:val="15"/>
                <w:szCs w:val="15"/>
              </w:rPr>
            </w:pPr>
          </w:p>
        </w:tc>
        <w:tc>
          <w:tcPr>
            <w:tcW w:w="521" w:type="pct"/>
            <w:tcBorders>
              <w:top w:val="nil"/>
              <w:left w:val="nil"/>
              <w:bottom w:val="nil"/>
              <w:right w:val="nil"/>
            </w:tcBorders>
            <w:shd w:val="clear" w:color="auto" w:fill="auto"/>
            <w:noWrap/>
            <w:vAlign w:val="bottom"/>
            <w:hideMark/>
          </w:tcPr>
          <w:p w14:paraId="3AFEFDB9" w14:textId="77777777" w:rsidR="00116862" w:rsidRPr="00245E91" w:rsidRDefault="00116862" w:rsidP="00116862">
            <w:pPr>
              <w:spacing w:line="240" w:lineRule="auto"/>
              <w:contextualSpacing/>
              <w:rPr>
                <w:rFonts w:ascii="Times New Roman" w:hAnsi="Times New Roman"/>
                <w:sz w:val="15"/>
                <w:szCs w:val="15"/>
              </w:rPr>
            </w:pPr>
          </w:p>
        </w:tc>
        <w:tc>
          <w:tcPr>
            <w:tcW w:w="521" w:type="pct"/>
            <w:tcBorders>
              <w:top w:val="nil"/>
              <w:left w:val="nil"/>
              <w:bottom w:val="nil"/>
              <w:right w:val="nil"/>
            </w:tcBorders>
            <w:shd w:val="clear" w:color="auto" w:fill="auto"/>
            <w:noWrap/>
            <w:vAlign w:val="bottom"/>
            <w:hideMark/>
          </w:tcPr>
          <w:p w14:paraId="63587C0B" w14:textId="77777777" w:rsidR="00116862" w:rsidRPr="00245E91" w:rsidRDefault="00116862" w:rsidP="00116862">
            <w:pPr>
              <w:spacing w:line="240" w:lineRule="auto"/>
              <w:contextualSpacing/>
              <w:rPr>
                <w:rFonts w:ascii="Times New Roman" w:hAnsi="Times New Roman"/>
                <w:sz w:val="15"/>
                <w:szCs w:val="15"/>
              </w:rPr>
            </w:pPr>
          </w:p>
        </w:tc>
        <w:tc>
          <w:tcPr>
            <w:tcW w:w="521" w:type="pct"/>
            <w:tcBorders>
              <w:top w:val="nil"/>
              <w:left w:val="nil"/>
              <w:bottom w:val="nil"/>
              <w:right w:val="nil"/>
            </w:tcBorders>
            <w:shd w:val="clear" w:color="auto" w:fill="auto"/>
            <w:noWrap/>
            <w:vAlign w:val="bottom"/>
            <w:hideMark/>
          </w:tcPr>
          <w:p w14:paraId="549BAA0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(2.03**)</w:t>
            </w:r>
          </w:p>
        </w:tc>
        <w:tc>
          <w:tcPr>
            <w:tcW w:w="521" w:type="pct"/>
            <w:tcBorders>
              <w:top w:val="nil"/>
              <w:left w:val="nil"/>
              <w:bottom w:val="nil"/>
              <w:right w:val="single" w:sz="4" w:space="0" w:color="auto"/>
            </w:tcBorders>
            <w:shd w:val="clear" w:color="auto" w:fill="auto"/>
            <w:noWrap/>
            <w:vAlign w:val="bottom"/>
            <w:hideMark/>
          </w:tcPr>
          <w:p w14:paraId="72D6CE4B" w14:textId="77777777" w:rsidR="00116862" w:rsidRPr="00245E91" w:rsidRDefault="00116862" w:rsidP="00116862">
            <w:pPr>
              <w:spacing w:line="240" w:lineRule="auto"/>
              <w:contextualSpacing/>
              <w:rPr>
                <w:rFonts w:ascii="Times New Roman" w:hAnsi="Times New Roman"/>
                <w:color w:val="000000"/>
                <w:sz w:val="15"/>
                <w:szCs w:val="15"/>
              </w:rPr>
            </w:pPr>
          </w:p>
        </w:tc>
        <w:tc>
          <w:tcPr>
            <w:tcW w:w="521" w:type="pct"/>
            <w:tcBorders>
              <w:top w:val="nil"/>
              <w:left w:val="single" w:sz="4" w:space="0" w:color="auto"/>
              <w:bottom w:val="nil"/>
              <w:right w:val="nil"/>
            </w:tcBorders>
            <w:shd w:val="clear" w:color="auto" w:fill="auto"/>
            <w:noWrap/>
            <w:vAlign w:val="bottom"/>
            <w:hideMark/>
          </w:tcPr>
          <w:p w14:paraId="35B507D6" w14:textId="77777777" w:rsidR="00116862" w:rsidRPr="00245E91" w:rsidRDefault="00116862" w:rsidP="00116862">
            <w:pPr>
              <w:spacing w:line="240" w:lineRule="auto"/>
              <w:contextualSpacing/>
              <w:rPr>
                <w:rFonts w:ascii="Times New Roman" w:hAnsi="Times New Roman"/>
                <w:sz w:val="15"/>
                <w:szCs w:val="15"/>
              </w:rPr>
            </w:pPr>
          </w:p>
        </w:tc>
        <w:tc>
          <w:tcPr>
            <w:tcW w:w="521" w:type="pct"/>
            <w:tcBorders>
              <w:top w:val="nil"/>
              <w:left w:val="nil"/>
              <w:bottom w:val="nil"/>
              <w:right w:val="nil"/>
            </w:tcBorders>
            <w:shd w:val="clear" w:color="auto" w:fill="auto"/>
            <w:noWrap/>
            <w:vAlign w:val="bottom"/>
            <w:hideMark/>
          </w:tcPr>
          <w:p w14:paraId="7CFA687E" w14:textId="77777777" w:rsidR="00116862" w:rsidRPr="00245E91" w:rsidRDefault="00116862" w:rsidP="00116862">
            <w:pPr>
              <w:spacing w:line="240" w:lineRule="auto"/>
              <w:contextualSpacing/>
              <w:rPr>
                <w:rFonts w:ascii="Times New Roman" w:hAnsi="Times New Roman"/>
                <w:sz w:val="15"/>
                <w:szCs w:val="15"/>
              </w:rPr>
            </w:pPr>
          </w:p>
        </w:tc>
        <w:tc>
          <w:tcPr>
            <w:tcW w:w="521" w:type="pct"/>
            <w:tcBorders>
              <w:top w:val="nil"/>
              <w:left w:val="nil"/>
              <w:bottom w:val="nil"/>
              <w:right w:val="nil"/>
            </w:tcBorders>
            <w:shd w:val="clear" w:color="auto" w:fill="auto"/>
            <w:noWrap/>
            <w:vAlign w:val="bottom"/>
            <w:hideMark/>
          </w:tcPr>
          <w:p w14:paraId="2D879C1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(3.86***)</w:t>
            </w:r>
          </w:p>
        </w:tc>
        <w:tc>
          <w:tcPr>
            <w:tcW w:w="520" w:type="pct"/>
            <w:tcBorders>
              <w:top w:val="nil"/>
              <w:left w:val="nil"/>
              <w:bottom w:val="nil"/>
              <w:right w:val="nil"/>
            </w:tcBorders>
            <w:shd w:val="clear" w:color="auto" w:fill="auto"/>
            <w:noWrap/>
            <w:vAlign w:val="bottom"/>
            <w:hideMark/>
          </w:tcPr>
          <w:p w14:paraId="467CE591" w14:textId="77777777" w:rsidR="00116862" w:rsidRPr="00245E91" w:rsidRDefault="00116862" w:rsidP="00116862">
            <w:pPr>
              <w:spacing w:line="240" w:lineRule="auto"/>
              <w:contextualSpacing/>
              <w:rPr>
                <w:rFonts w:ascii="Times New Roman" w:hAnsi="Times New Roman"/>
                <w:color w:val="000000"/>
                <w:sz w:val="15"/>
                <w:szCs w:val="15"/>
              </w:rPr>
            </w:pPr>
          </w:p>
        </w:tc>
      </w:tr>
      <w:tr w:rsidR="00116862" w:rsidRPr="00245E91" w14:paraId="71DB0519" w14:textId="77777777" w:rsidTr="00D83DD8">
        <w:trPr>
          <w:trHeight w:val="20"/>
        </w:trPr>
        <w:tc>
          <w:tcPr>
            <w:tcW w:w="833" w:type="pct"/>
            <w:tcBorders>
              <w:top w:val="nil"/>
              <w:left w:val="nil"/>
              <w:bottom w:val="nil"/>
              <w:right w:val="nil"/>
            </w:tcBorders>
            <w:shd w:val="clear" w:color="auto" w:fill="auto"/>
            <w:noWrap/>
            <w:vAlign w:val="bottom"/>
            <w:hideMark/>
          </w:tcPr>
          <w:p w14:paraId="0213BBC2"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RESID_RM2</w:t>
            </w:r>
          </w:p>
        </w:tc>
        <w:tc>
          <w:tcPr>
            <w:tcW w:w="521" w:type="pct"/>
            <w:tcBorders>
              <w:top w:val="nil"/>
              <w:left w:val="nil"/>
              <w:bottom w:val="nil"/>
              <w:right w:val="nil"/>
            </w:tcBorders>
            <w:shd w:val="clear" w:color="auto" w:fill="auto"/>
            <w:noWrap/>
            <w:vAlign w:val="bottom"/>
            <w:hideMark/>
          </w:tcPr>
          <w:p w14:paraId="4A16A6F1" w14:textId="77777777" w:rsidR="00116862" w:rsidRPr="00245E91" w:rsidRDefault="00116862" w:rsidP="00116862">
            <w:pPr>
              <w:spacing w:line="240" w:lineRule="auto"/>
              <w:contextualSpacing/>
              <w:rPr>
                <w:rFonts w:ascii="Times New Roman" w:hAnsi="Times New Roman"/>
                <w:sz w:val="15"/>
                <w:szCs w:val="15"/>
              </w:rPr>
            </w:pPr>
          </w:p>
        </w:tc>
        <w:tc>
          <w:tcPr>
            <w:tcW w:w="521" w:type="pct"/>
            <w:tcBorders>
              <w:top w:val="nil"/>
              <w:left w:val="nil"/>
              <w:bottom w:val="nil"/>
              <w:right w:val="nil"/>
            </w:tcBorders>
            <w:shd w:val="clear" w:color="auto" w:fill="auto"/>
            <w:noWrap/>
            <w:vAlign w:val="bottom"/>
            <w:hideMark/>
          </w:tcPr>
          <w:p w14:paraId="620F3E7F" w14:textId="77777777" w:rsidR="00116862" w:rsidRPr="00245E91" w:rsidRDefault="00116862" w:rsidP="00116862">
            <w:pPr>
              <w:spacing w:line="240" w:lineRule="auto"/>
              <w:contextualSpacing/>
              <w:rPr>
                <w:rFonts w:ascii="Times New Roman" w:hAnsi="Times New Roman"/>
                <w:sz w:val="15"/>
                <w:szCs w:val="15"/>
              </w:rPr>
            </w:pPr>
          </w:p>
        </w:tc>
        <w:tc>
          <w:tcPr>
            <w:tcW w:w="521" w:type="pct"/>
            <w:tcBorders>
              <w:top w:val="nil"/>
              <w:left w:val="nil"/>
              <w:bottom w:val="nil"/>
              <w:right w:val="nil"/>
            </w:tcBorders>
            <w:shd w:val="clear" w:color="auto" w:fill="auto"/>
            <w:noWrap/>
            <w:vAlign w:val="bottom"/>
            <w:hideMark/>
          </w:tcPr>
          <w:p w14:paraId="7DDD81E6" w14:textId="77777777" w:rsidR="00116862" w:rsidRPr="00245E91" w:rsidRDefault="00116862" w:rsidP="00116862">
            <w:pPr>
              <w:spacing w:line="240" w:lineRule="auto"/>
              <w:contextualSpacing/>
              <w:rPr>
                <w:rFonts w:ascii="Times New Roman" w:hAnsi="Times New Roman"/>
                <w:sz w:val="15"/>
                <w:szCs w:val="15"/>
              </w:rPr>
            </w:pPr>
          </w:p>
        </w:tc>
        <w:tc>
          <w:tcPr>
            <w:tcW w:w="521" w:type="pct"/>
            <w:tcBorders>
              <w:top w:val="nil"/>
              <w:left w:val="nil"/>
              <w:bottom w:val="nil"/>
              <w:right w:val="single" w:sz="4" w:space="0" w:color="auto"/>
            </w:tcBorders>
            <w:shd w:val="clear" w:color="auto" w:fill="auto"/>
            <w:noWrap/>
            <w:vAlign w:val="bottom"/>
            <w:hideMark/>
          </w:tcPr>
          <w:p w14:paraId="35CD46B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0.140</w:t>
            </w:r>
          </w:p>
        </w:tc>
        <w:tc>
          <w:tcPr>
            <w:tcW w:w="521" w:type="pct"/>
            <w:tcBorders>
              <w:top w:val="nil"/>
              <w:left w:val="single" w:sz="4" w:space="0" w:color="auto"/>
              <w:bottom w:val="nil"/>
              <w:right w:val="nil"/>
            </w:tcBorders>
            <w:shd w:val="clear" w:color="auto" w:fill="auto"/>
            <w:noWrap/>
            <w:vAlign w:val="bottom"/>
            <w:hideMark/>
          </w:tcPr>
          <w:p w14:paraId="1F1FE056" w14:textId="77777777" w:rsidR="00116862" w:rsidRPr="00245E91" w:rsidRDefault="00116862" w:rsidP="00116862">
            <w:pPr>
              <w:spacing w:line="240" w:lineRule="auto"/>
              <w:contextualSpacing/>
              <w:rPr>
                <w:rFonts w:ascii="Times New Roman" w:hAnsi="Times New Roman"/>
                <w:color w:val="000000"/>
                <w:sz w:val="15"/>
                <w:szCs w:val="15"/>
              </w:rPr>
            </w:pPr>
          </w:p>
        </w:tc>
        <w:tc>
          <w:tcPr>
            <w:tcW w:w="521" w:type="pct"/>
            <w:tcBorders>
              <w:top w:val="nil"/>
              <w:left w:val="nil"/>
              <w:bottom w:val="nil"/>
              <w:right w:val="nil"/>
            </w:tcBorders>
            <w:shd w:val="clear" w:color="auto" w:fill="auto"/>
            <w:noWrap/>
            <w:vAlign w:val="bottom"/>
            <w:hideMark/>
          </w:tcPr>
          <w:p w14:paraId="24EDF9A4" w14:textId="77777777" w:rsidR="00116862" w:rsidRPr="00245E91" w:rsidRDefault="00116862" w:rsidP="00116862">
            <w:pPr>
              <w:spacing w:line="240" w:lineRule="auto"/>
              <w:contextualSpacing/>
              <w:rPr>
                <w:rFonts w:ascii="Times New Roman" w:hAnsi="Times New Roman"/>
                <w:sz w:val="15"/>
                <w:szCs w:val="15"/>
              </w:rPr>
            </w:pPr>
          </w:p>
        </w:tc>
        <w:tc>
          <w:tcPr>
            <w:tcW w:w="521" w:type="pct"/>
            <w:tcBorders>
              <w:top w:val="nil"/>
              <w:left w:val="nil"/>
              <w:bottom w:val="nil"/>
              <w:right w:val="nil"/>
            </w:tcBorders>
            <w:shd w:val="clear" w:color="auto" w:fill="auto"/>
            <w:noWrap/>
            <w:vAlign w:val="bottom"/>
            <w:hideMark/>
          </w:tcPr>
          <w:p w14:paraId="588EDD79" w14:textId="77777777" w:rsidR="00116862" w:rsidRPr="00245E91" w:rsidRDefault="00116862" w:rsidP="00116862">
            <w:pPr>
              <w:spacing w:line="240" w:lineRule="auto"/>
              <w:contextualSpacing/>
              <w:rPr>
                <w:rFonts w:ascii="Times New Roman" w:hAnsi="Times New Roman"/>
                <w:sz w:val="15"/>
                <w:szCs w:val="15"/>
              </w:rPr>
            </w:pPr>
          </w:p>
        </w:tc>
        <w:tc>
          <w:tcPr>
            <w:tcW w:w="520" w:type="pct"/>
            <w:tcBorders>
              <w:top w:val="nil"/>
              <w:left w:val="nil"/>
              <w:bottom w:val="nil"/>
              <w:right w:val="nil"/>
            </w:tcBorders>
            <w:shd w:val="clear" w:color="auto" w:fill="auto"/>
            <w:noWrap/>
            <w:vAlign w:val="bottom"/>
            <w:hideMark/>
          </w:tcPr>
          <w:p w14:paraId="7BD33D1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0.135</w:t>
            </w:r>
          </w:p>
        </w:tc>
      </w:tr>
      <w:tr w:rsidR="00116862" w:rsidRPr="00245E91" w14:paraId="26CD105B" w14:textId="77777777" w:rsidTr="00D83DD8">
        <w:trPr>
          <w:trHeight w:val="20"/>
        </w:trPr>
        <w:tc>
          <w:tcPr>
            <w:tcW w:w="833" w:type="pct"/>
            <w:tcBorders>
              <w:top w:val="nil"/>
              <w:left w:val="nil"/>
              <w:bottom w:val="nil"/>
              <w:right w:val="nil"/>
            </w:tcBorders>
            <w:shd w:val="clear" w:color="auto" w:fill="auto"/>
            <w:noWrap/>
            <w:vAlign w:val="bottom"/>
            <w:hideMark/>
          </w:tcPr>
          <w:p w14:paraId="7A5F9261" w14:textId="77777777" w:rsidR="00116862" w:rsidRPr="00245E91" w:rsidRDefault="00116862" w:rsidP="00116862">
            <w:pPr>
              <w:spacing w:after="0" w:line="240" w:lineRule="auto"/>
              <w:contextualSpacing/>
              <w:rPr>
                <w:rFonts w:ascii="Times New Roman" w:eastAsia="Times New Roman" w:hAnsi="Times New Roman"/>
                <w:color w:val="000000"/>
                <w:sz w:val="15"/>
                <w:szCs w:val="15"/>
              </w:rPr>
            </w:pPr>
          </w:p>
        </w:tc>
        <w:tc>
          <w:tcPr>
            <w:tcW w:w="521" w:type="pct"/>
            <w:tcBorders>
              <w:top w:val="nil"/>
              <w:left w:val="nil"/>
              <w:bottom w:val="nil"/>
              <w:right w:val="nil"/>
            </w:tcBorders>
            <w:shd w:val="clear" w:color="auto" w:fill="auto"/>
            <w:noWrap/>
            <w:vAlign w:val="bottom"/>
            <w:hideMark/>
          </w:tcPr>
          <w:p w14:paraId="3F7F8EA5" w14:textId="77777777" w:rsidR="00116862" w:rsidRPr="00245E91" w:rsidRDefault="00116862" w:rsidP="00116862">
            <w:pPr>
              <w:spacing w:line="240" w:lineRule="auto"/>
              <w:contextualSpacing/>
              <w:rPr>
                <w:rFonts w:ascii="Times New Roman" w:hAnsi="Times New Roman"/>
                <w:color w:val="000000"/>
                <w:sz w:val="15"/>
                <w:szCs w:val="15"/>
              </w:rPr>
            </w:pPr>
          </w:p>
        </w:tc>
        <w:tc>
          <w:tcPr>
            <w:tcW w:w="521" w:type="pct"/>
            <w:tcBorders>
              <w:top w:val="nil"/>
              <w:left w:val="nil"/>
              <w:bottom w:val="nil"/>
              <w:right w:val="nil"/>
            </w:tcBorders>
            <w:shd w:val="clear" w:color="auto" w:fill="auto"/>
            <w:noWrap/>
            <w:vAlign w:val="bottom"/>
            <w:hideMark/>
          </w:tcPr>
          <w:p w14:paraId="1B903014" w14:textId="77777777" w:rsidR="00116862" w:rsidRPr="00245E91" w:rsidRDefault="00116862" w:rsidP="00116862">
            <w:pPr>
              <w:spacing w:line="240" w:lineRule="auto"/>
              <w:contextualSpacing/>
              <w:rPr>
                <w:rFonts w:ascii="Times New Roman" w:hAnsi="Times New Roman"/>
                <w:sz w:val="15"/>
                <w:szCs w:val="15"/>
              </w:rPr>
            </w:pPr>
          </w:p>
        </w:tc>
        <w:tc>
          <w:tcPr>
            <w:tcW w:w="521" w:type="pct"/>
            <w:tcBorders>
              <w:top w:val="nil"/>
              <w:left w:val="nil"/>
              <w:bottom w:val="nil"/>
              <w:right w:val="nil"/>
            </w:tcBorders>
            <w:shd w:val="clear" w:color="auto" w:fill="auto"/>
            <w:noWrap/>
            <w:vAlign w:val="bottom"/>
            <w:hideMark/>
          </w:tcPr>
          <w:p w14:paraId="05912478" w14:textId="77777777" w:rsidR="00116862" w:rsidRPr="00245E91" w:rsidRDefault="00116862" w:rsidP="00116862">
            <w:pPr>
              <w:spacing w:line="240" w:lineRule="auto"/>
              <w:contextualSpacing/>
              <w:rPr>
                <w:rFonts w:ascii="Times New Roman" w:hAnsi="Times New Roman"/>
                <w:sz w:val="15"/>
                <w:szCs w:val="15"/>
              </w:rPr>
            </w:pPr>
          </w:p>
        </w:tc>
        <w:tc>
          <w:tcPr>
            <w:tcW w:w="521" w:type="pct"/>
            <w:tcBorders>
              <w:top w:val="nil"/>
              <w:left w:val="nil"/>
              <w:bottom w:val="nil"/>
              <w:right w:val="single" w:sz="4" w:space="0" w:color="auto"/>
            </w:tcBorders>
            <w:shd w:val="clear" w:color="auto" w:fill="auto"/>
            <w:noWrap/>
            <w:vAlign w:val="bottom"/>
            <w:hideMark/>
          </w:tcPr>
          <w:p w14:paraId="2C30C1B9"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(4.40***)</w:t>
            </w:r>
          </w:p>
        </w:tc>
        <w:tc>
          <w:tcPr>
            <w:tcW w:w="521" w:type="pct"/>
            <w:tcBorders>
              <w:top w:val="nil"/>
              <w:left w:val="single" w:sz="4" w:space="0" w:color="auto"/>
              <w:bottom w:val="nil"/>
              <w:right w:val="nil"/>
            </w:tcBorders>
            <w:shd w:val="clear" w:color="auto" w:fill="auto"/>
            <w:noWrap/>
            <w:vAlign w:val="bottom"/>
            <w:hideMark/>
          </w:tcPr>
          <w:p w14:paraId="65849D89" w14:textId="77777777" w:rsidR="00116862" w:rsidRPr="00245E91" w:rsidRDefault="00116862" w:rsidP="00116862">
            <w:pPr>
              <w:spacing w:line="240" w:lineRule="auto"/>
              <w:contextualSpacing/>
              <w:rPr>
                <w:rFonts w:ascii="Times New Roman" w:hAnsi="Times New Roman"/>
                <w:color w:val="000000"/>
                <w:sz w:val="15"/>
                <w:szCs w:val="15"/>
              </w:rPr>
            </w:pPr>
          </w:p>
        </w:tc>
        <w:tc>
          <w:tcPr>
            <w:tcW w:w="521" w:type="pct"/>
            <w:tcBorders>
              <w:top w:val="nil"/>
              <w:left w:val="nil"/>
              <w:bottom w:val="nil"/>
              <w:right w:val="nil"/>
            </w:tcBorders>
            <w:shd w:val="clear" w:color="auto" w:fill="auto"/>
            <w:noWrap/>
            <w:vAlign w:val="bottom"/>
            <w:hideMark/>
          </w:tcPr>
          <w:p w14:paraId="2B9C8DFA" w14:textId="77777777" w:rsidR="00116862" w:rsidRPr="00245E91" w:rsidRDefault="00116862" w:rsidP="00116862">
            <w:pPr>
              <w:spacing w:line="240" w:lineRule="auto"/>
              <w:contextualSpacing/>
              <w:rPr>
                <w:rFonts w:ascii="Times New Roman" w:hAnsi="Times New Roman"/>
                <w:sz w:val="15"/>
                <w:szCs w:val="15"/>
              </w:rPr>
            </w:pPr>
          </w:p>
        </w:tc>
        <w:tc>
          <w:tcPr>
            <w:tcW w:w="521" w:type="pct"/>
            <w:tcBorders>
              <w:top w:val="nil"/>
              <w:left w:val="nil"/>
              <w:bottom w:val="nil"/>
              <w:right w:val="nil"/>
            </w:tcBorders>
            <w:shd w:val="clear" w:color="auto" w:fill="auto"/>
            <w:noWrap/>
            <w:vAlign w:val="bottom"/>
            <w:hideMark/>
          </w:tcPr>
          <w:p w14:paraId="2FFF774E" w14:textId="77777777" w:rsidR="00116862" w:rsidRPr="00245E91" w:rsidRDefault="00116862" w:rsidP="00116862">
            <w:pPr>
              <w:spacing w:line="240" w:lineRule="auto"/>
              <w:contextualSpacing/>
              <w:rPr>
                <w:rFonts w:ascii="Times New Roman" w:hAnsi="Times New Roman"/>
                <w:sz w:val="15"/>
                <w:szCs w:val="15"/>
              </w:rPr>
            </w:pPr>
          </w:p>
        </w:tc>
        <w:tc>
          <w:tcPr>
            <w:tcW w:w="520" w:type="pct"/>
            <w:tcBorders>
              <w:top w:val="nil"/>
              <w:left w:val="nil"/>
              <w:bottom w:val="nil"/>
              <w:right w:val="nil"/>
            </w:tcBorders>
            <w:shd w:val="clear" w:color="auto" w:fill="auto"/>
            <w:noWrap/>
            <w:vAlign w:val="bottom"/>
            <w:hideMark/>
          </w:tcPr>
          <w:p w14:paraId="7690A9C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(4.02***)</w:t>
            </w:r>
          </w:p>
        </w:tc>
      </w:tr>
      <w:tr w:rsidR="00116862" w:rsidRPr="00245E91" w14:paraId="173B17BD" w14:textId="77777777" w:rsidTr="00D83DD8">
        <w:trPr>
          <w:trHeight w:val="20"/>
        </w:trPr>
        <w:tc>
          <w:tcPr>
            <w:tcW w:w="833" w:type="pct"/>
            <w:tcBorders>
              <w:top w:val="nil"/>
              <w:left w:val="nil"/>
              <w:right w:val="nil"/>
            </w:tcBorders>
            <w:shd w:val="clear" w:color="auto" w:fill="auto"/>
            <w:noWrap/>
            <w:vAlign w:val="bottom"/>
            <w:hideMark/>
          </w:tcPr>
          <w:p w14:paraId="23F9323A" w14:textId="77777777" w:rsidR="00116862" w:rsidRPr="00245E91" w:rsidRDefault="00116862" w:rsidP="00116862">
            <w:pPr>
              <w:spacing w:after="0" w:line="240" w:lineRule="auto"/>
              <w:contextualSpacing/>
              <w:rPr>
                <w:rFonts w:ascii="Times New Roman" w:eastAsia="Times New Roman" w:hAnsi="Times New Roman"/>
                <w:color w:val="000000"/>
                <w:sz w:val="15"/>
                <w:szCs w:val="15"/>
              </w:rPr>
            </w:pPr>
          </w:p>
        </w:tc>
        <w:tc>
          <w:tcPr>
            <w:tcW w:w="521" w:type="pct"/>
            <w:tcBorders>
              <w:top w:val="nil"/>
              <w:left w:val="nil"/>
              <w:bottom w:val="nil"/>
              <w:right w:val="nil"/>
            </w:tcBorders>
            <w:shd w:val="clear" w:color="auto" w:fill="auto"/>
            <w:noWrap/>
            <w:vAlign w:val="bottom"/>
            <w:hideMark/>
          </w:tcPr>
          <w:p w14:paraId="2A089345" w14:textId="77777777" w:rsidR="00116862" w:rsidRPr="00245E91" w:rsidRDefault="00116862" w:rsidP="00116862">
            <w:pPr>
              <w:spacing w:line="240" w:lineRule="auto"/>
              <w:contextualSpacing/>
              <w:rPr>
                <w:rFonts w:ascii="Times New Roman" w:hAnsi="Times New Roman"/>
                <w:color w:val="000000"/>
                <w:sz w:val="15"/>
                <w:szCs w:val="15"/>
              </w:rPr>
            </w:pPr>
          </w:p>
        </w:tc>
        <w:tc>
          <w:tcPr>
            <w:tcW w:w="521" w:type="pct"/>
            <w:tcBorders>
              <w:top w:val="nil"/>
              <w:left w:val="nil"/>
              <w:bottom w:val="nil"/>
              <w:right w:val="nil"/>
            </w:tcBorders>
            <w:shd w:val="clear" w:color="auto" w:fill="auto"/>
            <w:noWrap/>
            <w:vAlign w:val="bottom"/>
            <w:hideMark/>
          </w:tcPr>
          <w:p w14:paraId="26067A63" w14:textId="77777777" w:rsidR="00116862" w:rsidRPr="00245E91" w:rsidRDefault="00116862" w:rsidP="00116862">
            <w:pPr>
              <w:spacing w:line="240" w:lineRule="auto"/>
              <w:contextualSpacing/>
              <w:rPr>
                <w:rFonts w:ascii="Times New Roman" w:hAnsi="Times New Roman"/>
                <w:sz w:val="15"/>
                <w:szCs w:val="15"/>
              </w:rPr>
            </w:pPr>
          </w:p>
        </w:tc>
        <w:tc>
          <w:tcPr>
            <w:tcW w:w="521" w:type="pct"/>
            <w:tcBorders>
              <w:top w:val="nil"/>
              <w:left w:val="nil"/>
              <w:bottom w:val="nil"/>
              <w:right w:val="nil"/>
            </w:tcBorders>
            <w:shd w:val="clear" w:color="auto" w:fill="auto"/>
            <w:noWrap/>
            <w:vAlign w:val="bottom"/>
            <w:hideMark/>
          </w:tcPr>
          <w:p w14:paraId="6191E3E8" w14:textId="77777777" w:rsidR="00116862" w:rsidRPr="00245E91" w:rsidRDefault="00116862" w:rsidP="00116862">
            <w:pPr>
              <w:spacing w:line="240" w:lineRule="auto"/>
              <w:contextualSpacing/>
              <w:rPr>
                <w:rFonts w:ascii="Times New Roman" w:hAnsi="Times New Roman"/>
                <w:sz w:val="15"/>
                <w:szCs w:val="15"/>
              </w:rPr>
            </w:pPr>
          </w:p>
        </w:tc>
        <w:tc>
          <w:tcPr>
            <w:tcW w:w="521" w:type="pct"/>
            <w:tcBorders>
              <w:top w:val="nil"/>
              <w:left w:val="nil"/>
              <w:bottom w:val="nil"/>
              <w:right w:val="single" w:sz="4" w:space="0" w:color="auto"/>
            </w:tcBorders>
            <w:shd w:val="clear" w:color="auto" w:fill="auto"/>
            <w:noWrap/>
            <w:vAlign w:val="bottom"/>
            <w:hideMark/>
          </w:tcPr>
          <w:p w14:paraId="34E1211C" w14:textId="77777777" w:rsidR="00116862" w:rsidRPr="00245E91" w:rsidRDefault="00116862" w:rsidP="00116862">
            <w:pPr>
              <w:spacing w:line="240" w:lineRule="auto"/>
              <w:contextualSpacing/>
              <w:rPr>
                <w:rFonts w:ascii="Times New Roman" w:hAnsi="Times New Roman"/>
                <w:sz w:val="15"/>
                <w:szCs w:val="15"/>
              </w:rPr>
            </w:pPr>
          </w:p>
        </w:tc>
        <w:tc>
          <w:tcPr>
            <w:tcW w:w="521" w:type="pct"/>
            <w:tcBorders>
              <w:top w:val="nil"/>
              <w:left w:val="single" w:sz="4" w:space="0" w:color="auto"/>
              <w:bottom w:val="nil"/>
              <w:right w:val="nil"/>
            </w:tcBorders>
            <w:shd w:val="clear" w:color="auto" w:fill="auto"/>
            <w:noWrap/>
            <w:vAlign w:val="bottom"/>
            <w:hideMark/>
          </w:tcPr>
          <w:p w14:paraId="3BC0033E" w14:textId="77777777" w:rsidR="00116862" w:rsidRPr="00245E91" w:rsidRDefault="00116862" w:rsidP="00116862">
            <w:pPr>
              <w:spacing w:line="240" w:lineRule="auto"/>
              <w:contextualSpacing/>
              <w:rPr>
                <w:rFonts w:ascii="Times New Roman" w:hAnsi="Times New Roman"/>
                <w:sz w:val="15"/>
                <w:szCs w:val="15"/>
              </w:rPr>
            </w:pPr>
          </w:p>
        </w:tc>
        <w:tc>
          <w:tcPr>
            <w:tcW w:w="521" w:type="pct"/>
            <w:tcBorders>
              <w:top w:val="nil"/>
              <w:left w:val="nil"/>
              <w:bottom w:val="nil"/>
              <w:right w:val="nil"/>
            </w:tcBorders>
            <w:shd w:val="clear" w:color="auto" w:fill="auto"/>
            <w:noWrap/>
            <w:vAlign w:val="bottom"/>
            <w:hideMark/>
          </w:tcPr>
          <w:p w14:paraId="504933B8" w14:textId="77777777" w:rsidR="00116862" w:rsidRPr="00245E91" w:rsidRDefault="00116862" w:rsidP="00116862">
            <w:pPr>
              <w:spacing w:line="240" w:lineRule="auto"/>
              <w:contextualSpacing/>
              <w:rPr>
                <w:rFonts w:ascii="Times New Roman" w:hAnsi="Times New Roman"/>
                <w:sz w:val="15"/>
                <w:szCs w:val="15"/>
              </w:rPr>
            </w:pPr>
          </w:p>
        </w:tc>
        <w:tc>
          <w:tcPr>
            <w:tcW w:w="521" w:type="pct"/>
            <w:tcBorders>
              <w:top w:val="nil"/>
              <w:left w:val="nil"/>
              <w:bottom w:val="nil"/>
              <w:right w:val="nil"/>
            </w:tcBorders>
            <w:shd w:val="clear" w:color="auto" w:fill="auto"/>
            <w:noWrap/>
            <w:vAlign w:val="bottom"/>
            <w:hideMark/>
          </w:tcPr>
          <w:p w14:paraId="2351FDA6" w14:textId="77777777" w:rsidR="00116862" w:rsidRPr="00245E91" w:rsidRDefault="00116862" w:rsidP="00116862">
            <w:pPr>
              <w:spacing w:line="240" w:lineRule="auto"/>
              <w:contextualSpacing/>
              <w:rPr>
                <w:rFonts w:ascii="Times New Roman" w:hAnsi="Times New Roman"/>
                <w:sz w:val="15"/>
                <w:szCs w:val="15"/>
              </w:rPr>
            </w:pPr>
          </w:p>
        </w:tc>
        <w:tc>
          <w:tcPr>
            <w:tcW w:w="520" w:type="pct"/>
            <w:tcBorders>
              <w:top w:val="nil"/>
              <w:left w:val="nil"/>
              <w:bottom w:val="nil"/>
              <w:right w:val="nil"/>
            </w:tcBorders>
            <w:shd w:val="clear" w:color="auto" w:fill="auto"/>
            <w:noWrap/>
            <w:vAlign w:val="bottom"/>
            <w:hideMark/>
          </w:tcPr>
          <w:p w14:paraId="1B7CA10C" w14:textId="77777777" w:rsidR="00116862" w:rsidRPr="00245E91" w:rsidRDefault="00116862" w:rsidP="00116862">
            <w:pPr>
              <w:spacing w:line="240" w:lineRule="auto"/>
              <w:contextualSpacing/>
              <w:rPr>
                <w:rFonts w:ascii="Times New Roman" w:hAnsi="Times New Roman"/>
                <w:sz w:val="15"/>
                <w:szCs w:val="15"/>
              </w:rPr>
            </w:pPr>
          </w:p>
        </w:tc>
      </w:tr>
      <w:tr w:rsidR="00116862" w:rsidRPr="00245E91" w14:paraId="04B277A2" w14:textId="77777777" w:rsidTr="00D83DD8">
        <w:trPr>
          <w:trHeight w:val="20"/>
        </w:trPr>
        <w:tc>
          <w:tcPr>
            <w:tcW w:w="833" w:type="pct"/>
            <w:tcBorders>
              <w:top w:val="nil"/>
              <w:left w:val="nil"/>
              <w:bottom w:val="nil"/>
              <w:right w:val="nil"/>
            </w:tcBorders>
            <w:shd w:val="clear" w:color="auto" w:fill="auto"/>
            <w:noWrap/>
            <w:vAlign w:val="bottom"/>
            <w:hideMark/>
          </w:tcPr>
          <w:p w14:paraId="510A60FC" w14:textId="77777777" w:rsidR="00116862" w:rsidRPr="00245E91" w:rsidRDefault="00116862" w:rsidP="00116862">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Adj. R-squared</w:t>
            </w:r>
          </w:p>
        </w:tc>
        <w:tc>
          <w:tcPr>
            <w:tcW w:w="521" w:type="pct"/>
            <w:tcBorders>
              <w:top w:val="nil"/>
              <w:left w:val="nil"/>
              <w:bottom w:val="nil"/>
              <w:right w:val="nil"/>
            </w:tcBorders>
            <w:shd w:val="clear" w:color="auto" w:fill="auto"/>
            <w:noWrap/>
            <w:vAlign w:val="bottom"/>
            <w:hideMark/>
          </w:tcPr>
          <w:p w14:paraId="16378DA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0.10</w:t>
            </w:r>
          </w:p>
        </w:tc>
        <w:tc>
          <w:tcPr>
            <w:tcW w:w="521" w:type="pct"/>
            <w:tcBorders>
              <w:top w:val="nil"/>
              <w:left w:val="nil"/>
              <w:bottom w:val="nil"/>
              <w:right w:val="nil"/>
            </w:tcBorders>
            <w:shd w:val="clear" w:color="auto" w:fill="auto"/>
            <w:noWrap/>
            <w:vAlign w:val="bottom"/>
            <w:hideMark/>
          </w:tcPr>
          <w:p w14:paraId="6C41D49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0.13</w:t>
            </w:r>
          </w:p>
        </w:tc>
        <w:tc>
          <w:tcPr>
            <w:tcW w:w="521" w:type="pct"/>
            <w:tcBorders>
              <w:top w:val="nil"/>
              <w:left w:val="nil"/>
              <w:bottom w:val="nil"/>
              <w:right w:val="nil"/>
            </w:tcBorders>
            <w:shd w:val="clear" w:color="auto" w:fill="auto"/>
            <w:noWrap/>
            <w:vAlign w:val="bottom"/>
            <w:hideMark/>
          </w:tcPr>
          <w:p w14:paraId="3484D8E1"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0.26</w:t>
            </w:r>
          </w:p>
        </w:tc>
        <w:tc>
          <w:tcPr>
            <w:tcW w:w="521" w:type="pct"/>
            <w:tcBorders>
              <w:top w:val="nil"/>
              <w:left w:val="nil"/>
              <w:bottom w:val="nil"/>
              <w:right w:val="single" w:sz="4" w:space="0" w:color="auto"/>
            </w:tcBorders>
            <w:shd w:val="clear" w:color="auto" w:fill="auto"/>
            <w:noWrap/>
            <w:vAlign w:val="bottom"/>
            <w:hideMark/>
          </w:tcPr>
          <w:p w14:paraId="678102A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0.27</w:t>
            </w:r>
          </w:p>
        </w:tc>
        <w:tc>
          <w:tcPr>
            <w:tcW w:w="521" w:type="pct"/>
            <w:tcBorders>
              <w:top w:val="nil"/>
              <w:left w:val="single" w:sz="4" w:space="0" w:color="auto"/>
              <w:bottom w:val="nil"/>
              <w:right w:val="nil"/>
            </w:tcBorders>
            <w:shd w:val="clear" w:color="auto" w:fill="auto"/>
            <w:noWrap/>
            <w:vAlign w:val="bottom"/>
            <w:hideMark/>
          </w:tcPr>
          <w:p w14:paraId="5B50D05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0.14</w:t>
            </w:r>
          </w:p>
        </w:tc>
        <w:tc>
          <w:tcPr>
            <w:tcW w:w="521" w:type="pct"/>
            <w:tcBorders>
              <w:top w:val="nil"/>
              <w:left w:val="nil"/>
              <w:bottom w:val="nil"/>
              <w:right w:val="nil"/>
            </w:tcBorders>
            <w:shd w:val="clear" w:color="auto" w:fill="auto"/>
            <w:noWrap/>
            <w:vAlign w:val="bottom"/>
            <w:hideMark/>
          </w:tcPr>
          <w:p w14:paraId="4655482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0.20</w:t>
            </w:r>
          </w:p>
        </w:tc>
        <w:tc>
          <w:tcPr>
            <w:tcW w:w="521" w:type="pct"/>
            <w:tcBorders>
              <w:top w:val="nil"/>
              <w:left w:val="nil"/>
              <w:bottom w:val="nil"/>
              <w:right w:val="nil"/>
            </w:tcBorders>
            <w:shd w:val="clear" w:color="auto" w:fill="auto"/>
            <w:noWrap/>
            <w:vAlign w:val="bottom"/>
            <w:hideMark/>
          </w:tcPr>
          <w:p w14:paraId="50BD38D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0.15</w:t>
            </w:r>
          </w:p>
        </w:tc>
        <w:tc>
          <w:tcPr>
            <w:tcW w:w="520" w:type="pct"/>
            <w:tcBorders>
              <w:top w:val="nil"/>
              <w:left w:val="nil"/>
              <w:bottom w:val="nil"/>
              <w:right w:val="nil"/>
            </w:tcBorders>
            <w:shd w:val="clear" w:color="auto" w:fill="auto"/>
            <w:noWrap/>
            <w:vAlign w:val="bottom"/>
            <w:hideMark/>
          </w:tcPr>
          <w:p w14:paraId="063A469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0.14</w:t>
            </w:r>
          </w:p>
        </w:tc>
      </w:tr>
      <w:tr w:rsidR="00116862" w:rsidRPr="00245E91" w14:paraId="798AE2F1" w14:textId="77777777" w:rsidTr="00D83DD8">
        <w:trPr>
          <w:trHeight w:val="20"/>
        </w:trPr>
        <w:tc>
          <w:tcPr>
            <w:tcW w:w="833" w:type="pct"/>
            <w:tcBorders>
              <w:top w:val="nil"/>
              <w:left w:val="nil"/>
              <w:bottom w:val="nil"/>
              <w:right w:val="nil"/>
            </w:tcBorders>
            <w:shd w:val="clear" w:color="auto" w:fill="auto"/>
            <w:noWrap/>
            <w:vAlign w:val="bottom"/>
            <w:hideMark/>
          </w:tcPr>
          <w:p w14:paraId="4DA4297D" w14:textId="77777777" w:rsidR="00116862" w:rsidRPr="00245E91" w:rsidRDefault="00116862" w:rsidP="00116862">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Year fixed effect</w:t>
            </w:r>
          </w:p>
        </w:tc>
        <w:tc>
          <w:tcPr>
            <w:tcW w:w="521" w:type="pct"/>
            <w:tcBorders>
              <w:top w:val="nil"/>
              <w:left w:val="nil"/>
              <w:bottom w:val="nil"/>
              <w:right w:val="nil"/>
            </w:tcBorders>
            <w:shd w:val="clear" w:color="auto" w:fill="auto"/>
            <w:noWrap/>
            <w:vAlign w:val="bottom"/>
            <w:hideMark/>
          </w:tcPr>
          <w:p w14:paraId="2DD87D9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21" w:type="pct"/>
            <w:tcBorders>
              <w:top w:val="nil"/>
              <w:left w:val="nil"/>
              <w:bottom w:val="nil"/>
              <w:right w:val="nil"/>
            </w:tcBorders>
            <w:shd w:val="clear" w:color="auto" w:fill="auto"/>
            <w:noWrap/>
            <w:vAlign w:val="bottom"/>
            <w:hideMark/>
          </w:tcPr>
          <w:p w14:paraId="6558151A"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21" w:type="pct"/>
            <w:tcBorders>
              <w:top w:val="nil"/>
              <w:left w:val="nil"/>
              <w:bottom w:val="nil"/>
              <w:right w:val="nil"/>
            </w:tcBorders>
            <w:shd w:val="clear" w:color="auto" w:fill="auto"/>
            <w:noWrap/>
            <w:vAlign w:val="bottom"/>
            <w:hideMark/>
          </w:tcPr>
          <w:p w14:paraId="7F2E663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21" w:type="pct"/>
            <w:tcBorders>
              <w:top w:val="nil"/>
              <w:left w:val="nil"/>
              <w:bottom w:val="nil"/>
              <w:right w:val="single" w:sz="4" w:space="0" w:color="auto"/>
            </w:tcBorders>
            <w:shd w:val="clear" w:color="auto" w:fill="auto"/>
            <w:noWrap/>
            <w:vAlign w:val="bottom"/>
            <w:hideMark/>
          </w:tcPr>
          <w:p w14:paraId="3213B7FA"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21" w:type="pct"/>
            <w:tcBorders>
              <w:top w:val="nil"/>
              <w:left w:val="single" w:sz="4" w:space="0" w:color="auto"/>
              <w:bottom w:val="nil"/>
              <w:right w:val="nil"/>
            </w:tcBorders>
            <w:shd w:val="clear" w:color="auto" w:fill="auto"/>
            <w:noWrap/>
            <w:vAlign w:val="bottom"/>
            <w:hideMark/>
          </w:tcPr>
          <w:p w14:paraId="3985B8A1"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21" w:type="pct"/>
            <w:tcBorders>
              <w:top w:val="nil"/>
              <w:left w:val="nil"/>
              <w:bottom w:val="nil"/>
              <w:right w:val="nil"/>
            </w:tcBorders>
            <w:shd w:val="clear" w:color="auto" w:fill="auto"/>
            <w:noWrap/>
            <w:vAlign w:val="bottom"/>
            <w:hideMark/>
          </w:tcPr>
          <w:p w14:paraId="5A08C4EA"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21" w:type="pct"/>
            <w:tcBorders>
              <w:top w:val="nil"/>
              <w:left w:val="nil"/>
              <w:bottom w:val="nil"/>
              <w:right w:val="nil"/>
            </w:tcBorders>
            <w:shd w:val="clear" w:color="auto" w:fill="auto"/>
            <w:noWrap/>
            <w:vAlign w:val="bottom"/>
            <w:hideMark/>
          </w:tcPr>
          <w:p w14:paraId="1D77295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20" w:type="pct"/>
            <w:tcBorders>
              <w:top w:val="nil"/>
              <w:left w:val="nil"/>
              <w:bottom w:val="nil"/>
              <w:right w:val="nil"/>
            </w:tcBorders>
            <w:shd w:val="clear" w:color="auto" w:fill="auto"/>
            <w:noWrap/>
            <w:vAlign w:val="bottom"/>
            <w:hideMark/>
          </w:tcPr>
          <w:p w14:paraId="7F79AA6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r>
      <w:tr w:rsidR="00116862" w:rsidRPr="00245E91" w14:paraId="69DD13BF" w14:textId="77777777" w:rsidTr="00D83DD8">
        <w:trPr>
          <w:trHeight w:val="20"/>
        </w:trPr>
        <w:tc>
          <w:tcPr>
            <w:tcW w:w="833" w:type="pct"/>
            <w:tcBorders>
              <w:top w:val="nil"/>
              <w:left w:val="nil"/>
              <w:right w:val="nil"/>
            </w:tcBorders>
            <w:shd w:val="clear" w:color="auto" w:fill="auto"/>
            <w:noWrap/>
            <w:vAlign w:val="bottom"/>
            <w:hideMark/>
          </w:tcPr>
          <w:p w14:paraId="60313A4D" w14:textId="77777777" w:rsidR="00116862" w:rsidRPr="00245E91" w:rsidRDefault="00116862" w:rsidP="00116862">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Clustered by firm</w:t>
            </w:r>
          </w:p>
        </w:tc>
        <w:tc>
          <w:tcPr>
            <w:tcW w:w="521" w:type="pct"/>
            <w:tcBorders>
              <w:top w:val="nil"/>
              <w:left w:val="nil"/>
              <w:bottom w:val="nil"/>
              <w:right w:val="nil"/>
            </w:tcBorders>
            <w:shd w:val="clear" w:color="auto" w:fill="auto"/>
            <w:noWrap/>
            <w:vAlign w:val="bottom"/>
            <w:hideMark/>
          </w:tcPr>
          <w:p w14:paraId="5B96747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21" w:type="pct"/>
            <w:tcBorders>
              <w:top w:val="nil"/>
              <w:left w:val="nil"/>
              <w:bottom w:val="nil"/>
              <w:right w:val="nil"/>
            </w:tcBorders>
            <w:shd w:val="clear" w:color="auto" w:fill="auto"/>
            <w:noWrap/>
            <w:vAlign w:val="bottom"/>
            <w:hideMark/>
          </w:tcPr>
          <w:p w14:paraId="35FEC09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21" w:type="pct"/>
            <w:tcBorders>
              <w:top w:val="nil"/>
              <w:left w:val="nil"/>
              <w:bottom w:val="nil"/>
              <w:right w:val="nil"/>
            </w:tcBorders>
            <w:shd w:val="clear" w:color="auto" w:fill="auto"/>
            <w:noWrap/>
            <w:vAlign w:val="bottom"/>
            <w:hideMark/>
          </w:tcPr>
          <w:p w14:paraId="092E2B2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21" w:type="pct"/>
            <w:tcBorders>
              <w:top w:val="nil"/>
              <w:left w:val="nil"/>
              <w:bottom w:val="nil"/>
              <w:right w:val="single" w:sz="4" w:space="0" w:color="auto"/>
            </w:tcBorders>
            <w:shd w:val="clear" w:color="auto" w:fill="auto"/>
            <w:noWrap/>
            <w:vAlign w:val="bottom"/>
            <w:hideMark/>
          </w:tcPr>
          <w:p w14:paraId="4B3A650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21" w:type="pct"/>
            <w:tcBorders>
              <w:top w:val="nil"/>
              <w:left w:val="single" w:sz="4" w:space="0" w:color="auto"/>
              <w:bottom w:val="nil"/>
              <w:right w:val="nil"/>
            </w:tcBorders>
            <w:shd w:val="clear" w:color="auto" w:fill="auto"/>
            <w:noWrap/>
            <w:vAlign w:val="bottom"/>
            <w:hideMark/>
          </w:tcPr>
          <w:p w14:paraId="1A4208D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21" w:type="pct"/>
            <w:tcBorders>
              <w:top w:val="nil"/>
              <w:left w:val="nil"/>
              <w:bottom w:val="nil"/>
              <w:right w:val="nil"/>
            </w:tcBorders>
            <w:shd w:val="clear" w:color="auto" w:fill="auto"/>
            <w:noWrap/>
            <w:vAlign w:val="bottom"/>
            <w:hideMark/>
          </w:tcPr>
          <w:p w14:paraId="725B124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21" w:type="pct"/>
            <w:tcBorders>
              <w:top w:val="nil"/>
              <w:left w:val="nil"/>
              <w:bottom w:val="nil"/>
              <w:right w:val="nil"/>
            </w:tcBorders>
            <w:shd w:val="clear" w:color="auto" w:fill="auto"/>
            <w:noWrap/>
            <w:vAlign w:val="bottom"/>
            <w:hideMark/>
          </w:tcPr>
          <w:p w14:paraId="2AD806C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20" w:type="pct"/>
            <w:tcBorders>
              <w:top w:val="nil"/>
              <w:left w:val="nil"/>
              <w:bottom w:val="nil"/>
              <w:right w:val="nil"/>
            </w:tcBorders>
            <w:shd w:val="clear" w:color="auto" w:fill="auto"/>
            <w:noWrap/>
            <w:vAlign w:val="bottom"/>
            <w:hideMark/>
          </w:tcPr>
          <w:p w14:paraId="3C88DEE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r>
      <w:tr w:rsidR="00116862" w:rsidRPr="00245E91" w14:paraId="48D92B91" w14:textId="77777777" w:rsidTr="00D83DD8">
        <w:trPr>
          <w:trHeight w:val="20"/>
        </w:trPr>
        <w:tc>
          <w:tcPr>
            <w:tcW w:w="833" w:type="pct"/>
            <w:tcBorders>
              <w:top w:val="nil"/>
              <w:left w:val="nil"/>
              <w:bottom w:val="single" w:sz="4" w:space="0" w:color="auto"/>
              <w:right w:val="nil"/>
            </w:tcBorders>
            <w:shd w:val="clear" w:color="auto" w:fill="auto"/>
            <w:noWrap/>
            <w:vAlign w:val="bottom"/>
            <w:hideMark/>
          </w:tcPr>
          <w:p w14:paraId="614B6492" w14:textId="77777777" w:rsidR="00116862" w:rsidRPr="00245E91" w:rsidRDefault="00116862" w:rsidP="00116862">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Observations</w:t>
            </w:r>
          </w:p>
        </w:tc>
        <w:tc>
          <w:tcPr>
            <w:tcW w:w="521" w:type="pct"/>
            <w:tcBorders>
              <w:top w:val="nil"/>
              <w:left w:val="nil"/>
              <w:bottom w:val="single" w:sz="4" w:space="0" w:color="auto"/>
              <w:right w:val="nil"/>
            </w:tcBorders>
            <w:shd w:val="clear" w:color="auto" w:fill="auto"/>
            <w:noWrap/>
            <w:vAlign w:val="bottom"/>
            <w:hideMark/>
          </w:tcPr>
          <w:p w14:paraId="245E1B3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2,691</w:t>
            </w:r>
          </w:p>
        </w:tc>
        <w:tc>
          <w:tcPr>
            <w:tcW w:w="521" w:type="pct"/>
            <w:tcBorders>
              <w:top w:val="nil"/>
              <w:left w:val="nil"/>
              <w:bottom w:val="single" w:sz="4" w:space="0" w:color="auto"/>
              <w:right w:val="nil"/>
            </w:tcBorders>
            <w:shd w:val="clear" w:color="auto" w:fill="auto"/>
            <w:noWrap/>
            <w:vAlign w:val="bottom"/>
            <w:hideMark/>
          </w:tcPr>
          <w:p w14:paraId="4947EA1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2,664</w:t>
            </w:r>
          </w:p>
        </w:tc>
        <w:tc>
          <w:tcPr>
            <w:tcW w:w="521" w:type="pct"/>
            <w:tcBorders>
              <w:top w:val="nil"/>
              <w:left w:val="nil"/>
              <w:bottom w:val="single" w:sz="4" w:space="0" w:color="auto"/>
              <w:right w:val="nil"/>
            </w:tcBorders>
            <w:shd w:val="clear" w:color="auto" w:fill="auto"/>
            <w:noWrap/>
            <w:vAlign w:val="bottom"/>
            <w:hideMark/>
          </w:tcPr>
          <w:p w14:paraId="66EB987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2,651</w:t>
            </w:r>
          </w:p>
        </w:tc>
        <w:tc>
          <w:tcPr>
            <w:tcW w:w="521" w:type="pct"/>
            <w:tcBorders>
              <w:top w:val="nil"/>
              <w:left w:val="nil"/>
              <w:bottom w:val="single" w:sz="4" w:space="0" w:color="auto"/>
              <w:right w:val="single" w:sz="4" w:space="0" w:color="auto"/>
            </w:tcBorders>
            <w:shd w:val="clear" w:color="auto" w:fill="auto"/>
            <w:noWrap/>
            <w:vAlign w:val="bottom"/>
            <w:hideMark/>
          </w:tcPr>
          <w:p w14:paraId="7745FF7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2,651</w:t>
            </w:r>
          </w:p>
        </w:tc>
        <w:tc>
          <w:tcPr>
            <w:tcW w:w="521" w:type="pct"/>
            <w:tcBorders>
              <w:top w:val="nil"/>
              <w:left w:val="single" w:sz="4" w:space="0" w:color="auto"/>
              <w:bottom w:val="single" w:sz="4" w:space="0" w:color="auto"/>
              <w:right w:val="nil"/>
            </w:tcBorders>
            <w:shd w:val="clear" w:color="auto" w:fill="auto"/>
            <w:noWrap/>
            <w:vAlign w:val="bottom"/>
            <w:hideMark/>
          </w:tcPr>
          <w:p w14:paraId="5365CB4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3,286</w:t>
            </w:r>
          </w:p>
        </w:tc>
        <w:tc>
          <w:tcPr>
            <w:tcW w:w="521" w:type="pct"/>
            <w:tcBorders>
              <w:top w:val="nil"/>
              <w:left w:val="nil"/>
              <w:bottom w:val="single" w:sz="4" w:space="0" w:color="auto"/>
              <w:right w:val="nil"/>
            </w:tcBorders>
            <w:shd w:val="clear" w:color="auto" w:fill="auto"/>
            <w:noWrap/>
            <w:vAlign w:val="bottom"/>
            <w:hideMark/>
          </w:tcPr>
          <w:p w14:paraId="033416D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3,267</w:t>
            </w:r>
          </w:p>
        </w:tc>
        <w:tc>
          <w:tcPr>
            <w:tcW w:w="521" w:type="pct"/>
            <w:tcBorders>
              <w:top w:val="nil"/>
              <w:left w:val="nil"/>
              <w:bottom w:val="single" w:sz="4" w:space="0" w:color="auto"/>
              <w:right w:val="nil"/>
            </w:tcBorders>
            <w:shd w:val="clear" w:color="auto" w:fill="auto"/>
            <w:noWrap/>
            <w:vAlign w:val="bottom"/>
            <w:hideMark/>
          </w:tcPr>
          <w:p w14:paraId="005E25B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3,262</w:t>
            </w:r>
          </w:p>
        </w:tc>
        <w:tc>
          <w:tcPr>
            <w:tcW w:w="520" w:type="pct"/>
            <w:tcBorders>
              <w:top w:val="nil"/>
              <w:left w:val="nil"/>
              <w:bottom w:val="single" w:sz="4" w:space="0" w:color="auto"/>
              <w:right w:val="nil"/>
            </w:tcBorders>
            <w:shd w:val="clear" w:color="auto" w:fill="auto"/>
            <w:noWrap/>
            <w:vAlign w:val="bottom"/>
            <w:hideMark/>
          </w:tcPr>
          <w:p w14:paraId="36D9492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3,262</w:t>
            </w:r>
          </w:p>
        </w:tc>
      </w:tr>
    </w:tbl>
    <w:p w14:paraId="7E36878F" w14:textId="77777777" w:rsidR="00116862" w:rsidRPr="00245E91" w:rsidRDefault="00116862" w:rsidP="00116862">
      <w:pPr>
        <w:spacing w:after="0" w:line="240" w:lineRule="auto"/>
        <w:rPr>
          <w:rFonts w:ascii="Times New Roman" w:hAnsi="Times New Roman"/>
          <w:b/>
          <w:sz w:val="15"/>
          <w:szCs w:val="15"/>
        </w:rPr>
      </w:pPr>
      <w:r w:rsidRPr="00245E91">
        <w:rPr>
          <w:rFonts w:ascii="Times New Roman" w:hAnsi="Times New Roman"/>
          <w:b/>
          <w:sz w:val="15"/>
          <w:szCs w:val="15"/>
        </w:rPr>
        <w:t xml:space="preserve">Table 8 - Cross-sectional Analyses of Earnings Management – Low Analyst Coverage vs. High Analyst Coverage </w:t>
      </w:r>
    </w:p>
    <w:p w14:paraId="40932789" w14:textId="6B48B2A8" w:rsidR="00116862" w:rsidRPr="00245E91" w:rsidRDefault="00EE4A1C" w:rsidP="00116862">
      <w:pPr>
        <w:spacing w:after="0" w:line="240" w:lineRule="auto"/>
        <w:rPr>
          <w:rFonts w:ascii="Times New Roman" w:hAnsi="Times New Roman"/>
          <w:sz w:val="15"/>
          <w:szCs w:val="15"/>
        </w:rPr>
      </w:pPr>
      <w:r w:rsidRPr="00245E91">
        <w:rPr>
          <w:rFonts w:ascii="Times New Roman" w:hAnsi="Times New Roman"/>
          <w:sz w:val="15"/>
          <w:szCs w:val="15"/>
        </w:rPr>
        <w:t xml:space="preserve">The sample includes MLPs and all Non-MLP firms in the same industry in the same year. </w:t>
      </w:r>
      <w:r w:rsidR="00116862" w:rsidRPr="00245E91">
        <w:rPr>
          <w:rFonts w:ascii="Times New Roman" w:hAnsi="Times New Roman"/>
          <w:sz w:val="15"/>
          <w:szCs w:val="15"/>
        </w:rPr>
        <w:t>The dependent variables are RM1, RM2 and DA, alternatively. RM1 is the sum of RDISX and RPROD. RM2 is the sum of RDISX, RPROD and RCFO. RDISX is the abnormal discretionary expenditure. RPROD is the abnormal production costs. RCFO is the abnormal cash flow. DA is the discretionary accrual. MLP is the dummy variable for MLP firms. LN(Assets) is the natural log of total assets. MKTSHARE is the ratio of firm sales to total sales of all firms in the same industry. DEBT is the ratio of debt-to-assets. NOA is net operating assets and is calculated as total assets minus cash and short-term investment scaled by total assets. OPERCYCLE is the days of receivable plus the days of inventory less the days of payable at the beginning of the year. ROA is net income to total assets ratio. MKBK is the market-to-book ratio of equity. LIQUIDITY is the average of the ratio of monthly trading volume to shares outstanding in the year. STOCKISSUE is the ratio of the amount of sales of common stock and preferred stock in the year to the market capitalization of the firm. DEBISSUE is the ratio of the amount of long-term debt issuance to the firm’s assets. BIG8 is the dummy variable for firms with auditors in the top 8. TENURE is the number of years the auditor has audited the client. INSTOWN is the percentage of institutional ownership at the beginning of year. NUMANALYST is the number of analysts following the firm. RESID_RM1 and RESID_RM2 are the residuals from Models 4 and 5. *, **, and *** indicate the significance levels of 10%, 5% and 1%, respectively.</w:t>
      </w:r>
    </w:p>
    <w:tbl>
      <w:tblPr>
        <w:tblW w:w="5000" w:type="pct"/>
        <w:tblLook w:val="04A0" w:firstRow="1" w:lastRow="0" w:firstColumn="1" w:lastColumn="0" w:noHBand="0" w:noVBand="1"/>
      </w:tblPr>
      <w:tblGrid>
        <w:gridCol w:w="1798"/>
        <w:gridCol w:w="1431"/>
        <w:gridCol w:w="1431"/>
        <w:gridCol w:w="1376"/>
        <w:gridCol w:w="1382"/>
        <w:gridCol w:w="1423"/>
        <w:gridCol w:w="1423"/>
        <w:gridCol w:w="1348"/>
        <w:gridCol w:w="1348"/>
      </w:tblGrid>
      <w:tr w:rsidR="00116862" w:rsidRPr="00245E91" w14:paraId="22CA7B86" w14:textId="77777777" w:rsidTr="00D83DD8">
        <w:trPr>
          <w:trHeight w:val="144"/>
        </w:trPr>
        <w:tc>
          <w:tcPr>
            <w:tcW w:w="694" w:type="pct"/>
            <w:tcBorders>
              <w:top w:val="single" w:sz="4" w:space="0" w:color="auto"/>
              <w:left w:val="nil"/>
              <w:right w:val="nil"/>
            </w:tcBorders>
            <w:shd w:val="clear" w:color="auto" w:fill="auto"/>
            <w:noWrap/>
            <w:vAlign w:val="bottom"/>
            <w:hideMark/>
          </w:tcPr>
          <w:p w14:paraId="45511895" w14:textId="77777777" w:rsidR="00116862" w:rsidRPr="00245E91" w:rsidRDefault="00116862" w:rsidP="00116862">
            <w:pPr>
              <w:spacing w:after="0" w:line="240" w:lineRule="auto"/>
              <w:contextualSpacing/>
              <w:rPr>
                <w:rFonts w:ascii="Times New Roman" w:eastAsia="Times New Roman" w:hAnsi="Times New Roman"/>
                <w:b/>
                <w:i/>
                <w:sz w:val="15"/>
                <w:szCs w:val="15"/>
              </w:rPr>
            </w:pPr>
          </w:p>
        </w:tc>
        <w:tc>
          <w:tcPr>
            <w:tcW w:w="2168" w:type="pct"/>
            <w:gridSpan w:val="4"/>
            <w:tcBorders>
              <w:top w:val="single" w:sz="4" w:space="0" w:color="auto"/>
              <w:left w:val="nil"/>
              <w:right w:val="single" w:sz="4" w:space="0" w:color="auto"/>
            </w:tcBorders>
            <w:shd w:val="clear" w:color="auto" w:fill="auto"/>
            <w:noWrap/>
            <w:vAlign w:val="bottom"/>
            <w:hideMark/>
          </w:tcPr>
          <w:p w14:paraId="5328F5C7" w14:textId="77777777" w:rsidR="00116862" w:rsidRPr="00245E91" w:rsidRDefault="00116862" w:rsidP="00F7612D">
            <w:pPr>
              <w:spacing w:after="0" w:line="240" w:lineRule="auto"/>
              <w:contextualSpacing/>
              <w:jc w:val="center"/>
              <w:rPr>
                <w:rFonts w:ascii="Times New Roman" w:eastAsia="Times New Roman" w:hAnsi="Times New Roman"/>
                <w:color w:val="000000"/>
                <w:sz w:val="15"/>
                <w:szCs w:val="15"/>
              </w:rPr>
            </w:pPr>
            <w:r w:rsidRPr="00245E91">
              <w:rPr>
                <w:rFonts w:ascii="Times New Roman" w:eastAsia="Times New Roman" w:hAnsi="Times New Roman"/>
                <w:b/>
                <w:i/>
                <w:color w:val="000000"/>
                <w:sz w:val="15"/>
                <w:szCs w:val="15"/>
              </w:rPr>
              <w:t>Panel A – Low Analyst Coverage</w:t>
            </w:r>
          </w:p>
        </w:tc>
        <w:tc>
          <w:tcPr>
            <w:tcW w:w="2138" w:type="pct"/>
            <w:gridSpan w:val="4"/>
            <w:tcBorders>
              <w:top w:val="single" w:sz="4" w:space="0" w:color="auto"/>
              <w:left w:val="single" w:sz="4" w:space="0" w:color="auto"/>
              <w:bottom w:val="nil"/>
              <w:right w:val="nil"/>
            </w:tcBorders>
            <w:shd w:val="clear" w:color="auto" w:fill="auto"/>
            <w:noWrap/>
            <w:vAlign w:val="bottom"/>
            <w:hideMark/>
          </w:tcPr>
          <w:p w14:paraId="6569B17A" w14:textId="77777777" w:rsidR="00116862" w:rsidRPr="00245E91" w:rsidRDefault="00116862" w:rsidP="00F7612D">
            <w:pPr>
              <w:spacing w:after="0" w:line="240" w:lineRule="auto"/>
              <w:contextualSpacing/>
              <w:jc w:val="center"/>
              <w:rPr>
                <w:rFonts w:ascii="Times New Roman" w:eastAsia="Times New Roman" w:hAnsi="Times New Roman"/>
                <w:color w:val="000000"/>
                <w:sz w:val="15"/>
                <w:szCs w:val="15"/>
              </w:rPr>
            </w:pPr>
            <w:r w:rsidRPr="00245E91">
              <w:rPr>
                <w:rFonts w:ascii="Times New Roman" w:eastAsia="Times New Roman" w:hAnsi="Times New Roman"/>
                <w:b/>
                <w:i/>
                <w:color w:val="000000"/>
                <w:sz w:val="15"/>
                <w:szCs w:val="15"/>
              </w:rPr>
              <w:t>Panel B – High Analyst Coverage</w:t>
            </w:r>
          </w:p>
        </w:tc>
      </w:tr>
      <w:tr w:rsidR="00116862" w:rsidRPr="00245E91" w14:paraId="57B3EBD2" w14:textId="77777777" w:rsidTr="00D83DD8">
        <w:trPr>
          <w:trHeight w:val="144"/>
        </w:trPr>
        <w:tc>
          <w:tcPr>
            <w:tcW w:w="694" w:type="pct"/>
            <w:tcBorders>
              <w:top w:val="nil"/>
              <w:left w:val="nil"/>
              <w:bottom w:val="single" w:sz="4" w:space="0" w:color="auto"/>
              <w:right w:val="nil"/>
            </w:tcBorders>
            <w:shd w:val="clear" w:color="auto" w:fill="auto"/>
            <w:noWrap/>
            <w:vAlign w:val="bottom"/>
            <w:hideMark/>
          </w:tcPr>
          <w:p w14:paraId="4CF1943A" w14:textId="77777777" w:rsidR="00116862" w:rsidRPr="00245E91" w:rsidRDefault="00116862" w:rsidP="00116862">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Variables</w:t>
            </w:r>
          </w:p>
        </w:tc>
        <w:tc>
          <w:tcPr>
            <w:tcW w:w="552" w:type="pct"/>
            <w:tcBorders>
              <w:top w:val="nil"/>
              <w:left w:val="nil"/>
              <w:bottom w:val="single" w:sz="4" w:space="0" w:color="auto"/>
              <w:right w:val="nil"/>
            </w:tcBorders>
            <w:shd w:val="clear" w:color="auto" w:fill="auto"/>
            <w:noWrap/>
            <w:vAlign w:val="bottom"/>
            <w:hideMark/>
          </w:tcPr>
          <w:p w14:paraId="6AD05906" w14:textId="77777777" w:rsidR="00116862" w:rsidRPr="00245E91" w:rsidRDefault="00116862" w:rsidP="00116862">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1 – RM1</w:t>
            </w:r>
          </w:p>
        </w:tc>
        <w:tc>
          <w:tcPr>
            <w:tcW w:w="552" w:type="pct"/>
            <w:tcBorders>
              <w:top w:val="nil"/>
              <w:left w:val="nil"/>
              <w:bottom w:val="single" w:sz="4" w:space="0" w:color="auto"/>
              <w:right w:val="nil"/>
            </w:tcBorders>
            <w:shd w:val="clear" w:color="auto" w:fill="auto"/>
            <w:noWrap/>
            <w:vAlign w:val="bottom"/>
            <w:hideMark/>
          </w:tcPr>
          <w:p w14:paraId="55F420DB" w14:textId="77777777" w:rsidR="00116862" w:rsidRPr="00245E91" w:rsidRDefault="00116862" w:rsidP="00116862">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2 – RM2</w:t>
            </w:r>
          </w:p>
        </w:tc>
        <w:tc>
          <w:tcPr>
            <w:tcW w:w="531" w:type="pct"/>
            <w:tcBorders>
              <w:top w:val="nil"/>
              <w:left w:val="nil"/>
              <w:bottom w:val="single" w:sz="4" w:space="0" w:color="auto"/>
              <w:right w:val="nil"/>
            </w:tcBorders>
            <w:shd w:val="clear" w:color="auto" w:fill="auto"/>
            <w:noWrap/>
            <w:vAlign w:val="bottom"/>
            <w:hideMark/>
          </w:tcPr>
          <w:p w14:paraId="119D5E22" w14:textId="77777777" w:rsidR="00116862" w:rsidRPr="00245E91" w:rsidRDefault="00116862" w:rsidP="00116862">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3 – DA</w:t>
            </w:r>
          </w:p>
        </w:tc>
        <w:tc>
          <w:tcPr>
            <w:tcW w:w="533" w:type="pct"/>
            <w:tcBorders>
              <w:top w:val="nil"/>
              <w:left w:val="nil"/>
              <w:bottom w:val="single" w:sz="4" w:space="0" w:color="auto"/>
              <w:right w:val="single" w:sz="4" w:space="0" w:color="auto"/>
            </w:tcBorders>
            <w:shd w:val="clear" w:color="auto" w:fill="auto"/>
            <w:noWrap/>
            <w:vAlign w:val="bottom"/>
            <w:hideMark/>
          </w:tcPr>
          <w:p w14:paraId="5D30F965" w14:textId="77777777" w:rsidR="00116862" w:rsidRPr="00245E91" w:rsidRDefault="00116862" w:rsidP="00116862">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4 – DA</w:t>
            </w:r>
          </w:p>
        </w:tc>
        <w:tc>
          <w:tcPr>
            <w:tcW w:w="549" w:type="pct"/>
            <w:tcBorders>
              <w:top w:val="nil"/>
              <w:left w:val="single" w:sz="4" w:space="0" w:color="auto"/>
              <w:bottom w:val="single" w:sz="4" w:space="0" w:color="auto"/>
              <w:right w:val="nil"/>
            </w:tcBorders>
            <w:shd w:val="clear" w:color="auto" w:fill="auto"/>
            <w:noWrap/>
            <w:vAlign w:val="bottom"/>
            <w:hideMark/>
          </w:tcPr>
          <w:p w14:paraId="3ADC76A0" w14:textId="77777777" w:rsidR="00116862" w:rsidRPr="00245E91" w:rsidRDefault="00116862" w:rsidP="00116862">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1 – RM1</w:t>
            </w:r>
          </w:p>
        </w:tc>
        <w:tc>
          <w:tcPr>
            <w:tcW w:w="549" w:type="pct"/>
            <w:tcBorders>
              <w:top w:val="nil"/>
              <w:left w:val="nil"/>
              <w:bottom w:val="single" w:sz="4" w:space="0" w:color="auto"/>
              <w:right w:val="nil"/>
            </w:tcBorders>
            <w:shd w:val="clear" w:color="auto" w:fill="auto"/>
            <w:noWrap/>
            <w:vAlign w:val="bottom"/>
            <w:hideMark/>
          </w:tcPr>
          <w:p w14:paraId="36BFB749" w14:textId="77777777" w:rsidR="00116862" w:rsidRPr="00245E91" w:rsidRDefault="00116862" w:rsidP="00116862">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2 – RM2</w:t>
            </w:r>
          </w:p>
        </w:tc>
        <w:tc>
          <w:tcPr>
            <w:tcW w:w="520" w:type="pct"/>
            <w:tcBorders>
              <w:top w:val="nil"/>
              <w:left w:val="nil"/>
              <w:bottom w:val="single" w:sz="4" w:space="0" w:color="auto"/>
              <w:right w:val="nil"/>
            </w:tcBorders>
            <w:shd w:val="clear" w:color="auto" w:fill="auto"/>
            <w:noWrap/>
            <w:vAlign w:val="bottom"/>
            <w:hideMark/>
          </w:tcPr>
          <w:p w14:paraId="73E73938" w14:textId="77777777" w:rsidR="00116862" w:rsidRPr="00245E91" w:rsidRDefault="00116862" w:rsidP="00116862">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3 – DA</w:t>
            </w:r>
          </w:p>
        </w:tc>
        <w:tc>
          <w:tcPr>
            <w:tcW w:w="520" w:type="pct"/>
            <w:tcBorders>
              <w:top w:val="nil"/>
              <w:left w:val="nil"/>
              <w:bottom w:val="single" w:sz="4" w:space="0" w:color="auto"/>
              <w:right w:val="nil"/>
            </w:tcBorders>
            <w:shd w:val="clear" w:color="auto" w:fill="auto"/>
            <w:noWrap/>
            <w:vAlign w:val="bottom"/>
            <w:hideMark/>
          </w:tcPr>
          <w:p w14:paraId="088B010C" w14:textId="77777777" w:rsidR="00116862" w:rsidRPr="00245E91" w:rsidRDefault="00116862" w:rsidP="00116862">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4 – DA</w:t>
            </w:r>
          </w:p>
        </w:tc>
      </w:tr>
      <w:tr w:rsidR="00116862" w:rsidRPr="00245E91" w14:paraId="493589D7" w14:textId="77777777" w:rsidTr="00D83DD8">
        <w:trPr>
          <w:trHeight w:val="144"/>
        </w:trPr>
        <w:tc>
          <w:tcPr>
            <w:tcW w:w="694" w:type="pct"/>
            <w:tcBorders>
              <w:top w:val="single" w:sz="4" w:space="0" w:color="auto"/>
              <w:left w:val="nil"/>
              <w:bottom w:val="nil"/>
              <w:right w:val="nil"/>
            </w:tcBorders>
            <w:shd w:val="clear" w:color="auto" w:fill="auto"/>
            <w:noWrap/>
            <w:vAlign w:val="bottom"/>
            <w:hideMark/>
          </w:tcPr>
          <w:p w14:paraId="2C6AB58D" w14:textId="77777777" w:rsidR="00116862" w:rsidRPr="00245E91" w:rsidRDefault="00116862" w:rsidP="00116862">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Constant</w:t>
            </w:r>
          </w:p>
        </w:tc>
        <w:tc>
          <w:tcPr>
            <w:tcW w:w="552" w:type="pct"/>
            <w:tcBorders>
              <w:top w:val="single" w:sz="4" w:space="0" w:color="auto"/>
              <w:left w:val="nil"/>
              <w:bottom w:val="nil"/>
              <w:right w:val="nil"/>
            </w:tcBorders>
            <w:shd w:val="clear" w:color="auto" w:fill="auto"/>
            <w:noWrap/>
            <w:vAlign w:val="bottom"/>
            <w:hideMark/>
          </w:tcPr>
          <w:p w14:paraId="14C3A90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-0.100</w:t>
            </w:r>
          </w:p>
        </w:tc>
        <w:tc>
          <w:tcPr>
            <w:tcW w:w="552" w:type="pct"/>
            <w:tcBorders>
              <w:top w:val="single" w:sz="4" w:space="0" w:color="auto"/>
              <w:left w:val="nil"/>
              <w:bottom w:val="nil"/>
              <w:right w:val="nil"/>
            </w:tcBorders>
            <w:shd w:val="clear" w:color="auto" w:fill="auto"/>
            <w:noWrap/>
            <w:vAlign w:val="bottom"/>
            <w:hideMark/>
          </w:tcPr>
          <w:p w14:paraId="3138645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0.023</w:t>
            </w:r>
          </w:p>
        </w:tc>
        <w:tc>
          <w:tcPr>
            <w:tcW w:w="531" w:type="pct"/>
            <w:tcBorders>
              <w:top w:val="single" w:sz="4" w:space="0" w:color="auto"/>
              <w:left w:val="nil"/>
              <w:bottom w:val="nil"/>
              <w:right w:val="nil"/>
            </w:tcBorders>
            <w:shd w:val="clear" w:color="auto" w:fill="auto"/>
            <w:noWrap/>
            <w:vAlign w:val="bottom"/>
            <w:hideMark/>
          </w:tcPr>
          <w:p w14:paraId="5B6DF53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0.125</w:t>
            </w:r>
          </w:p>
        </w:tc>
        <w:tc>
          <w:tcPr>
            <w:tcW w:w="533" w:type="pct"/>
            <w:tcBorders>
              <w:top w:val="single" w:sz="4" w:space="0" w:color="auto"/>
              <w:left w:val="nil"/>
              <w:bottom w:val="nil"/>
              <w:right w:val="single" w:sz="4" w:space="0" w:color="auto"/>
            </w:tcBorders>
            <w:shd w:val="clear" w:color="auto" w:fill="auto"/>
            <w:noWrap/>
            <w:vAlign w:val="bottom"/>
            <w:hideMark/>
          </w:tcPr>
          <w:p w14:paraId="2464D469"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0.121</w:t>
            </w:r>
          </w:p>
        </w:tc>
        <w:tc>
          <w:tcPr>
            <w:tcW w:w="549" w:type="pct"/>
            <w:tcBorders>
              <w:top w:val="single" w:sz="4" w:space="0" w:color="auto"/>
              <w:left w:val="single" w:sz="4" w:space="0" w:color="auto"/>
              <w:bottom w:val="nil"/>
              <w:right w:val="nil"/>
            </w:tcBorders>
            <w:shd w:val="clear" w:color="auto" w:fill="auto"/>
            <w:noWrap/>
            <w:vAlign w:val="bottom"/>
            <w:hideMark/>
          </w:tcPr>
          <w:p w14:paraId="4B359809"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-0.203</w:t>
            </w:r>
          </w:p>
        </w:tc>
        <w:tc>
          <w:tcPr>
            <w:tcW w:w="549" w:type="pct"/>
            <w:tcBorders>
              <w:top w:val="single" w:sz="4" w:space="0" w:color="auto"/>
              <w:left w:val="nil"/>
              <w:bottom w:val="nil"/>
              <w:right w:val="nil"/>
            </w:tcBorders>
            <w:shd w:val="clear" w:color="auto" w:fill="auto"/>
            <w:noWrap/>
            <w:vAlign w:val="bottom"/>
            <w:hideMark/>
          </w:tcPr>
          <w:p w14:paraId="62166D9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-0.116</w:t>
            </w:r>
          </w:p>
        </w:tc>
        <w:tc>
          <w:tcPr>
            <w:tcW w:w="520" w:type="pct"/>
            <w:tcBorders>
              <w:top w:val="single" w:sz="4" w:space="0" w:color="auto"/>
              <w:left w:val="nil"/>
              <w:bottom w:val="nil"/>
              <w:right w:val="nil"/>
            </w:tcBorders>
            <w:shd w:val="clear" w:color="auto" w:fill="auto"/>
            <w:noWrap/>
            <w:vAlign w:val="bottom"/>
            <w:hideMark/>
          </w:tcPr>
          <w:p w14:paraId="1176BE9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0.089</w:t>
            </w:r>
          </w:p>
        </w:tc>
        <w:tc>
          <w:tcPr>
            <w:tcW w:w="520" w:type="pct"/>
            <w:tcBorders>
              <w:top w:val="single" w:sz="4" w:space="0" w:color="auto"/>
              <w:left w:val="nil"/>
              <w:bottom w:val="nil"/>
              <w:right w:val="nil"/>
            </w:tcBorders>
            <w:shd w:val="clear" w:color="auto" w:fill="auto"/>
            <w:noWrap/>
            <w:vAlign w:val="bottom"/>
            <w:hideMark/>
          </w:tcPr>
          <w:p w14:paraId="1379F841"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0.088</w:t>
            </w:r>
          </w:p>
        </w:tc>
      </w:tr>
      <w:tr w:rsidR="00116862" w:rsidRPr="00245E91" w14:paraId="1362D456" w14:textId="77777777" w:rsidTr="00D83DD8">
        <w:trPr>
          <w:trHeight w:val="144"/>
        </w:trPr>
        <w:tc>
          <w:tcPr>
            <w:tcW w:w="694" w:type="pct"/>
            <w:tcBorders>
              <w:top w:val="nil"/>
              <w:left w:val="nil"/>
              <w:bottom w:val="nil"/>
              <w:right w:val="nil"/>
            </w:tcBorders>
            <w:shd w:val="clear" w:color="auto" w:fill="auto"/>
            <w:noWrap/>
            <w:vAlign w:val="bottom"/>
            <w:hideMark/>
          </w:tcPr>
          <w:p w14:paraId="25F5C7BC" w14:textId="77777777" w:rsidR="00116862" w:rsidRPr="00245E91" w:rsidRDefault="00116862" w:rsidP="00116862">
            <w:pPr>
              <w:spacing w:after="0" w:line="240" w:lineRule="auto"/>
              <w:contextualSpacing/>
              <w:rPr>
                <w:rFonts w:ascii="Times New Roman" w:eastAsia="Times New Roman" w:hAnsi="Times New Roman"/>
                <w:color w:val="000000"/>
                <w:sz w:val="15"/>
                <w:szCs w:val="15"/>
              </w:rPr>
            </w:pPr>
          </w:p>
        </w:tc>
        <w:tc>
          <w:tcPr>
            <w:tcW w:w="552" w:type="pct"/>
            <w:tcBorders>
              <w:top w:val="nil"/>
              <w:left w:val="nil"/>
              <w:bottom w:val="nil"/>
              <w:right w:val="nil"/>
            </w:tcBorders>
            <w:shd w:val="clear" w:color="auto" w:fill="auto"/>
            <w:noWrap/>
            <w:vAlign w:val="bottom"/>
            <w:hideMark/>
          </w:tcPr>
          <w:p w14:paraId="60FC4DD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(-1.65*)</w:t>
            </w:r>
          </w:p>
        </w:tc>
        <w:tc>
          <w:tcPr>
            <w:tcW w:w="552" w:type="pct"/>
            <w:tcBorders>
              <w:top w:val="nil"/>
              <w:left w:val="nil"/>
              <w:bottom w:val="nil"/>
              <w:right w:val="nil"/>
            </w:tcBorders>
            <w:shd w:val="clear" w:color="auto" w:fill="auto"/>
            <w:noWrap/>
            <w:vAlign w:val="bottom"/>
            <w:hideMark/>
          </w:tcPr>
          <w:p w14:paraId="4A43031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(0.33)</w:t>
            </w:r>
          </w:p>
        </w:tc>
        <w:tc>
          <w:tcPr>
            <w:tcW w:w="531" w:type="pct"/>
            <w:tcBorders>
              <w:top w:val="nil"/>
              <w:left w:val="nil"/>
              <w:bottom w:val="nil"/>
              <w:right w:val="nil"/>
            </w:tcBorders>
            <w:shd w:val="clear" w:color="auto" w:fill="auto"/>
            <w:noWrap/>
            <w:vAlign w:val="bottom"/>
            <w:hideMark/>
          </w:tcPr>
          <w:p w14:paraId="07D9E52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(3.45***)</w:t>
            </w:r>
          </w:p>
        </w:tc>
        <w:tc>
          <w:tcPr>
            <w:tcW w:w="533" w:type="pct"/>
            <w:tcBorders>
              <w:top w:val="nil"/>
              <w:left w:val="nil"/>
              <w:bottom w:val="nil"/>
              <w:right w:val="single" w:sz="4" w:space="0" w:color="auto"/>
            </w:tcBorders>
            <w:shd w:val="clear" w:color="auto" w:fill="auto"/>
            <w:noWrap/>
            <w:vAlign w:val="bottom"/>
            <w:hideMark/>
          </w:tcPr>
          <w:p w14:paraId="4D39605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(3.50***)</w:t>
            </w:r>
          </w:p>
        </w:tc>
        <w:tc>
          <w:tcPr>
            <w:tcW w:w="549" w:type="pct"/>
            <w:tcBorders>
              <w:top w:val="nil"/>
              <w:left w:val="single" w:sz="4" w:space="0" w:color="auto"/>
              <w:bottom w:val="nil"/>
              <w:right w:val="nil"/>
            </w:tcBorders>
            <w:shd w:val="clear" w:color="auto" w:fill="auto"/>
            <w:noWrap/>
            <w:vAlign w:val="bottom"/>
            <w:hideMark/>
          </w:tcPr>
          <w:p w14:paraId="2D329D0A"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(-1.69*)</w:t>
            </w:r>
          </w:p>
        </w:tc>
        <w:tc>
          <w:tcPr>
            <w:tcW w:w="549" w:type="pct"/>
            <w:tcBorders>
              <w:top w:val="nil"/>
              <w:left w:val="nil"/>
              <w:bottom w:val="nil"/>
              <w:right w:val="nil"/>
            </w:tcBorders>
            <w:shd w:val="clear" w:color="auto" w:fill="auto"/>
            <w:noWrap/>
            <w:vAlign w:val="bottom"/>
            <w:hideMark/>
          </w:tcPr>
          <w:p w14:paraId="09BF468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(-1.12)</w:t>
            </w:r>
          </w:p>
        </w:tc>
        <w:tc>
          <w:tcPr>
            <w:tcW w:w="520" w:type="pct"/>
            <w:tcBorders>
              <w:top w:val="nil"/>
              <w:left w:val="nil"/>
              <w:bottom w:val="nil"/>
              <w:right w:val="nil"/>
            </w:tcBorders>
            <w:shd w:val="clear" w:color="auto" w:fill="auto"/>
            <w:noWrap/>
            <w:vAlign w:val="bottom"/>
            <w:hideMark/>
          </w:tcPr>
          <w:p w14:paraId="0A015DD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(1.81*)</w:t>
            </w:r>
          </w:p>
        </w:tc>
        <w:tc>
          <w:tcPr>
            <w:tcW w:w="520" w:type="pct"/>
            <w:tcBorders>
              <w:top w:val="nil"/>
              <w:left w:val="nil"/>
              <w:bottom w:val="nil"/>
              <w:right w:val="nil"/>
            </w:tcBorders>
            <w:shd w:val="clear" w:color="auto" w:fill="auto"/>
            <w:noWrap/>
            <w:vAlign w:val="bottom"/>
            <w:hideMark/>
          </w:tcPr>
          <w:p w14:paraId="717AE9A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(1.83*)</w:t>
            </w:r>
          </w:p>
        </w:tc>
      </w:tr>
      <w:tr w:rsidR="00116862" w:rsidRPr="00245E91" w14:paraId="4CC129AA" w14:textId="77777777" w:rsidTr="00D83DD8">
        <w:trPr>
          <w:trHeight w:val="144"/>
        </w:trPr>
        <w:tc>
          <w:tcPr>
            <w:tcW w:w="694" w:type="pct"/>
            <w:tcBorders>
              <w:top w:val="nil"/>
              <w:left w:val="nil"/>
              <w:bottom w:val="nil"/>
              <w:right w:val="nil"/>
            </w:tcBorders>
            <w:shd w:val="clear" w:color="auto" w:fill="auto"/>
            <w:noWrap/>
            <w:vAlign w:val="bottom"/>
            <w:hideMark/>
          </w:tcPr>
          <w:p w14:paraId="517895EC"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MLP</w:t>
            </w:r>
          </w:p>
        </w:tc>
        <w:tc>
          <w:tcPr>
            <w:tcW w:w="552" w:type="pct"/>
            <w:tcBorders>
              <w:top w:val="nil"/>
              <w:left w:val="nil"/>
              <w:bottom w:val="nil"/>
              <w:right w:val="nil"/>
            </w:tcBorders>
            <w:shd w:val="clear" w:color="auto" w:fill="auto"/>
            <w:noWrap/>
            <w:vAlign w:val="bottom"/>
            <w:hideMark/>
          </w:tcPr>
          <w:p w14:paraId="1A1C5EC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0.145</w:t>
            </w:r>
          </w:p>
        </w:tc>
        <w:tc>
          <w:tcPr>
            <w:tcW w:w="552" w:type="pct"/>
            <w:tcBorders>
              <w:top w:val="nil"/>
              <w:left w:val="nil"/>
              <w:bottom w:val="nil"/>
              <w:right w:val="nil"/>
            </w:tcBorders>
            <w:shd w:val="clear" w:color="auto" w:fill="auto"/>
            <w:noWrap/>
            <w:vAlign w:val="bottom"/>
            <w:hideMark/>
          </w:tcPr>
          <w:p w14:paraId="4D6D665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0.132</w:t>
            </w:r>
          </w:p>
        </w:tc>
        <w:tc>
          <w:tcPr>
            <w:tcW w:w="531" w:type="pct"/>
            <w:tcBorders>
              <w:top w:val="nil"/>
              <w:left w:val="nil"/>
              <w:bottom w:val="nil"/>
              <w:right w:val="nil"/>
            </w:tcBorders>
            <w:shd w:val="clear" w:color="auto" w:fill="auto"/>
            <w:noWrap/>
            <w:vAlign w:val="bottom"/>
            <w:hideMark/>
          </w:tcPr>
          <w:p w14:paraId="78FBF43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-0.034</w:t>
            </w:r>
          </w:p>
        </w:tc>
        <w:tc>
          <w:tcPr>
            <w:tcW w:w="533" w:type="pct"/>
            <w:tcBorders>
              <w:top w:val="nil"/>
              <w:left w:val="nil"/>
              <w:bottom w:val="nil"/>
              <w:right w:val="single" w:sz="4" w:space="0" w:color="auto"/>
            </w:tcBorders>
            <w:shd w:val="clear" w:color="auto" w:fill="auto"/>
            <w:noWrap/>
            <w:vAlign w:val="bottom"/>
            <w:hideMark/>
          </w:tcPr>
          <w:p w14:paraId="74D4CF4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-0.035</w:t>
            </w:r>
          </w:p>
        </w:tc>
        <w:tc>
          <w:tcPr>
            <w:tcW w:w="549" w:type="pct"/>
            <w:tcBorders>
              <w:top w:val="nil"/>
              <w:left w:val="single" w:sz="4" w:space="0" w:color="auto"/>
              <w:bottom w:val="nil"/>
              <w:right w:val="nil"/>
            </w:tcBorders>
            <w:shd w:val="clear" w:color="auto" w:fill="auto"/>
            <w:noWrap/>
            <w:vAlign w:val="bottom"/>
            <w:hideMark/>
          </w:tcPr>
          <w:p w14:paraId="2321976A"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0.175</w:t>
            </w:r>
          </w:p>
        </w:tc>
        <w:tc>
          <w:tcPr>
            <w:tcW w:w="549" w:type="pct"/>
            <w:tcBorders>
              <w:top w:val="nil"/>
              <w:left w:val="nil"/>
              <w:bottom w:val="nil"/>
              <w:right w:val="nil"/>
            </w:tcBorders>
            <w:shd w:val="clear" w:color="auto" w:fill="auto"/>
            <w:noWrap/>
            <w:vAlign w:val="bottom"/>
            <w:hideMark/>
          </w:tcPr>
          <w:p w14:paraId="5ABA7A4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0.178</w:t>
            </w:r>
          </w:p>
        </w:tc>
        <w:tc>
          <w:tcPr>
            <w:tcW w:w="520" w:type="pct"/>
            <w:tcBorders>
              <w:top w:val="nil"/>
              <w:left w:val="nil"/>
              <w:bottom w:val="nil"/>
              <w:right w:val="nil"/>
            </w:tcBorders>
            <w:shd w:val="clear" w:color="auto" w:fill="auto"/>
            <w:noWrap/>
            <w:vAlign w:val="bottom"/>
            <w:hideMark/>
          </w:tcPr>
          <w:p w14:paraId="3EF1B52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-0.011</w:t>
            </w:r>
          </w:p>
        </w:tc>
        <w:tc>
          <w:tcPr>
            <w:tcW w:w="520" w:type="pct"/>
            <w:tcBorders>
              <w:top w:val="nil"/>
              <w:left w:val="nil"/>
              <w:bottom w:val="nil"/>
              <w:right w:val="nil"/>
            </w:tcBorders>
            <w:shd w:val="clear" w:color="auto" w:fill="auto"/>
            <w:noWrap/>
            <w:vAlign w:val="bottom"/>
            <w:hideMark/>
          </w:tcPr>
          <w:p w14:paraId="59C0992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-0.015</w:t>
            </w:r>
          </w:p>
        </w:tc>
      </w:tr>
      <w:tr w:rsidR="00116862" w:rsidRPr="00245E91" w14:paraId="27D60C3D" w14:textId="77777777" w:rsidTr="00D83DD8">
        <w:trPr>
          <w:trHeight w:val="144"/>
        </w:trPr>
        <w:tc>
          <w:tcPr>
            <w:tcW w:w="694" w:type="pct"/>
            <w:tcBorders>
              <w:top w:val="nil"/>
              <w:left w:val="nil"/>
              <w:bottom w:val="nil"/>
              <w:right w:val="nil"/>
            </w:tcBorders>
            <w:shd w:val="clear" w:color="auto" w:fill="auto"/>
            <w:noWrap/>
            <w:vAlign w:val="bottom"/>
            <w:hideMark/>
          </w:tcPr>
          <w:p w14:paraId="29684230"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p>
        </w:tc>
        <w:tc>
          <w:tcPr>
            <w:tcW w:w="552" w:type="pct"/>
            <w:tcBorders>
              <w:top w:val="nil"/>
              <w:left w:val="nil"/>
              <w:bottom w:val="nil"/>
              <w:right w:val="nil"/>
            </w:tcBorders>
            <w:shd w:val="clear" w:color="auto" w:fill="auto"/>
            <w:noWrap/>
            <w:vAlign w:val="bottom"/>
            <w:hideMark/>
          </w:tcPr>
          <w:p w14:paraId="1FC006B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(4.19***)</w:t>
            </w:r>
          </w:p>
        </w:tc>
        <w:tc>
          <w:tcPr>
            <w:tcW w:w="552" w:type="pct"/>
            <w:tcBorders>
              <w:top w:val="nil"/>
              <w:left w:val="nil"/>
              <w:bottom w:val="nil"/>
              <w:right w:val="nil"/>
            </w:tcBorders>
            <w:shd w:val="clear" w:color="auto" w:fill="auto"/>
            <w:noWrap/>
            <w:vAlign w:val="bottom"/>
            <w:hideMark/>
          </w:tcPr>
          <w:p w14:paraId="24CDE40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(4.20***)</w:t>
            </w:r>
          </w:p>
        </w:tc>
        <w:tc>
          <w:tcPr>
            <w:tcW w:w="531" w:type="pct"/>
            <w:tcBorders>
              <w:top w:val="nil"/>
              <w:left w:val="nil"/>
              <w:bottom w:val="nil"/>
              <w:right w:val="nil"/>
            </w:tcBorders>
            <w:shd w:val="clear" w:color="auto" w:fill="auto"/>
            <w:noWrap/>
            <w:vAlign w:val="bottom"/>
            <w:hideMark/>
          </w:tcPr>
          <w:p w14:paraId="09B0F88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(-1.42)</w:t>
            </w:r>
          </w:p>
        </w:tc>
        <w:tc>
          <w:tcPr>
            <w:tcW w:w="533" w:type="pct"/>
            <w:tcBorders>
              <w:top w:val="nil"/>
              <w:left w:val="nil"/>
              <w:bottom w:val="nil"/>
              <w:right w:val="single" w:sz="4" w:space="0" w:color="auto"/>
            </w:tcBorders>
            <w:shd w:val="clear" w:color="auto" w:fill="auto"/>
            <w:noWrap/>
            <w:vAlign w:val="bottom"/>
            <w:hideMark/>
          </w:tcPr>
          <w:p w14:paraId="653BC1D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(-1.46)</w:t>
            </w:r>
          </w:p>
        </w:tc>
        <w:tc>
          <w:tcPr>
            <w:tcW w:w="549" w:type="pct"/>
            <w:tcBorders>
              <w:top w:val="nil"/>
              <w:left w:val="single" w:sz="4" w:space="0" w:color="auto"/>
              <w:bottom w:val="nil"/>
              <w:right w:val="nil"/>
            </w:tcBorders>
            <w:shd w:val="clear" w:color="auto" w:fill="auto"/>
            <w:noWrap/>
            <w:vAlign w:val="bottom"/>
            <w:hideMark/>
          </w:tcPr>
          <w:p w14:paraId="40882AA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(2.75***)</w:t>
            </w:r>
          </w:p>
        </w:tc>
        <w:tc>
          <w:tcPr>
            <w:tcW w:w="549" w:type="pct"/>
            <w:tcBorders>
              <w:top w:val="nil"/>
              <w:left w:val="nil"/>
              <w:bottom w:val="nil"/>
              <w:right w:val="nil"/>
            </w:tcBorders>
            <w:shd w:val="clear" w:color="auto" w:fill="auto"/>
            <w:noWrap/>
            <w:vAlign w:val="bottom"/>
            <w:hideMark/>
          </w:tcPr>
          <w:p w14:paraId="42D9F2F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(3.075***)</w:t>
            </w:r>
          </w:p>
        </w:tc>
        <w:tc>
          <w:tcPr>
            <w:tcW w:w="520" w:type="pct"/>
            <w:tcBorders>
              <w:top w:val="nil"/>
              <w:left w:val="nil"/>
              <w:bottom w:val="nil"/>
              <w:right w:val="nil"/>
            </w:tcBorders>
            <w:shd w:val="clear" w:color="auto" w:fill="auto"/>
            <w:noWrap/>
            <w:vAlign w:val="bottom"/>
            <w:hideMark/>
          </w:tcPr>
          <w:p w14:paraId="3E4A7F1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(-0.35)</w:t>
            </w:r>
          </w:p>
        </w:tc>
        <w:tc>
          <w:tcPr>
            <w:tcW w:w="520" w:type="pct"/>
            <w:tcBorders>
              <w:top w:val="nil"/>
              <w:left w:val="nil"/>
              <w:bottom w:val="nil"/>
              <w:right w:val="nil"/>
            </w:tcBorders>
            <w:shd w:val="clear" w:color="auto" w:fill="auto"/>
            <w:noWrap/>
            <w:vAlign w:val="bottom"/>
            <w:hideMark/>
          </w:tcPr>
          <w:p w14:paraId="4AFB5AC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(-0.50)</w:t>
            </w:r>
          </w:p>
        </w:tc>
      </w:tr>
      <w:tr w:rsidR="00116862" w:rsidRPr="00245E91" w14:paraId="7DF3E938" w14:textId="77777777" w:rsidTr="00D83DD8">
        <w:trPr>
          <w:trHeight w:val="144"/>
        </w:trPr>
        <w:tc>
          <w:tcPr>
            <w:tcW w:w="694" w:type="pct"/>
            <w:tcBorders>
              <w:top w:val="nil"/>
              <w:left w:val="nil"/>
              <w:bottom w:val="nil"/>
              <w:right w:val="nil"/>
            </w:tcBorders>
            <w:shd w:val="clear" w:color="auto" w:fill="auto"/>
            <w:noWrap/>
            <w:vAlign w:val="bottom"/>
            <w:hideMark/>
          </w:tcPr>
          <w:p w14:paraId="59A03D60"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LN(Assets)</w:t>
            </w:r>
          </w:p>
        </w:tc>
        <w:tc>
          <w:tcPr>
            <w:tcW w:w="552" w:type="pct"/>
            <w:tcBorders>
              <w:top w:val="nil"/>
              <w:left w:val="nil"/>
              <w:bottom w:val="nil"/>
              <w:right w:val="nil"/>
            </w:tcBorders>
            <w:shd w:val="clear" w:color="auto" w:fill="auto"/>
            <w:noWrap/>
            <w:vAlign w:val="bottom"/>
            <w:hideMark/>
          </w:tcPr>
          <w:p w14:paraId="735F751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0.029</w:t>
            </w:r>
          </w:p>
        </w:tc>
        <w:tc>
          <w:tcPr>
            <w:tcW w:w="552" w:type="pct"/>
            <w:tcBorders>
              <w:top w:val="nil"/>
              <w:left w:val="nil"/>
              <w:bottom w:val="nil"/>
              <w:right w:val="nil"/>
            </w:tcBorders>
            <w:shd w:val="clear" w:color="auto" w:fill="auto"/>
            <w:noWrap/>
            <w:vAlign w:val="bottom"/>
            <w:hideMark/>
          </w:tcPr>
          <w:p w14:paraId="301B34A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0.017</w:t>
            </w:r>
          </w:p>
        </w:tc>
        <w:tc>
          <w:tcPr>
            <w:tcW w:w="531" w:type="pct"/>
            <w:tcBorders>
              <w:top w:val="nil"/>
              <w:left w:val="nil"/>
              <w:bottom w:val="nil"/>
              <w:right w:val="nil"/>
            </w:tcBorders>
            <w:shd w:val="clear" w:color="auto" w:fill="auto"/>
            <w:noWrap/>
            <w:vAlign w:val="bottom"/>
            <w:hideMark/>
          </w:tcPr>
          <w:p w14:paraId="1EBF503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-0.067</w:t>
            </w:r>
          </w:p>
        </w:tc>
        <w:tc>
          <w:tcPr>
            <w:tcW w:w="533" w:type="pct"/>
            <w:tcBorders>
              <w:top w:val="nil"/>
              <w:left w:val="nil"/>
              <w:bottom w:val="nil"/>
              <w:right w:val="single" w:sz="4" w:space="0" w:color="auto"/>
            </w:tcBorders>
            <w:shd w:val="clear" w:color="auto" w:fill="auto"/>
            <w:noWrap/>
            <w:vAlign w:val="bottom"/>
            <w:hideMark/>
          </w:tcPr>
          <w:p w14:paraId="2C75499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-0.066</w:t>
            </w:r>
          </w:p>
        </w:tc>
        <w:tc>
          <w:tcPr>
            <w:tcW w:w="549" w:type="pct"/>
            <w:tcBorders>
              <w:top w:val="nil"/>
              <w:left w:val="single" w:sz="4" w:space="0" w:color="auto"/>
              <w:bottom w:val="nil"/>
              <w:right w:val="nil"/>
            </w:tcBorders>
            <w:shd w:val="clear" w:color="auto" w:fill="auto"/>
            <w:noWrap/>
            <w:vAlign w:val="bottom"/>
            <w:hideMark/>
          </w:tcPr>
          <w:p w14:paraId="2A95DAA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0.096</w:t>
            </w:r>
          </w:p>
        </w:tc>
        <w:tc>
          <w:tcPr>
            <w:tcW w:w="549" w:type="pct"/>
            <w:tcBorders>
              <w:top w:val="nil"/>
              <w:left w:val="nil"/>
              <w:bottom w:val="nil"/>
              <w:right w:val="nil"/>
            </w:tcBorders>
            <w:shd w:val="clear" w:color="auto" w:fill="auto"/>
            <w:noWrap/>
            <w:vAlign w:val="bottom"/>
            <w:hideMark/>
          </w:tcPr>
          <w:p w14:paraId="51F1677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0.069</w:t>
            </w:r>
          </w:p>
        </w:tc>
        <w:tc>
          <w:tcPr>
            <w:tcW w:w="520" w:type="pct"/>
            <w:tcBorders>
              <w:top w:val="nil"/>
              <w:left w:val="nil"/>
              <w:bottom w:val="nil"/>
              <w:right w:val="nil"/>
            </w:tcBorders>
            <w:shd w:val="clear" w:color="auto" w:fill="auto"/>
            <w:noWrap/>
            <w:vAlign w:val="bottom"/>
            <w:hideMark/>
          </w:tcPr>
          <w:p w14:paraId="351A5E2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-0.056</w:t>
            </w:r>
          </w:p>
        </w:tc>
        <w:tc>
          <w:tcPr>
            <w:tcW w:w="520" w:type="pct"/>
            <w:tcBorders>
              <w:top w:val="nil"/>
              <w:left w:val="nil"/>
              <w:bottom w:val="nil"/>
              <w:right w:val="nil"/>
            </w:tcBorders>
            <w:shd w:val="clear" w:color="auto" w:fill="auto"/>
            <w:noWrap/>
            <w:vAlign w:val="bottom"/>
            <w:hideMark/>
          </w:tcPr>
          <w:p w14:paraId="4F9ABA8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-0.052</w:t>
            </w:r>
          </w:p>
        </w:tc>
      </w:tr>
      <w:tr w:rsidR="00116862" w:rsidRPr="00245E91" w14:paraId="03D4968B" w14:textId="77777777" w:rsidTr="00D83DD8">
        <w:trPr>
          <w:trHeight w:val="144"/>
        </w:trPr>
        <w:tc>
          <w:tcPr>
            <w:tcW w:w="694" w:type="pct"/>
            <w:tcBorders>
              <w:top w:val="nil"/>
              <w:left w:val="nil"/>
              <w:bottom w:val="nil"/>
              <w:right w:val="nil"/>
            </w:tcBorders>
            <w:shd w:val="clear" w:color="auto" w:fill="auto"/>
            <w:noWrap/>
            <w:vAlign w:val="bottom"/>
            <w:hideMark/>
          </w:tcPr>
          <w:p w14:paraId="1147116B"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p>
        </w:tc>
        <w:tc>
          <w:tcPr>
            <w:tcW w:w="552" w:type="pct"/>
            <w:tcBorders>
              <w:top w:val="nil"/>
              <w:left w:val="nil"/>
              <w:bottom w:val="nil"/>
              <w:right w:val="nil"/>
            </w:tcBorders>
            <w:shd w:val="clear" w:color="auto" w:fill="auto"/>
            <w:noWrap/>
            <w:vAlign w:val="bottom"/>
            <w:hideMark/>
          </w:tcPr>
          <w:p w14:paraId="6E73E3F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(0.57)</w:t>
            </w:r>
          </w:p>
        </w:tc>
        <w:tc>
          <w:tcPr>
            <w:tcW w:w="552" w:type="pct"/>
            <w:tcBorders>
              <w:top w:val="nil"/>
              <w:left w:val="nil"/>
              <w:bottom w:val="nil"/>
              <w:right w:val="nil"/>
            </w:tcBorders>
            <w:shd w:val="clear" w:color="auto" w:fill="auto"/>
            <w:noWrap/>
            <w:vAlign w:val="bottom"/>
            <w:hideMark/>
          </w:tcPr>
          <w:p w14:paraId="6EFCD65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(0.32)</w:t>
            </w:r>
          </w:p>
        </w:tc>
        <w:tc>
          <w:tcPr>
            <w:tcW w:w="531" w:type="pct"/>
            <w:tcBorders>
              <w:top w:val="nil"/>
              <w:left w:val="nil"/>
              <w:bottom w:val="nil"/>
              <w:right w:val="nil"/>
            </w:tcBorders>
            <w:shd w:val="clear" w:color="auto" w:fill="auto"/>
            <w:noWrap/>
            <w:vAlign w:val="bottom"/>
            <w:hideMark/>
          </w:tcPr>
          <w:p w14:paraId="74B6B0C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(-2.27**)</w:t>
            </w:r>
          </w:p>
        </w:tc>
        <w:tc>
          <w:tcPr>
            <w:tcW w:w="533" w:type="pct"/>
            <w:tcBorders>
              <w:top w:val="nil"/>
              <w:left w:val="nil"/>
              <w:bottom w:val="nil"/>
              <w:right w:val="single" w:sz="4" w:space="0" w:color="auto"/>
            </w:tcBorders>
            <w:shd w:val="clear" w:color="auto" w:fill="auto"/>
            <w:noWrap/>
            <w:vAlign w:val="bottom"/>
            <w:hideMark/>
          </w:tcPr>
          <w:p w14:paraId="1FA8838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(-2.26**)</w:t>
            </w:r>
          </w:p>
        </w:tc>
        <w:tc>
          <w:tcPr>
            <w:tcW w:w="549" w:type="pct"/>
            <w:tcBorders>
              <w:top w:val="nil"/>
              <w:left w:val="single" w:sz="4" w:space="0" w:color="auto"/>
              <w:bottom w:val="nil"/>
              <w:right w:val="nil"/>
            </w:tcBorders>
            <w:shd w:val="clear" w:color="auto" w:fill="auto"/>
            <w:noWrap/>
            <w:vAlign w:val="bottom"/>
            <w:hideMark/>
          </w:tcPr>
          <w:p w14:paraId="1ECBC08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(2.01**)</w:t>
            </w:r>
          </w:p>
        </w:tc>
        <w:tc>
          <w:tcPr>
            <w:tcW w:w="549" w:type="pct"/>
            <w:tcBorders>
              <w:top w:val="nil"/>
              <w:left w:val="nil"/>
              <w:bottom w:val="nil"/>
              <w:right w:val="nil"/>
            </w:tcBorders>
            <w:shd w:val="clear" w:color="auto" w:fill="auto"/>
            <w:noWrap/>
            <w:vAlign w:val="bottom"/>
            <w:hideMark/>
          </w:tcPr>
          <w:p w14:paraId="09A5714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(1.55)</w:t>
            </w:r>
          </w:p>
        </w:tc>
        <w:tc>
          <w:tcPr>
            <w:tcW w:w="520" w:type="pct"/>
            <w:tcBorders>
              <w:top w:val="nil"/>
              <w:left w:val="nil"/>
              <w:bottom w:val="nil"/>
              <w:right w:val="nil"/>
            </w:tcBorders>
            <w:shd w:val="clear" w:color="auto" w:fill="auto"/>
            <w:noWrap/>
            <w:vAlign w:val="bottom"/>
            <w:hideMark/>
          </w:tcPr>
          <w:p w14:paraId="2AF87FA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(-1.59)</w:t>
            </w:r>
          </w:p>
        </w:tc>
        <w:tc>
          <w:tcPr>
            <w:tcW w:w="520" w:type="pct"/>
            <w:tcBorders>
              <w:top w:val="nil"/>
              <w:left w:val="nil"/>
              <w:bottom w:val="nil"/>
              <w:right w:val="nil"/>
            </w:tcBorders>
            <w:shd w:val="clear" w:color="auto" w:fill="auto"/>
            <w:noWrap/>
            <w:vAlign w:val="bottom"/>
            <w:hideMark/>
          </w:tcPr>
          <w:p w14:paraId="1A45D3A1"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(-1.46)</w:t>
            </w:r>
          </w:p>
        </w:tc>
      </w:tr>
      <w:tr w:rsidR="00116862" w:rsidRPr="00245E91" w14:paraId="0CFA2169" w14:textId="77777777" w:rsidTr="00D83DD8">
        <w:trPr>
          <w:trHeight w:val="144"/>
        </w:trPr>
        <w:tc>
          <w:tcPr>
            <w:tcW w:w="694" w:type="pct"/>
            <w:tcBorders>
              <w:top w:val="nil"/>
              <w:left w:val="nil"/>
              <w:bottom w:val="nil"/>
              <w:right w:val="nil"/>
            </w:tcBorders>
            <w:shd w:val="clear" w:color="auto" w:fill="auto"/>
            <w:noWrap/>
            <w:vAlign w:val="bottom"/>
            <w:hideMark/>
          </w:tcPr>
          <w:p w14:paraId="0D9FF7D0"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MKTSHARE</w:t>
            </w:r>
          </w:p>
        </w:tc>
        <w:tc>
          <w:tcPr>
            <w:tcW w:w="552" w:type="pct"/>
            <w:tcBorders>
              <w:top w:val="nil"/>
              <w:left w:val="nil"/>
              <w:bottom w:val="nil"/>
              <w:right w:val="nil"/>
            </w:tcBorders>
            <w:shd w:val="clear" w:color="auto" w:fill="auto"/>
            <w:noWrap/>
            <w:vAlign w:val="bottom"/>
            <w:hideMark/>
          </w:tcPr>
          <w:p w14:paraId="4CF2AB9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0.017</w:t>
            </w:r>
          </w:p>
        </w:tc>
        <w:tc>
          <w:tcPr>
            <w:tcW w:w="552" w:type="pct"/>
            <w:tcBorders>
              <w:top w:val="nil"/>
              <w:left w:val="nil"/>
              <w:bottom w:val="nil"/>
              <w:right w:val="nil"/>
            </w:tcBorders>
            <w:shd w:val="clear" w:color="auto" w:fill="auto"/>
            <w:noWrap/>
            <w:vAlign w:val="bottom"/>
            <w:hideMark/>
          </w:tcPr>
          <w:p w14:paraId="14ACE50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0.028</w:t>
            </w:r>
          </w:p>
        </w:tc>
        <w:tc>
          <w:tcPr>
            <w:tcW w:w="531" w:type="pct"/>
            <w:tcBorders>
              <w:top w:val="nil"/>
              <w:left w:val="nil"/>
              <w:bottom w:val="nil"/>
              <w:right w:val="nil"/>
            </w:tcBorders>
            <w:shd w:val="clear" w:color="auto" w:fill="auto"/>
            <w:noWrap/>
            <w:vAlign w:val="bottom"/>
            <w:hideMark/>
          </w:tcPr>
          <w:p w14:paraId="47DBAB2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-0.010</w:t>
            </w:r>
          </w:p>
        </w:tc>
        <w:tc>
          <w:tcPr>
            <w:tcW w:w="533" w:type="pct"/>
            <w:tcBorders>
              <w:top w:val="nil"/>
              <w:left w:val="nil"/>
              <w:bottom w:val="nil"/>
              <w:right w:val="single" w:sz="4" w:space="0" w:color="auto"/>
            </w:tcBorders>
            <w:shd w:val="clear" w:color="auto" w:fill="auto"/>
            <w:noWrap/>
            <w:vAlign w:val="bottom"/>
            <w:hideMark/>
          </w:tcPr>
          <w:p w14:paraId="51415D3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-0.006</w:t>
            </w:r>
          </w:p>
        </w:tc>
        <w:tc>
          <w:tcPr>
            <w:tcW w:w="549" w:type="pct"/>
            <w:tcBorders>
              <w:top w:val="nil"/>
              <w:left w:val="single" w:sz="4" w:space="0" w:color="auto"/>
              <w:bottom w:val="nil"/>
              <w:right w:val="nil"/>
            </w:tcBorders>
            <w:shd w:val="clear" w:color="auto" w:fill="auto"/>
            <w:noWrap/>
            <w:vAlign w:val="bottom"/>
            <w:hideMark/>
          </w:tcPr>
          <w:p w14:paraId="53A2F33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0.123</w:t>
            </w:r>
          </w:p>
        </w:tc>
        <w:tc>
          <w:tcPr>
            <w:tcW w:w="549" w:type="pct"/>
            <w:tcBorders>
              <w:top w:val="nil"/>
              <w:left w:val="nil"/>
              <w:bottom w:val="nil"/>
              <w:right w:val="nil"/>
            </w:tcBorders>
            <w:shd w:val="clear" w:color="auto" w:fill="auto"/>
            <w:noWrap/>
            <w:vAlign w:val="bottom"/>
            <w:hideMark/>
          </w:tcPr>
          <w:p w14:paraId="2D59105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0.126</w:t>
            </w:r>
          </w:p>
        </w:tc>
        <w:tc>
          <w:tcPr>
            <w:tcW w:w="520" w:type="pct"/>
            <w:tcBorders>
              <w:top w:val="nil"/>
              <w:left w:val="nil"/>
              <w:bottom w:val="nil"/>
              <w:right w:val="nil"/>
            </w:tcBorders>
            <w:shd w:val="clear" w:color="auto" w:fill="auto"/>
            <w:noWrap/>
            <w:vAlign w:val="bottom"/>
            <w:hideMark/>
          </w:tcPr>
          <w:p w14:paraId="4CD5D75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0.035</w:t>
            </w:r>
          </w:p>
        </w:tc>
        <w:tc>
          <w:tcPr>
            <w:tcW w:w="520" w:type="pct"/>
            <w:tcBorders>
              <w:top w:val="nil"/>
              <w:left w:val="nil"/>
              <w:bottom w:val="nil"/>
              <w:right w:val="nil"/>
            </w:tcBorders>
            <w:shd w:val="clear" w:color="auto" w:fill="auto"/>
            <w:noWrap/>
            <w:vAlign w:val="bottom"/>
            <w:hideMark/>
          </w:tcPr>
          <w:p w14:paraId="42B3F63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0.040</w:t>
            </w:r>
          </w:p>
        </w:tc>
      </w:tr>
      <w:tr w:rsidR="00116862" w:rsidRPr="00245E91" w14:paraId="11A956C6" w14:textId="77777777" w:rsidTr="00D83DD8">
        <w:trPr>
          <w:trHeight w:val="144"/>
        </w:trPr>
        <w:tc>
          <w:tcPr>
            <w:tcW w:w="694" w:type="pct"/>
            <w:tcBorders>
              <w:top w:val="nil"/>
              <w:left w:val="nil"/>
              <w:bottom w:val="nil"/>
              <w:right w:val="nil"/>
            </w:tcBorders>
            <w:shd w:val="clear" w:color="auto" w:fill="auto"/>
            <w:noWrap/>
            <w:vAlign w:val="bottom"/>
            <w:hideMark/>
          </w:tcPr>
          <w:p w14:paraId="72E062CD"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p>
        </w:tc>
        <w:tc>
          <w:tcPr>
            <w:tcW w:w="552" w:type="pct"/>
            <w:tcBorders>
              <w:top w:val="nil"/>
              <w:left w:val="nil"/>
              <w:bottom w:val="nil"/>
              <w:right w:val="nil"/>
            </w:tcBorders>
            <w:shd w:val="clear" w:color="auto" w:fill="auto"/>
            <w:noWrap/>
            <w:vAlign w:val="bottom"/>
            <w:hideMark/>
          </w:tcPr>
          <w:p w14:paraId="253B5261"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(0.41)</w:t>
            </w:r>
          </w:p>
        </w:tc>
        <w:tc>
          <w:tcPr>
            <w:tcW w:w="552" w:type="pct"/>
            <w:tcBorders>
              <w:top w:val="nil"/>
              <w:left w:val="nil"/>
              <w:bottom w:val="nil"/>
              <w:right w:val="nil"/>
            </w:tcBorders>
            <w:shd w:val="clear" w:color="auto" w:fill="auto"/>
            <w:noWrap/>
            <w:vAlign w:val="bottom"/>
            <w:hideMark/>
          </w:tcPr>
          <w:p w14:paraId="6FD4091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(0.77)</w:t>
            </w:r>
          </w:p>
        </w:tc>
        <w:tc>
          <w:tcPr>
            <w:tcW w:w="531" w:type="pct"/>
            <w:tcBorders>
              <w:top w:val="nil"/>
              <w:left w:val="nil"/>
              <w:bottom w:val="nil"/>
              <w:right w:val="nil"/>
            </w:tcBorders>
            <w:shd w:val="clear" w:color="auto" w:fill="auto"/>
            <w:noWrap/>
            <w:vAlign w:val="bottom"/>
            <w:hideMark/>
          </w:tcPr>
          <w:p w14:paraId="346E680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(-1.05)</w:t>
            </w:r>
          </w:p>
        </w:tc>
        <w:tc>
          <w:tcPr>
            <w:tcW w:w="533" w:type="pct"/>
            <w:tcBorders>
              <w:top w:val="nil"/>
              <w:left w:val="nil"/>
              <w:bottom w:val="nil"/>
              <w:right w:val="single" w:sz="4" w:space="0" w:color="auto"/>
            </w:tcBorders>
            <w:shd w:val="clear" w:color="auto" w:fill="auto"/>
            <w:noWrap/>
            <w:vAlign w:val="bottom"/>
            <w:hideMark/>
          </w:tcPr>
          <w:p w14:paraId="0A992A3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(-0.48)</w:t>
            </w:r>
          </w:p>
        </w:tc>
        <w:tc>
          <w:tcPr>
            <w:tcW w:w="549" w:type="pct"/>
            <w:tcBorders>
              <w:top w:val="nil"/>
              <w:left w:val="single" w:sz="4" w:space="0" w:color="auto"/>
              <w:bottom w:val="nil"/>
              <w:right w:val="nil"/>
            </w:tcBorders>
            <w:shd w:val="clear" w:color="auto" w:fill="auto"/>
            <w:noWrap/>
            <w:vAlign w:val="bottom"/>
            <w:hideMark/>
          </w:tcPr>
          <w:p w14:paraId="30F51B6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(3.78***)</w:t>
            </w:r>
          </w:p>
        </w:tc>
        <w:tc>
          <w:tcPr>
            <w:tcW w:w="549" w:type="pct"/>
            <w:tcBorders>
              <w:top w:val="nil"/>
              <w:left w:val="nil"/>
              <w:bottom w:val="nil"/>
              <w:right w:val="nil"/>
            </w:tcBorders>
            <w:shd w:val="clear" w:color="auto" w:fill="auto"/>
            <w:noWrap/>
            <w:vAlign w:val="bottom"/>
            <w:hideMark/>
          </w:tcPr>
          <w:p w14:paraId="46292AB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(4.57***)</w:t>
            </w:r>
          </w:p>
        </w:tc>
        <w:tc>
          <w:tcPr>
            <w:tcW w:w="520" w:type="pct"/>
            <w:tcBorders>
              <w:top w:val="nil"/>
              <w:left w:val="nil"/>
              <w:bottom w:val="nil"/>
              <w:right w:val="nil"/>
            </w:tcBorders>
            <w:shd w:val="clear" w:color="auto" w:fill="auto"/>
            <w:noWrap/>
            <w:vAlign w:val="bottom"/>
            <w:hideMark/>
          </w:tcPr>
          <w:p w14:paraId="34578DD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(0.70)</w:t>
            </w:r>
          </w:p>
        </w:tc>
        <w:tc>
          <w:tcPr>
            <w:tcW w:w="520" w:type="pct"/>
            <w:tcBorders>
              <w:top w:val="nil"/>
              <w:left w:val="nil"/>
              <w:bottom w:val="nil"/>
              <w:right w:val="nil"/>
            </w:tcBorders>
            <w:shd w:val="clear" w:color="auto" w:fill="auto"/>
            <w:noWrap/>
            <w:vAlign w:val="bottom"/>
            <w:hideMark/>
          </w:tcPr>
          <w:p w14:paraId="1DE913C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(0.78)</w:t>
            </w:r>
          </w:p>
        </w:tc>
      </w:tr>
      <w:tr w:rsidR="00116862" w:rsidRPr="00245E91" w14:paraId="1955B4D2" w14:textId="77777777" w:rsidTr="00D83DD8">
        <w:trPr>
          <w:trHeight w:val="144"/>
        </w:trPr>
        <w:tc>
          <w:tcPr>
            <w:tcW w:w="694" w:type="pct"/>
            <w:tcBorders>
              <w:top w:val="nil"/>
              <w:left w:val="nil"/>
              <w:bottom w:val="nil"/>
              <w:right w:val="nil"/>
            </w:tcBorders>
            <w:shd w:val="clear" w:color="auto" w:fill="auto"/>
            <w:noWrap/>
            <w:vAlign w:val="bottom"/>
            <w:hideMark/>
          </w:tcPr>
          <w:p w14:paraId="28729F5B"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DEBT</w:t>
            </w:r>
          </w:p>
        </w:tc>
        <w:tc>
          <w:tcPr>
            <w:tcW w:w="552" w:type="pct"/>
            <w:tcBorders>
              <w:top w:val="nil"/>
              <w:left w:val="nil"/>
              <w:bottom w:val="nil"/>
              <w:right w:val="nil"/>
            </w:tcBorders>
            <w:shd w:val="clear" w:color="auto" w:fill="auto"/>
            <w:noWrap/>
            <w:vAlign w:val="bottom"/>
            <w:hideMark/>
          </w:tcPr>
          <w:p w14:paraId="50582D1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0.057</w:t>
            </w:r>
          </w:p>
        </w:tc>
        <w:tc>
          <w:tcPr>
            <w:tcW w:w="552" w:type="pct"/>
            <w:tcBorders>
              <w:top w:val="nil"/>
              <w:left w:val="nil"/>
              <w:bottom w:val="nil"/>
              <w:right w:val="nil"/>
            </w:tcBorders>
            <w:shd w:val="clear" w:color="auto" w:fill="auto"/>
            <w:noWrap/>
            <w:vAlign w:val="bottom"/>
            <w:hideMark/>
          </w:tcPr>
          <w:p w14:paraId="61C6ACB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0.071</w:t>
            </w:r>
          </w:p>
        </w:tc>
        <w:tc>
          <w:tcPr>
            <w:tcW w:w="531" w:type="pct"/>
            <w:tcBorders>
              <w:top w:val="nil"/>
              <w:left w:val="nil"/>
              <w:bottom w:val="nil"/>
              <w:right w:val="nil"/>
            </w:tcBorders>
            <w:shd w:val="clear" w:color="auto" w:fill="auto"/>
            <w:noWrap/>
            <w:vAlign w:val="bottom"/>
            <w:hideMark/>
          </w:tcPr>
          <w:p w14:paraId="1DDBB3E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0.005</w:t>
            </w:r>
          </w:p>
        </w:tc>
        <w:tc>
          <w:tcPr>
            <w:tcW w:w="533" w:type="pct"/>
            <w:tcBorders>
              <w:top w:val="nil"/>
              <w:left w:val="nil"/>
              <w:bottom w:val="nil"/>
              <w:right w:val="single" w:sz="4" w:space="0" w:color="auto"/>
            </w:tcBorders>
            <w:shd w:val="clear" w:color="auto" w:fill="auto"/>
            <w:noWrap/>
            <w:vAlign w:val="bottom"/>
            <w:hideMark/>
          </w:tcPr>
          <w:p w14:paraId="1091883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0.010</w:t>
            </w:r>
          </w:p>
        </w:tc>
        <w:tc>
          <w:tcPr>
            <w:tcW w:w="549" w:type="pct"/>
            <w:tcBorders>
              <w:top w:val="nil"/>
              <w:left w:val="single" w:sz="4" w:space="0" w:color="auto"/>
              <w:bottom w:val="nil"/>
              <w:right w:val="nil"/>
            </w:tcBorders>
            <w:shd w:val="clear" w:color="auto" w:fill="auto"/>
            <w:noWrap/>
            <w:vAlign w:val="bottom"/>
            <w:hideMark/>
          </w:tcPr>
          <w:p w14:paraId="3A22D9D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0.169</w:t>
            </w:r>
          </w:p>
        </w:tc>
        <w:tc>
          <w:tcPr>
            <w:tcW w:w="549" w:type="pct"/>
            <w:tcBorders>
              <w:top w:val="nil"/>
              <w:left w:val="nil"/>
              <w:bottom w:val="nil"/>
              <w:right w:val="nil"/>
            </w:tcBorders>
            <w:shd w:val="clear" w:color="auto" w:fill="auto"/>
            <w:noWrap/>
            <w:vAlign w:val="bottom"/>
            <w:hideMark/>
          </w:tcPr>
          <w:p w14:paraId="660C6B6A"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0.183</w:t>
            </w:r>
          </w:p>
        </w:tc>
        <w:tc>
          <w:tcPr>
            <w:tcW w:w="520" w:type="pct"/>
            <w:tcBorders>
              <w:top w:val="nil"/>
              <w:left w:val="nil"/>
              <w:bottom w:val="nil"/>
              <w:right w:val="nil"/>
            </w:tcBorders>
            <w:shd w:val="clear" w:color="auto" w:fill="auto"/>
            <w:noWrap/>
            <w:vAlign w:val="bottom"/>
            <w:hideMark/>
          </w:tcPr>
          <w:p w14:paraId="0581BEF1"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0.035</w:t>
            </w:r>
          </w:p>
        </w:tc>
        <w:tc>
          <w:tcPr>
            <w:tcW w:w="520" w:type="pct"/>
            <w:tcBorders>
              <w:top w:val="nil"/>
              <w:left w:val="nil"/>
              <w:bottom w:val="nil"/>
              <w:right w:val="nil"/>
            </w:tcBorders>
            <w:shd w:val="clear" w:color="auto" w:fill="auto"/>
            <w:noWrap/>
            <w:vAlign w:val="bottom"/>
            <w:hideMark/>
          </w:tcPr>
          <w:p w14:paraId="5D86D99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0.039</w:t>
            </w:r>
          </w:p>
        </w:tc>
      </w:tr>
      <w:tr w:rsidR="00116862" w:rsidRPr="00245E91" w14:paraId="4151A427" w14:textId="77777777" w:rsidTr="00D83DD8">
        <w:trPr>
          <w:trHeight w:val="144"/>
        </w:trPr>
        <w:tc>
          <w:tcPr>
            <w:tcW w:w="694" w:type="pct"/>
            <w:tcBorders>
              <w:top w:val="nil"/>
              <w:left w:val="nil"/>
              <w:bottom w:val="nil"/>
              <w:right w:val="nil"/>
            </w:tcBorders>
            <w:shd w:val="clear" w:color="auto" w:fill="auto"/>
            <w:noWrap/>
            <w:vAlign w:val="bottom"/>
            <w:hideMark/>
          </w:tcPr>
          <w:p w14:paraId="08069CA8"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p>
        </w:tc>
        <w:tc>
          <w:tcPr>
            <w:tcW w:w="552" w:type="pct"/>
            <w:tcBorders>
              <w:top w:val="nil"/>
              <w:left w:val="nil"/>
              <w:bottom w:val="nil"/>
              <w:right w:val="nil"/>
            </w:tcBorders>
            <w:shd w:val="clear" w:color="auto" w:fill="auto"/>
            <w:noWrap/>
            <w:vAlign w:val="bottom"/>
            <w:hideMark/>
          </w:tcPr>
          <w:p w14:paraId="00B48DA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(1.22)</w:t>
            </w:r>
          </w:p>
        </w:tc>
        <w:tc>
          <w:tcPr>
            <w:tcW w:w="552" w:type="pct"/>
            <w:tcBorders>
              <w:top w:val="nil"/>
              <w:left w:val="nil"/>
              <w:bottom w:val="nil"/>
              <w:right w:val="nil"/>
            </w:tcBorders>
            <w:shd w:val="clear" w:color="auto" w:fill="auto"/>
            <w:noWrap/>
            <w:vAlign w:val="bottom"/>
            <w:hideMark/>
          </w:tcPr>
          <w:p w14:paraId="29AA46F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(1.74*)</w:t>
            </w:r>
          </w:p>
        </w:tc>
        <w:tc>
          <w:tcPr>
            <w:tcW w:w="531" w:type="pct"/>
            <w:tcBorders>
              <w:top w:val="nil"/>
              <w:left w:val="nil"/>
              <w:bottom w:val="nil"/>
              <w:right w:val="nil"/>
            </w:tcBorders>
            <w:shd w:val="clear" w:color="auto" w:fill="auto"/>
            <w:noWrap/>
            <w:vAlign w:val="bottom"/>
            <w:hideMark/>
          </w:tcPr>
          <w:p w14:paraId="04710D4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(0.16)</w:t>
            </w:r>
          </w:p>
        </w:tc>
        <w:tc>
          <w:tcPr>
            <w:tcW w:w="533" w:type="pct"/>
            <w:tcBorders>
              <w:top w:val="nil"/>
              <w:left w:val="nil"/>
              <w:bottom w:val="nil"/>
              <w:right w:val="single" w:sz="4" w:space="0" w:color="auto"/>
            </w:tcBorders>
            <w:shd w:val="clear" w:color="auto" w:fill="auto"/>
            <w:noWrap/>
            <w:vAlign w:val="bottom"/>
            <w:hideMark/>
          </w:tcPr>
          <w:p w14:paraId="001848B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(0.33)</w:t>
            </w:r>
          </w:p>
        </w:tc>
        <w:tc>
          <w:tcPr>
            <w:tcW w:w="549" w:type="pct"/>
            <w:tcBorders>
              <w:top w:val="nil"/>
              <w:left w:val="single" w:sz="4" w:space="0" w:color="auto"/>
              <w:bottom w:val="nil"/>
              <w:right w:val="nil"/>
            </w:tcBorders>
            <w:shd w:val="clear" w:color="auto" w:fill="auto"/>
            <w:noWrap/>
            <w:vAlign w:val="bottom"/>
            <w:hideMark/>
          </w:tcPr>
          <w:p w14:paraId="3EA92D8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(3.40***)</w:t>
            </w:r>
          </w:p>
        </w:tc>
        <w:tc>
          <w:tcPr>
            <w:tcW w:w="549" w:type="pct"/>
            <w:tcBorders>
              <w:top w:val="nil"/>
              <w:left w:val="nil"/>
              <w:bottom w:val="nil"/>
              <w:right w:val="nil"/>
            </w:tcBorders>
            <w:shd w:val="clear" w:color="auto" w:fill="auto"/>
            <w:noWrap/>
            <w:vAlign w:val="bottom"/>
            <w:hideMark/>
          </w:tcPr>
          <w:p w14:paraId="7B43EB2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(4.24***)</w:t>
            </w:r>
          </w:p>
        </w:tc>
        <w:tc>
          <w:tcPr>
            <w:tcW w:w="520" w:type="pct"/>
            <w:tcBorders>
              <w:top w:val="nil"/>
              <w:left w:val="nil"/>
              <w:bottom w:val="nil"/>
              <w:right w:val="nil"/>
            </w:tcBorders>
            <w:shd w:val="clear" w:color="auto" w:fill="auto"/>
            <w:noWrap/>
            <w:vAlign w:val="bottom"/>
            <w:hideMark/>
          </w:tcPr>
          <w:p w14:paraId="77A1C80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(1.35)</w:t>
            </w:r>
          </w:p>
        </w:tc>
        <w:tc>
          <w:tcPr>
            <w:tcW w:w="520" w:type="pct"/>
            <w:tcBorders>
              <w:top w:val="nil"/>
              <w:left w:val="nil"/>
              <w:bottom w:val="nil"/>
              <w:right w:val="nil"/>
            </w:tcBorders>
            <w:shd w:val="clear" w:color="auto" w:fill="auto"/>
            <w:noWrap/>
            <w:vAlign w:val="bottom"/>
            <w:hideMark/>
          </w:tcPr>
          <w:p w14:paraId="1484AF9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(1.49)</w:t>
            </w:r>
          </w:p>
        </w:tc>
      </w:tr>
      <w:tr w:rsidR="00116862" w:rsidRPr="00245E91" w14:paraId="3C63B01A" w14:textId="77777777" w:rsidTr="00D83DD8">
        <w:trPr>
          <w:trHeight w:val="144"/>
        </w:trPr>
        <w:tc>
          <w:tcPr>
            <w:tcW w:w="694" w:type="pct"/>
            <w:tcBorders>
              <w:top w:val="nil"/>
              <w:left w:val="nil"/>
              <w:bottom w:val="nil"/>
              <w:right w:val="nil"/>
            </w:tcBorders>
            <w:shd w:val="clear" w:color="auto" w:fill="auto"/>
            <w:noWrap/>
            <w:vAlign w:val="bottom"/>
            <w:hideMark/>
          </w:tcPr>
          <w:p w14:paraId="741333A6"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NOA</w:t>
            </w:r>
          </w:p>
        </w:tc>
        <w:tc>
          <w:tcPr>
            <w:tcW w:w="552" w:type="pct"/>
            <w:tcBorders>
              <w:top w:val="nil"/>
              <w:left w:val="nil"/>
              <w:bottom w:val="nil"/>
              <w:right w:val="nil"/>
            </w:tcBorders>
            <w:shd w:val="clear" w:color="auto" w:fill="auto"/>
            <w:noWrap/>
            <w:vAlign w:val="bottom"/>
            <w:hideMark/>
          </w:tcPr>
          <w:p w14:paraId="1FB14C1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0.069</w:t>
            </w:r>
          </w:p>
        </w:tc>
        <w:tc>
          <w:tcPr>
            <w:tcW w:w="552" w:type="pct"/>
            <w:tcBorders>
              <w:top w:val="nil"/>
              <w:left w:val="nil"/>
              <w:bottom w:val="nil"/>
              <w:right w:val="nil"/>
            </w:tcBorders>
            <w:shd w:val="clear" w:color="auto" w:fill="auto"/>
            <w:noWrap/>
            <w:vAlign w:val="bottom"/>
            <w:hideMark/>
          </w:tcPr>
          <w:p w14:paraId="6FC0A74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0.013</w:t>
            </w:r>
          </w:p>
        </w:tc>
        <w:tc>
          <w:tcPr>
            <w:tcW w:w="531" w:type="pct"/>
            <w:tcBorders>
              <w:top w:val="nil"/>
              <w:left w:val="nil"/>
              <w:bottom w:val="nil"/>
              <w:right w:val="nil"/>
            </w:tcBorders>
            <w:shd w:val="clear" w:color="auto" w:fill="auto"/>
            <w:noWrap/>
            <w:vAlign w:val="bottom"/>
            <w:hideMark/>
          </w:tcPr>
          <w:p w14:paraId="4CDF47D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-0.044</w:t>
            </w:r>
          </w:p>
        </w:tc>
        <w:tc>
          <w:tcPr>
            <w:tcW w:w="533" w:type="pct"/>
            <w:tcBorders>
              <w:top w:val="nil"/>
              <w:left w:val="nil"/>
              <w:bottom w:val="nil"/>
              <w:right w:val="single" w:sz="4" w:space="0" w:color="auto"/>
            </w:tcBorders>
            <w:shd w:val="clear" w:color="auto" w:fill="auto"/>
            <w:noWrap/>
            <w:vAlign w:val="bottom"/>
            <w:hideMark/>
          </w:tcPr>
          <w:p w14:paraId="2CD390D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-0.046</w:t>
            </w:r>
          </w:p>
        </w:tc>
        <w:tc>
          <w:tcPr>
            <w:tcW w:w="549" w:type="pct"/>
            <w:tcBorders>
              <w:top w:val="nil"/>
              <w:left w:val="single" w:sz="4" w:space="0" w:color="auto"/>
              <w:bottom w:val="nil"/>
              <w:right w:val="nil"/>
            </w:tcBorders>
            <w:shd w:val="clear" w:color="auto" w:fill="auto"/>
            <w:noWrap/>
            <w:vAlign w:val="bottom"/>
            <w:hideMark/>
          </w:tcPr>
          <w:p w14:paraId="4B6784F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-0.003</w:t>
            </w:r>
          </w:p>
        </w:tc>
        <w:tc>
          <w:tcPr>
            <w:tcW w:w="549" w:type="pct"/>
            <w:tcBorders>
              <w:top w:val="nil"/>
              <w:left w:val="nil"/>
              <w:bottom w:val="nil"/>
              <w:right w:val="nil"/>
            </w:tcBorders>
            <w:shd w:val="clear" w:color="auto" w:fill="auto"/>
            <w:noWrap/>
            <w:vAlign w:val="bottom"/>
            <w:hideMark/>
          </w:tcPr>
          <w:p w14:paraId="5D656FF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-0.044</w:t>
            </w:r>
          </w:p>
        </w:tc>
        <w:tc>
          <w:tcPr>
            <w:tcW w:w="520" w:type="pct"/>
            <w:tcBorders>
              <w:top w:val="nil"/>
              <w:left w:val="nil"/>
              <w:bottom w:val="nil"/>
              <w:right w:val="nil"/>
            </w:tcBorders>
            <w:shd w:val="clear" w:color="auto" w:fill="auto"/>
            <w:noWrap/>
            <w:vAlign w:val="bottom"/>
            <w:hideMark/>
          </w:tcPr>
          <w:p w14:paraId="17854E5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-0.026</w:t>
            </w:r>
          </w:p>
        </w:tc>
        <w:tc>
          <w:tcPr>
            <w:tcW w:w="520" w:type="pct"/>
            <w:tcBorders>
              <w:top w:val="nil"/>
              <w:left w:val="nil"/>
              <w:bottom w:val="nil"/>
              <w:right w:val="nil"/>
            </w:tcBorders>
            <w:shd w:val="clear" w:color="auto" w:fill="auto"/>
            <w:noWrap/>
            <w:vAlign w:val="bottom"/>
            <w:hideMark/>
          </w:tcPr>
          <w:p w14:paraId="701A4F5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-0.026</w:t>
            </w:r>
          </w:p>
        </w:tc>
      </w:tr>
      <w:tr w:rsidR="00116862" w:rsidRPr="00245E91" w14:paraId="0295BA32" w14:textId="77777777" w:rsidTr="00D83DD8">
        <w:trPr>
          <w:trHeight w:val="144"/>
        </w:trPr>
        <w:tc>
          <w:tcPr>
            <w:tcW w:w="694" w:type="pct"/>
            <w:tcBorders>
              <w:top w:val="nil"/>
              <w:left w:val="nil"/>
              <w:bottom w:val="nil"/>
              <w:right w:val="nil"/>
            </w:tcBorders>
            <w:shd w:val="clear" w:color="auto" w:fill="auto"/>
            <w:noWrap/>
            <w:vAlign w:val="bottom"/>
            <w:hideMark/>
          </w:tcPr>
          <w:p w14:paraId="57679F19"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p>
        </w:tc>
        <w:tc>
          <w:tcPr>
            <w:tcW w:w="552" w:type="pct"/>
            <w:tcBorders>
              <w:top w:val="nil"/>
              <w:left w:val="nil"/>
              <w:bottom w:val="nil"/>
              <w:right w:val="nil"/>
            </w:tcBorders>
            <w:shd w:val="clear" w:color="auto" w:fill="auto"/>
            <w:noWrap/>
            <w:vAlign w:val="bottom"/>
            <w:hideMark/>
          </w:tcPr>
          <w:p w14:paraId="3D4F712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(1.82*)</w:t>
            </w:r>
          </w:p>
        </w:tc>
        <w:tc>
          <w:tcPr>
            <w:tcW w:w="552" w:type="pct"/>
            <w:tcBorders>
              <w:top w:val="nil"/>
              <w:left w:val="nil"/>
              <w:bottom w:val="nil"/>
              <w:right w:val="nil"/>
            </w:tcBorders>
            <w:shd w:val="clear" w:color="auto" w:fill="auto"/>
            <w:noWrap/>
            <w:vAlign w:val="bottom"/>
            <w:hideMark/>
          </w:tcPr>
          <w:p w14:paraId="2BB3B9C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(0.35)</w:t>
            </w:r>
          </w:p>
        </w:tc>
        <w:tc>
          <w:tcPr>
            <w:tcW w:w="531" w:type="pct"/>
            <w:tcBorders>
              <w:top w:val="nil"/>
              <w:left w:val="nil"/>
              <w:bottom w:val="nil"/>
              <w:right w:val="nil"/>
            </w:tcBorders>
            <w:shd w:val="clear" w:color="auto" w:fill="auto"/>
            <w:noWrap/>
            <w:vAlign w:val="bottom"/>
            <w:hideMark/>
          </w:tcPr>
          <w:p w14:paraId="28EC043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(-1.79*)</w:t>
            </w:r>
          </w:p>
        </w:tc>
        <w:tc>
          <w:tcPr>
            <w:tcW w:w="533" w:type="pct"/>
            <w:tcBorders>
              <w:top w:val="nil"/>
              <w:left w:val="nil"/>
              <w:bottom w:val="nil"/>
              <w:right w:val="single" w:sz="4" w:space="0" w:color="auto"/>
            </w:tcBorders>
            <w:shd w:val="clear" w:color="auto" w:fill="auto"/>
            <w:noWrap/>
            <w:vAlign w:val="bottom"/>
            <w:hideMark/>
          </w:tcPr>
          <w:p w14:paraId="016B1099"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(-1.99**)</w:t>
            </w:r>
          </w:p>
        </w:tc>
        <w:tc>
          <w:tcPr>
            <w:tcW w:w="549" w:type="pct"/>
            <w:tcBorders>
              <w:top w:val="nil"/>
              <w:left w:val="single" w:sz="4" w:space="0" w:color="auto"/>
              <w:bottom w:val="nil"/>
              <w:right w:val="nil"/>
            </w:tcBorders>
            <w:shd w:val="clear" w:color="auto" w:fill="auto"/>
            <w:noWrap/>
            <w:vAlign w:val="bottom"/>
            <w:hideMark/>
          </w:tcPr>
          <w:p w14:paraId="036863C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w:t>
            </w:r>
          </w:p>
        </w:tc>
        <w:tc>
          <w:tcPr>
            <w:tcW w:w="549" w:type="pct"/>
            <w:tcBorders>
              <w:top w:val="nil"/>
              <w:left w:val="nil"/>
              <w:bottom w:val="nil"/>
              <w:right w:val="nil"/>
            </w:tcBorders>
            <w:shd w:val="clear" w:color="auto" w:fill="auto"/>
            <w:noWrap/>
            <w:vAlign w:val="bottom"/>
            <w:hideMark/>
          </w:tcPr>
          <w:p w14:paraId="56C9550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(-1.25)</w:t>
            </w:r>
          </w:p>
        </w:tc>
        <w:tc>
          <w:tcPr>
            <w:tcW w:w="520" w:type="pct"/>
            <w:tcBorders>
              <w:top w:val="nil"/>
              <w:left w:val="nil"/>
              <w:bottom w:val="nil"/>
              <w:right w:val="nil"/>
            </w:tcBorders>
            <w:shd w:val="clear" w:color="auto" w:fill="auto"/>
            <w:noWrap/>
            <w:vAlign w:val="bottom"/>
            <w:hideMark/>
          </w:tcPr>
          <w:p w14:paraId="04CF3981"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(-0.99)</w:t>
            </w:r>
          </w:p>
        </w:tc>
        <w:tc>
          <w:tcPr>
            <w:tcW w:w="520" w:type="pct"/>
            <w:tcBorders>
              <w:top w:val="nil"/>
              <w:left w:val="nil"/>
              <w:bottom w:val="nil"/>
              <w:right w:val="nil"/>
            </w:tcBorders>
            <w:shd w:val="clear" w:color="auto" w:fill="auto"/>
            <w:noWrap/>
            <w:vAlign w:val="bottom"/>
            <w:hideMark/>
          </w:tcPr>
          <w:p w14:paraId="1CDDC33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(-1.05)</w:t>
            </w:r>
          </w:p>
        </w:tc>
      </w:tr>
      <w:tr w:rsidR="00116862" w:rsidRPr="00245E91" w14:paraId="2CF21EF9" w14:textId="77777777" w:rsidTr="00D83DD8">
        <w:trPr>
          <w:trHeight w:val="144"/>
        </w:trPr>
        <w:tc>
          <w:tcPr>
            <w:tcW w:w="694" w:type="pct"/>
            <w:tcBorders>
              <w:top w:val="nil"/>
              <w:left w:val="nil"/>
              <w:bottom w:val="nil"/>
              <w:right w:val="nil"/>
            </w:tcBorders>
            <w:shd w:val="clear" w:color="auto" w:fill="auto"/>
            <w:noWrap/>
            <w:vAlign w:val="bottom"/>
            <w:hideMark/>
          </w:tcPr>
          <w:p w14:paraId="4514B4A7"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OPERCYCLE</w:t>
            </w:r>
          </w:p>
        </w:tc>
        <w:tc>
          <w:tcPr>
            <w:tcW w:w="552" w:type="pct"/>
            <w:tcBorders>
              <w:top w:val="nil"/>
              <w:left w:val="nil"/>
              <w:bottom w:val="nil"/>
              <w:right w:val="nil"/>
            </w:tcBorders>
            <w:shd w:val="clear" w:color="auto" w:fill="auto"/>
            <w:noWrap/>
            <w:vAlign w:val="bottom"/>
            <w:hideMark/>
          </w:tcPr>
          <w:p w14:paraId="4663561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0.041</w:t>
            </w:r>
          </w:p>
        </w:tc>
        <w:tc>
          <w:tcPr>
            <w:tcW w:w="552" w:type="pct"/>
            <w:tcBorders>
              <w:top w:val="nil"/>
              <w:left w:val="nil"/>
              <w:bottom w:val="nil"/>
              <w:right w:val="nil"/>
            </w:tcBorders>
            <w:shd w:val="clear" w:color="auto" w:fill="auto"/>
            <w:noWrap/>
            <w:vAlign w:val="bottom"/>
            <w:hideMark/>
          </w:tcPr>
          <w:p w14:paraId="6BEB998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0.048</w:t>
            </w:r>
          </w:p>
        </w:tc>
        <w:tc>
          <w:tcPr>
            <w:tcW w:w="531" w:type="pct"/>
            <w:tcBorders>
              <w:top w:val="nil"/>
              <w:left w:val="nil"/>
              <w:bottom w:val="nil"/>
              <w:right w:val="nil"/>
            </w:tcBorders>
            <w:shd w:val="clear" w:color="auto" w:fill="auto"/>
            <w:noWrap/>
            <w:vAlign w:val="bottom"/>
            <w:hideMark/>
          </w:tcPr>
          <w:p w14:paraId="486CFD8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0.014</w:t>
            </w:r>
          </w:p>
        </w:tc>
        <w:tc>
          <w:tcPr>
            <w:tcW w:w="533" w:type="pct"/>
            <w:tcBorders>
              <w:top w:val="nil"/>
              <w:left w:val="nil"/>
              <w:bottom w:val="nil"/>
              <w:right w:val="single" w:sz="4" w:space="0" w:color="auto"/>
            </w:tcBorders>
            <w:shd w:val="clear" w:color="auto" w:fill="auto"/>
            <w:noWrap/>
            <w:vAlign w:val="bottom"/>
            <w:hideMark/>
          </w:tcPr>
          <w:p w14:paraId="1847BE4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0.019</w:t>
            </w:r>
          </w:p>
        </w:tc>
        <w:tc>
          <w:tcPr>
            <w:tcW w:w="549" w:type="pct"/>
            <w:tcBorders>
              <w:top w:val="nil"/>
              <w:left w:val="single" w:sz="4" w:space="0" w:color="auto"/>
              <w:bottom w:val="nil"/>
              <w:right w:val="nil"/>
            </w:tcBorders>
            <w:shd w:val="clear" w:color="auto" w:fill="auto"/>
            <w:noWrap/>
            <w:vAlign w:val="bottom"/>
            <w:hideMark/>
          </w:tcPr>
          <w:p w14:paraId="135C4CA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0.075</w:t>
            </w:r>
          </w:p>
        </w:tc>
        <w:tc>
          <w:tcPr>
            <w:tcW w:w="549" w:type="pct"/>
            <w:tcBorders>
              <w:top w:val="nil"/>
              <w:left w:val="nil"/>
              <w:bottom w:val="nil"/>
              <w:right w:val="nil"/>
            </w:tcBorders>
            <w:shd w:val="clear" w:color="auto" w:fill="auto"/>
            <w:noWrap/>
            <w:vAlign w:val="bottom"/>
            <w:hideMark/>
          </w:tcPr>
          <w:p w14:paraId="56F5F48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0.128</w:t>
            </w:r>
          </w:p>
        </w:tc>
        <w:tc>
          <w:tcPr>
            <w:tcW w:w="520" w:type="pct"/>
            <w:tcBorders>
              <w:top w:val="nil"/>
              <w:left w:val="nil"/>
              <w:bottom w:val="nil"/>
              <w:right w:val="nil"/>
            </w:tcBorders>
            <w:shd w:val="clear" w:color="auto" w:fill="auto"/>
            <w:noWrap/>
            <w:vAlign w:val="bottom"/>
            <w:hideMark/>
          </w:tcPr>
          <w:p w14:paraId="34B349B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0.029</w:t>
            </w:r>
          </w:p>
        </w:tc>
        <w:tc>
          <w:tcPr>
            <w:tcW w:w="520" w:type="pct"/>
            <w:tcBorders>
              <w:top w:val="nil"/>
              <w:left w:val="nil"/>
              <w:bottom w:val="nil"/>
              <w:right w:val="nil"/>
            </w:tcBorders>
            <w:shd w:val="clear" w:color="auto" w:fill="auto"/>
            <w:noWrap/>
            <w:vAlign w:val="bottom"/>
            <w:hideMark/>
          </w:tcPr>
          <w:p w14:paraId="5D1FEDC9"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0.026</w:t>
            </w:r>
          </w:p>
        </w:tc>
      </w:tr>
      <w:tr w:rsidR="00116862" w:rsidRPr="00245E91" w14:paraId="2BE0B430" w14:textId="77777777" w:rsidTr="00D83DD8">
        <w:trPr>
          <w:trHeight w:val="144"/>
        </w:trPr>
        <w:tc>
          <w:tcPr>
            <w:tcW w:w="694" w:type="pct"/>
            <w:tcBorders>
              <w:top w:val="nil"/>
              <w:left w:val="nil"/>
              <w:bottom w:val="nil"/>
              <w:right w:val="nil"/>
            </w:tcBorders>
            <w:shd w:val="clear" w:color="auto" w:fill="auto"/>
            <w:noWrap/>
            <w:vAlign w:val="bottom"/>
            <w:hideMark/>
          </w:tcPr>
          <w:p w14:paraId="5F9AFFF6"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p>
        </w:tc>
        <w:tc>
          <w:tcPr>
            <w:tcW w:w="552" w:type="pct"/>
            <w:tcBorders>
              <w:top w:val="nil"/>
              <w:left w:val="nil"/>
              <w:bottom w:val="nil"/>
              <w:right w:val="nil"/>
            </w:tcBorders>
            <w:shd w:val="clear" w:color="auto" w:fill="auto"/>
            <w:noWrap/>
            <w:vAlign w:val="bottom"/>
            <w:hideMark/>
          </w:tcPr>
          <w:p w14:paraId="585A6179"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(1.19)</w:t>
            </w:r>
          </w:p>
        </w:tc>
        <w:tc>
          <w:tcPr>
            <w:tcW w:w="552" w:type="pct"/>
            <w:tcBorders>
              <w:top w:val="nil"/>
              <w:left w:val="nil"/>
              <w:bottom w:val="nil"/>
              <w:right w:val="nil"/>
            </w:tcBorders>
            <w:shd w:val="clear" w:color="auto" w:fill="auto"/>
            <w:noWrap/>
            <w:vAlign w:val="bottom"/>
            <w:hideMark/>
          </w:tcPr>
          <w:p w14:paraId="1E5A486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(1.65)</w:t>
            </w:r>
          </w:p>
        </w:tc>
        <w:tc>
          <w:tcPr>
            <w:tcW w:w="531" w:type="pct"/>
            <w:tcBorders>
              <w:top w:val="nil"/>
              <w:left w:val="nil"/>
              <w:bottom w:val="nil"/>
              <w:right w:val="nil"/>
            </w:tcBorders>
            <w:shd w:val="clear" w:color="auto" w:fill="auto"/>
            <w:noWrap/>
            <w:vAlign w:val="bottom"/>
            <w:hideMark/>
          </w:tcPr>
          <w:p w14:paraId="0897A0E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(0.57)</w:t>
            </w:r>
          </w:p>
        </w:tc>
        <w:tc>
          <w:tcPr>
            <w:tcW w:w="533" w:type="pct"/>
            <w:tcBorders>
              <w:top w:val="nil"/>
              <w:left w:val="nil"/>
              <w:bottom w:val="nil"/>
              <w:right w:val="single" w:sz="4" w:space="0" w:color="auto"/>
            </w:tcBorders>
            <w:shd w:val="clear" w:color="auto" w:fill="auto"/>
            <w:noWrap/>
            <w:vAlign w:val="bottom"/>
            <w:hideMark/>
          </w:tcPr>
          <w:p w14:paraId="3C03CA4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(0.78)</w:t>
            </w:r>
          </w:p>
        </w:tc>
        <w:tc>
          <w:tcPr>
            <w:tcW w:w="549" w:type="pct"/>
            <w:tcBorders>
              <w:top w:val="nil"/>
              <w:left w:val="single" w:sz="4" w:space="0" w:color="auto"/>
              <w:bottom w:val="nil"/>
              <w:right w:val="nil"/>
            </w:tcBorders>
            <w:shd w:val="clear" w:color="auto" w:fill="auto"/>
            <w:noWrap/>
            <w:vAlign w:val="bottom"/>
            <w:hideMark/>
          </w:tcPr>
          <w:p w14:paraId="7874E1C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(2.22**)</w:t>
            </w:r>
          </w:p>
        </w:tc>
        <w:tc>
          <w:tcPr>
            <w:tcW w:w="549" w:type="pct"/>
            <w:tcBorders>
              <w:top w:val="nil"/>
              <w:left w:val="nil"/>
              <w:bottom w:val="nil"/>
              <w:right w:val="nil"/>
            </w:tcBorders>
            <w:shd w:val="clear" w:color="auto" w:fill="auto"/>
            <w:noWrap/>
            <w:vAlign w:val="bottom"/>
            <w:hideMark/>
          </w:tcPr>
          <w:p w14:paraId="3705BDF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(3.940***)</w:t>
            </w:r>
          </w:p>
        </w:tc>
        <w:tc>
          <w:tcPr>
            <w:tcW w:w="520" w:type="pct"/>
            <w:tcBorders>
              <w:top w:val="nil"/>
              <w:left w:val="nil"/>
              <w:bottom w:val="nil"/>
              <w:right w:val="nil"/>
            </w:tcBorders>
            <w:shd w:val="clear" w:color="auto" w:fill="auto"/>
            <w:noWrap/>
            <w:vAlign w:val="bottom"/>
            <w:hideMark/>
          </w:tcPr>
          <w:p w14:paraId="7256B67A"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(1.37)</w:t>
            </w:r>
          </w:p>
        </w:tc>
        <w:tc>
          <w:tcPr>
            <w:tcW w:w="520" w:type="pct"/>
            <w:tcBorders>
              <w:top w:val="nil"/>
              <w:left w:val="nil"/>
              <w:bottom w:val="nil"/>
              <w:right w:val="nil"/>
            </w:tcBorders>
            <w:shd w:val="clear" w:color="auto" w:fill="auto"/>
            <w:noWrap/>
            <w:vAlign w:val="bottom"/>
            <w:hideMark/>
          </w:tcPr>
          <w:p w14:paraId="03A3542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(1.27)</w:t>
            </w:r>
          </w:p>
        </w:tc>
      </w:tr>
      <w:tr w:rsidR="00116862" w:rsidRPr="00245E91" w14:paraId="0BD2D627" w14:textId="77777777" w:rsidTr="00D83DD8">
        <w:trPr>
          <w:trHeight w:val="144"/>
        </w:trPr>
        <w:tc>
          <w:tcPr>
            <w:tcW w:w="694" w:type="pct"/>
            <w:tcBorders>
              <w:top w:val="nil"/>
              <w:left w:val="nil"/>
              <w:bottom w:val="nil"/>
              <w:right w:val="nil"/>
            </w:tcBorders>
            <w:shd w:val="clear" w:color="auto" w:fill="auto"/>
            <w:noWrap/>
            <w:vAlign w:val="bottom"/>
            <w:hideMark/>
          </w:tcPr>
          <w:p w14:paraId="666D629D"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ROA</w:t>
            </w:r>
          </w:p>
        </w:tc>
        <w:tc>
          <w:tcPr>
            <w:tcW w:w="552" w:type="pct"/>
            <w:tcBorders>
              <w:top w:val="nil"/>
              <w:left w:val="nil"/>
              <w:bottom w:val="nil"/>
              <w:right w:val="nil"/>
            </w:tcBorders>
            <w:shd w:val="clear" w:color="auto" w:fill="auto"/>
            <w:noWrap/>
            <w:vAlign w:val="bottom"/>
            <w:hideMark/>
          </w:tcPr>
          <w:p w14:paraId="0D6CFE5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-0.126</w:t>
            </w:r>
          </w:p>
        </w:tc>
        <w:tc>
          <w:tcPr>
            <w:tcW w:w="552" w:type="pct"/>
            <w:tcBorders>
              <w:top w:val="nil"/>
              <w:left w:val="nil"/>
              <w:bottom w:val="nil"/>
              <w:right w:val="nil"/>
            </w:tcBorders>
            <w:shd w:val="clear" w:color="auto" w:fill="auto"/>
            <w:noWrap/>
            <w:vAlign w:val="bottom"/>
            <w:hideMark/>
          </w:tcPr>
          <w:p w14:paraId="29656F19"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-0.277</w:t>
            </w:r>
          </w:p>
        </w:tc>
        <w:tc>
          <w:tcPr>
            <w:tcW w:w="531" w:type="pct"/>
            <w:tcBorders>
              <w:top w:val="nil"/>
              <w:left w:val="nil"/>
              <w:bottom w:val="nil"/>
              <w:right w:val="nil"/>
            </w:tcBorders>
            <w:shd w:val="clear" w:color="auto" w:fill="auto"/>
            <w:noWrap/>
            <w:vAlign w:val="bottom"/>
            <w:hideMark/>
          </w:tcPr>
          <w:p w14:paraId="3363EDB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0.520</w:t>
            </w:r>
          </w:p>
        </w:tc>
        <w:tc>
          <w:tcPr>
            <w:tcW w:w="533" w:type="pct"/>
            <w:tcBorders>
              <w:top w:val="nil"/>
              <w:left w:val="nil"/>
              <w:bottom w:val="nil"/>
              <w:right w:val="single" w:sz="4" w:space="0" w:color="auto"/>
            </w:tcBorders>
            <w:shd w:val="clear" w:color="auto" w:fill="auto"/>
            <w:noWrap/>
            <w:vAlign w:val="bottom"/>
            <w:hideMark/>
          </w:tcPr>
          <w:p w14:paraId="1BA38B4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0.516</w:t>
            </w:r>
          </w:p>
        </w:tc>
        <w:tc>
          <w:tcPr>
            <w:tcW w:w="549" w:type="pct"/>
            <w:tcBorders>
              <w:top w:val="nil"/>
              <w:left w:val="single" w:sz="4" w:space="0" w:color="auto"/>
              <w:bottom w:val="nil"/>
              <w:right w:val="nil"/>
            </w:tcBorders>
            <w:shd w:val="clear" w:color="auto" w:fill="auto"/>
            <w:noWrap/>
            <w:vAlign w:val="bottom"/>
            <w:hideMark/>
          </w:tcPr>
          <w:p w14:paraId="6C23F28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-0.180</w:t>
            </w:r>
          </w:p>
        </w:tc>
        <w:tc>
          <w:tcPr>
            <w:tcW w:w="549" w:type="pct"/>
            <w:tcBorders>
              <w:top w:val="nil"/>
              <w:left w:val="nil"/>
              <w:bottom w:val="nil"/>
              <w:right w:val="nil"/>
            </w:tcBorders>
            <w:shd w:val="clear" w:color="auto" w:fill="auto"/>
            <w:noWrap/>
            <w:vAlign w:val="bottom"/>
            <w:hideMark/>
          </w:tcPr>
          <w:p w14:paraId="3A1CBC1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-0.268</w:t>
            </w:r>
          </w:p>
        </w:tc>
        <w:tc>
          <w:tcPr>
            <w:tcW w:w="520" w:type="pct"/>
            <w:tcBorders>
              <w:top w:val="nil"/>
              <w:left w:val="nil"/>
              <w:bottom w:val="nil"/>
              <w:right w:val="nil"/>
            </w:tcBorders>
            <w:shd w:val="clear" w:color="auto" w:fill="auto"/>
            <w:noWrap/>
            <w:vAlign w:val="bottom"/>
            <w:hideMark/>
          </w:tcPr>
          <w:p w14:paraId="7B680F39"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0.358</w:t>
            </w:r>
          </w:p>
        </w:tc>
        <w:tc>
          <w:tcPr>
            <w:tcW w:w="520" w:type="pct"/>
            <w:tcBorders>
              <w:top w:val="nil"/>
              <w:left w:val="nil"/>
              <w:bottom w:val="nil"/>
              <w:right w:val="nil"/>
            </w:tcBorders>
            <w:shd w:val="clear" w:color="auto" w:fill="auto"/>
            <w:noWrap/>
            <w:vAlign w:val="bottom"/>
            <w:hideMark/>
          </w:tcPr>
          <w:p w14:paraId="621CF43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0.353</w:t>
            </w:r>
          </w:p>
        </w:tc>
      </w:tr>
      <w:tr w:rsidR="00116862" w:rsidRPr="00245E91" w14:paraId="6CB40950" w14:textId="77777777" w:rsidTr="00D83DD8">
        <w:trPr>
          <w:trHeight w:val="144"/>
        </w:trPr>
        <w:tc>
          <w:tcPr>
            <w:tcW w:w="694" w:type="pct"/>
            <w:tcBorders>
              <w:top w:val="nil"/>
              <w:left w:val="nil"/>
              <w:bottom w:val="nil"/>
              <w:right w:val="nil"/>
            </w:tcBorders>
            <w:shd w:val="clear" w:color="auto" w:fill="auto"/>
            <w:noWrap/>
            <w:vAlign w:val="bottom"/>
            <w:hideMark/>
          </w:tcPr>
          <w:p w14:paraId="326E51AA"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p>
        </w:tc>
        <w:tc>
          <w:tcPr>
            <w:tcW w:w="552" w:type="pct"/>
            <w:tcBorders>
              <w:top w:val="nil"/>
              <w:left w:val="nil"/>
              <w:bottom w:val="nil"/>
              <w:right w:val="nil"/>
            </w:tcBorders>
            <w:shd w:val="clear" w:color="auto" w:fill="auto"/>
            <w:noWrap/>
            <w:vAlign w:val="bottom"/>
            <w:hideMark/>
          </w:tcPr>
          <w:p w14:paraId="4D3FA2C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(-2.68***)</w:t>
            </w:r>
          </w:p>
        </w:tc>
        <w:tc>
          <w:tcPr>
            <w:tcW w:w="552" w:type="pct"/>
            <w:tcBorders>
              <w:top w:val="nil"/>
              <w:left w:val="nil"/>
              <w:bottom w:val="nil"/>
              <w:right w:val="nil"/>
            </w:tcBorders>
            <w:shd w:val="clear" w:color="auto" w:fill="auto"/>
            <w:noWrap/>
            <w:vAlign w:val="bottom"/>
            <w:hideMark/>
          </w:tcPr>
          <w:p w14:paraId="1D5472BA"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(-6.75***)</w:t>
            </w:r>
          </w:p>
        </w:tc>
        <w:tc>
          <w:tcPr>
            <w:tcW w:w="531" w:type="pct"/>
            <w:tcBorders>
              <w:top w:val="nil"/>
              <w:left w:val="nil"/>
              <w:bottom w:val="nil"/>
              <w:right w:val="nil"/>
            </w:tcBorders>
            <w:shd w:val="clear" w:color="auto" w:fill="auto"/>
            <w:noWrap/>
            <w:vAlign w:val="bottom"/>
            <w:hideMark/>
          </w:tcPr>
          <w:p w14:paraId="4BC2198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(13.17***)</w:t>
            </w:r>
          </w:p>
        </w:tc>
        <w:tc>
          <w:tcPr>
            <w:tcW w:w="533" w:type="pct"/>
            <w:tcBorders>
              <w:top w:val="nil"/>
              <w:left w:val="nil"/>
              <w:bottom w:val="nil"/>
              <w:right w:val="single" w:sz="4" w:space="0" w:color="auto"/>
            </w:tcBorders>
            <w:shd w:val="clear" w:color="auto" w:fill="auto"/>
            <w:noWrap/>
            <w:vAlign w:val="bottom"/>
            <w:hideMark/>
          </w:tcPr>
          <w:p w14:paraId="7059D5E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(13.27***)</w:t>
            </w:r>
          </w:p>
        </w:tc>
        <w:tc>
          <w:tcPr>
            <w:tcW w:w="549" w:type="pct"/>
            <w:tcBorders>
              <w:top w:val="nil"/>
              <w:left w:val="single" w:sz="4" w:space="0" w:color="auto"/>
              <w:bottom w:val="nil"/>
              <w:right w:val="nil"/>
            </w:tcBorders>
            <w:shd w:val="clear" w:color="auto" w:fill="auto"/>
            <w:noWrap/>
            <w:vAlign w:val="bottom"/>
            <w:hideMark/>
          </w:tcPr>
          <w:p w14:paraId="416F45B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(-3.10***)</w:t>
            </w:r>
          </w:p>
        </w:tc>
        <w:tc>
          <w:tcPr>
            <w:tcW w:w="549" w:type="pct"/>
            <w:tcBorders>
              <w:top w:val="nil"/>
              <w:left w:val="nil"/>
              <w:bottom w:val="nil"/>
              <w:right w:val="nil"/>
            </w:tcBorders>
            <w:shd w:val="clear" w:color="auto" w:fill="auto"/>
            <w:noWrap/>
            <w:vAlign w:val="bottom"/>
            <w:hideMark/>
          </w:tcPr>
          <w:p w14:paraId="64D399F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(-7.18***)</w:t>
            </w:r>
          </w:p>
        </w:tc>
        <w:tc>
          <w:tcPr>
            <w:tcW w:w="520" w:type="pct"/>
            <w:tcBorders>
              <w:top w:val="nil"/>
              <w:left w:val="nil"/>
              <w:bottom w:val="nil"/>
              <w:right w:val="nil"/>
            </w:tcBorders>
            <w:shd w:val="clear" w:color="auto" w:fill="auto"/>
            <w:noWrap/>
            <w:vAlign w:val="bottom"/>
            <w:hideMark/>
          </w:tcPr>
          <w:p w14:paraId="24C6499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(13.95***)</w:t>
            </w:r>
          </w:p>
        </w:tc>
        <w:tc>
          <w:tcPr>
            <w:tcW w:w="520" w:type="pct"/>
            <w:tcBorders>
              <w:top w:val="nil"/>
              <w:left w:val="nil"/>
              <w:bottom w:val="nil"/>
              <w:right w:val="nil"/>
            </w:tcBorders>
            <w:shd w:val="clear" w:color="auto" w:fill="auto"/>
            <w:noWrap/>
            <w:vAlign w:val="bottom"/>
            <w:hideMark/>
          </w:tcPr>
          <w:p w14:paraId="6601C37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(15.80***)</w:t>
            </w:r>
          </w:p>
        </w:tc>
      </w:tr>
      <w:tr w:rsidR="00116862" w:rsidRPr="00245E91" w14:paraId="6A0B40BC" w14:textId="77777777" w:rsidTr="00D83DD8">
        <w:trPr>
          <w:trHeight w:val="144"/>
        </w:trPr>
        <w:tc>
          <w:tcPr>
            <w:tcW w:w="694" w:type="pct"/>
            <w:tcBorders>
              <w:top w:val="nil"/>
              <w:left w:val="nil"/>
              <w:bottom w:val="nil"/>
              <w:right w:val="nil"/>
            </w:tcBorders>
            <w:shd w:val="clear" w:color="auto" w:fill="auto"/>
            <w:noWrap/>
            <w:vAlign w:val="bottom"/>
            <w:hideMark/>
          </w:tcPr>
          <w:p w14:paraId="51D6298A"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MKBK</w:t>
            </w:r>
          </w:p>
        </w:tc>
        <w:tc>
          <w:tcPr>
            <w:tcW w:w="552" w:type="pct"/>
            <w:tcBorders>
              <w:top w:val="nil"/>
              <w:left w:val="nil"/>
              <w:bottom w:val="nil"/>
              <w:right w:val="nil"/>
            </w:tcBorders>
            <w:shd w:val="clear" w:color="auto" w:fill="auto"/>
            <w:noWrap/>
            <w:vAlign w:val="bottom"/>
            <w:hideMark/>
          </w:tcPr>
          <w:p w14:paraId="20046721"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-0.075</w:t>
            </w:r>
          </w:p>
        </w:tc>
        <w:tc>
          <w:tcPr>
            <w:tcW w:w="552" w:type="pct"/>
            <w:tcBorders>
              <w:top w:val="nil"/>
              <w:left w:val="nil"/>
              <w:bottom w:val="nil"/>
              <w:right w:val="nil"/>
            </w:tcBorders>
            <w:shd w:val="clear" w:color="auto" w:fill="auto"/>
            <w:noWrap/>
            <w:vAlign w:val="bottom"/>
            <w:hideMark/>
          </w:tcPr>
          <w:p w14:paraId="63F5283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-0.050</w:t>
            </w:r>
          </w:p>
        </w:tc>
        <w:tc>
          <w:tcPr>
            <w:tcW w:w="531" w:type="pct"/>
            <w:tcBorders>
              <w:top w:val="nil"/>
              <w:left w:val="nil"/>
              <w:bottom w:val="nil"/>
              <w:right w:val="nil"/>
            </w:tcBorders>
            <w:shd w:val="clear" w:color="auto" w:fill="auto"/>
            <w:noWrap/>
            <w:vAlign w:val="bottom"/>
            <w:hideMark/>
          </w:tcPr>
          <w:p w14:paraId="4F14ADE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0.047</w:t>
            </w:r>
          </w:p>
        </w:tc>
        <w:tc>
          <w:tcPr>
            <w:tcW w:w="533" w:type="pct"/>
            <w:tcBorders>
              <w:top w:val="nil"/>
              <w:left w:val="nil"/>
              <w:bottom w:val="nil"/>
              <w:right w:val="single" w:sz="4" w:space="0" w:color="auto"/>
            </w:tcBorders>
            <w:shd w:val="clear" w:color="auto" w:fill="auto"/>
            <w:noWrap/>
            <w:vAlign w:val="bottom"/>
            <w:hideMark/>
          </w:tcPr>
          <w:p w14:paraId="676074A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0.046</w:t>
            </w:r>
          </w:p>
        </w:tc>
        <w:tc>
          <w:tcPr>
            <w:tcW w:w="549" w:type="pct"/>
            <w:tcBorders>
              <w:top w:val="nil"/>
              <w:left w:val="single" w:sz="4" w:space="0" w:color="auto"/>
              <w:bottom w:val="nil"/>
              <w:right w:val="nil"/>
            </w:tcBorders>
            <w:shd w:val="clear" w:color="auto" w:fill="auto"/>
            <w:noWrap/>
            <w:vAlign w:val="bottom"/>
            <w:hideMark/>
          </w:tcPr>
          <w:p w14:paraId="7A67D63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0.037</w:t>
            </w:r>
          </w:p>
        </w:tc>
        <w:tc>
          <w:tcPr>
            <w:tcW w:w="549" w:type="pct"/>
            <w:tcBorders>
              <w:top w:val="nil"/>
              <w:left w:val="nil"/>
              <w:bottom w:val="nil"/>
              <w:right w:val="nil"/>
            </w:tcBorders>
            <w:shd w:val="clear" w:color="auto" w:fill="auto"/>
            <w:noWrap/>
            <w:vAlign w:val="bottom"/>
            <w:hideMark/>
          </w:tcPr>
          <w:p w14:paraId="7C9150D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-0.022</w:t>
            </w:r>
          </w:p>
        </w:tc>
        <w:tc>
          <w:tcPr>
            <w:tcW w:w="520" w:type="pct"/>
            <w:tcBorders>
              <w:top w:val="nil"/>
              <w:left w:val="nil"/>
              <w:bottom w:val="nil"/>
              <w:right w:val="nil"/>
            </w:tcBorders>
            <w:shd w:val="clear" w:color="auto" w:fill="auto"/>
            <w:noWrap/>
            <w:vAlign w:val="bottom"/>
            <w:hideMark/>
          </w:tcPr>
          <w:p w14:paraId="6DD6708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-0.025</w:t>
            </w:r>
          </w:p>
        </w:tc>
        <w:tc>
          <w:tcPr>
            <w:tcW w:w="520" w:type="pct"/>
            <w:tcBorders>
              <w:top w:val="nil"/>
              <w:left w:val="nil"/>
              <w:bottom w:val="nil"/>
              <w:right w:val="nil"/>
            </w:tcBorders>
            <w:shd w:val="clear" w:color="auto" w:fill="auto"/>
            <w:noWrap/>
            <w:vAlign w:val="bottom"/>
            <w:hideMark/>
          </w:tcPr>
          <w:p w14:paraId="56A744E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-0.015</w:t>
            </w:r>
          </w:p>
        </w:tc>
      </w:tr>
      <w:tr w:rsidR="00116862" w:rsidRPr="00245E91" w14:paraId="0FA8BC12" w14:textId="77777777" w:rsidTr="00D83DD8">
        <w:trPr>
          <w:trHeight w:val="144"/>
        </w:trPr>
        <w:tc>
          <w:tcPr>
            <w:tcW w:w="694" w:type="pct"/>
            <w:tcBorders>
              <w:top w:val="nil"/>
              <w:left w:val="nil"/>
              <w:bottom w:val="nil"/>
              <w:right w:val="nil"/>
            </w:tcBorders>
            <w:shd w:val="clear" w:color="auto" w:fill="auto"/>
            <w:noWrap/>
            <w:vAlign w:val="bottom"/>
            <w:hideMark/>
          </w:tcPr>
          <w:p w14:paraId="4CBF5EF0"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p>
        </w:tc>
        <w:tc>
          <w:tcPr>
            <w:tcW w:w="552" w:type="pct"/>
            <w:tcBorders>
              <w:top w:val="nil"/>
              <w:left w:val="nil"/>
              <w:bottom w:val="nil"/>
              <w:right w:val="nil"/>
            </w:tcBorders>
            <w:shd w:val="clear" w:color="auto" w:fill="auto"/>
            <w:noWrap/>
            <w:vAlign w:val="bottom"/>
            <w:hideMark/>
          </w:tcPr>
          <w:p w14:paraId="64A9F39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(-2.25**)</w:t>
            </w:r>
          </w:p>
        </w:tc>
        <w:tc>
          <w:tcPr>
            <w:tcW w:w="552" w:type="pct"/>
            <w:tcBorders>
              <w:top w:val="nil"/>
              <w:left w:val="nil"/>
              <w:bottom w:val="nil"/>
              <w:right w:val="nil"/>
            </w:tcBorders>
            <w:shd w:val="clear" w:color="auto" w:fill="auto"/>
            <w:noWrap/>
            <w:vAlign w:val="bottom"/>
            <w:hideMark/>
          </w:tcPr>
          <w:p w14:paraId="66F25F29"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(-1.77*)</w:t>
            </w:r>
          </w:p>
        </w:tc>
        <w:tc>
          <w:tcPr>
            <w:tcW w:w="531" w:type="pct"/>
            <w:tcBorders>
              <w:top w:val="nil"/>
              <w:left w:val="nil"/>
              <w:bottom w:val="nil"/>
              <w:right w:val="nil"/>
            </w:tcBorders>
            <w:shd w:val="clear" w:color="auto" w:fill="auto"/>
            <w:noWrap/>
            <w:vAlign w:val="bottom"/>
            <w:hideMark/>
          </w:tcPr>
          <w:p w14:paraId="7B39A56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(1.34)</w:t>
            </w:r>
          </w:p>
        </w:tc>
        <w:tc>
          <w:tcPr>
            <w:tcW w:w="533" w:type="pct"/>
            <w:tcBorders>
              <w:top w:val="nil"/>
              <w:left w:val="nil"/>
              <w:bottom w:val="nil"/>
              <w:right w:val="single" w:sz="4" w:space="0" w:color="auto"/>
            </w:tcBorders>
            <w:shd w:val="clear" w:color="auto" w:fill="auto"/>
            <w:noWrap/>
            <w:vAlign w:val="bottom"/>
            <w:hideMark/>
          </w:tcPr>
          <w:p w14:paraId="6D8B1D6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(1.31)</w:t>
            </w:r>
          </w:p>
        </w:tc>
        <w:tc>
          <w:tcPr>
            <w:tcW w:w="549" w:type="pct"/>
            <w:tcBorders>
              <w:top w:val="nil"/>
              <w:left w:val="single" w:sz="4" w:space="0" w:color="auto"/>
              <w:bottom w:val="nil"/>
              <w:right w:val="nil"/>
            </w:tcBorders>
            <w:shd w:val="clear" w:color="auto" w:fill="auto"/>
            <w:noWrap/>
            <w:vAlign w:val="bottom"/>
            <w:hideMark/>
          </w:tcPr>
          <w:p w14:paraId="0CF4199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(0.92)</w:t>
            </w:r>
          </w:p>
        </w:tc>
        <w:tc>
          <w:tcPr>
            <w:tcW w:w="549" w:type="pct"/>
            <w:tcBorders>
              <w:top w:val="nil"/>
              <w:left w:val="nil"/>
              <w:bottom w:val="nil"/>
              <w:right w:val="nil"/>
            </w:tcBorders>
            <w:shd w:val="clear" w:color="auto" w:fill="auto"/>
            <w:noWrap/>
            <w:vAlign w:val="bottom"/>
            <w:hideMark/>
          </w:tcPr>
          <w:p w14:paraId="0B86849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(-0.69)</w:t>
            </w:r>
          </w:p>
        </w:tc>
        <w:tc>
          <w:tcPr>
            <w:tcW w:w="520" w:type="pct"/>
            <w:tcBorders>
              <w:top w:val="nil"/>
              <w:left w:val="nil"/>
              <w:bottom w:val="nil"/>
              <w:right w:val="nil"/>
            </w:tcBorders>
            <w:shd w:val="clear" w:color="auto" w:fill="auto"/>
            <w:noWrap/>
            <w:vAlign w:val="bottom"/>
            <w:hideMark/>
          </w:tcPr>
          <w:p w14:paraId="429A047A"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(-1.24)</w:t>
            </w:r>
          </w:p>
        </w:tc>
        <w:tc>
          <w:tcPr>
            <w:tcW w:w="520" w:type="pct"/>
            <w:tcBorders>
              <w:top w:val="nil"/>
              <w:left w:val="nil"/>
              <w:bottom w:val="nil"/>
              <w:right w:val="nil"/>
            </w:tcBorders>
            <w:shd w:val="clear" w:color="auto" w:fill="auto"/>
            <w:noWrap/>
            <w:vAlign w:val="bottom"/>
            <w:hideMark/>
          </w:tcPr>
          <w:p w14:paraId="29AA91D1"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(-0.71)</w:t>
            </w:r>
          </w:p>
        </w:tc>
      </w:tr>
      <w:tr w:rsidR="00116862" w:rsidRPr="00245E91" w14:paraId="393415E0" w14:textId="77777777" w:rsidTr="00D83DD8">
        <w:trPr>
          <w:trHeight w:val="144"/>
        </w:trPr>
        <w:tc>
          <w:tcPr>
            <w:tcW w:w="694" w:type="pct"/>
            <w:tcBorders>
              <w:top w:val="nil"/>
              <w:left w:val="nil"/>
              <w:bottom w:val="nil"/>
              <w:right w:val="nil"/>
            </w:tcBorders>
            <w:shd w:val="clear" w:color="auto" w:fill="auto"/>
            <w:noWrap/>
            <w:vAlign w:val="bottom"/>
          </w:tcPr>
          <w:p w14:paraId="5743BA68"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LIQUIDITY</w:t>
            </w:r>
          </w:p>
        </w:tc>
        <w:tc>
          <w:tcPr>
            <w:tcW w:w="552" w:type="pct"/>
            <w:tcBorders>
              <w:top w:val="nil"/>
              <w:left w:val="nil"/>
              <w:bottom w:val="nil"/>
              <w:right w:val="nil"/>
            </w:tcBorders>
            <w:shd w:val="clear" w:color="auto" w:fill="auto"/>
            <w:noWrap/>
            <w:vAlign w:val="bottom"/>
          </w:tcPr>
          <w:p w14:paraId="5C5306A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-0.017</w:t>
            </w:r>
          </w:p>
        </w:tc>
        <w:tc>
          <w:tcPr>
            <w:tcW w:w="552" w:type="pct"/>
            <w:tcBorders>
              <w:top w:val="nil"/>
              <w:left w:val="nil"/>
              <w:bottom w:val="nil"/>
              <w:right w:val="nil"/>
            </w:tcBorders>
            <w:shd w:val="clear" w:color="auto" w:fill="auto"/>
            <w:noWrap/>
            <w:vAlign w:val="bottom"/>
          </w:tcPr>
          <w:p w14:paraId="783299C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-0.003</w:t>
            </w:r>
          </w:p>
        </w:tc>
        <w:tc>
          <w:tcPr>
            <w:tcW w:w="531" w:type="pct"/>
            <w:tcBorders>
              <w:top w:val="nil"/>
              <w:left w:val="nil"/>
              <w:bottom w:val="nil"/>
              <w:right w:val="nil"/>
            </w:tcBorders>
            <w:shd w:val="clear" w:color="auto" w:fill="auto"/>
            <w:noWrap/>
            <w:vAlign w:val="bottom"/>
          </w:tcPr>
          <w:p w14:paraId="4841EC6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0.029</w:t>
            </w:r>
          </w:p>
        </w:tc>
        <w:tc>
          <w:tcPr>
            <w:tcW w:w="533" w:type="pct"/>
            <w:tcBorders>
              <w:top w:val="nil"/>
              <w:left w:val="nil"/>
              <w:bottom w:val="nil"/>
              <w:right w:val="single" w:sz="4" w:space="0" w:color="auto"/>
            </w:tcBorders>
            <w:shd w:val="clear" w:color="auto" w:fill="auto"/>
            <w:noWrap/>
            <w:vAlign w:val="bottom"/>
          </w:tcPr>
          <w:p w14:paraId="2416794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0.029</w:t>
            </w:r>
          </w:p>
        </w:tc>
        <w:tc>
          <w:tcPr>
            <w:tcW w:w="549" w:type="pct"/>
            <w:tcBorders>
              <w:top w:val="nil"/>
              <w:left w:val="single" w:sz="4" w:space="0" w:color="auto"/>
              <w:bottom w:val="nil"/>
              <w:right w:val="nil"/>
            </w:tcBorders>
            <w:shd w:val="clear" w:color="auto" w:fill="auto"/>
            <w:noWrap/>
            <w:vAlign w:val="bottom"/>
          </w:tcPr>
          <w:p w14:paraId="0D37F83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-0.018</w:t>
            </w:r>
          </w:p>
        </w:tc>
        <w:tc>
          <w:tcPr>
            <w:tcW w:w="549" w:type="pct"/>
            <w:tcBorders>
              <w:top w:val="nil"/>
              <w:left w:val="nil"/>
              <w:bottom w:val="nil"/>
              <w:right w:val="nil"/>
            </w:tcBorders>
            <w:shd w:val="clear" w:color="auto" w:fill="auto"/>
            <w:noWrap/>
            <w:vAlign w:val="bottom"/>
          </w:tcPr>
          <w:p w14:paraId="373ABBF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-0.021</w:t>
            </w:r>
          </w:p>
        </w:tc>
        <w:tc>
          <w:tcPr>
            <w:tcW w:w="520" w:type="pct"/>
            <w:tcBorders>
              <w:top w:val="nil"/>
              <w:left w:val="nil"/>
              <w:bottom w:val="nil"/>
              <w:right w:val="nil"/>
            </w:tcBorders>
            <w:shd w:val="clear" w:color="auto" w:fill="auto"/>
            <w:noWrap/>
            <w:vAlign w:val="bottom"/>
          </w:tcPr>
          <w:p w14:paraId="6348AB1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-0.013</w:t>
            </w:r>
          </w:p>
        </w:tc>
        <w:tc>
          <w:tcPr>
            <w:tcW w:w="520" w:type="pct"/>
            <w:tcBorders>
              <w:top w:val="nil"/>
              <w:left w:val="nil"/>
              <w:bottom w:val="nil"/>
              <w:right w:val="nil"/>
            </w:tcBorders>
            <w:shd w:val="clear" w:color="auto" w:fill="auto"/>
            <w:noWrap/>
            <w:vAlign w:val="bottom"/>
          </w:tcPr>
          <w:p w14:paraId="75D9A24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-0.010</w:t>
            </w:r>
          </w:p>
        </w:tc>
      </w:tr>
      <w:tr w:rsidR="00116862" w:rsidRPr="00245E91" w14:paraId="770C5DD3" w14:textId="77777777" w:rsidTr="00D83DD8">
        <w:trPr>
          <w:trHeight w:val="144"/>
        </w:trPr>
        <w:tc>
          <w:tcPr>
            <w:tcW w:w="694" w:type="pct"/>
            <w:tcBorders>
              <w:top w:val="nil"/>
              <w:left w:val="nil"/>
              <w:bottom w:val="nil"/>
              <w:right w:val="nil"/>
            </w:tcBorders>
            <w:shd w:val="clear" w:color="auto" w:fill="auto"/>
            <w:noWrap/>
            <w:vAlign w:val="bottom"/>
          </w:tcPr>
          <w:p w14:paraId="1E380B51"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p>
        </w:tc>
        <w:tc>
          <w:tcPr>
            <w:tcW w:w="552" w:type="pct"/>
            <w:tcBorders>
              <w:top w:val="nil"/>
              <w:left w:val="nil"/>
              <w:bottom w:val="nil"/>
              <w:right w:val="nil"/>
            </w:tcBorders>
            <w:shd w:val="clear" w:color="auto" w:fill="auto"/>
            <w:noWrap/>
            <w:vAlign w:val="bottom"/>
          </w:tcPr>
          <w:p w14:paraId="6716ED3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(-0.56)</w:t>
            </w:r>
          </w:p>
        </w:tc>
        <w:tc>
          <w:tcPr>
            <w:tcW w:w="552" w:type="pct"/>
            <w:tcBorders>
              <w:top w:val="nil"/>
              <w:left w:val="nil"/>
              <w:bottom w:val="nil"/>
              <w:right w:val="nil"/>
            </w:tcBorders>
            <w:shd w:val="clear" w:color="auto" w:fill="auto"/>
            <w:noWrap/>
            <w:vAlign w:val="bottom"/>
          </w:tcPr>
          <w:p w14:paraId="7596C85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w:t>
            </w:r>
          </w:p>
        </w:tc>
        <w:tc>
          <w:tcPr>
            <w:tcW w:w="531" w:type="pct"/>
            <w:tcBorders>
              <w:top w:val="nil"/>
              <w:left w:val="nil"/>
              <w:bottom w:val="nil"/>
              <w:right w:val="nil"/>
            </w:tcBorders>
            <w:shd w:val="clear" w:color="auto" w:fill="auto"/>
            <w:noWrap/>
            <w:vAlign w:val="bottom"/>
          </w:tcPr>
          <w:p w14:paraId="3491AE3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(0.81)</w:t>
            </w:r>
          </w:p>
        </w:tc>
        <w:tc>
          <w:tcPr>
            <w:tcW w:w="533" w:type="pct"/>
            <w:tcBorders>
              <w:top w:val="nil"/>
              <w:left w:val="nil"/>
              <w:bottom w:val="nil"/>
              <w:right w:val="single" w:sz="4" w:space="0" w:color="auto"/>
            </w:tcBorders>
            <w:shd w:val="clear" w:color="auto" w:fill="auto"/>
            <w:noWrap/>
            <w:vAlign w:val="bottom"/>
          </w:tcPr>
          <w:p w14:paraId="53D6502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(0.80)</w:t>
            </w:r>
          </w:p>
        </w:tc>
        <w:tc>
          <w:tcPr>
            <w:tcW w:w="549" w:type="pct"/>
            <w:tcBorders>
              <w:top w:val="nil"/>
              <w:left w:val="single" w:sz="4" w:space="0" w:color="auto"/>
              <w:bottom w:val="nil"/>
              <w:right w:val="nil"/>
            </w:tcBorders>
            <w:shd w:val="clear" w:color="auto" w:fill="auto"/>
            <w:noWrap/>
            <w:vAlign w:val="bottom"/>
          </w:tcPr>
          <w:p w14:paraId="5FCE850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(-0.57)</w:t>
            </w:r>
          </w:p>
        </w:tc>
        <w:tc>
          <w:tcPr>
            <w:tcW w:w="549" w:type="pct"/>
            <w:tcBorders>
              <w:top w:val="nil"/>
              <w:left w:val="nil"/>
              <w:bottom w:val="nil"/>
              <w:right w:val="nil"/>
            </w:tcBorders>
            <w:shd w:val="clear" w:color="auto" w:fill="auto"/>
            <w:noWrap/>
            <w:vAlign w:val="bottom"/>
          </w:tcPr>
          <w:p w14:paraId="10D2E7C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(-0.72)</w:t>
            </w:r>
          </w:p>
        </w:tc>
        <w:tc>
          <w:tcPr>
            <w:tcW w:w="520" w:type="pct"/>
            <w:tcBorders>
              <w:top w:val="nil"/>
              <w:left w:val="nil"/>
              <w:bottom w:val="nil"/>
              <w:right w:val="nil"/>
            </w:tcBorders>
            <w:shd w:val="clear" w:color="auto" w:fill="auto"/>
            <w:noWrap/>
            <w:vAlign w:val="bottom"/>
          </w:tcPr>
          <w:p w14:paraId="06120BD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(-0.59)</w:t>
            </w:r>
          </w:p>
        </w:tc>
        <w:tc>
          <w:tcPr>
            <w:tcW w:w="520" w:type="pct"/>
            <w:tcBorders>
              <w:top w:val="nil"/>
              <w:left w:val="nil"/>
              <w:bottom w:val="nil"/>
              <w:right w:val="nil"/>
            </w:tcBorders>
            <w:shd w:val="clear" w:color="auto" w:fill="auto"/>
            <w:noWrap/>
            <w:vAlign w:val="bottom"/>
          </w:tcPr>
          <w:p w14:paraId="7D5D157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(-0.44)</w:t>
            </w:r>
          </w:p>
        </w:tc>
      </w:tr>
      <w:tr w:rsidR="00116862" w:rsidRPr="00245E91" w14:paraId="0D6A8A10" w14:textId="77777777" w:rsidTr="00D83DD8">
        <w:trPr>
          <w:trHeight w:val="144"/>
        </w:trPr>
        <w:tc>
          <w:tcPr>
            <w:tcW w:w="694" w:type="pct"/>
            <w:tcBorders>
              <w:top w:val="nil"/>
              <w:left w:val="nil"/>
              <w:bottom w:val="nil"/>
              <w:right w:val="nil"/>
            </w:tcBorders>
            <w:shd w:val="clear" w:color="auto" w:fill="auto"/>
            <w:noWrap/>
            <w:vAlign w:val="bottom"/>
          </w:tcPr>
          <w:p w14:paraId="30785679"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STOCKISSUE</w:t>
            </w:r>
          </w:p>
        </w:tc>
        <w:tc>
          <w:tcPr>
            <w:tcW w:w="552" w:type="pct"/>
            <w:tcBorders>
              <w:top w:val="nil"/>
              <w:left w:val="nil"/>
              <w:bottom w:val="nil"/>
              <w:right w:val="nil"/>
            </w:tcBorders>
            <w:shd w:val="clear" w:color="auto" w:fill="auto"/>
            <w:noWrap/>
            <w:vAlign w:val="bottom"/>
          </w:tcPr>
          <w:p w14:paraId="139A2C5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-0.065</w:t>
            </w:r>
          </w:p>
        </w:tc>
        <w:tc>
          <w:tcPr>
            <w:tcW w:w="552" w:type="pct"/>
            <w:tcBorders>
              <w:top w:val="nil"/>
              <w:left w:val="nil"/>
              <w:bottom w:val="nil"/>
              <w:right w:val="nil"/>
            </w:tcBorders>
            <w:shd w:val="clear" w:color="auto" w:fill="auto"/>
            <w:noWrap/>
            <w:vAlign w:val="bottom"/>
          </w:tcPr>
          <w:p w14:paraId="1CA2B01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-0.029</w:t>
            </w:r>
          </w:p>
        </w:tc>
        <w:tc>
          <w:tcPr>
            <w:tcW w:w="531" w:type="pct"/>
            <w:tcBorders>
              <w:top w:val="nil"/>
              <w:left w:val="nil"/>
              <w:bottom w:val="nil"/>
              <w:right w:val="nil"/>
            </w:tcBorders>
            <w:shd w:val="clear" w:color="auto" w:fill="auto"/>
            <w:noWrap/>
            <w:vAlign w:val="bottom"/>
          </w:tcPr>
          <w:p w14:paraId="284915BA"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0.020</w:t>
            </w:r>
          </w:p>
        </w:tc>
        <w:tc>
          <w:tcPr>
            <w:tcW w:w="533" w:type="pct"/>
            <w:tcBorders>
              <w:top w:val="nil"/>
              <w:left w:val="nil"/>
              <w:bottom w:val="nil"/>
              <w:right w:val="single" w:sz="4" w:space="0" w:color="auto"/>
            </w:tcBorders>
            <w:shd w:val="clear" w:color="auto" w:fill="auto"/>
            <w:noWrap/>
            <w:vAlign w:val="bottom"/>
          </w:tcPr>
          <w:p w14:paraId="16D3581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0.021</w:t>
            </w:r>
          </w:p>
        </w:tc>
        <w:tc>
          <w:tcPr>
            <w:tcW w:w="549" w:type="pct"/>
            <w:tcBorders>
              <w:top w:val="nil"/>
              <w:left w:val="single" w:sz="4" w:space="0" w:color="auto"/>
              <w:bottom w:val="nil"/>
              <w:right w:val="nil"/>
            </w:tcBorders>
            <w:shd w:val="clear" w:color="auto" w:fill="auto"/>
            <w:noWrap/>
            <w:vAlign w:val="bottom"/>
          </w:tcPr>
          <w:p w14:paraId="44E723D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0.017</w:t>
            </w:r>
          </w:p>
        </w:tc>
        <w:tc>
          <w:tcPr>
            <w:tcW w:w="549" w:type="pct"/>
            <w:tcBorders>
              <w:top w:val="nil"/>
              <w:left w:val="nil"/>
              <w:bottom w:val="nil"/>
              <w:right w:val="nil"/>
            </w:tcBorders>
            <w:shd w:val="clear" w:color="auto" w:fill="auto"/>
            <w:noWrap/>
            <w:vAlign w:val="bottom"/>
          </w:tcPr>
          <w:p w14:paraId="72563BB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0.022</w:t>
            </w:r>
          </w:p>
        </w:tc>
        <w:tc>
          <w:tcPr>
            <w:tcW w:w="520" w:type="pct"/>
            <w:tcBorders>
              <w:top w:val="nil"/>
              <w:left w:val="nil"/>
              <w:bottom w:val="nil"/>
              <w:right w:val="nil"/>
            </w:tcBorders>
            <w:shd w:val="clear" w:color="auto" w:fill="auto"/>
            <w:noWrap/>
            <w:vAlign w:val="bottom"/>
          </w:tcPr>
          <w:p w14:paraId="713D515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0.046</w:t>
            </w:r>
          </w:p>
        </w:tc>
        <w:tc>
          <w:tcPr>
            <w:tcW w:w="520" w:type="pct"/>
            <w:tcBorders>
              <w:top w:val="nil"/>
              <w:left w:val="nil"/>
              <w:bottom w:val="nil"/>
              <w:right w:val="nil"/>
            </w:tcBorders>
            <w:shd w:val="clear" w:color="auto" w:fill="auto"/>
            <w:noWrap/>
            <w:vAlign w:val="bottom"/>
          </w:tcPr>
          <w:p w14:paraId="5867490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0.050</w:t>
            </w:r>
          </w:p>
        </w:tc>
      </w:tr>
      <w:tr w:rsidR="00116862" w:rsidRPr="00245E91" w14:paraId="1D8E7CB4" w14:textId="77777777" w:rsidTr="00D83DD8">
        <w:trPr>
          <w:trHeight w:val="144"/>
        </w:trPr>
        <w:tc>
          <w:tcPr>
            <w:tcW w:w="694" w:type="pct"/>
            <w:tcBorders>
              <w:top w:val="nil"/>
              <w:left w:val="nil"/>
              <w:bottom w:val="nil"/>
              <w:right w:val="nil"/>
            </w:tcBorders>
            <w:shd w:val="clear" w:color="auto" w:fill="auto"/>
            <w:noWrap/>
            <w:vAlign w:val="bottom"/>
          </w:tcPr>
          <w:p w14:paraId="4B3F3179"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p>
        </w:tc>
        <w:tc>
          <w:tcPr>
            <w:tcW w:w="552" w:type="pct"/>
            <w:tcBorders>
              <w:top w:val="nil"/>
              <w:left w:val="nil"/>
              <w:bottom w:val="nil"/>
              <w:right w:val="nil"/>
            </w:tcBorders>
            <w:shd w:val="clear" w:color="auto" w:fill="auto"/>
            <w:noWrap/>
            <w:vAlign w:val="bottom"/>
          </w:tcPr>
          <w:p w14:paraId="5259C87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(-1.47)</w:t>
            </w:r>
          </w:p>
        </w:tc>
        <w:tc>
          <w:tcPr>
            <w:tcW w:w="552" w:type="pct"/>
            <w:tcBorders>
              <w:top w:val="nil"/>
              <w:left w:val="nil"/>
              <w:bottom w:val="nil"/>
              <w:right w:val="nil"/>
            </w:tcBorders>
            <w:shd w:val="clear" w:color="auto" w:fill="auto"/>
            <w:noWrap/>
            <w:vAlign w:val="bottom"/>
          </w:tcPr>
          <w:p w14:paraId="596D8C4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(-0.82)</w:t>
            </w:r>
          </w:p>
        </w:tc>
        <w:tc>
          <w:tcPr>
            <w:tcW w:w="531" w:type="pct"/>
            <w:tcBorders>
              <w:top w:val="nil"/>
              <w:left w:val="nil"/>
              <w:bottom w:val="nil"/>
              <w:right w:val="nil"/>
            </w:tcBorders>
            <w:shd w:val="clear" w:color="auto" w:fill="auto"/>
            <w:noWrap/>
            <w:vAlign w:val="bottom"/>
          </w:tcPr>
          <w:p w14:paraId="5AAC297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(0.79)</w:t>
            </w:r>
          </w:p>
        </w:tc>
        <w:tc>
          <w:tcPr>
            <w:tcW w:w="533" w:type="pct"/>
            <w:tcBorders>
              <w:top w:val="nil"/>
              <w:left w:val="nil"/>
              <w:bottom w:val="nil"/>
              <w:right w:val="single" w:sz="4" w:space="0" w:color="auto"/>
            </w:tcBorders>
            <w:shd w:val="clear" w:color="auto" w:fill="auto"/>
            <w:noWrap/>
            <w:vAlign w:val="bottom"/>
          </w:tcPr>
          <w:p w14:paraId="19C046C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(0.85)</w:t>
            </w:r>
          </w:p>
        </w:tc>
        <w:tc>
          <w:tcPr>
            <w:tcW w:w="549" w:type="pct"/>
            <w:tcBorders>
              <w:top w:val="nil"/>
              <w:left w:val="single" w:sz="4" w:space="0" w:color="auto"/>
              <w:bottom w:val="nil"/>
              <w:right w:val="nil"/>
            </w:tcBorders>
            <w:shd w:val="clear" w:color="auto" w:fill="auto"/>
            <w:noWrap/>
            <w:vAlign w:val="bottom"/>
          </w:tcPr>
          <w:p w14:paraId="0067F3C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(0.83)</w:t>
            </w:r>
          </w:p>
        </w:tc>
        <w:tc>
          <w:tcPr>
            <w:tcW w:w="549" w:type="pct"/>
            <w:tcBorders>
              <w:top w:val="nil"/>
              <w:left w:val="nil"/>
              <w:bottom w:val="nil"/>
              <w:right w:val="nil"/>
            </w:tcBorders>
            <w:shd w:val="clear" w:color="auto" w:fill="auto"/>
            <w:noWrap/>
            <w:vAlign w:val="bottom"/>
          </w:tcPr>
          <w:p w14:paraId="2EFF9E3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(1.07)</w:t>
            </w:r>
          </w:p>
        </w:tc>
        <w:tc>
          <w:tcPr>
            <w:tcW w:w="520" w:type="pct"/>
            <w:tcBorders>
              <w:top w:val="nil"/>
              <w:left w:val="nil"/>
              <w:bottom w:val="nil"/>
              <w:right w:val="nil"/>
            </w:tcBorders>
            <w:shd w:val="clear" w:color="auto" w:fill="auto"/>
            <w:noWrap/>
            <w:vAlign w:val="bottom"/>
          </w:tcPr>
          <w:p w14:paraId="1F66638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(2.31**)</w:t>
            </w:r>
          </w:p>
        </w:tc>
        <w:tc>
          <w:tcPr>
            <w:tcW w:w="520" w:type="pct"/>
            <w:tcBorders>
              <w:top w:val="nil"/>
              <w:left w:val="nil"/>
              <w:bottom w:val="nil"/>
              <w:right w:val="nil"/>
            </w:tcBorders>
            <w:shd w:val="clear" w:color="auto" w:fill="auto"/>
            <w:noWrap/>
            <w:vAlign w:val="bottom"/>
          </w:tcPr>
          <w:p w14:paraId="3605F4D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(2.55**)</w:t>
            </w:r>
          </w:p>
        </w:tc>
      </w:tr>
      <w:tr w:rsidR="00116862" w:rsidRPr="00245E91" w14:paraId="04D3A9C3" w14:textId="77777777" w:rsidTr="00D83DD8">
        <w:trPr>
          <w:trHeight w:val="144"/>
        </w:trPr>
        <w:tc>
          <w:tcPr>
            <w:tcW w:w="694" w:type="pct"/>
            <w:tcBorders>
              <w:top w:val="nil"/>
              <w:left w:val="nil"/>
              <w:bottom w:val="nil"/>
              <w:right w:val="nil"/>
            </w:tcBorders>
            <w:shd w:val="clear" w:color="auto" w:fill="auto"/>
            <w:noWrap/>
            <w:vAlign w:val="bottom"/>
          </w:tcPr>
          <w:p w14:paraId="7E52B963"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DEBTISSUE</w:t>
            </w:r>
          </w:p>
        </w:tc>
        <w:tc>
          <w:tcPr>
            <w:tcW w:w="552" w:type="pct"/>
            <w:tcBorders>
              <w:top w:val="nil"/>
              <w:left w:val="nil"/>
              <w:bottom w:val="nil"/>
              <w:right w:val="nil"/>
            </w:tcBorders>
            <w:shd w:val="clear" w:color="auto" w:fill="auto"/>
            <w:noWrap/>
            <w:vAlign w:val="bottom"/>
          </w:tcPr>
          <w:p w14:paraId="469F0D6A"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-0.035</w:t>
            </w:r>
          </w:p>
        </w:tc>
        <w:tc>
          <w:tcPr>
            <w:tcW w:w="552" w:type="pct"/>
            <w:tcBorders>
              <w:top w:val="nil"/>
              <w:left w:val="nil"/>
              <w:bottom w:val="nil"/>
              <w:right w:val="nil"/>
            </w:tcBorders>
            <w:shd w:val="clear" w:color="auto" w:fill="auto"/>
            <w:noWrap/>
            <w:vAlign w:val="bottom"/>
          </w:tcPr>
          <w:p w14:paraId="5ED27E7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-0.052</w:t>
            </w:r>
          </w:p>
        </w:tc>
        <w:tc>
          <w:tcPr>
            <w:tcW w:w="531" w:type="pct"/>
            <w:tcBorders>
              <w:top w:val="nil"/>
              <w:left w:val="nil"/>
              <w:bottom w:val="nil"/>
              <w:right w:val="nil"/>
            </w:tcBorders>
            <w:shd w:val="clear" w:color="auto" w:fill="auto"/>
            <w:noWrap/>
            <w:vAlign w:val="bottom"/>
          </w:tcPr>
          <w:p w14:paraId="4C4B593A"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-0.050</w:t>
            </w:r>
          </w:p>
        </w:tc>
        <w:tc>
          <w:tcPr>
            <w:tcW w:w="533" w:type="pct"/>
            <w:tcBorders>
              <w:top w:val="nil"/>
              <w:left w:val="nil"/>
              <w:bottom w:val="nil"/>
              <w:right w:val="single" w:sz="4" w:space="0" w:color="auto"/>
            </w:tcBorders>
            <w:shd w:val="clear" w:color="auto" w:fill="auto"/>
            <w:noWrap/>
            <w:vAlign w:val="bottom"/>
          </w:tcPr>
          <w:p w14:paraId="01AADB6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-0.047</w:t>
            </w:r>
          </w:p>
        </w:tc>
        <w:tc>
          <w:tcPr>
            <w:tcW w:w="549" w:type="pct"/>
            <w:tcBorders>
              <w:top w:val="nil"/>
              <w:left w:val="single" w:sz="4" w:space="0" w:color="auto"/>
              <w:bottom w:val="nil"/>
              <w:right w:val="nil"/>
            </w:tcBorders>
            <w:shd w:val="clear" w:color="auto" w:fill="auto"/>
            <w:noWrap/>
            <w:vAlign w:val="bottom"/>
          </w:tcPr>
          <w:p w14:paraId="12B0471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0.001</w:t>
            </w:r>
          </w:p>
        </w:tc>
        <w:tc>
          <w:tcPr>
            <w:tcW w:w="549" w:type="pct"/>
            <w:tcBorders>
              <w:top w:val="nil"/>
              <w:left w:val="nil"/>
              <w:bottom w:val="nil"/>
              <w:right w:val="nil"/>
            </w:tcBorders>
            <w:shd w:val="clear" w:color="auto" w:fill="auto"/>
            <w:noWrap/>
            <w:vAlign w:val="bottom"/>
          </w:tcPr>
          <w:p w14:paraId="0FA38E6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0.004</w:t>
            </w:r>
          </w:p>
        </w:tc>
        <w:tc>
          <w:tcPr>
            <w:tcW w:w="520" w:type="pct"/>
            <w:tcBorders>
              <w:top w:val="nil"/>
              <w:left w:val="nil"/>
              <w:bottom w:val="nil"/>
              <w:right w:val="nil"/>
            </w:tcBorders>
            <w:shd w:val="clear" w:color="auto" w:fill="auto"/>
            <w:noWrap/>
            <w:vAlign w:val="bottom"/>
          </w:tcPr>
          <w:p w14:paraId="1099EDF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0.015</w:t>
            </w:r>
          </w:p>
        </w:tc>
        <w:tc>
          <w:tcPr>
            <w:tcW w:w="520" w:type="pct"/>
            <w:tcBorders>
              <w:top w:val="nil"/>
              <w:left w:val="nil"/>
              <w:bottom w:val="nil"/>
              <w:right w:val="nil"/>
            </w:tcBorders>
            <w:shd w:val="clear" w:color="auto" w:fill="auto"/>
            <w:noWrap/>
            <w:vAlign w:val="bottom"/>
          </w:tcPr>
          <w:p w14:paraId="7C4BD91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0.014</w:t>
            </w:r>
          </w:p>
        </w:tc>
      </w:tr>
      <w:tr w:rsidR="00116862" w:rsidRPr="00245E91" w14:paraId="234440CB" w14:textId="77777777" w:rsidTr="00D83DD8">
        <w:trPr>
          <w:trHeight w:val="144"/>
        </w:trPr>
        <w:tc>
          <w:tcPr>
            <w:tcW w:w="694" w:type="pct"/>
            <w:tcBorders>
              <w:top w:val="nil"/>
              <w:left w:val="nil"/>
              <w:bottom w:val="nil"/>
              <w:right w:val="nil"/>
            </w:tcBorders>
            <w:shd w:val="clear" w:color="auto" w:fill="auto"/>
            <w:noWrap/>
            <w:vAlign w:val="bottom"/>
          </w:tcPr>
          <w:p w14:paraId="47245B0E"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p>
        </w:tc>
        <w:tc>
          <w:tcPr>
            <w:tcW w:w="552" w:type="pct"/>
            <w:tcBorders>
              <w:top w:val="nil"/>
              <w:left w:val="nil"/>
              <w:bottom w:val="nil"/>
              <w:right w:val="nil"/>
            </w:tcBorders>
            <w:shd w:val="clear" w:color="auto" w:fill="auto"/>
            <w:noWrap/>
            <w:vAlign w:val="bottom"/>
          </w:tcPr>
          <w:p w14:paraId="58C61149"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(-1.08)</w:t>
            </w:r>
          </w:p>
        </w:tc>
        <w:tc>
          <w:tcPr>
            <w:tcW w:w="552" w:type="pct"/>
            <w:tcBorders>
              <w:top w:val="nil"/>
              <w:left w:val="nil"/>
              <w:bottom w:val="nil"/>
              <w:right w:val="nil"/>
            </w:tcBorders>
            <w:shd w:val="clear" w:color="auto" w:fill="auto"/>
            <w:noWrap/>
            <w:vAlign w:val="bottom"/>
          </w:tcPr>
          <w:p w14:paraId="4191F84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(-1.57)</w:t>
            </w:r>
          </w:p>
        </w:tc>
        <w:tc>
          <w:tcPr>
            <w:tcW w:w="531" w:type="pct"/>
            <w:tcBorders>
              <w:top w:val="nil"/>
              <w:left w:val="nil"/>
              <w:bottom w:val="nil"/>
              <w:right w:val="nil"/>
            </w:tcBorders>
            <w:shd w:val="clear" w:color="auto" w:fill="auto"/>
            <w:noWrap/>
            <w:vAlign w:val="bottom"/>
          </w:tcPr>
          <w:p w14:paraId="17EDD48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(-1.97**)</w:t>
            </w:r>
          </w:p>
        </w:tc>
        <w:tc>
          <w:tcPr>
            <w:tcW w:w="533" w:type="pct"/>
            <w:tcBorders>
              <w:top w:val="nil"/>
              <w:left w:val="nil"/>
              <w:bottom w:val="nil"/>
              <w:right w:val="single" w:sz="4" w:space="0" w:color="auto"/>
            </w:tcBorders>
            <w:shd w:val="clear" w:color="auto" w:fill="auto"/>
            <w:noWrap/>
            <w:vAlign w:val="bottom"/>
          </w:tcPr>
          <w:p w14:paraId="19FFA6C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(-1.87*)</w:t>
            </w:r>
          </w:p>
        </w:tc>
        <w:tc>
          <w:tcPr>
            <w:tcW w:w="549" w:type="pct"/>
            <w:tcBorders>
              <w:top w:val="nil"/>
              <w:left w:val="single" w:sz="4" w:space="0" w:color="auto"/>
              <w:bottom w:val="nil"/>
              <w:right w:val="nil"/>
            </w:tcBorders>
            <w:shd w:val="clear" w:color="auto" w:fill="auto"/>
            <w:noWrap/>
            <w:vAlign w:val="bottom"/>
          </w:tcPr>
          <w:p w14:paraId="7FAEB2D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w:t>
            </w:r>
          </w:p>
        </w:tc>
        <w:tc>
          <w:tcPr>
            <w:tcW w:w="549" w:type="pct"/>
            <w:tcBorders>
              <w:top w:val="nil"/>
              <w:left w:val="nil"/>
              <w:bottom w:val="nil"/>
              <w:right w:val="nil"/>
            </w:tcBorders>
            <w:shd w:val="clear" w:color="auto" w:fill="auto"/>
            <w:noWrap/>
            <w:vAlign w:val="bottom"/>
          </w:tcPr>
          <w:p w14:paraId="6C0F5D3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w:t>
            </w:r>
          </w:p>
        </w:tc>
        <w:tc>
          <w:tcPr>
            <w:tcW w:w="520" w:type="pct"/>
            <w:tcBorders>
              <w:top w:val="nil"/>
              <w:left w:val="nil"/>
              <w:bottom w:val="nil"/>
              <w:right w:val="nil"/>
            </w:tcBorders>
            <w:shd w:val="clear" w:color="auto" w:fill="auto"/>
            <w:noWrap/>
            <w:vAlign w:val="bottom"/>
          </w:tcPr>
          <w:p w14:paraId="2478A821"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(0.57)</w:t>
            </w:r>
          </w:p>
        </w:tc>
        <w:tc>
          <w:tcPr>
            <w:tcW w:w="520" w:type="pct"/>
            <w:tcBorders>
              <w:top w:val="nil"/>
              <w:left w:val="nil"/>
              <w:bottom w:val="nil"/>
              <w:right w:val="nil"/>
            </w:tcBorders>
            <w:shd w:val="clear" w:color="auto" w:fill="auto"/>
            <w:noWrap/>
            <w:vAlign w:val="bottom"/>
          </w:tcPr>
          <w:p w14:paraId="43D6D20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(0.52)</w:t>
            </w:r>
          </w:p>
        </w:tc>
      </w:tr>
      <w:tr w:rsidR="00116862" w:rsidRPr="00245E91" w14:paraId="654624BE" w14:textId="77777777" w:rsidTr="00D83DD8">
        <w:trPr>
          <w:trHeight w:val="144"/>
        </w:trPr>
        <w:tc>
          <w:tcPr>
            <w:tcW w:w="694" w:type="pct"/>
            <w:tcBorders>
              <w:top w:val="nil"/>
              <w:left w:val="nil"/>
              <w:bottom w:val="nil"/>
              <w:right w:val="nil"/>
            </w:tcBorders>
            <w:shd w:val="clear" w:color="auto" w:fill="auto"/>
            <w:noWrap/>
            <w:vAlign w:val="bottom"/>
            <w:hideMark/>
          </w:tcPr>
          <w:p w14:paraId="0C7674F4"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BIG8</w:t>
            </w:r>
          </w:p>
        </w:tc>
        <w:tc>
          <w:tcPr>
            <w:tcW w:w="552" w:type="pct"/>
            <w:tcBorders>
              <w:top w:val="nil"/>
              <w:left w:val="nil"/>
              <w:bottom w:val="nil"/>
              <w:right w:val="nil"/>
            </w:tcBorders>
            <w:shd w:val="clear" w:color="auto" w:fill="auto"/>
            <w:noWrap/>
            <w:vAlign w:val="bottom"/>
            <w:hideMark/>
          </w:tcPr>
          <w:p w14:paraId="377179E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-0.004</w:t>
            </w:r>
          </w:p>
        </w:tc>
        <w:tc>
          <w:tcPr>
            <w:tcW w:w="552" w:type="pct"/>
            <w:tcBorders>
              <w:top w:val="nil"/>
              <w:left w:val="nil"/>
              <w:bottom w:val="nil"/>
              <w:right w:val="nil"/>
            </w:tcBorders>
            <w:shd w:val="clear" w:color="auto" w:fill="auto"/>
            <w:noWrap/>
            <w:vAlign w:val="bottom"/>
            <w:hideMark/>
          </w:tcPr>
          <w:p w14:paraId="175D59E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-0.036</w:t>
            </w:r>
          </w:p>
        </w:tc>
        <w:tc>
          <w:tcPr>
            <w:tcW w:w="531" w:type="pct"/>
            <w:tcBorders>
              <w:top w:val="nil"/>
              <w:left w:val="nil"/>
              <w:bottom w:val="nil"/>
              <w:right w:val="nil"/>
            </w:tcBorders>
            <w:shd w:val="clear" w:color="auto" w:fill="auto"/>
            <w:noWrap/>
            <w:vAlign w:val="bottom"/>
            <w:hideMark/>
          </w:tcPr>
          <w:p w14:paraId="734F7A8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-0.027</w:t>
            </w:r>
          </w:p>
        </w:tc>
        <w:tc>
          <w:tcPr>
            <w:tcW w:w="533" w:type="pct"/>
            <w:tcBorders>
              <w:top w:val="nil"/>
              <w:left w:val="nil"/>
              <w:bottom w:val="nil"/>
              <w:right w:val="single" w:sz="4" w:space="0" w:color="auto"/>
            </w:tcBorders>
            <w:shd w:val="clear" w:color="auto" w:fill="auto"/>
            <w:noWrap/>
            <w:vAlign w:val="bottom"/>
            <w:hideMark/>
          </w:tcPr>
          <w:p w14:paraId="4B1BF43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-0.022</w:t>
            </w:r>
          </w:p>
        </w:tc>
        <w:tc>
          <w:tcPr>
            <w:tcW w:w="549" w:type="pct"/>
            <w:tcBorders>
              <w:top w:val="nil"/>
              <w:left w:val="single" w:sz="4" w:space="0" w:color="auto"/>
              <w:bottom w:val="nil"/>
              <w:right w:val="nil"/>
            </w:tcBorders>
            <w:shd w:val="clear" w:color="auto" w:fill="auto"/>
            <w:noWrap/>
            <w:vAlign w:val="bottom"/>
            <w:hideMark/>
          </w:tcPr>
          <w:p w14:paraId="0A75C3B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0.032</w:t>
            </w:r>
          </w:p>
        </w:tc>
        <w:tc>
          <w:tcPr>
            <w:tcW w:w="549" w:type="pct"/>
            <w:tcBorders>
              <w:top w:val="nil"/>
              <w:left w:val="nil"/>
              <w:bottom w:val="nil"/>
              <w:right w:val="nil"/>
            </w:tcBorders>
            <w:shd w:val="clear" w:color="auto" w:fill="auto"/>
            <w:noWrap/>
            <w:vAlign w:val="bottom"/>
            <w:hideMark/>
          </w:tcPr>
          <w:p w14:paraId="62E23179"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0.053</w:t>
            </w:r>
          </w:p>
        </w:tc>
        <w:tc>
          <w:tcPr>
            <w:tcW w:w="520" w:type="pct"/>
            <w:tcBorders>
              <w:top w:val="nil"/>
              <w:left w:val="nil"/>
              <w:bottom w:val="nil"/>
              <w:right w:val="nil"/>
            </w:tcBorders>
            <w:shd w:val="clear" w:color="auto" w:fill="auto"/>
            <w:noWrap/>
            <w:vAlign w:val="bottom"/>
            <w:hideMark/>
          </w:tcPr>
          <w:p w14:paraId="1A90E1A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-0.078</w:t>
            </w:r>
          </w:p>
        </w:tc>
        <w:tc>
          <w:tcPr>
            <w:tcW w:w="520" w:type="pct"/>
            <w:tcBorders>
              <w:top w:val="nil"/>
              <w:left w:val="nil"/>
              <w:bottom w:val="nil"/>
              <w:right w:val="nil"/>
            </w:tcBorders>
            <w:shd w:val="clear" w:color="auto" w:fill="auto"/>
            <w:noWrap/>
            <w:vAlign w:val="bottom"/>
            <w:hideMark/>
          </w:tcPr>
          <w:p w14:paraId="432E60D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-0.081</w:t>
            </w:r>
          </w:p>
        </w:tc>
      </w:tr>
      <w:tr w:rsidR="00116862" w:rsidRPr="00245E91" w14:paraId="0B103A2B" w14:textId="77777777" w:rsidTr="00D83DD8">
        <w:trPr>
          <w:trHeight w:val="144"/>
        </w:trPr>
        <w:tc>
          <w:tcPr>
            <w:tcW w:w="694" w:type="pct"/>
            <w:tcBorders>
              <w:top w:val="nil"/>
              <w:left w:val="nil"/>
              <w:bottom w:val="nil"/>
              <w:right w:val="nil"/>
            </w:tcBorders>
            <w:shd w:val="clear" w:color="auto" w:fill="auto"/>
            <w:noWrap/>
            <w:vAlign w:val="bottom"/>
            <w:hideMark/>
          </w:tcPr>
          <w:p w14:paraId="4EFC8AE7"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p>
        </w:tc>
        <w:tc>
          <w:tcPr>
            <w:tcW w:w="552" w:type="pct"/>
            <w:tcBorders>
              <w:top w:val="nil"/>
              <w:left w:val="nil"/>
              <w:bottom w:val="nil"/>
              <w:right w:val="nil"/>
            </w:tcBorders>
            <w:shd w:val="clear" w:color="auto" w:fill="auto"/>
            <w:noWrap/>
            <w:vAlign w:val="bottom"/>
            <w:hideMark/>
          </w:tcPr>
          <w:p w14:paraId="49699FC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w:t>
            </w:r>
          </w:p>
        </w:tc>
        <w:tc>
          <w:tcPr>
            <w:tcW w:w="552" w:type="pct"/>
            <w:tcBorders>
              <w:top w:val="nil"/>
              <w:left w:val="nil"/>
              <w:bottom w:val="nil"/>
              <w:right w:val="nil"/>
            </w:tcBorders>
            <w:shd w:val="clear" w:color="auto" w:fill="auto"/>
            <w:noWrap/>
            <w:vAlign w:val="bottom"/>
            <w:hideMark/>
          </w:tcPr>
          <w:p w14:paraId="74226EC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(-0.82)</w:t>
            </w:r>
          </w:p>
        </w:tc>
        <w:tc>
          <w:tcPr>
            <w:tcW w:w="531" w:type="pct"/>
            <w:tcBorders>
              <w:top w:val="nil"/>
              <w:left w:val="nil"/>
              <w:bottom w:val="nil"/>
              <w:right w:val="nil"/>
            </w:tcBorders>
            <w:shd w:val="clear" w:color="auto" w:fill="auto"/>
            <w:noWrap/>
            <w:vAlign w:val="bottom"/>
            <w:hideMark/>
          </w:tcPr>
          <w:p w14:paraId="6801977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(-0.96)</w:t>
            </w:r>
          </w:p>
        </w:tc>
        <w:tc>
          <w:tcPr>
            <w:tcW w:w="533" w:type="pct"/>
            <w:tcBorders>
              <w:top w:val="nil"/>
              <w:left w:val="nil"/>
              <w:bottom w:val="nil"/>
              <w:right w:val="single" w:sz="4" w:space="0" w:color="auto"/>
            </w:tcBorders>
            <w:shd w:val="clear" w:color="auto" w:fill="auto"/>
            <w:noWrap/>
            <w:vAlign w:val="bottom"/>
            <w:hideMark/>
          </w:tcPr>
          <w:p w14:paraId="201BDCB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(-0.80)</w:t>
            </w:r>
          </w:p>
        </w:tc>
        <w:tc>
          <w:tcPr>
            <w:tcW w:w="549" w:type="pct"/>
            <w:tcBorders>
              <w:top w:val="nil"/>
              <w:left w:val="single" w:sz="4" w:space="0" w:color="auto"/>
              <w:bottom w:val="nil"/>
              <w:right w:val="nil"/>
            </w:tcBorders>
            <w:shd w:val="clear" w:color="auto" w:fill="auto"/>
            <w:noWrap/>
            <w:vAlign w:val="bottom"/>
            <w:hideMark/>
          </w:tcPr>
          <w:p w14:paraId="67EE117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(0.93)</w:t>
            </w:r>
          </w:p>
        </w:tc>
        <w:tc>
          <w:tcPr>
            <w:tcW w:w="549" w:type="pct"/>
            <w:tcBorders>
              <w:top w:val="nil"/>
              <w:left w:val="nil"/>
              <w:bottom w:val="nil"/>
              <w:right w:val="nil"/>
            </w:tcBorders>
            <w:shd w:val="clear" w:color="auto" w:fill="auto"/>
            <w:noWrap/>
            <w:vAlign w:val="bottom"/>
            <w:hideMark/>
          </w:tcPr>
          <w:p w14:paraId="3321180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(1.65)</w:t>
            </w:r>
          </w:p>
        </w:tc>
        <w:tc>
          <w:tcPr>
            <w:tcW w:w="520" w:type="pct"/>
            <w:tcBorders>
              <w:top w:val="nil"/>
              <w:left w:val="nil"/>
              <w:bottom w:val="nil"/>
              <w:right w:val="nil"/>
            </w:tcBorders>
            <w:shd w:val="clear" w:color="auto" w:fill="auto"/>
            <w:noWrap/>
            <w:vAlign w:val="bottom"/>
            <w:hideMark/>
          </w:tcPr>
          <w:p w14:paraId="17A308C1"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(-2.60***)</w:t>
            </w:r>
          </w:p>
        </w:tc>
        <w:tc>
          <w:tcPr>
            <w:tcW w:w="520" w:type="pct"/>
            <w:tcBorders>
              <w:top w:val="nil"/>
              <w:left w:val="nil"/>
              <w:bottom w:val="nil"/>
              <w:right w:val="nil"/>
            </w:tcBorders>
            <w:shd w:val="clear" w:color="auto" w:fill="auto"/>
            <w:noWrap/>
            <w:vAlign w:val="bottom"/>
            <w:hideMark/>
          </w:tcPr>
          <w:p w14:paraId="64938989"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(-2.63***)</w:t>
            </w:r>
          </w:p>
        </w:tc>
      </w:tr>
      <w:tr w:rsidR="00116862" w:rsidRPr="00245E91" w14:paraId="22E2F36D" w14:textId="77777777" w:rsidTr="00D83DD8">
        <w:trPr>
          <w:trHeight w:val="144"/>
        </w:trPr>
        <w:tc>
          <w:tcPr>
            <w:tcW w:w="694" w:type="pct"/>
            <w:tcBorders>
              <w:top w:val="nil"/>
              <w:left w:val="nil"/>
              <w:bottom w:val="nil"/>
              <w:right w:val="nil"/>
            </w:tcBorders>
            <w:shd w:val="clear" w:color="auto" w:fill="auto"/>
            <w:noWrap/>
            <w:vAlign w:val="bottom"/>
            <w:hideMark/>
          </w:tcPr>
          <w:p w14:paraId="08943E98"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TENURE</w:t>
            </w:r>
          </w:p>
        </w:tc>
        <w:tc>
          <w:tcPr>
            <w:tcW w:w="552" w:type="pct"/>
            <w:tcBorders>
              <w:top w:val="nil"/>
              <w:left w:val="nil"/>
              <w:bottom w:val="nil"/>
              <w:right w:val="nil"/>
            </w:tcBorders>
            <w:shd w:val="clear" w:color="auto" w:fill="auto"/>
            <w:noWrap/>
            <w:vAlign w:val="bottom"/>
            <w:hideMark/>
          </w:tcPr>
          <w:p w14:paraId="3A31FED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0.006</w:t>
            </w:r>
          </w:p>
        </w:tc>
        <w:tc>
          <w:tcPr>
            <w:tcW w:w="552" w:type="pct"/>
            <w:tcBorders>
              <w:top w:val="nil"/>
              <w:left w:val="nil"/>
              <w:bottom w:val="nil"/>
              <w:right w:val="nil"/>
            </w:tcBorders>
            <w:shd w:val="clear" w:color="auto" w:fill="auto"/>
            <w:noWrap/>
            <w:vAlign w:val="bottom"/>
            <w:hideMark/>
          </w:tcPr>
          <w:p w14:paraId="2B09A19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0.002</w:t>
            </w:r>
          </w:p>
        </w:tc>
        <w:tc>
          <w:tcPr>
            <w:tcW w:w="531" w:type="pct"/>
            <w:tcBorders>
              <w:top w:val="nil"/>
              <w:left w:val="nil"/>
              <w:bottom w:val="nil"/>
              <w:right w:val="nil"/>
            </w:tcBorders>
            <w:shd w:val="clear" w:color="auto" w:fill="auto"/>
            <w:noWrap/>
            <w:vAlign w:val="bottom"/>
            <w:hideMark/>
          </w:tcPr>
          <w:p w14:paraId="2B882B5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0.011</w:t>
            </w:r>
          </w:p>
        </w:tc>
        <w:tc>
          <w:tcPr>
            <w:tcW w:w="533" w:type="pct"/>
            <w:tcBorders>
              <w:top w:val="nil"/>
              <w:left w:val="nil"/>
              <w:bottom w:val="nil"/>
              <w:right w:val="single" w:sz="4" w:space="0" w:color="auto"/>
            </w:tcBorders>
            <w:shd w:val="clear" w:color="auto" w:fill="auto"/>
            <w:noWrap/>
            <w:vAlign w:val="bottom"/>
            <w:hideMark/>
          </w:tcPr>
          <w:p w14:paraId="21F47A0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0.015</w:t>
            </w:r>
          </w:p>
        </w:tc>
        <w:tc>
          <w:tcPr>
            <w:tcW w:w="549" w:type="pct"/>
            <w:tcBorders>
              <w:top w:val="nil"/>
              <w:left w:val="single" w:sz="4" w:space="0" w:color="auto"/>
              <w:bottom w:val="nil"/>
              <w:right w:val="nil"/>
            </w:tcBorders>
            <w:shd w:val="clear" w:color="auto" w:fill="auto"/>
            <w:noWrap/>
            <w:vAlign w:val="bottom"/>
            <w:hideMark/>
          </w:tcPr>
          <w:p w14:paraId="3AF975C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0.086</w:t>
            </w:r>
          </w:p>
        </w:tc>
        <w:tc>
          <w:tcPr>
            <w:tcW w:w="549" w:type="pct"/>
            <w:tcBorders>
              <w:top w:val="nil"/>
              <w:left w:val="nil"/>
              <w:bottom w:val="nil"/>
              <w:right w:val="nil"/>
            </w:tcBorders>
            <w:shd w:val="clear" w:color="auto" w:fill="auto"/>
            <w:noWrap/>
            <w:vAlign w:val="bottom"/>
            <w:hideMark/>
          </w:tcPr>
          <w:p w14:paraId="0F28C92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0.075</w:t>
            </w:r>
          </w:p>
        </w:tc>
        <w:tc>
          <w:tcPr>
            <w:tcW w:w="520" w:type="pct"/>
            <w:tcBorders>
              <w:top w:val="nil"/>
              <w:left w:val="nil"/>
              <w:bottom w:val="nil"/>
              <w:right w:val="nil"/>
            </w:tcBorders>
            <w:shd w:val="clear" w:color="auto" w:fill="auto"/>
            <w:noWrap/>
            <w:vAlign w:val="bottom"/>
            <w:hideMark/>
          </w:tcPr>
          <w:p w14:paraId="2AB8F5C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0.034</w:t>
            </w:r>
          </w:p>
        </w:tc>
        <w:tc>
          <w:tcPr>
            <w:tcW w:w="520" w:type="pct"/>
            <w:tcBorders>
              <w:top w:val="nil"/>
              <w:left w:val="nil"/>
              <w:bottom w:val="nil"/>
              <w:right w:val="nil"/>
            </w:tcBorders>
            <w:shd w:val="clear" w:color="auto" w:fill="auto"/>
            <w:noWrap/>
            <w:vAlign w:val="bottom"/>
            <w:hideMark/>
          </w:tcPr>
          <w:p w14:paraId="14B946E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0.037</w:t>
            </w:r>
          </w:p>
        </w:tc>
      </w:tr>
      <w:tr w:rsidR="00116862" w:rsidRPr="00245E91" w14:paraId="5312D1E1" w14:textId="77777777" w:rsidTr="00D83DD8">
        <w:trPr>
          <w:trHeight w:val="144"/>
        </w:trPr>
        <w:tc>
          <w:tcPr>
            <w:tcW w:w="694" w:type="pct"/>
            <w:tcBorders>
              <w:top w:val="nil"/>
              <w:left w:val="nil"/>
              <w:bottom w:val="nil"/>
              <w:right w:val="nil"/>
            </w:tcBorders>
            <w:shd w:val="clear" w:color="auto" w:fill="auto"/>
            <w:noWrap/>
            <w:vAlign w:val="bottom"/>
            <w:hideMark/>
          </w:tcPr>
          <w:p w14:paraId="77A163B4"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p>
        </w:tc>
        <w:tc>
          <w:tcPr>
            <w:tcW w:w="552" w:type="pct"/>
            <w:tcBorders>
              <w:top w:val="nil"/>
              <w:left w:val="nil"/>
              <w:bottom w:val="nil"/>
              <w:right w:val="nil"/>
            </w:tcBorders>
            <w:shd w:val="clear" w:color="auto" w:fill="auto"/>
            <w:noWrap/>
            <w:vAlign w:val="bottom"/>
            <w:hideMark/>
          </w:tcPr>
          <w:p w14:paraId="057AD8B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(0.24)</w:t>
            </w:r>
          </w:p>
        </w:tc>
        <w:tc>
          <w:tcPr>
            <w:tcW w:w="552" w:type="pct"/>
            <w:tcBorders>
              <w:top w:val="nil"/>
              <w:left w:val="nil"/>
              <w:bottom w:val="nil"/>
              <w:right w:val="nil"/>
            </w:tcBorders>
            <w:shd w:val="clear" w:color="auto" w:fill="auto"/>
            <w:noWrap/>
            <w:vAlign w:val="bottom"/>
            <w:hideMark/>
          </w:tcPr>
          <w:p w14:paraId="54D7D22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w:t>
            </w:r>
          </w:p>
        </w:tc>
        <w:tc>
          <w:tcPr>
            <w:tcW w:w="531" w:type="pct"/>
            <w:tcBorders>
              <w:top w:val="nil"/>
              <w:left w:val="nil"/>
              <w:bottom w:val="nil"/>
              <w:right w:val="nil"/>
            </w:tcBorders>
            <w:shd w:val="clear" w:color="auto" w:fill="auto"/>
            <w:noWrap/>
            <w:vAlign w:val="bottom"/>
            <w:hideMark/>
          </w:tcPr>
          <w:p w14:paraId="76A5B91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(0.60)</w:t>
            </w:r>
          </w:p>
        </w:tc>
        <w:tc>
          <w:tcPr>
            <w:tcW w:w="533" w:type="pct"/>
            <w:tcBorders>
              <w:top w:val="nil"/>
              <w:left w:val="nil"/>
              <w:bottom w:val="nil"/>
              <w:right w:val="single" w:sz="4" w:space="0" w:color="auto"/>
            </w:tcBorders>
            <w:shd w:val="clear" w:color="auto" w:fill="auto"/>
            <w:noWrap/>
            <w:vAlign w:val="bottom"/>
            <w:hideMark/>
          </w:tcPr>
          <w:p w14:paraId="4EBABDE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(0.85)</w:t>
            </w:r>
          </w:p>
        </w:tc>
        <w:tc>
          <w:tcPr>
            <w:tcW w:w="549" w:type="pct"/>
            <w:tcBorders>
              <w:top w:val="nil"/>
              <w:left w:val="single" w:sz="4" w:space="0" w:color="auto"/>
              <w:bottom w:val="nil"/>
              <w:right w:val="nil"/>
            </w:tcBorders>
            <w:shd w:val="clear" w:color="auto" w:fill="auto"/>
            <w:noWrap/>
            <w:vAlign w:val="bottom"/>
            <w:hideMark/>
          </w:tcPr>
          <w:p w14:paraId="6D13842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(1.93*)</w:t>
            </w:r>
          </w:p>
        </w:tc>
        <w:tc>
          <w:tcPr>
            <w:tcW w:w="549" w:type="pct"/>
            <w:tcBorders>
              <w:top w:val="nil"/>
              <w:left w:val="nil"/>
              <w:bottom w:val="nil"/>
              <w:right w:val="nil"/>
            </w:tcBorders>
            <w:shd w:val="clear" w:color="auto" w:fill="auto"/>
            <w:noWrap/>
            <w:vAlign w:val="bottom"/>
            <w:hideMark/>
          </w:tcPr>
          <w:p w14:paraId="20C1D271"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(2.12**)</w:t>
            </w:r>
          </w:p>
        </w:tc>
        <w:tc>
          <w:tcPr>
            <w:tcW w:w="520" w:type="pct"/>
            <w:tcBorders>
              <w:top w:val="nil"/>
              <w:left w:val="nil"/>
              <w:bottom w:val="nil"/>
              <w:right w:val="nil"/>
            </w:tcBorders>
            <w:shd w:val="clear" w:color="auto" w:fill="auto"/>
            <w:noWrap/>
            <w:vAlign w:val="bottom"/>
            <w:hideMark/>
          </w:tcPr>
          <w:p w14:paraId="46B2FFB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(1.18)</w:t>
            </w:r>
          </w:p>
        </w:tc>
        <w:tc>
          <w:tcPr>
            <w:tcW w:w="520" w:type="pct"/>
            <w:tcBorders>
              <w:top w:val="nil"/>
              <w:left w:val="nil"/>
              <w:bottom w:val="nil"/>
              <w:right w:val="nil"/>
            </w:tcBorders>
            <w:shd w:val="clear" w:color="auto" w:fill="auto"/>
            <w:noWrap/>
            <w:vAlign w:val="bottom"/>
            <w:hideMark/>
          </w:tcPr>
          <w:p w14:paraId="5C08A79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(1.14)</w:t>
            </w:r>
          </w:p>
        </w:tc>
      </w:tr>
      <w:tr w:rsidR="00116862" w:rsidRPr="00245E91" w14:paraId="2EE7BDE0" w14:textId="77777777" w:rsidTr="00D83DD8">
        <w:trPr>
          <w:trHeight w:val="144"/>
        </w:trPr>
        <w:tc>
          <w:tcPr>
            <w:tcW w:w="694" w:type="pct"/>
            <w:tcBorders>
              <w:top w:val="nil"/>
              <w:left w:val="nil"/>
              <w:bottom w:val="nil"/>
              <w:right w:val="nil"/>
            </w:tcBorders>
            <w:shd w:val="clear" w:color="auto" w:fill="auto"/>
            <w:noWrap/>
            <w:vAlign w:val="bottom"/>
            <w:hideMark/>
          </w:tcPr>
          <w:p w14:paraId="140A8626"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INSTOWN</w:t>
            </w:r>
          </w:p>
        </w:tc>
        <w:tc>
          <w:tcPr>
            <w:tcW w:w="552" w:type="pct"/>
            <w:tcBorders>
              <w:top w:val="nil"/>
              <w:left w:val="nil"/>
              <w:bottom w:val="nil"/>
              <w:right w:val="nil"/>
            </w:tcBorders>
            <w:shd w:val="clear" w:color="auto" w:fill="auto"/>
            <w:noWrap/>
            <w:vAlign w:val="bottom"/>
            <w:hideMark/>
          </w:tcPr>
          <w:p w14:paraId="72C9185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0.019</w:t>
            </w:r>
          </w:p>
        </w:tc>
        <w:tc>
          <w:tcPr>
            <w:tcW w:w="552" w:type="pct"/>
            <w:tcBorders>
              <w:top w:val="nil"/>
              <w:left w:val="nil"/>
              <w:bottom w:val="nil"/>
              <w:right w:val="nil"/>
            </w:tcBorders>
            <w:shd w:val="clear" w:color="auto" w:fill="auto"/>
            <w:noWrap/>
            <w:vAlign w:val="bottom"/>
            <w:hideMark/>
          </w:tcPr>
          <w:p w14:paraId="27B8FA09"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0.022</w:t>
            </w:r>
          </w:p>
        </w:tc>
        <w:tc>
          <w:tcPr>
            <w:tcW w:w="531" w:type="pct"/>
            <w:tcBorders>
              <w:top w:val="nil"/>
              <w:left w:val="nil"/>
              <w:bottom w:val="nil"/>
              <w:right w:val="nil"/>
            </w:tcBorders>
            <w:shd w:val="clear" w:color="auto" w:fill="auto"/>
            <w:noWrap/>
            <w:vAlign w:val="bottom"/>
            <w:hideMark/>
          </w:tcPr>
          <w:p w14:paraId="7E5CF91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-0.029</w:t>
            </w:r>
          </w:p>
        </w:tc>
        <w:tc>
          <w:tcPr>
            <w:tcW w:w="533" w:type="pct"/>
            <w:tcBorders>
              <w:top w:val="nil"/>
              <w:left w:val="nil"/>
              <w:bottom w:val="nil"/>
              <w:right w:val="single" w:sz="4" w:space="0" w:color="auto"/>
            </w:tcBorders>
            <w:shd w:val="clear" w:color="auto" w:fill="auto"/>
            <w:noWrap/>
            <w:vAlign w:val="bottom"/>
            <w:hideMark/>
          </w:tcPr>
          <w:p w14:paraId="4FCDE989"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-0.029</w:t>
            </w:r>
          </w:p>
        </w:tc>
        <w:tc>
          <w:tcPr>
            <w:tcW w:w="549" w:type="pct"/>
            <w:tcBorders>
              <w:top w:val="nil"/>
              <w:left w:val="single" w:sz="4" w:space="0" w:color="auto"/>
              <w:bottom w:val="nil"/>
              <w:right w:val="nil"/>
            </w:tcBorders>
            <w:shd w:val="clear" w:color="auto" w:fill="auto"/>
            <w:noWrap/>
            <w:vAlign w:val="bottom"/>
            <w:hideMark/>
          </w:tcPr>
          <w:p w14:paraId="29850D81"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0.045</w:t>
            </w:r>
          </w:p>
        </w:tc>
        <w:tc>
          <w:tcPr>
            <w:tcW w:w="549" w:type="pct"/>
            <w:tcBorders>
              <w:top w:val="nil"/>
              <w:left w:val="nil"/>
              <w:bottom w:val="nil"/>
              <w:right w:val="nil"/>
            </w:tcBorders>
            <w:shd w:val="clear" w:color="auto" w:fill="auto"/>
            <w:noWrap/>
            <w:vAlign w:val="bottom"/>
            <w:hideMark/>
          </w:tcPr>
          <w:p w14:paraId="7063D471"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0.052</w:t>
            </w:r>
          </w:p>
        </w:tc>
        <w:tc>
          <w:tcPr>
            <w:tcW w:w="520" w:type="pct"/>
            <w:tcBorders>
              <w:top w:val="nil"/>
              <w:left w:val="nil"/>
              <w:bottom w:val="nil"/>
              <w:right w:val="nil"/>
            </w:tcBorders>
            <w:shd w:val="clear" w:color="auto" w:fill="auto"/>
            <w:noWrap/>
            <w:vAlign w:val="bottom"/>
            <w:hideMark/>
          </w:tcPr>
          <w:p w14:paraId="40D9F74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0.010</w:t>
            </w:r>
          </w:p>
        </w:tc>
        <w:tc>
          <w:tcPr>
            <w:tcW w:w="520" w:type="pct"/>
            <w:tcBorders>
              <w:top w:val="nil"/>
              <w:left w:val="nil"/>
              <w:bottom w:val="nil"/>
              <w:right w:val="nil"/>
            </w:tcBorders>
            <w:shd w:val="clear" w:color="auto" w:fill="auto"/>
            <w:noWrap/>
            <w:vAlign w:val="bottom"/>
            <w:hideMark/>
          </w:tcPr>
          <w:p w14:paraId="04F10F61"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0.007</w:t>
            </w:r>
          </w:p>
        </w:tc>
      </w:tr>
      <w:tr w:rsidR="00116862" w:rsidRPr="00245E91" w14:paraId="1089F64F" w14:textId="77777777" w:rsidTr="00D83DD8">
        <w:trPr>
          <w:trHeight w:val="144"/>
        </w:trPr>
        <w:tc>
          <w:tcPr>
            <w:tcW w:w="694" w:type="pct"/>
            <w:tcBorders>
              <w:top w:val="nil"/>
              <w:left w:val="nil"/>
              <w:bottom w:val="nil"/>
              <w:right w:val="nil"/>
            </w:tcBorders>
            <w:shd w:val="clear" w:color="auto" w:fill="auto"/>
            <w:noWrap/>
            <w:vAlign w:val="bottom"/>
            <w:hideMark/>
          </w:tcPr>
          <w:p w14:paraId="0B6C18B7"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p>
        </w:tc>
        <w:tc>
          <w:tcPr>
            <w:tcW w:w="552" w:type="pct"/>
            <w:tcBorders>
              <w:top w:val="nil"/>
              <w:left w:val="nil"/>
              <w:bottom w:val="nil"/>
              <w:right w:val="nil"/>
            </w:tcBorders>
            <w:shd w:val="clear" w:color="auto" w:fill="auto"/>
            <w:noWrap/>
            <w:vAlign w:val="bottom"/>
            <w:hideMark/>
          </w:tcPr>
          <w:p w14:paraId="4CFCCBE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(0.54)</w:t>
            </w:r>
          </w:p>
        </w:tc>
        <w:tc>
          <w:tcPr>
            <w:tcW w:w="552" w:type="pct"/>
            <w:tcBorders>
              <w:top w:val="nil"/>
              <w:left w:val="nil"/>
              <w:bottom w:val="nil"/>
              <w:right w:val="nil"/>
            </w:tcBorders>
            <w:shd w:val="clear" w:color="auto" w:fill="auto"/>
            <w:noWrap/>
            <w:vAlign w:val="bottom"/>
            <w:hideMark/>
          </w:tcPr>
          <w:p w14:paraId="1926D88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(0.77)</w:t>
            </w:r>
          </w:p>
        </w:tc>
        <w:tc>
          <w:tcPr>
            <w:tcW w:w="531" w:type="pct"/>
            <w:tcBorders>
              <w:top w:val="nil"/>
              <w:left w:val="nil"/>
              <w:bottom w:val="nil"/>
              <w:right w:val="nil"/>
            </w:tcBorders>
            <w:shd w:val="clear" w:color="auto" w:fill="auto"/>
            <w:noWrap/>
            <w:vAlign w:val="bottom"/>
            <w:hideMark/>
          </w:tcPr>
          <w:p w14:paraId="024C64D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(-1.21)</w:t>
            </w:r>
          </w:p>
        </w:tc>
        <w:tc>
          <w:tcPr>
            <w:tcW w:w="533" w:type="pct"/>
            <w:tcBorders>
              <w:top w:val="nil"/>
              <w:left w:val="nil"/>
              <w:bottom w:val="nil"/>
              <w:right w:val="single" w:sz="4" w:space="0" w:color="auto"/>
            </w:tcBorders>
            <w:shd w:val="clear" w:color="auto" w:fill="auto"/>
            <w:noWrap/>
            <w:vAlign w:val="bottom"/>
            <w:hideMark/>
          </w:tcPr>
          <w:p w14:paraId="47C56AB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(-1.22)</w:t>
            </w:r>
          </w:p>
        </w:tc>
        <w:tc>
          <w:tcPr>
            <w:tcW w:w="549" w:type="pct"/>
            <w:tcBorders>
              <w:top w:val="nil"/>
              <w:left w:val="single" w:sz="4" w:space="0" w:color="auto"/>
              <w:bottom w:val="nil"/>
              <w:right w:val="nil"/>
            </w:tcBorders>
            <w:shd w:val="clear" w:color="auto" w:fill="auto"/>
            <w:noWrap/>
            <w:vAlign w:val="bottom"/>
            <w:hideMark/>
          </w:tcPr>
          <w:p w14:paraId="7B9CBE4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(1.27)</w:t>
            </w:r>
          </w:p>
        </w:tc>
        <w:tc>
          <w:tcPr>
            <w:tcW w:w="549" w:type="pct"/>
            <w:tcBorders>
              <w:top w:val="nil"/>
              <w:left w:val="nil"/>
              <w:bottom w:val="nil"/>
              <w:right w:val="nil"/>
            </w:tcBorders>
            <w:shd w:val="clear" w:color="auto" w:fill="auto"/>
            <w:noWrap/>
            <w:vAlign w:val="bottom"/>
            <w:hideMark/>
          </w:tcPr>
          <w:p w14:paraId="473DD1E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(1.76*)</w:t>
            </w:r>
          </w:p>
        </w:tc>
        <w:tc>
          <w:tcPr>
            <w:tcW w:w="520" w:type="pct"/>
            <w:tcBorders>
              <w:top w:val="nil"/>
              <w:left w:val="nil"/>
              <w:bottom w:val="nil"/>
              <w:right w:val="nil"/>
            </w:tcBorders>
            <w:shd w:val="clear" w:color="auto" w:fill="auto"/>
            <w:noWrap/>
            <w:vAlign w:val="bottom"/>
            <w:hideMark/>
          </w:tcPr>
          <w:p w14:paraId="29A9CE9A"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(0.58)</w:t>
            </w:r>
          </w:p>
        </w:tc>
        <w:tc>
          <w:tcPr>
            <w:tcW w:w="520" w:type="pct"/>
            <w:tcBorders>
              <w:top w:val="nil"/>
              <w:left w:val="nil"/>
              <w:bottom w:val="nil"/>
              <w:right w:val="nil"/>
            </w:tcBorders>
            <w:shd w:val="clear" w:color="auto" w:fill="auto"/>
            <w:noWrap/>
            <w:vAlign w:val="bottom"/>
            <w:hideMark/>
          </w:tcPr>
          <w:p w14:paraId="7267BB51"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(0.39)</w:t>
            </w:r>
          </w:p>
        </w:tc>
      </w:tr>
      <w:tr w:rsidR="00116862" w:rsidRPr="00245E91" w14:paraId="4F57A5FB" w14:textId="77777777" w:rsidTr="00D83DD8">
        <w:trPr>
          <w:trHeight w:val="144"/>
        </w:trPr>
        <w:tc>
          <w:tcPr>
            <w:tcW w:w="694" w:type="pct"/>
            <w:tcBorders>
              <w:top w:val="nil"/>
              <w:left w:val="nil"/>
              <w:bottom w:val="nil"/>
              <w:right w:val="nil"/>
            </w:tcBorders>
            <w:shd w:val="clear" w:color="auto" w:fill="auto"/>
            <w:noWrap/>
            <w:vAlign w:val="bottom"/>
            <w:hideMark/>
          </w:tcPr>
          <w:p w14:paraId="17BAED1F"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NUMANALYST</w:t>
            </w:r>
          </w:p>
        </w:tc>
        <w:tc>
          <w:tcPr>
            <w:tcW w:w="552" w:type="pct"/>
            <w:tcBorders>
              <w:top w:val="nil"/>
              <w:left w:val="nil"/>
              <w:bottom w:val="nil"/>
              <w:right w:val="nil"/>
            </w:tcBorders>
            <w:shd w:val="clear" w:color="auto" w:fill="auto"/>
            <w:noWrap/>
            <w:vAlign w:val="bottom"/>
            <w:hideMark/>
          </w:tcPr>
          <w:p w14:paraId="79278F7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0.002</w:t>
            </w:r>
          </w:p>
        </w:tc>
        <w:tc>
          <w:tcPr>
            <w:tcW w:w="552" w:type="pct"/>
            <w:tcBorders>
              <w:top w:val="nil"/>
              <w:left w:val="nil"/>
              <w:bottom w:val="nil"/>
              <w:right w:val="nil"/>
            </w:tcBorders>
            <w:shd w:val="clear" w:color="auto" w:fill="auto"/>
            <w:noWrap/>
            <w:vAlign w:val="bottom"/>
            <w:hideMark/>
          </w:tcPr>
          <w:p w14:paraId="7DB85DF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-0.032</w:t>
            </w:r>
          </w:p>
        </w:tc>
        <w:tc>
          <w:tcPr>
            <w:tcW w:w="531" w:type="pct"/>
            <w:tcBorders>
              <w:top w:val="nil"/>
              <w:left w:val="nil"/>
              <w:bottom w:val="nil"/>
              <w:right w:val="nil"/>
            </w:tcBorders>
            <w:shd w:val="clear" w:color="auto" w:fill="auto"/>
            <w:noWrap/>
            <w:vAlign w:val="bottom"/>
            <w:hideMark/>
          </w:tcPr>
          <w:p w14:paraId="24FA99F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0.003</w:t>
            </w:r>
          </w:p>
        </w:tc>
        <w:tc>
          <w:tcPr>
            <w:tcW w:w="533" w:type="pct"/>
            <w:tcBorders>
              <w:top w:val="nil"/>
              <w:left w:val="nil"/>
              <w:bottom w:val="nil"/>
              <w:right w:val="single" w:sz="4" w:space="0" w:color="auto"/>
            </w:tcBorders>
            <w:shd w:val="clear" w:color="auto" w:fill="auto"/>
            <w:noWrap/>
            <w:vAlign w:val="bottom"/>
            <w:hideMark/>
          </w:tcPr>
          <w:p w14:paraId="3CF05CB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0.007</w:t>
            </w:r>
          </w:p>
        </w:tc>
        <w:tc>
          <w:tcPr>
            <w:tcW w:w="549" w:type="pct"/>
            <w:tcBorders>
              <w:top w:val="nil"/>
              <w:left w:val="single" w:sz="4" w:space="0" w:color="auto"/>
              <w:bottom w:val="nil"/>
              <w:right w:val="nil"/>
            </w:tcBorders>
            <w:shd w:val="clear" w:color="auto" w:fill="auto"/>
            <w:noWrap/>
            <w:vAlign w:val="bottom"/>
            <w:hideMark/>
          </w:tcPr>
          <w:p w14:paraId="6C227C4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-0.114</w:t>
            </w:r>
          </w:p>
        </w:tc>
        <w:tc>
          <w:tcPr>
            <w:tcW w:w="549" w:type="pct"/>
            <w:tcBorders>
              <w:top w:val="nil"/>
              <w:left w:val="nil"/>
              <w:bottom w:val="nil"/>
              <w:right w:val="nil"/>
            </w:tcBorders>
            <w:shd w:val="clear" w:color="auto" w:fill="auto"/>
            <w:noWrap/>
            <w:vAlign w:val="bottom"/>
            <w:hideMark/>
          </w:tcPr>
          <w:p w14:paraId="020588E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-0.099</w:t>
            </w:r>
          </w:p>
        </w:tc>
        <w:tc>
          <w:tcPr>
            <w:tcW w:w="520" w:type="pct"/>
            <w:tcBorders>
              <w:top w:val="nil"/>
              <w:left w:val="nil"/>
              <w:bottom w:val="nil"/>
              <w:right w:val="nil"/>
            </w:tcBorders>
            <w:shd w:val="clear" w:color="auto" w:fill="auto"/>
            <w:noWrap/>
            <w:vAlign w:val="bottom"/>
            <w:hideMark/>
          </w:tcPr>
          <w:p w14:paraId="2962D8A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0.064</w:t>
            </w:r>
          </w:p>
        </w:tc>
        <w:tc>
          <w:tcPr>
            <w:tcW w:w="520" w:type="pct"/>
            <w:tcBorders>
              <w:top w:val="nil"/>
              <w:left w:val="nil"/>
              <w:bottom w:val="nil"/>
              <w:right w:val="nil"/>
            </w:tcBorders>
            <w:shd w:val="clear" w:color="auto" w:fill="auto"/>
            <w:noWrap/>
            <w:vAlign w:val="bottom"/>
            <w:hideMark/>
          </w:tcPr>
          <w:p w14:paraId="501EF98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0.058</w:t>
            </w:r>
          </w:p>
        </w:tc>
      </w:tr>
      <w:tr w:rsidR="00116862" w:rsidRPr="00245E91" w14:paraId="57D97F93" w14:textId="77777777" w:rsidTr="00D83DD8">
        <w:trPr>
          <w:trHeight w:val="144"/>
        </w:trPr>
        <w:tc>
          <w:tcPr>
            <w:tcW w:w="694" w:type="pct"/>
            <w:tcBorders>
              <w:top w:val="nil"/>
              <w:left w:val="nil"/>
              <w:bottom w:val="nil"/>
              <w:right w:val="nil"/>
            </w:tcBorders>
            <w:shd w:val="clear" w:color="auto" w:fill="auto"/>
            <w:noWrap/>
            <w:vAlign w:val="bottom"/>
            <w:hideMark/>
          </w:tcPr>
          <w:p w14:paraId="70876446"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p>
        </w:tc>
        <w:tc>
          <w:tcPr>
            <w:tcW w:w="552" w:type="pct"/>
            <w:tcBorders>
              <w:top w:val="nil"/>
              <w:left w:val="nil"/>
              <w:bottom w:val="nil"/>
              <w:right w:val="nil"/>
            </w:tcBorders>
            <w:shd w:val="clear" w:color="auto" w:fill="auto"/>
            <w:noWrap/>
            <w:vAlign w:val="bottom"/>
            <w:hideMark/>
          </w:tcPr>
          <w:p w14:paraId="151EC65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w:t>
            </w:r>
          </w:p>
        </w:tc>
        <w:tc>
          <w:tcPr>
            <w:tcW w:w="552" w:type="pct"/>
            <w:tcBorders>
              <w:top w:val="nil"/>
              <w:left w:val="nil"/>
              <w:bottom w:val="nil"/>
              <w:right w:val="nil"/>
            </w:tcBorders>
            <w:shd w:val="clear" w:color="auto" w:fill="auto"/>
            <w:noWrap/>
            <w:vAlign w:val="bottom"/>
            <w:hideMark/>
          </w:tcPr>
          <w:p w14:paraId="58AAF90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(-1.07)</w:t>
            </w:r>
          </w:p>
        </w:tc>
        <w:tc>
          <w:tcPr>
            <w:tcW w:w="531" w:type="pct"/>
            <w:tcBorders>
              <w:top w:val="nil"/>
              <w:left w:val="nil"/>
              <w:bottom w:val="nil"/>
              <w:right w:val="nil"/>
            </w:tcBorders>
            <w:shd w:val="clear" w:color="auto" w:fill="auto"/>
            <w:noWrap/>
            <w:vAlign w:val="bottom"/>
            <w:hideMark/>
          </w:tcPr>
          <w:p w14:paraId="3221499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(0.14)</w:t>
            </w:r>
          </w:p>
        </w:tc>
        <w:tc>
          <w:tcPr>
            <w:tcW w:w="533" w:type="pct"/>
            <w:tcBorders>
              <w:top w:val="nil"/>
              <w:left w:val="nil"/>
              <w:bottom w:val="nil"/>
              <w:right w:val="single" w:sz="4" w:space="0" w:color="auto"/>
            </w:tcBorders>
            <w:shd w:val="clear" w:color="auto" w:fill="auto"/>
            <w:noWrap/>
            <w:vAlign w:val="bottom"/>
            <w:hideMark/>
          </w:tcPr>
          <w:p w14:paraId="4210952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(0.34)</w:t>
            </w:r>
          </w:p>
        </w:tc>
        <w:tc>
          <w:tcPr>
            <w:tcW w:w="549" w:type="pct"/>
            <w:tcBorders>
              <w:top w:val="nil"/>
              <w:left w:val="single" w:sz="4" w:space="0" w:color="auto"/>
              <w:bottom w:val="nil"/>
              <w:right w:val="nil"/>
            </w:tcBorders>
            <w:shd w:val="clear" w:color="auto" w:fill="auto"/>
            <w:noWrap/>
            <w:vAlign w:val="bottom"/>
            <w:hideMark/>
          </w:tcPr>
          <w:p w14:paraId="1136993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(-2.93***)</w:t>
            </w:r>
          </w:p>
        </w:tc>
        <w:tc>
          <w:tcPr>
            <w:tcW w:w="549" w:type="pct"/>
            <w:tcBorders>
              <w:top w:val="nil"/>
              <w:left w:val="nil"/>
              <w:bottom w:val="nil"/>
              <w:right w:val="nil"/>
            </w:tcBorders>
            <w:shd w:val="clear" w:color="auto" w:fill="auto"/>
            <w:noWrap/>
            <w:vAlign w:val="bottom"/>
            <w:hideMark/>
          </w:tcPr>
          <w:p w14:paraId="76A1891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(-2.76***)</w:t>
            </w:r>
          </w:p>
        </w:tc>
        <w:tc>
          <w:tcPr>
            <w:tcW w:w="520" w:type="pct"/>
            <w:tcBorders>
              <w:top w:val="nil"/>
              <w:left w:val="nil"/>
              <w:bottom w:val="nil"/>
              <w:right w:val="nil"/>
            </w:tcBorders>
            <w:shd w:val="clear" w:color="auto" w:fill="auto"/>
            <w:noWrap/>
            <w:vAlign w:val="bottom"/>
            <w:hideMark/>
          </w:tcPr>
          <w:p w14:paraId="2E15C9B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(2.33**)</w:t>
            </w:r>
          </w:p>
        </w:tc>
        <w:tc>
          <w:tcPr>
            <w:tcW w:w="520" w:type="pct"/>
            <w:tcBorders>
              <w:top w:val="nil"/>
              <w:left w:val="nil"/>
              <w:bottom w:val="nil"/>
              <w:right w:val="nil"/>
            </w:tcBorders>
            <w:shd w:val="clear" w:color="auto" w:fill="auto"/>
            <w:noWrap/>
            <w:vAlign w:val="bottom"/>
            <w:hideMark/>
          </w:tcPr>
          <w:p w14:paraId="14E95E7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(2.00**)</w:t>
            </w:r>
          </w:p>
        </w:tc>
      </w:tr>
      <w:tr w:rsidR="00116862" w:rsidRPr="00245E91" w14:paraId="168B1447" w14:textId="77777777" w:rsidTr="00D83DD8">
        <w:trPr>
          <w:trHeight w:val="144"/>
        </w:trPr>
        <w:tc>
          <w:tcPr>
            <w:tcW w:w="694" w:type="pct"/>
            <w:tcBorders>
              <w:top w:val="nil"/>
              <w:left w:val="nil"/>
              <w:bottom w:val="nil"/>
              <w:right w:val="nil"/>
            </w:tcBorders>
            <w:shd w:val="clear" w:color="auto" w:fill="auto"/>
            <w:noWrap/>
            <w:vAlign w:val="bottom"/>
            <w:hideMark/>
          </w:tcPr>
          <w:p w14:paraId="4E0018C5"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SOX</w:t>
            </w:r>
          </w:p>
        </w:tc>
        <w:tc>
          <w:tcPr>
            <w:tcW w:w="552" w:type="pct"/>
            <w:tcBorders>
              <w:top w:val="nil"/>
              <w:left w:val="nil"/>
              <w:bottom w:val="nil"/>
              <w:right w:val="nil"/>
            </w:tcBorders>
            <w:shd w:val="clear" w:color="auto" w:fill="auto"/>
            <w:noWrap/>
            <w:vAlign w:val="bottom"/>
            <w:hideMark/>
          </w:tcPr>
          <w:p w14:paraId="74C32CC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0.055</w:t>
            </w:r>
          </w:p>
        </w:tc>
        <w:tc>
          <w:tcPr>
            <w:tcW w:w="552" w:type="pct"/>
            <w:tcBorders>
              <w:top w:val="nil"/>
              <w:left w:val="nil"/>
              <w:bottom w:val="nil"/>
              <w:right w:val="nil"/>
            </w:tcBorders>
            <w:shd w:val="clear" w:color="auto" w:fill="auto"/>
            <w:noWrap/>
            <w:vAlign w:val="bottom"/>
            <w:hideMark/>
          </w:tcPr>
          <w:p w14:paraId="7E98FD9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-0.240</w:t>
            </w:r>
          </w:p>
        </w:tc>
        <w:tc>
          <w:tcPr>
            <w:tcW w:w="531" w:type="pct"/>
            <w:tcBorders>
              <w:top w:val="nil"/>
              <w:left w:val="nil"/>
              <w:bottom w:val="nil"/>
              <w:right w:val="nil"/>
            </w:tcBorders>
            <w:shd w:val="clear" w:color="auto" w:fill="auto"/>
            <w:noWrap/>
            <w:vAlign w:val="bottom"/>
            <w:hideMark/>
          </w:tcPr>
          <w:p w14:paraId="4E45987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0.228</w:t>
            </w:r>
          </w:p>
        </w:tc>
        <w:tc>
          <w:tcPr>
            <w:tcW w:w="533" w:type="pct"/>
            <w:tcBorders>
              <w:top w:val="nil"/>
              <w:left w:val="nil"/>
              <w:bottom w:val="nil"/>
              <w:right w:val="single" w:sz="4" w:space="0" w:color="auto"/>
            </w:tcBorders>
            <w:shd w:val="clear" w:color="auto" w:fill="auto"/>
            <w:noWrap/>
            <w:vAlign w:val="bottom"/>
            <w:hideMark/>
          </w:tcPr>
          <w:p w14:paraId="5EF61A5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0.225</w:t>
            </w:r>
          </w:p>
        </w:tc>
        <w:tc>
          <w:tcPr>
            <w:tcW w:w="549" w:type="pct"/>
            <w:tcBorders>
              <w:top w:val="nil"/>
              <w:left w:val="single" w:sz="4" w:space="0" w:color="auto"/>
              <w:bottom w:val="nil"/>
              <w:right w:val="nil"/>
            </w:tcBorders>
            <w:shd w:val="clear" w:color="auto" w:fill="auto"/>
            <w:noWrap/>
            <w:vAlign w:val="bottom"/>
            <w:hideMark/>
          </w:tcPr>
          <w:p w14:paraId="225E508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-0.283</w:t>
            </w:r>
          </w:p>
        </w:tc>
        <w:tc>
          <w:tcPr>
            <w:tcW w:w="549" w:type="pct"/>
            <w:tcBorders>
              <w:top w:val="nil"/>
              <w:left w:val="nil"/>
              <w:bottom w:val="nil"/>
              <w:right w:val="nil"/>
            </w:tcBorders>
            <w:shd w:val="clear" w:color="auto" w:fill="auto"/>
            <w:noWrap/>
            <w:vAlign w:val="bottom"/>
            <w:hideMark/>
          </w:tcPr>
          <w:p w14:paraId="174436B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-0.522</w:t>
            </w:r>
          </w:p>
        </w:tc>
        <w:tc>
          <w:tcPr>
            <w:tcW w:w="520" w:type="pct"/>
            <w:tcBorders>
              <w:top w:val="nil"/>
              <w:left w:val="nil"/>
              <w:bottom w:val="nil"/>
              <w:right w:val="nil"/>
            </w:tcBorders>
            <w:shd w:val="clear" w:color="auto" w:fill="auto"/>
            <w:noWrap/>
            <w:vAlign w:val="bottom"/>
            <w:hideMark/>
          </w:tcPr>
          <w:p w14:paraId="2EF3E4F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0.212</w:t>
            </w:r>
          </w:p>
        </w:tc>
        <w:tc>
          <w:tcPr>
            <w:tcW w:w="520" w:type="pct"/>
            <w:tcBorders>
              <w:top w:val="nil"/>
              <w:left w:val="nil"/>
              <w:bottom w:val="nil"/>
              <w:right w:val="nil"/>
            </w:tcBorders>
            <w:shd w:val="clear" w:color="auto" w:fill="auto"/>
            <w:noWrap/>
            <w:vAlign w:val="bottom"/>
            <w:hideMark/>
          </w:tcPr>
          <w:p w14:paraId="5DA4CE4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0.192</w:t>
            </w:r>
          </w:p>
        </w:tc>
      </w:tr>
      <w:tr w:rsidR="00116862" w:rsidRPr="00245E91" w14:paraId="206DC6E3" w14:textId="77777777" w:rsidTr="00D83DD8">
        <w:trPr>
          <w:trHeight w:val="144"/>
        </w:trPr>
        <w:tc>
          <w:tcPr>
            <w:tcW w:w="694" w:type="pct"/>
            <w:tcBorders>
              <w:top w:val="nil"/>
              <w:left w:val="nil"/>
              <w:bottom w:val="nil"/>
              <w:right w:val="nil"/>
            </w:tcBorders>
            <w:shd w:val="clear" w:color="auto" w:fill="auto"/>
            <w:noWrap/>
            <w:vAlign w:val="bottom"/>
            <w:hideMark/>
          </w:tcPr>
          <w:p w14:paraId="70959306"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p>
        </w:tc>
        <w:tc>
          <w:tcPr>
            <w:tcW w:w="552" w:type="pct"/>
            <w:tcBorders>
              <w:top w:val="nil"/>
              <w:left w:val="nil"/>
              <w:bottom w:val="nil"/>
              <w:right w:val="nil"/>
            </w:tcBorders>
            <w:shd w:val="clear" w:color="auto" w:fill="auto"/>
            <w:noWrap/>
            <w:vAlign w:val="bottom"/>
            <w:hideMark/>
          </w:tcPr>
          <w:p w14:paraId="353645F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(0.21)</w:t>
            </w:r>
          </w:p>
        </w:tc>
        <w:tc>
          <w:tcPr>
            <w:tcW w:w="552" w:type="pct"/>
            <w:tcBorders>
              <w:top w:val="nil"/>
              <w:left w:val="nil"/>
              <w:bottom w:val="nil"/>
              <w:right w:val="nil"/>
            </w:tcBorders>
            <w:shd w:val="clear" w:color="auto" w:fill="auto"/>
            <w:noWrap/>
            <w:vAlign w:val="bottom"/>
            <w:hideMark/>
          </w:tcPr>
          <w:p w14:paraId="7E26E71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(-1.38)</w:t>
            </w:r>
          </w:p>
        </w:tc>
        <w:tc>
          <w:tcPr>
            <w:tcW w:w="531" w:type="pct"/>
            <w:tcBorders>
              <w:top w:val="nil"/>
              <w:left w:val="nil"/>
              <w:bottom w:val="nil"/>
              <w:right w:val="nil"/>
            </w:tcBorders>
            <w:shd w:val="clear" w:color="auto" w:fill="auto"/>
            <w:noWrap/>
            <w:vAlign w:val="bottom"/>
            <w:hideMark/>
          </w:tcPr>
          <w:p w14:paraId="357BB5A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(1.50)</w:t>
            </w:r>
          </w:p>
        </w:tc>
        <w:tc>
          <w:tcPr>
            <w:tcW w:w="533" w:type="pct"/>
            <w:tcBorders>
              <w:top w:val="nil"/>
              <w:left w:val="nil"/>
              <w:bottom w:val="nil"/>
              <w:right w:val="single" w:sz="4" w:space="0" w:color="auto"/>
            </w:tcBorders>
            <w:shd w:val="clear" w:color="auto" w:fill="auto"/>
            <w:noWrap/>
            <w:vAlign w:val="bottom"/>
            <w:hideMark/>
          </w:tcPr>
          <w:p w14:paraId="65F44A9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(1.53)</w:t>
            </w:r>
          </w:p>
        </w:tc>
        <w:tc>
          <w:tcPr>
            <w:tcW w:w="549" w:type="pct"/>
            <w:tcBorders>
              <w:top w:val="nil"/>
              <w:left w:val="single" w:sz="4" w:space="0" w:color="auto"/>
              <w:bottom w:val="nil"/>
              <w:right w:val="nil"/>
            </w:tcBorders>
            <w:shd w:val="clear" w:color="auto" w:fill="auto"/>
            <w:noWrap/>
            <w:vAlign w:val="bottom"/>
            <w:hideMark/>
          </w:tcPr>
          <w:p w14:paraId="67DE5FEA"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(-4.52***)</w:t>
            </w:r>
          </w:p>
        </w:tc>
        <w:tc>
          <w:tcPr>
            <w:tcW w:w="549" w:type="pct"/>
            <w:tcBorders>
              <w:top w:val="nil"/>
              <w:left w:val="nil"/>
              <w:bottom w:val="nil"/>
              <w:right w:val="nil"/>
            </w:tcBorders>
            <w:shd w:val="clear" w:color="auto" w:fill="auto"/>
            <w:noWrap/>
            <w:vAlign w:val="bottom"/>
            <w:hideMark/>
          </w:tcPr>
          <w:p w14:paraId="591284C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(-9.08***)</w:t>
            </w:r>
          </w:p>
        </w:tc>
        <w:tc>
          <w:tcPr>
            <w:tcW w:w="520" w:type="pct"/>
            <w:tcBorders>
              <w:top w:val="nil"/>
              <w:left w:val="nil"/>
              <w:bottom w:val="nil"/>
              <w:right w:val="nil"/>
            </w:tcBorders>
            <w:shd w:val="clear" w:color="auto" w:fill="auto"/>
            <w:noWrap/>
            <w:vAlign w:val="bottom"/>
            <w:hideMark/>
          </w:tcPr>
          <w:p w14:paraId="367C87E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(5.18***)</w:t>
            </w:r>
          </w:p>
        </w:tc>
        <w:tc>
          <w:tcPr>
            <w:tcW w:w="520" w:type="pct"/>
            <w:tcBorders>
              <w:top w:val="nil"/>
              <w:left w:val="nil"/>
              <w:bottom w:val="nil"/>
              <w:right w:val="nil"/>
            </w:tcBorders>
            <w:shd w:val="clear" w:color="auto" w:fill="auto"/>
            <w:noWrap/>
            <w:vAlign w:val="bottom"/>
            <w:hideMark/>
          </w:tcPr>
          <w:p w14:paraId="627793C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(4.76***)</w:t>
            </w:r>
          </w:p>
        </w:tc>
      </w:tr>
      <w:tr w:rsidR="00116862" w:rsidRPr="00245E91" w14:paraId="47B50567" w14:textId="77777777" w:rsidTr="00D83DD8">
        <w:trPr>
          <w:trHeight w:val="144"/>
        </w:trPr>
        <w:tc>
          <w:tcPr>
            <w:tcW w:w="694" w:type="pct"/>
            <w:tcBorders>
              <w:top w:val="nil"/>
              <w:left w:val="nil"/>
              <w:bottom w:val="nil"/>
              <w:right w:val="nil"/>
            </w:tcBorders>
            <w:shd w:val="clear" w:color="auto" w:fill="auto"/>
            <w:noWrap/>
            <w:vAlign w:val="bottom"/>
            <w:hideMark/>
          </w:tcPr>
          <w:p w14:paraId="2E73BAC6"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RESID_RM1</w:t>
            </w:r>
          </w:p>
        </w:tc>
        <w:tc>
          <w:tcPr>
            <w:tcW w:w="552" w:type="pct"/>
            <w:tcBorders>
              <w:top w:val="nil"/>
              <w:left w:val="nil"/>
              <w:bottom w:val="nil"/>
              <w:right w:val="nil"/>
            </w:tcBorders>
            <w:shd w:val="clear" w:color="auto" w:fill="auto"/>
            <w:noWrap/>
            <w:vAlign w:val="bottom"/>
            <w:hideMark/>
          </w:tcPr>
          <w:p w14:paraId="28D0FC46" w14:textId="77777777" w:rsidR="00116862" w:rsidRPr="00245E91" w:rsidRDefault="00116862" w:rsidP="00116862">
            <w:pPr>
              <w:spacing w:line="240" w:lineRule="auto"/>
              <w:contextualSpacing/>
              <w:rPr>
                <w:rFonts w:ascii="Times New Roman" w:hAnsi="Times New Roman"/>
                <w:color w:val="000000"/>
                <w:sz w:val="15"/>
                <w:szCs w:val="15"/>
              </w:rPr>
            </w:pPr>
          </w:p>
        </w:tc>
        <w:tc>
          <w:tcPr>
            <w:tcW w:w="552" w:type="pct"/>
            <w:tcBorders>
              <w:top w:val="nil"/>
              <w:left w:val="nil"/>
              <w:bottom w:val="nil"/>
              <w:right w:val="nil"/>
            </w:tcBorders>
            <w:shd w:val="clear" w:color="auto" w:fill="auto"/>
            <w:noWrap/>
            <w:vAlign w:val="bottom"/>
            <w:hideMark/>
          </w:tcPr>
          <w:p w14:paraId="746AC1B3" w14:textId="77777777" w:rsidR="00116862" w:rsidRPr="00245E91" w:rsidRDefault="00116862" w:rsidP="00116862">
            <w:pPr>
              <w:spacing w:line="240" w:lineRule="auto"/>
              <w:contextualSpacing/>
              <w:rPr>
                <w:rFonts w:ascii="Times New Roman" w:hAnsi="Times New Roman"/>
                <w:sz w:val="15"/>
                <w:szCs w:val="15"/>
              </w:rPr>
            </w:pPr>
          </w:p>
        </w:tc>
        <w:tc>
          <w:tcPr>
            <w:tcW w:w="531" w:type="pct"/>
            <w:tcBorders>
              <w:top w:val="nil"/>
              <w:left w:val="nil"/>
              <w:bottom w:val="nil"/>
              <w:right w:val="nil"/>
            </w:tcBorders>
            <w:shd w:val="clear" w:color="auto" w:fill="auto"/>
            <w:noWrap/>
            <w:vAlign w:val="bottom"/>
            <w:hideMark/>
          </w:tcPr>
          <w:p w14:paraId="3E95D9A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0.055</w:t>
            </w:r>
          </w:p>
        </w:tc>
        <w:tc>
          <w:tcPr>
            <w:tcW w:w="533" w:type="pct"/>
            <w:tcBorders>
              <w:top w:val="nil"/>
              <w:left w:val="nil"/>
              <w:bottom w:val="nil"/>
              <w:right w:val="single" w:sz="4" w:space="0" w:color="auto"/>
            </w:tcBorders>
            <w:shd w:val="clear" w:color="auto" w:fill="auto"/>
            <w:noWrap/>
            <w:vAlign w:val="bottom"/>
            <w:hideMark/>
          </w:tcPr>
          <w:p w14:paraId="15CCA02F" w14:textId="77777777" w:rsidR="00116862" w:rsidRPr="00245E91" w:rsidRDefault="00116862" w:rsidP="00116862">
            <w:pPr>
              <w:spacing w:line="240" w:lineRule="auto"/>
              <w:contextualSpacing/>
              <w:rPr>
                <w:rFonts w:ascii="Times New Roman" w:hAnsi="Times New Roman"/>
                <w:color w:val="000000"/>
                <w:sz w:val="15"/>
                <w:szCs w:val="15"/>
              </w:rPr>
            </w:pPr>
          </w:p>
        </w:tc>
        <w:tc>
          <w:tcPr>
            <w:tcW w:w="549" w:type="pct"/>
            <w:tcBorders>
              <w:top w:val="nil"/>
              <w:left w:val="single" w:sz="4" w:space="0" w:color="auto"/>
              <w:bottom w:val="nil"/>
              <w:right w:val="nil"/>
            </w:tcBorders>
            <w:shd w:val="clear" w:color="auto" w:fill="auto"/>
            <w:noWrap/>
            <w:vAlign w:val="bottom"/>
            <w:hideMark/>
          </w:tcPr>
          <w:p w14:paraId="6629F8D9" w14:textId="77777777" w:rsidR="00116862" w:rsidRPr="00245E91" w:rsidRDefault="00116862" w:rsidP="00116862">
            <w:pPr>
              <w:spacing w:line="240" w:lineRule="auto"/>
              <w:contextualSpacing/>
              <w:rPr>
                <w:rFonts w:ascii="Times New Roman" w:hAnsi="Times New Roman"/>
                <w:sz w:val="15"/>
                <w:szCs w:val="15"/>
              </w:rPr>
            </w:pPr>
          </w:p>
        </w:tc>
        <w:tc>
          <w:tcPr>
            <w:tcW w:w="549" w:type="pct"/>
            <w:tcBorders>
              <w:top w:val="nil"/>
              <w:left w:val="nil"/>
              <w:bottom w:val="nil"/>
              <w:right w:val="nil"/>
            </w:tcBorders>
            <w:shd w:val="clear" w:color="auto" w:fill="auto"/>
            <w:noWrap/>
            <w:vAlign w:val="bottom"/>
            <w:hideMark/>
          </w:tcPr>
          <w:p w14:paraId="733C8B80" w14:textId="77777777" w:rsidR="00116862" w:rsidRPr="00245E91" w:rsidRDefault="00116862" w:rsidP="00116862">
            <w:pPr>
              <w:spacing w:line="240" w:lineRule="auto"/>
              <w:contextualSpacing/>
              <w:rPr>
                <w:rFonts w:ascii="Times New Roman" w:hAnsi="Times New Roman"/>
                <w:sz w:val="15"/>
                <w:szCs w:val="15"/>
              </w:rPr>
            </w:pPr>
          </w:p>
        </w:tc>
        <w:tc>
          <w:tcPr>
            <w:tcW w:w="520" w:type="pct"/>
            <w:tcBorders>
              <w:top w:val="nil"/>
              <w:left w:val="nil"/>
              <w:bottom w:val="nil"/>
              <w:right w:val="nil"/>
            </w:tcBorders>
            <w:shd w:val="clear" w:color="auto" w:fill="auto"/>
            <w:noWrap/>
            <w:vAlign w:val="bottom"/>
            <w:hideMark/>
          </w:tcPr>
          <w:p w14:paraId="74C0923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0.206</w:t>
            </w:r>
          </w:p>
        </w:tc>
        <w:tc>
          <w:tcPr>
            <w:tcW w:w="520" w:type="pct"/>
            <w:tcBorders>
              <w:top w:val="nil"/>
              <w:left w:val="nil"/>
              <w:bottom w:val="nil"/>
              <w:right w:val="nil"/>
            </w:tcBorders>
            <w:shd w:val="clear" w:color="auto" w:fill="auto"/>
            <w:noWrap/>
            <w:vAlign w:val="bottom"/>
            <w:hideMark/>
          </w:tcPr>
          <w:p w14:paraId="1AB5B387" w14:textId="77777777" w:rsidR="00116862" w:rsidRPr="00245E91" w:rsidRDefault="00116862" w:rsidP="00116862">
            <w:pPr>
              <w:spacing w:line="240" w:lineRule="auto"/>
              <w:contextualSpacing/>
              <w:rPr>
                <w:rFonts w:ascii="Times New Roman" w:hAnsi="Times New Roman"/>
                <w:color w:val="000000"/>
                <w:sz w:val="15"/>
                <w:szCs w:val="15"/>
              </w:rPr>
            </w:pPr>
          </w:p>
        </w:tc>
      </w:tr>
      <w:tr w:rsidR="00116862" w:rsidRPr="00245E91" w14:paraId="23CD3599" w14:textId="77777777" w:rsidTr="00D83DD8">
        <w:trPr>
          <w:trHeight w:val="144"/>
        </w:trPr>
        <w:tc>
          <w:tcPr>
            <w:tcW w:w="694" w:type="pct"/>
            <w:tcBorders>
              <w:top w:val="nil"/>
              <w:left w:val="nil"/>
              <w:bottom w:val="nil"/>
              <w:right w:val="nil"/>
            </w:tcBorders>
            <w:shd w:val="clear" w:color="auto" w:fill="auto"/>
            <w:noWrap/>
            <w:vAlign w:val="bottom"/>
            <w:hideMark/>
          </w:tcPr>
          <w:p w14:paraId="069D2593" w14:textId="77777777" w:rsidR="00116862" w:rsidRPr="00245E91" w:rsidRDefault="00116862" w:rsidP="00116862">
            <w:pPr>
              <w:spacing w:after="0" w:line="240" w:lineRule="auto"/>
              <w:contextualSpacing/>
              <w:rPr>
                <w:rFonts w:ascii="Times New Roman" w:eastAsia="Times New Roman" w:hAnsi="Times New Roman"/>
                <w:i/>
                <w:sz w:val="15"/>
                <w:szCs w:val="15"/>
              </w:rPr>
            </w:pPr>
          </w:p>
        </w:tc>
        <w:tc>
          <w:tcPr>
            <w:tcW w:w="552" w:type="pct"/>
            <w:tcBorders>
              <w:top w:val="nil"/>
              <w:left w:val="nil"/>
              <w:bottom w:val="nil"/>
              <w:right w:val="nil"/>
            </w:tcBorders>
            <w:shd w:val="clear" w:color="auto" w:fill="auto"/>
            <w:noWrap/>
            <w:vAlign w:val="bottom"/>
            <w:hideMark/>
          </w:tcPr>
          <w:p w14:paraId="55B7341F" w14:textId="77777777" w:rsidR="00116862" w:rsidRPr="00245E91" w:rsidRDefault="00116862" w:rsidP="00116862">
            <w:pPr>
              <w:spacing w:line="240" w:lineRule="auto"/>
              <w:contextualSpacing/>
              <w:rPr>
                <w:rFonts w:ascii="Times New Roman" w:hAnsi="Times New Roman"/>
                <w:sz w:val="15"/>
                <w:szCs w:val="15"/>
              </w:rPr>
            </w:pPr>
          </w:p>
        </w:tc>
        <w:tc>
          <w:tcPr>
            <w:tcW w:w="552" w:type="pct"/>
            <w:tcBorders>
              <w:top w:val="nil"/>
              <w:left w:val="nil"/>
              <w:bottom w:val="nil"/>
              <w:right w:val="nil"/>
            </w:tcBorders>
            <w:shd w:val="clear" w:color="auto" w:fill="auto"/>
            <w:noWrap/>
            <w:vAlign w:val="bottom"/>
            <w:hideMark/>
          </w:tcPr>
          <w:p w14:paraId="70575A2F" w14:textId="77777777" w:rsidR="00116862" w:rsidRPr="00245E91" w:rsidRDefault="00116862" w:rsidP="00116862">
            <w:pPr>
              <w:spacing w:line="240" w:lineRule="auto"/>
              <w:contextualSpacing/>
              <w:rPr>
                <w:rFonts w:ascii="Times New Roman" w:hAnsi="Times New Roman"/>
                <w:sz w:val="15"/>
                <w:szCs w:val="15"/>
              </w:rPr>
            </w:pPr>
          </w:p>
        </w:tc>
        <w:tc>
          <w:tcPr>
            <w:tcW w:w="531" w:type="pct"/>
            <w:tcBorders>
              <w:top w:val="nil"/>
              <w:left w:val="nil"/>
              <w:bottom w:val="nil"/>
              <w:right w:val="nil"/>
            </w:tcBorders>
            <w:shd w:val="clear" w:color="auto" w:fill="auto"/>
            <w:noWrap/>
            <w:vAlign w:val="bottom"/>
            <w:hideMark/>
          </w:tcPr>
          <w:p w14:paraId="622B9D81"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(1.42)</w:t>
            </w:r>
          </w:p>
        </w:tc>
        <w:tc>
          <w:tcPr>
            <w:tcW w:w="533" w:type="pct"/>
            <w:tcBorders>
              <w:top w:val="nil"/>
              <w:left w:val="nil"/>
              <w:bottom w:val="nil"/>
              <w:right w:val="single" w:sz="4" w:space="0" w:color="auto"/>
            </w:tcBorders>
            <w:shd w:val="clear" w:color="auto" w:fill="auto"/>
            <w:noWrap/>
            <w:vAlign w:val="bottom"/>
            <w:hideMark/>
          </w:tcPr>
          <w:p w14:paraId="3E465560" w14:textId="77777777" w:rsidR="00116862" w:rsidRPr="00245E91" w:rsidRDefault="00116862" w:rsidP="00116862">
            <w:pPr>
              <w:spacing w:line="240" w:lineRule="auto"/>
              <w:contextualSpacing/>
              <w:rPr>
                <w:rFonts w:ascii="Times New Roman" w:hAnsi="Times New Roman"/>
                <w:color w:val="000000"/>
                <w:sz w:val="15"/>
                <w:szCs w:val="15"/>
              </w:rPr>
            </w:pPr>
          </w:p>
        </w:tc>
        <w:tc>
          <w:tcPr>
            <w:tcW w:w="549" w:type="pct"/>
            <w:tcBorders>
              <w:top w:val="nil"/>
              <w:left w:val="single" w:sz="4" w:space="0" w:color="auto"/>
              <w:bottom w:val="nil"/>
              <w:right w:val="nil"/>
            </w:tcBorders>
            <w:shd w:val="clear" w:color="auto" w:fill="auto"/>
            <w:noWrap/>
            <w:vAlign w:val="bottom"/>
            <w:hideMark/>
          </w:tcPr>
          <w:p w14:paraId="2B4612DA" w14:textId="77777777" w:rsidR="00116862" w:rsidRPr="00245E91" w:rsidRDefault="00116862" w:rsidP="00116862">
            <w:pPr>
              <w:spacing w:line="240" w:lineRule="auto"/>
              <w:contextualSpacing/>
              <w:rPr>
                <w:rFonts w:ascii="Times New Roman" w:hAnsi="Times New Roman"/>
                <w:sz w:val="15"/>
                <w:szCs w:val="15"/>
              </w:rPr>
            </w:pPr>
          </w:p>
        </w:tc>
        <w:tc>
          <w:tcPr>
            <w:tcW w:w="549" w:type="pct"/>
            <w:tcBorders>
              <w:top w:val="nil"/>
              <w:left w:val="nil"/>
              <w:bottom w:val="nil"/>
              <w:right w:val="nil"/>
            </w:tcBorders>
            <w:shd w:val="clear" w:color="auto" w:fill="auto"/>
            <w:noWrap/>
            <w:vAlign w:val="bottom"/>
            <w:hideMark/>
          </w:tcPr>
          <w:p w14:paraId="3A4DF9E8" w14:textId="77777777" w:rsidR="00116862" w:rsidRPr="00245E91" w:rsidRDefault="00116862" w:rsidP="00116862">
            <w:pPr>
              <w:spacing w:line="240" w:lineRule="auto"/>
              <w:contextualSpacing/>
              <w:rPr>
                <w:rFonts w:ascii="Times New Roman" w:hAnsi="Times New Roman"/>
                <w:sz w:val="15"/>
                <w:szCs w:val="15"/>
              </w:rPr>
            </w:pPr>
          </w:p>
        </w:tc>
        <w:tc>
          <w:tcPr>
            <w:tcW w:w="520" w:type="pct"/>
            <w:tcBorders>
              <w:top w:val="nil"/>
              <w:left w:val="nil"/>
              <w:bottom w:val="nil"/>
              <w:right w:val="nil"/>
            </w:tcBorders>
            <w:shd w:val="clear" w:color="auto" w:fill="auto"/>
            <w:noWrap/>
            <w:vAlign w:val="bottom"/>
            <w:hideMark/>
          </w:tcPr>
          <w:p w14:paraId="5C790269"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(4.89***)</w:t>
            </w:r>
          </w:p>
        </w:tc>
        <w:tc>
          <w:tcPr>
            <w:tcW w:w="520" w:type="pct"/>
            <w:tcBorders>
              <w:top w:val="nil"/>
              <w:left w:val="nil"/>
              <w:bottom w:val="nil"/>
              <w:right w:val="nil"/>
            </w:tcBorders>
            <w:shd w:val="clear" w:color="auto" w:fill="auto"/>
            <w:noWrap/>
            <w:vAlign w:val="bottom"/>
            <w:hideMark/>
          </w:tcPr>
          <w:p w14:paraId="295E5AC6" w14:textId="77777777" w:rsidR="00116862" w:rsidRPr="00245E91" w:rsidRDefault="00116862" w:rsidP="00116862">
            <w:pPr>
              <w:spacing w:line="240" w:lineRule="auto"/>
              <w:contextualSpacing/>
              <w:rPr>
                <w:rFonts w:ascii="Times New Roman" w:hAnsi="Times New Roman"/>
                <w:color w:val="000000"/>
                <w:sz w:val="15"/>
                <w:szCs w:val="15"/>
              </w:rPr>
            </w:pPr>
          </w:p>
        </w:tc>
      </w:tr>
      <w:tr w:rsidR="00116862" w:rsidRPr="00245E91" w14:paraId="6288D3A1" w14:textId="77777777" w:rsidTr="00D83DD8">
        <w:trPr>
          <w:trHeight w:val="144"/>
        </w:trPr>
        <w:tc>
          <w:tcPr>
            <w:tcW w:w="694" w:type="pct"/>
            <w:tcBorders>
              <w:top w:val="nil"/>
              <w:left w:val="nil"/>
              <w:bottom w:val="nil"/>
              <w:right w:val="nil"/>
            </w:tcBorders>
            <w:shd w:val="clear" w:color="auto" w:fill="auto"/>
            <w:noWrap/>
            <w:vAlign w:val="bottom"/>
            <w:hideMark/>
          </w:tcPr>
          <w:p w14:paraId="128DF5FE" w14:textId="77777777" w:rsidR="00116862" w:rsidRPr="00245E91" w:rsidRDefault="00116862" w:rsidP="00116862">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RESID_RM2</w:t>
            </w:r>
          </w:p>
        </w:tc>
        <w:tc>
          <w:tcPr>
            <w:tcW w:w="552" w:type="pct"/>
            <w:tcBorders>
              <w:top w:val="nil"/>
              <w:left w:val="nil"/>
              <w:bottom w:val="nil"/>
              <w:right w:val="nil"/>
            </w:tcBorders>
            <w:shd w:val="clear" w:color="auto" w:fill="auto"/>
            <w:noWrap/>
            <w:vAlign w:val="bottom"/>
            <w:hideMark/>
          </w:tcPr>
          <w:p w14:paraId="6B22C8B8" w14:textId="77777777" w:rsidR="00116862" w:rsidRPr="00245E91" w:rsidRDefault="00116862" w:rsidP="00116862">
            <w:pPr>
              <w:spacing w:line="240" w:lineRule="auto"/>
              <w:contextualSpacing/>
              <w:rPr>
                <w:rFonts w:ascii="Times New Roman" w:hAnsi="Times New Roman"/>
                <w:sz w:val="15"/>
                <w:szCs w:val="15"/>
              </w:rPr>
            </w:pPr>
          </w:p>
        </w:tc>
        <w:tc>
          <w:tcPr>
            <w:tcW w:w="552" w:type="pct"/>
            <w:tcBorders>
              <w:top w:val="nil"/>
              <w:left w:val="nil"/>
              <w:bottom w:val="nil"/>
              <w:right w:val="nil"/>
            </w:tcBorders>
            <w:shd w:val="clear" w:color="auto" w:fill="auto"/>
            <w:noWrap/>
            <w:vAlign w:val="bottom"/>
            <w:hideMark/>
          </w:tcPr>
          <w:p w14:paraId="307B2492" w14:textId="77777777" w:rsidR="00116862" w:rsidRPr="00245E91" w:rsidRDefault="00116862" w:rsidP="00116862">
            <w:pPr>
              <w:spacing w:line="240" w:lineRule="auto"/>
              <w:contextualSpacing/>
              <w:rPr>
                <w:rFonts w:ascii="Times New Roman" w:hAnsi="Times New Roman"/>
                <w:sz w:val="15"/>
                <w:szCs w:val="15"/>
              </w:rPr>
            </w:pPr>
          </w:p>
        </w:tc>
        <w:tc>
          <w:tcPr>
            <w:tcW w:w="531" w:type="pct"/>
            <w:tcBorders>
              <w:top w:val="nil"/>
              <w:left w:val="nil"/>
              <w:bottom w:val="nil"/>
              <w:right w:val="nil"/>
            </w:tcBorders>
            <w:shd w:val="clear" w:color="auto" w:fill="auto"/>
            <w:noWrap/>
            <w:vAlign w:val="bottom"/>
            <w:hideMark/>
          </w:tcPr>
          <w:p w14:paraId="7F36B3E6" w14:textId="77777777" w:rsidR="00116862" w:rsidRPr="00245E91" w:rsidRDefault="00116862" w:rsidP="00116862">
            <w:pPr>
              <w:spacing w:line="240" w:lineRule="auto"/>
              <w:contextualSpacing/>
              <w:rPr>
                <w:rFonts w:ascii="Times New Roman" w:hAnsi="Times New Roman"/>
                <w:sz w:val="15"/>
                <w:szCs w:val="15"/>
              </w:rPr>
            </w:pPr>
          </w:p>
        </w:tc>
        <w:tc>
          <w:tcPr>
            <w:tcW w:w="533" w:type="pct"/>
            <w:tcBorders>
              <w:top w:val="nil"/>
              <w:left w:val="nil"/>
              <w:bottom w:val="nil"/>
              <w:right w:val="single" w:sz="4" w:space="0" w:color="auto"/>
            </w:tcBorders>
            <w:shd w:val="clear" w:color="auto" w:fill="auto"/>
            <w:noWrap/>
            <w:vAlign w:val="bottom"/>
            <w:hideMark/>
          </w:tcPr>
          <w:p w14:paraId="70A08DF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0.134</w:t>
            </w:r>
          </w:p>
        </w:tc>
        <w:tc>
          <w:tcPr>
            <w:tcW w:w="549" w:type="pct"/>
            <w:tcBorders>
              <w:top w:val="nil"/>
              <w:left w:val="single" w:sz="4" w:space="0" w:color="auto"/>
              <w:bottom w:val="nil"/>
              <w:right w:val="nil"/>
            </w:tcBorders>
            <w:shd w:val="clear" w:color="auto" w:fill="auto"/>
            <w:noWrap/>
            <w:vAlign w:val="bottom"/>
            <w:hideMark/>
          </w:tcPr>
          <w:p w14:paraId="5A73300B" w14:textId="77777777" w:rsidR="00116862" w:rsidRPr="00245E91" w:rsidRDefault="00116862" w:rsidP="00116862">
            <w:pPr>
              <w:spacing w:line="240" w:lineRule="auto"/>
              <w:contextualSpacing/>
              <w:rPr>
                <w:rFonts w:ascii="Times New Roman" w:hAnsi="Times New Roman"/>
                <w:color w:val="000000"/>
                <w:sz w:val="15"/>
                <w:szCs w:val="15"/>
              </w:rPr>
            </w:pPr>
          </w:p>
        </w:tc>
        <w:tc>
          <w:tcPr>
            <w:tcW w:w="549" w:type="pct"/>
            <w:tcBorders>
              <w:top w:val="nil"/>
              <w:left w:val="nil"/>
              <w:bottom w:val="nil"/>
              <w:right w:val="nil"/>
            </w:tcBorders>
            <w:shd w:val="clear" w:color="auto" w:fill="auto"/>
            <w:noWrap/>
            <w:vAlign w:val="bottom"/>
            <w:hideMark/>
          </w:tcPr>
          <w:p w14:paraId="100704D1" w14:textId="77777777" w:rsidR="00116862" w:rsidRPr="00245E91" w:rsidRDefault="00116862" w:rsidP="00116862">
            <w:pPr>
              <w:spacing w:line="240" w:lineRule="auto"/>
              <w:contextualSpacing/>
              <w:rPr>
                <w:rFonts w:ascii="Times New Roman" w:hAnsi="Times New Roman"/>
                <w:sz w:val="15"/>
                <w:szCs w:val="15"/>
              </w:rPr>
            </w:pPr>
          </w:p>
        </w:tc>
        <w:tc>
          <w:tcPr>
            <w:tcW w:w="520" w:type="pct"/>
            <w:tcBorders>
              <w:top w:val="nil"/>
              <w:left w:val="nil"/>
              <w:bottom w:val="nil"/>
              <w:right w:val="nil"/>
            </w:tcBorders>
            <w:shd w:val="clear" w:color="auto" w:fill="auto"/>
            <w:noWrap/>
            <w:vAlign w:val="bottom"/>
            <w:hideMark/>
          </w:tcPr>
          <w:p w14:paraId="78509233" w14:textId="77777777" w:rsidR="00116862" w:rsidRPr="00245E91" w:rsidRDefault="00116862" w:rsidP="00116862">
            <w:pPr>
              <w:spacing w:line="240" w:lineRule="auto"/>
              <w:contextualSpacing/>
              <w:rPr>
                <w:rFonts w:ascii="Times New Roman" w:hAnsi="Times New Roman"/>
                <w:sz w:val="15"/>
                <w:szCs w:val="15"/>
              </w:rPr>
            </w:pPr>
          </w:p>
        </w:tc>
        <w:tc>
          <w:tcPr>
            <w:tcW w:w="520" w:type="pct"/>
            <w:tcBorders>
              <w:top w:val="nil"/>
              <w:left w:val="nil"/>
              <w:bottom w:val="nil"/>
              <w:right w:val="nil"/>
            </w:tcBorders>
            <w:shd w:val="clear" w:color="auto" w:fill="auto"/>
            <w:noWrap/>
            <w:vAlign w:val="bottom"/>
            <w:hideMark/>
          </w:tcPr>
          <w:p w14:paraId="4605AB4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0.142</w:t>
            </w:r>
          </w:p>
        </w:tc>
      </w:tr>
      <w:tr w:rsidR="00116862" w:rsidRPr="00245E91" w14:paraId="26C281CB" w14:textId="77777777" w:rsidTr="00D83DD8">
        <w:trPr>
          <w:trHeight w:val="144"/>
        </w:trPr>
        <w:tc>
          <w:tcPr>
            <w:tcW w:w="694" w:type="pct"/>
            <w:tcBorders>
              <w:top w:val="nil"/>
              <w:left w:val="nil"/>
              <w:bottom w:val="nil"/>
              <w:right w:val="nil"/>
            </w:tcBorders>
            <w:shd w:val="clear" w:color="auto" w:fill="auto"/>
            <w:noWrap/>
            <w:vAlign w:val="bottom"/>
            <w:hideMark/>
          </w:tcPr>
          <w:p w14:paraId="362BA599" w14:textId="77777777" w:rsidR="00116862" w:rsidRPr="00245E91" w:rsidRDefault="00116862" w:rsidP="00116862">
            <w:pPr>
              <w:spacing w:after="0" w:line="240" w:lineRule="auto"/>
              <w:contextualSpacing/>
              <w:rPr>
                <w:rFonts w:ascii="Times New Roman" w:eastAsia="Times New Roman" w:hAnsi="Times New Roman"/>
                <w:color w:val="000000"/>
                <w:sz w:val="15"/>
                <w:szCs w:val="15"/>
              </w:rPr>
            </w:pPr>
          </w:p>
        </w:tc>
        <w:tc>
          <w:tcPr>
            <w:tcW w:w="552" w:type="pct"/>
            <w:tcBorders>
              <w:top w:val="nil"/>
              <w:left w:val="nil"/>
              <w:bottom w:val="nil"/>
              <w:right w:val="nil"/>
            </w:tcBorders>
            <w:shd w:val="clear" w:color="auto" w:fill="auto"/>
            <w:noWrap/>
            <w:vAlign w:val="bottom"/>
            <w:hideMark/>
          </w:tcPr>
          <w:p w14:paraId="437CBDD1" w14:textId="77777777" w:rsidR="00116862" w:rsidRPr="00245E91" w:rsidRDefault="00116862" w:rsidP="00116862">
            <w:pPr>
              <w:spacing w:line="240" w:lineRule="auto"/>
              <w:contextualSpacing/>
              <w:rPr>
                <w:rFonts w:ascii="Times New Roman" w:hAnsi="Times New Roman"/>
                <w:color w:val="000000"/>
                <w:sz w:val="15"/>
                <w:szCs w:val="15"/>
              </w:rPr>
            </w:pPr>
          </w:p>
        </w:tc>
        <w:tc>
          <w:tcPr>
            <w:tcW w:w="552" w:type="pct"/>
            <w:tcBorders>
              <w:top w:val="nil"/>
              <w:left w:val="nil"/>
              <w:bottom w:val="nil"/>
              <w:right w:val="nil"/>
            </w:tcBorders>
            <w:shd w:val="clear" w:color="auto" w:fill="auto"/>
            <w:noWrap/>
            <w:vAlign w:val="bottom"/>
            <w:hideMark/>
          </w:tcPr>
          <w:p w14:paraId="238ACF99" w14:textId="77777777" w:rsidR="00116862" w:rsidRPr="00245E91" w:rsidRDefault="00116862" w:rsidP="00116862">
            <w:pPr>
              <w:spacing w:line="240" w:lineRule="auto"/>
              <w:contextualSpacing/>
              <w:rPr>
                <w:rFonts w:ascii="Times New Roman" w:hAnsi="Times New Roman"/>
                <w:sz w:val="15"/>
                <w:szCs w:val="15"/>
              </w:rPr>
            </w:pPr>
          </w:p>
        </w:tc>
        <w:tc>
          <w:tcPr>
            <w:tcW w:w="531" w:type="pct"/>
            <w:tcBorders>
              <w:top w:val="nil"/>
              <w:left w:val="nil"/>
              <w:bottom w:val="nil"/>
              <w:right w:val="nil"/>
            </w:tcBorders>
            <w:shd w:val="clear" w:color="auto" w:fill="auto"/>
            <w:noWrap/>
            <w:vAlign w:val="bottom"/>
            <w:hideMark/>
          </w:tcPr>
          <w:p w14:paraId="1F4ADDCD" w14:textId="77777777" w:rsidR="00116862" w:rsidRPr="00245E91" w:rsidRDefault="00116862" w:rsidP="00116862">
            <w:pPr>
              <w:spacing w:line="240" w:lineRule="auto"/>
              <w:contextualSpacing/>
              <w:rPr>
                <w:rFonts w:ascii="Times New Roman" w:hAnsi="Times New Roman"/>
                <w:sz w:val="15"/>
                <w:szCs w:val="15"/>
              </w:rPr>
            </w:pPr>
          </w:p>
        </w:tc>
        <w:tc>
          <w:tcPr>
            <w:tcW w:w="533" w:type="pct"/>
            <w:tcBorders>
              <w:top w:val="nil"/>
              <w:left w:val="nil"/>
              <w:bottom w:val="nil"/>
              <w:right w:val="single" w:sz="4" w:space="0" w:color="auto"/>
            </w:tcBorders>
            <w:shd w:val="clear" w:color="auto" w:fill="auto"/>
            <w:noWrap/>
            <w:vAlign w:val="bottom"/>
            <w:hideMark/>
          </w:tcPr>
          <w:p w14:paraId="162BC45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(4.138***)</w:t>
            </w:r>
          </w:p>
        </w:tc>
        <w:tc>
          <w:tcPr>
            <w:tcW w:w="549" w:type="pct"/>
            <w:tcBorders>
              <w:top w:val="nil"/>
              <w:left w:val="single" w:sz="4" w:space="0" w:color="auto"/>
              <w:bottom w:val="nil"/>
              <w:right w:val="nil"/>
            </w:tcBorders>
            <w:shd w:val="clear" w:color="auto" w:fill="auto"/>
            <w:noWrap/>
            <w:vAlign w:val="bottom"/>
            <w:hideMark/>
          </w:tcPr>
          <w:p w14:paraId="2816E570" w14:textId="77777777" w:rsidR="00116862" w:rsidRPr="00245E91" w:rsidRDefault="00116862" w:rsidP="00116862">
            <w:pPr>
              <w:spacing w:line="240" w:lineRule="auto"/>
              <w:contextualSpacing/>
              <w:rPr>
                <w:rFonts w:ascii="Times New Roman" w:hAnsi="Times New Roman"/>
                <w:color w:val="000000"/>
                <w:sz w:val="15"/>
                <w:szCs w:val="15"/>
              </w:rPr>
            </w:pPr>
          </w:p>
        </w:tc>
        <w:tc>
          <w:tcPr>
            <w:tcW w:w="549" w:type="pct"/>
            <w:tcBorders>
              <w:top w:val="nil"/>
              <w:left w:val="nil"/>
              <w:bottom w:val="nil"/>
              <w:right w:val="nil"/>
            </w:tcBorders>
            <w:shd w:val="clear" w:color="auto" w:fill="auto"/>
            <w:noWrap/>
            <w:vAlign w:val="bottom"/>
            <w:hideMark/>
          </w:tcPr>
          <w:p w14:paraId="116CD242" w14:textId="77777777" w:rsidR="00116862" w:rsidRPr="00245E91" w:rsidRDefault="00116862" w:rsidP="00116862">
            <w:pPr>
              <w:spacing w:line="240" w:lineRule="auto"/>
              <w:contextualSpacing/>
              <w:rPr>
                <w:rFonts w:ascii="Times New Roman" w:hAnsi="Times New Roman"/>
                <w:sz w:val="15"/>
                <w:szCs w:val="15"/>
              </w:rPr>
            </w:pPr>
          </w:p>
        </w:tc>
        <w:tc>
          <w:tcPr>
            <w:tcW w:w="520" w:type="pct"/>
            <w:tcBorders>
              <w:top w:val="nil"/>
              <w:left w:val="nil"/>
              <w:bottom w:val="nil"/>
              <w:right w:val="nil"/>
            </w:tcBorders>
            <w:shd w:val="clear" w:color="auto" w:fill="auto"/>
            <w:noWrap/>
            <w:vAlign w:val="bottom"/>
            <w:hideMark/>
          </w:tcPr>
          <w:p w14:paraId="16CAD5EB" w14:textId="77777777" w:rsidR="00116862" w:rsidRPr="00245E91" w:rsidRDefault="00116862" w:rsidP="00116862">
            <w:pPr>
              <w:spacing w:line="240" w:lineRule="auto"/>
              <w:contextualSpacing/>
              <w:rPr>
                <w:rFonts w:ascii="Times New Roman" w:hAnsi="Times New Roman"/>
                <w:sz w:val="15"/>
                <w:szCs w:val="15"/>
              </w:rPr>
            </w:pPr>
          </w:p>
        </w:tc>
        <w:tc>
          <w:tcPr>
            <w:tcW w:w="520" w:type="pct"/>
            <w:tcBorders>
              <w:top w:val="nil"/>
              <w:left w:val="nil"/>
              <w:bottom w:val="nil"/>
              <w:right w:val="nil"/>
            </w:tcBorders>
            <w:shd w:val="clear" w:color="auto" w:fill="auto"/>
            <w:noWrap/>
            <w:vAlign w:val="bottom"/>
            <w:hideMark/>
          </w:tcPr>
          <w:p w14:paraId="7E7D44BA"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(4.38***)</w:t>
            </w:r>
          </w:p>
        </w:tc>
      </w:tr>
      <w:tr w:rsidR="00116862" w:rsidRPr="00245E91" w14:paraId="558871B8" w14:textId="77777777" w:rsidTr="00D83DD8">
        <w:trPr>
          <w:trHeight w:val="144"/>
        </w:trPr>
        <w:tc>
          <w:tcPr>
            <w:tcW w:w="694" w:type="pct"/>
            <w:tcBorders>
              <w:top w:val="nil"/>
              <w:left w:val="nil"/>
              <w:bottom w:val="nil"/>
              <w:right w:val="nil"/>
            </w:tcBorders>
            <w:shd w:val="clear" w:color="auto" w:fill="auto"/>
            <w:noWrap/>
            <w:vAlign w:val="bottom"/>
            <w:hideMark/>
          </w:tcPr>
          <w:p w14:paraId="1BB12D43" w14:textId="77777777" w:rsidR="00116862" w:rsidRPr="00245E91" w:rsidRDefault="00116862" w:rsidP="00116862">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Adj. R-squared</w:t>
            </w:r>
          </w:p>
        </w:tc>
        <w:tc>
          <w:tcPr>
            <w:tcW w:w="552" w:type="pct"/>
            <w:tcBorders>
              <w:top w:val="nil"/>
              <w:left w:val="nil"/>
              <w:bottom w:val="nil"/>
              <w:right w:val="nil"/>
            </w:tcBorders>
            <w:shd w:val="clear" w:color="auto" w:fill="auto"/>
            <w:noWrap/>
            <w:vAlign w:val="bottom"/>
            <w:hideMark/>
          </w:tcPr>
          <w:p w14:paraId="77221C8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w:t>
            </w:r>
          </w:p>
        </w:tc>
        <w:tc>
          <w:tcPr>
            <w:tcW w:w="552" w:type="pct"/>
            <w:tcBorders>
              <w:top w:val="nil"/>
              <w:left w:val="nil"/>
              <w:bottom w:val="nil"/>
              <w:right w:val="nil"/>
            </w:tcBorders>
            <w:shd w:val="clear" w:color="auto" w:fill="auto"/>
            <w:noWrap/>
            <w:vAlign w:val="bottom"/>
            <w:hideMark/>
          </w:tcPr>
          <w:p w14:paraId="72AC97C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0.10</w:t>
            </w:r>
          </w:p>
        </w:tc>
        <w:tc>
          <w:tcPr>
            <w:tcW w:w="531" w:type="pct"/>
            <w:tcBorders>
              <w:top w:val="nil"/>
              <w:left w:val="nil"/>
              <w:bottom w:val="nil"/>
              <w:right w:val="nil"/>
            </w:tcBorders>
            <w:shd w:val="clear" w:color="auto" w:fill="auto"/>
            <w:noWrap/>
            <w:vAlign w:val="bottom"/>
            <w:hideMark/>
          </w:tcPr>
          <w:p w14:paraId="624733C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0.25</w:t>
            </w:r>
          </w:p>
        </w:tc>
        <w:tc>
          <w:tcPr>
            <w:tcW w:w="533" w:type="pct"/>
            <w:tcBorders>
              <w:top w:val="nil"/>
              <w:left w:val="nil"/>
              <w:bottom w:val="nil"/>
              <w:right w:val="single" w:sz="4" w:space="0" w:color="auto"/>
            </w:tcBorders>
            <w:shd w:val="clear" w:color="auto" w:fill="auto"/>
            <w:noWrap/>
            <w:vAlign w:val="bottom"/>
            <w:hideMark/>
          </w:tcPr>
          <w:p w14:paraId="609B84E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0.26</w:t>
            </w:r>
          </w:p>
        </w:tc>
        <w:tc>
          <w:tcPr>
            <w:tcW w:w="549" w:type="pct"/>
            <w:tcBorders>
              <w:top w:val="nil"/>
              <w:left w:val="single" w:sz="4" w:space="0" w:color="auto"/>
              <w:bottom w:val="nil"/>
              <w:right w:val="nil"/>
            </w:tcBorders>
            <w:shd w:val="clear" w:color="auto" w:fill="auto"/>
            <w:noWrap/>
            <w:vAlign w:val="bottom"/>
            <w:hideMark/>
          </w:tcPr>
          <w:p w14:paraId="4946AA0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0.17</w:t>
            </w:r>
          </w:p>
        </w:tc>
        <w:tc>
          <w:tcPr>
            <w:tcW w:w="549" w:type="pct"/>
            <w:tcBorders>
              <w:top w:val="nil"/>
              <w:left w:val="nil"/>
              <w:bottom w:val="nil"/>
              <w:right w:val="nil"/>
            </w:tcBorders>
            <w:shd w:val="clear" w:color="auto" w:fill="auto"/>
            <w:noWrap/>
            <w:vAlign w:val="bottom"/>
            <w:hideMark/>
          </w:tcPr>
          <w:p w14:paraId="36F577A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0.22</w:t>
            </w:r>
          </w:p>
        </w:tc>
        <w:tc>
          <w:tcPr>
            <w:tcW w:w="520" w:type="pct"/>
            <w:tcBorders>
              <w:top w:val="nil"/>
              <w:left w:val="nil"/>
              <w:bottom w:val="nil"/>
              <w:right w:val="nil"/>
            </w:tcBorders>
            <w:shd w:val="clear" w:color="auto" w:fill="auto"/>
            <w:noWrap/>
            <w:vAlign w:val="bottom"/>
            <w:hideMark/>
          </w:tcPr>
          <w:p w14:paraId="01FD1D57"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0.16</w:t>
            </w:r>
          </w:p>
        </w:tc>
        <w:tc>
          <w:tcPr>
            <w:tcW w:w="520" w:type="pct"/>
            <w:tcBorders>
              <w:top w:val="nil"/>
              <w:left w:val="nil"/>
              <w:bottom w:val="nil"/>
              <w:right w:val="nil"/>
            </w:tcBorders>
            <w:shd w:val="clear" w:color="auto" w:fill="auto"/>
            <w:noWrap/>
            <w:vAlign w:val="bottom"/>
            <w:hideMark/>
          </w:tcPr>
          <w:p w14:paraId="665B3EE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0.13</w:t>
            </w:r>
          </w:p>
        </w:tc>
      </w:tr>
      <w:tr w:rsidR="00116862" w:rsidRPr="00245E91" w14:paraId="06CE3119" w14:textId="77777777" w:rsidTr="00D83DD8">
        <w:trPr>
          <w:trHeight w:val="144"/>
        </w:trPr>
        <w:tc>
          <w:tcPr>
            <w:tcW w:w="694" w:type="pct"/>
            <w:tcBorders>
              <w:top w:val="nil"/>
              <w:left w:val="nil"/>
              <w:bottom w:val="nil"/>
              <w:right w:val="nil"/>
            </w:tcBorders>
            <w:shd w:val="clear" w:color="auto" w:fill="auto"/>
            <w:noWrap/>
            <w:vAlign w:val="bottom"/>
            <w:hideMark/>
          </w:tcPr>
          <w:p w14:paraId="6E7F75DC" w14:textId="77777777" w:rsidR="00116862" w:rsidRPr="00245E91" w:rsidRDefault="00116862" w:rsidP="00116862">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Year fixed effect</w:t>
            </w:r>
          </w:p>
        </w:tc>
        <w:tc>
          <w:tcPr>
            <w:tcW w:w="552" w:type="pct"/>
            <w:tcBorders>
              <w:top w:val="nil"/>
              <w:left w:val="nil"/>
              <w:bottom w:val="nil"/>
              <w:right w:val="nil"/>
            </w:tcBorders>
            <w:shd w:val="clear" w:color="auto" w:fill="auto"/>
            <w:noWrap/>
            <w:vAlign w:val="bottom"/>
            <w:hideMark/>
          </w:tcPr>
          <w:p w14:paraId="2AD966D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52" w:type="pct"/>
            <w:tcBorders>
              <w:top w:val="nil"/>
              <w:left w:val="nil"/>
              <w:bottom w:val="nil"/>
              <w:right w:val="nil"/>
            </w:tcBorders>
            <w:shd w:val="clear" w:color="auto" w:fill="auto"/>
            <w:noWrap/>
            <w:vAlign w:val="bottom"/>
            <w:hideMark/>
          </w:tcPr>
          <w:p w14:paraId="714B31E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1" w:type="pct"/>
            <w:tcBorders>
              <w:top w:val="nil"/>
              <w:left w:val="nil"/>
              <w:bottom w:val="nil"/>
              <w:right w:val="nil"/>
            </w:tcBorders>
            <w:shd w:val="clear" w:color="auto" w:fill="auto"/>
            <w:noWrap/>
            <w:vAlign w:val="bottom"/>
            <w:hideMark/>
          </w:tcPr>
          <w:p w14:paraId="6CC7398C"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3" w:type="pct"/>
            <w:tcBorders>
              <w:top w:val="nil"/>
              <w:left w:val="nil"/>
              <w:bottom w:val="nil"/>
              <w:right w:val="single" w:sz="4" w:space="0" w:color="auto"/>
            </w:tcBorders>
            <w:shd w:val="clear" w:color="auto" w:fill="auto"/>
            <w:noWrap/>
            <w:vAlign w:val="bottom"/>
            <w:hideMark/>
          </w:tcPr>
          <w:p w14:paraId="31F791C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49" w:type="pct"/>
            <w:tcBorders>
              <w:top w:val="nil"/>
              <w:left w:val="single" w:sz="4" w:space="0" w:color="auto"/>
              <w:bottom w:val="nil"/>
              <w:right w:val="nil"/>
            </w:tcBorders>
            <w:shd w:val="clear" w:color="auto" w:fill="auto"/>
            <w:noWrap/>
            <w:vAlign w:val="bottom"/>
            <w:hideMark/>
          </w:tcPr>
          <w:p w14:paraId="01A0DBD0"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49" w:type="pct"/>
            <w:tcBorders>
              <w:top w:val="nil"/>
              <w:left w:val="nil"/>
              <w:bottom w:val="nil"/>
              <w:right w:val="nil"/>
            </w:tcBorders>
            <w:shd w:val="clear" w:color="auto" w:fill="auto"/>
            <w:noWrap/>
            <w:vAlign w:val="bottom"/>
            <w:hideMark/>
          </w:tcPr>
          <w:p w14:paraId="131D5D7B"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20" w:type="pct"/>
            <w:tcBorders>
              <w:top w:val="nil"/>
              <w:left w:val="nil"/>
              <w:bottom w:val="nil"/>
              <w:right w:val="nil"/>
            </w:tcBorders>
            <w:shd w:val="clear" w:color="auto" w:fill="auto"/>
            <w:noWrap/>
            <w:vAlign w:val="bottom"/>
            <w:hideMark/>
          </w:tcPr>
          <w:p w14:paraId="689803E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20" w:type="pct"/>
            <w:tcBorders>
              <w:top w:val="nil"/>
              <w:left w:val="nil"/>
              <w:bottom w:val="nil"/>
              <w:right w:val="nil"/>
            </w:tcBorders>
            <w:shd w:val="clear" w:color="auto" w:fill="auto"/>
            <w:noWrap/>
            <w:vAlign w:val="bottom"/>
            <w:hideMark/>
          </w:tcPr>
          <w:p w14:paraId="2AD9F66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r>
      <w:tr w:rsidR="00116862" w:rsidRPr="00245E91" w14:paraId="520FFFF6" w14:textId="77777777" w:rsidTr="00D83DD8">
        <w:trPr>
          <w:trHeight w:val="144"/>
        </w:trPr>
        <w:tc>
          <w:tcPr>
            <w:tcW w:w="694" w:type="pct"/>
            <w:tcBorders>
              <w:top w:val="nil"/>
              <w:left w:val="nil"/>
              <w:right w:val="nil"/>
            </w:tcBorders>
            <w:shd w:val="clear" w:color="auto" w:fill="auto"/>
            <w:noWrap/>
            <w:vAlign w:val="bottom"/>
            <w:hideMark/>
          </w:tcPr>
          <w:p w14:paraId="2F3E4C99" w14:textId="77777777" w:rsidR="00116862" w:rsidRPr="00245E91" w:rsidRDefault="00116862" w:rsidP="00116862">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Clustered by firm</w:t>
            </w:r>
          </w:p>
        </w:tc>
        <w:tc>
          <w:tcPr>
            <w:tcW w:w="552" w:type="pct"/>
            <w:tcBorders>
              <w:top w:val="nil"/>
              <w:left w:val="nil"/>
              <w:bottom w:val="nil"/>
              <w:right w:val="nil"/>
            </w:tcBorders>
            <w:shd w:val="clear" w:color="auto" w:fill="auto"/>
            <w:noWrap/>
            <w:vAlign w:val="bottom"/>
            <w:hideMark/>
          </w:tcPr>
          <w:p w14:paraId="040D4C1F"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52" w:type="pct"/>
            <w:tcBorders>
              <w:top w:val="nil"/>
              <w:left w:val="nil"/>
              <w:bottom w:val="nil"/>
              <w:right w:val="nil"/>
            </w:tcBorders>
            <w:shd w:val="clear" w:color="auto" w:fill="auto"/>
            <w:noWrap/>
            <w:vAlign w:val="bottom"/>
            <w:hideMark/>
          </w:tcPr>
          <w:p w14:paraId="0D2E0021"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1" w:type="pct"/>
            <w:tcBorders>
              <w:top w:val="nil"/>
              <w:left w:val="nil"/>
              <w:bottom w:val="nil"/>
              <w:right w:val="nil"/>
            </w:tcBorders>
            <w:shd w:val="clear" w:color="auto" w:fill="auto"/>
            <w:noWrap/>
            <w:vAlign w:val="bottom"/>
            <w:hideMark/>
          </w:tcPr>
          <w:p w14:paraId="38C7B4A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3" w:type="pct"/>
            <w:tcBorders>
              <w:top w:val="nil"/>
              <w:left w:val="nil"/>
              <w:bottom w:val="nil"/>
              <w:right w:val="single" w:sz="4" w:space="0" w:color="auto"/>
            </w:tcBorders>
            <w:shd w:val="clear" w:color="auto" w:fill="auto"/>
            <w:noWrap/>
            <w:vAlign w:val="bottom"/>
            <w:hideMark/>
          </w:tcPr>
          <w:p w14:paraId="606B1DA6"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49" w:type="pct"/>
            <w:tcBorders>
              <w:top w:val="nil"/>
              <w:left w:val="single" w:sz="4" w:space="0" w:color="auto"/>
              <w:bottom w:val="nil"/>
              <w:right w:val="nil"/>
            </w:tcBorders>
            <w:shd w:val="clear" w:color="auto" w:fill="auto"/>
            <w:noWrap/>
            <w:vAlign w:val="bottom"/>
            <w:hideMark/>
          </w:tcPr>
          <w:p w14:paraId="085D4A1E"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49" w:type="pct"/>
            <w:tcBorders>
              <w:top w:val="nil"/>
              <w:left w:val="nil"/>
              <w:bottom w:val="nil"/>
              <w:right w:val="nil"/>
            </w:tcBorders>
            <w:shd w:val="clear" w:color="auto" w:fill="auto"/>
            <w:noWrap/>
            <w:vAlign w:val="bottom"/>
            <w:hideMark/>
          </w:tcPr>
          <w:p w14:paraId="7DF1081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20" w:type="pct"/>
            <w:tcBorders>
              <w:top w:val="nil"/>
              <w:left w:val="nil"/>
              <w:bottom w:val="nil"/>
              <w:right w:val="nil"/>
            </w:tcBorders>
            <w:shd w:val="clear" w:color="auto" w:fill="auto"/>
            <w:noWrap/>
            <w:vAlign w:val="bottom"/>
            <w:hideMark/>
          </w:tcPr>
          <w:p w14:paraId="22D00DC2"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20" w:type="pct"/>
            <w:tcBorders>
              <w:top w:val="nil"/>
              <w:left w:val="nil"/>
              <w:bottom w:val="nil"/>
              <w:right w:val="nil"/>
            </w:tcBorders>
            <w:shd w:val="clear" w:color="auto" w:fill="auto"/>
            <w:noWrap/>
            <w:vAlign w:val="bottom"/>
            <w:hideMark/>
          </w:tcPr>
          <w:p w14:paraId="22AC965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r>
      <w:tr w:rsidR="00116862" w:rsidRPr="00245E91" w14:paraId="21DD8D7F" w14:textId="77777777" w:rsidTr="00D83DD8">
        <w:trPr>
          <w:trHeight w:val="144"/>
        </w:trPr>
        <w:tc>
          <w:tcPr>
            <w:tcW w:w="694" w:type="pct"/>
            <w:tcBorders>
              <w:top w:val="nil"/>
              <w:left w:val="nil"/>
              <w:bottom w:val="single" w:sz="4" w:space="0" w:color="auto"/>
              <w:right w:val="nil"/>
            </w:tcBorders>
            <w:shd w:val="clear" w:color="auto" w:fill="auto"/>
            <w:noWrap/>
            <w:vAlign w:val="bottom"/>
            <w:hideMark/>
          </w:tcPr>
          <w:p w14:paraId="4ADB6C57" w14:textId="77777777" w:rsidR="00116862" w:rsidRPr="00245E91" w:rsidRDefault="00116862" w:rsidP="00116862">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Observations</w:t>
            </w:r>
          </w:p>
        </w:tc>
        <w:tc>
          <w:tcPr>
            <w:tcW w:w="552" w:type="pct"/>
            <w:tcBorders>
              <w:top w:val="nil"/>
              <w:left w:val="nil"/>
              <w:bottom w:val="single" w:sz="4" w:space="0" w:color="auto"/>
              <w:right w:val="nil"/>
            </w:tcBorders>
            <w:shd w:val="clear" w:color="auto" w:fill="auto"/>
            <w:noWrap/>
            <w:vAlign w:val="bottom"/>
            <w:hideMark/>
          </w:tcPr>
          <w:p w14:paraId="5ED815A1"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2,801</w:t>
            </w:r>
          </w:p>
        </w:tc>
        <w:tc>
          <w:tcPr>
            <w:tcW w:w="552" w:type="pct"/>
            <w:tcBorders>
              <w:top w:val="nil"/>
              <w:left w:val="nil"/>
              <w:bottom w:val="single" w:sz="4" w:space="0" w:color="auto"/>
              <w:right w:val="nil"/>
            </w:tcBorders>
            <w:shd w:val="clear" w:color="auto" w:fill="auto"/>
            <w:noWrap/>
            <w:vAlign w:val="bottom"/>
            <w:hideMark/>
          </w:tcPr>
          <w:p w14:paraId="22C29B0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2,767</w:t>
            </w:r>
          </w:p>
        </w:tc>
        <w:tc>
          <w:tcPr>
            <w:tcW w:w="531" w:type="pct"/>
            <w:tcBorders>
              <w:top w:val="nil"/>
              <w:left w:val="nil"/>
              <w:bottom w:val="single" w:sz="4" w:space="0" w:color="auto"/>
              <w:right w:val="nil"/>
            </w:tcBorders>
            <w:shd w:val="clear" w:color="auto" w:fill="auto"/>
            <w:noWrap/>
            <w:vAlign w:val="bottom"/>
            <w:hideMark/>
          </w:tcPr>
          <w:p w14:paraId="1EC237B5"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2,754</w:t>
            </w:r>
          </w:p>
        </w:tc>
        <w:tc>
          <w:tcPr>
            <w:tcW w:w="533" w:type="pct"/>
            <w:tcBorders>
              <w:top w:val="nil"/>
              <w:left w:val="nil"/>
              <w:bottom w:val="single" w:sz="4" w:space="0" w:color="auto"/>
              <w:right w:val="single" w:sz="4" w:space="0" w:color="auto"/>
            </w:tcBorders>
            <w:shd w:val="clear" w:color="auto" w:fill="auto"/>
            <w:noWrap/>
            <w:vAlign w:val="bottom"/>
            <w:hideMark/>
          </w:tcPr>
          <w:p w14:paraId="1BDFDE44"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2,754</w:t>
            </w:r>
          </w:p>
        </w:tc>
        <w:tc>
          <w:tcPr>
            <w:tcW w:w="549" w:type="pct"/>
            <w:tcBorders>
              <w:top w:val="nil"/>
              <w:left w:val="single" w:sz="4" w:space="0" w:color="auto"/>
              <w:bottom w:val="single" w:sz="4" w:space="0" w:color="auto"/>
              <w:right w:val="nil"/>
            </w:tcBorders>
            <w:shd w:val="clear" w:color="auto" w:fill="auto"/>
            <w:noWrap/>
            <w:vAlign w:val="bottom"/>
            <w:hideMark/>
          </w:tcPr>
          <w:p w14:paraId="765EA36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3,176</w:t>
            </w:r>
          </w:p>
        </w:tc>
        <w:tc>
          <w:tcPr>
            <w:tcW w:w="549" w:type="pct"/>
            <w:tcBorders>
              <w:top w:val="nil"/>
              <w:left w:val="nil"/>
              <w:bottom w:val="single" w:sz="4" w:space="0" w:color="auto"/>
              <w:right w:val="nil"/>
            </w:tcBorders>
            <w:shd w:val="clear" w:color="auto" w:fill="auto"/>
            <w:noWrap/>
            <w:vAlign w:val="bottom"/>
            <w:hideMark/>
          </w:tcPr>
          <w:p w14:paraId="27B08CCD"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3,164</w:t>
            </w:r>
          </w:p>
        </w:tc>
        <w:tc>
          <w:tcPr>
            <w:tcW w:w="520" w:type="pct"/>
            <w:tcBorders>
              <w:top w:val="nil"/>
              <w:left w:val="nil"/>
              <w:bottom w:val="single" w:sz="4" w:space="0" w:color="auto"/>
              <w:right w:val="nil"/>
            </w:tcBorders>
            <w:shd w:val="clear" w:color="auto" w:fill="auto"/>
            <w:noWrap/>
            <w:vAlign w:val="bottom"/>
            <w:hideMark/>
          </w:tcPr>
          <w:p w14:paraId="3B166638"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3,159</w:t>
            </w:r>
          </w:p>
        </w:tc>
        <w:tc>
          <w:tcPr>
            <w:tcW w:w="520" w:type="pct"/>
            <w:tcBorders>
              <w:top w:val="nil"/>
              <w:left w:val="nil"/>
              <w:bottom w:val="single" w:sz="4" w:space="0" w:color="auto"/>
              <w:right w:val="nil"/>
            </w:tcBorders>
            <w:shd w:val="clear" w:color="auto" w:fill="auto"/>
            <w:noWrap/>
            <w:vAlign w:val="bottom"/>
            <w:hideMark/>
          </w:tcPr>
          <w:p w14:paraId="655C52B3" w14:textId="77777777" w:rsidR="00116862" w:rsidRPr="00245E91" w:rsidRDefault="00116862" w:rsidP="00116862">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3,159</w:t>
            </w:r>
          </w:p>
        </w:tc>
      </w:tr>
    </w:tbl>
    <w:p w14:paraId="28A30A5F" w14:textId="77777777" w:rsidR="00116862" w:rsidRPr="00245E91" w:rsidRDefault="00116862">
      <w:pPr>
        <w:spacing w:after="0" w:line="240" w:lineRule="auto"/>
        <w:rPr>
          <w:rFonts w:ascii="Times New Roman" w:hAnsi="Times New Roman"/>
          <w:sz w:val="15"/>
          <w:szCs w:val="15"/>
        </w:rPr>
      </w:pPr>
      <w:r w:rsidRPr="00245E91">
        <w:rPr>
          <w:rFonts w:ascii="Times New Roman" w:hAnsi="Times New Roman"/>
          <w:sz w:val="15"/>
          <w:szCs w:val="15"/>
        </w:rPr>
        <w:br w:type="page"/>
      </w:r>
    </w:p>
    <w:p w14:paraId="72A66A64" w14:textId="77777777" w:rsidR="00116862" w:rsidRPr="00245E91" w:rsidRDefault="00116862" w:rsidP="00116862">
      <w:pPr>
        <w:spacing w:after="0" w:line="240" w:lineRule="auto"/>
        <w:rPr>
          <w:rFonts w:ascii="Times New Roman" w:hAnsi="Times New Roman"/>
          <w:b/>
          <w:sz w:val="15"/>
          <w:szCs w:val="15"/>
        </w:rPr>
      </w:pPr>
      <w:r w:rsidRPr="00245E91">
        <w:rPr>
          <w:rFonts w:ascii="Times New Roman" w:hAnsi="Times New Roman"/>
          <w:b/>
          <w:sz w:val="15"/>
          <w:szCs w:val="15"/>
        </w:rPr>
        <w:t>Table 9 - Cross-sectional Analyses of Earnings Management – Short Tenure vs. Long Tenure</w:t>
      </w:r>
    </w:p>
    <w:p w14:paraId="56B8F265" w14:textId="3FA53F4F" w:rsidR="00116862" w:rsidRPr="00245E91" w:rsidRDefault="00EE4A1C" w:rsidP="00116862">
      <w:pPr>
        <w:spacing w:after="0" w:line="240" w:lineRule="auto"/>
        <w:rPr>
          <w:rFonts w:ascii="Times New Roman" w:hAnsi="Times New Roman"/>
          <w:sz w:val="15"/>
          <w:szCs w:val="15"/>
        </w:rPr>
      </w:pPr>
      <w:r w:rsidRPr="00245E91">
        <w:rPr>
          <w:rFonts w:ascii="Times New Roman" w:hAnsi="Times New Roman"/>
          <w:sz w:val="15"/>
          <w:szCs w:val="15"/>
        </w:rPr>
        <w:t xml:space="preserve">The sample includes MLPs and all Non-MLP firms in the same industry in the same year. </w:t>
      </w:r>
      <w:r w:rsidR="00116862" w:rsidRPr="00245E91">
        <w:rPr>
          <w:rFonts w:ascii="Times New Roman" w:hAnsi="Times New Roman"/>
          <w:sz w:val="15"/>
          <w:szCs w:val="15"/>
        </w:rPr>
        <w:t>The dependent variables are RM1, RM2 and DA, alternatively. RM1 is the sum of RDISX and RPROD. RM2 is the sum of RDISX, RPROD and RCFO. RDISX is the abnormal discretionary expenditure. RPROD is the abnormal production costs. RCFO is the abnormal cash flow. DA is the discretionary accrual. MLP is the dummy variable for MLP firms. LN(Assets) is the natural log of total assets. MKTSHARE is the ratio of firm sales to total sales of all firms in the same industry. DEBT is the ratio of debt-to-assets. NOA is net operating assets and is calculated as total assets minus cash and short-term investment scaled by total assets. OPERCYCLE is the days of receivable plus the days of inventory less the days of payable at the beginning of the year. ROA is net income to total assets ratio. MKBK is the market-to-book ratio of equity. LIQUIDITY is the average of the ratio of monthly trading volume to shares outstanding in the year. STOCKISSUE is the ratio of the amount of sales of common stock and preferred stock in the year to the market capitalization of the firm. DEBISSUE is the ratio of the amount of long-term debt issuance to the firm’s assets. BIG8 is the dummy variable for firms with auditors in the top 8. TENURE is the number of years the auditor has audited the client. INSTOWN is the percentage of institutional ownership at the beginning of year. NUMANALYST is the number of analysts following the firm. RESID_RM1 and RESID_RM2 are the residuals from Models 4 and 5. *, **, and *** indicate the significance levels of 10%, 5% and 1%, respectively.</w:t>
      </w:r>
    </w:p>
    <w:tbl>
      <w:tblPr>
        <w:tblW w:w="5000" w:type="pct"/>
        <w:tblLook w:val="04A0" w:firstRow="1" w:lastRow="0" w:firstColumn="1" w:lastColumn="0" w:noHBand="0" w:noVBand="1"/>
      </w:tblPr>
      <w:tblGrid>
        <w:gridCol w:w="1885"/>
        <w:gridCol w:w="1385"/>
        <w:gridCol w:w="1384"/>
        <w:gridCol w:w="1384"/>
        <w:gridCol w:w="1387"/>
        <w:gridCol w:w="1382"/>
        <w:gridCol w:w="1384"/>
        <w:gridCol w:w="1382"/>
        <w:gridCol w:w="1387"/>
      </w:tblGrid>
      <w:tr w:rsidR="003273BD" w:rsidRPr="00245E91" w14:paraId="73B871F5" w14:textId="77777777" w:rsidTr="00D83DD8">
        <w:trPr>
          <w:trHeight w:val="144"/>
        </w:trPr>
        <w:tc>
          <w:tcPr>
            <w:tcW w:w="727" w:type="pct"/>
            <w:tcBorders>
              <w:top w:val="single" w:sz="4" w:space="0" w:color="auto"/>
              <w:left w:val="nil"/>
              <w:right w:val="nil"/>
            </w:tcBorders>
            <w:shd w:val="clear" w:color="auto" w:fill="auto"/>
            <w:noWrap/>
            <w:vAlign w:val="bottom"/>
            <w:hideMark/>
          </w:tcPr>
          <w:p w14:paraId="72D723D4" w14:textId="77777777" w:rsidR="003273BD" w:rsidRPr="00245E91" w:rsidRDefault="003273BD" w:rsidP="003273BD">
            <w:pPr>
              <w:spacing w:after="0" w:line="240" w:lineRule="auto"/>
              <w:contextualSpacing/>
              <w:rPr>
                <w:rFonts w:ascii="Times New Roman" w:eastAsia="Times New Roman" w:hAnsi="Times New Roman"/>
                <w:b/>
                <w:i/>
                <w:sz w:val="15"/>
                <w:szCs w:val="15"/>
              </w:rPr>
            </w:pPr>
          </w:p>
        </w:tc>
        <w:tc>
          <w:tcPr>
            <w:tcW w:w="2137" w:type="pct"/>
            <w:gridSpan w:val="4"/>
            <w:tcBorders>
              <w:top w:val="single" w:sz="4" w:space="0" w:color="auto"/>
              <w:left w:val="nil"/>
              <w:right w:val="single" w:sz="4" w:space="0" w:color="auto"/>
            </w:tcBorders>
            <w:shd w:val="clear" w:color="auto" w:fill="auto"/>
            <w:noWrap/>
            <w:vAlign w:val="bottom"/>
            <w:hideMark/>
          </w:tcPr>
          <w:p w14:paraId="4286789F" w14:textId="77777777" w:rsidR="003273BD" w:rsidRPr="00245E91" w:rsidRDefault="003273BD" w:rsidP="00F7612D">
            <w:pPr>
              <w:spacing w:after="0" w:line="240" w:lineRule="auto"/>
              <w:contextualSpacing/>
              <w:jc w:val="center"/>
              <w:rPr>
                <w:rFonts w:ascii="Times New Roman" w:eastAsia="Times New Roman" w:hAnsi="Times New Roman"/>
                <w:color w:val="000000"/>
                <w:sz w:val="15"/>
                <w:szCs w:val="15"/>
              </w:rPr>
            </w:pPr>
            <w:r w:rsidRPr="00245E91">
              <w:rPr>
                <w:rFonts w:ascii="Times New Roman" w:eastAsia="Times New Roman" w:hAnsi="Times New Roman"/>
                <w:b/>
                <w:i/>
                <w:color w:val="000000"/>
                <w:sz w:val="15"/>
                <w:szCs w:val="15"/>
              </w:rPr>
              <w:t>Panel A – Short Tenure</w:t>
            </w:r>
          </w:p>
        </w:tc>
        <w:tc>
          <w:tcPr>
            <w:tcW w:w="2135" w:type="pct"/>
            <w:gridSpan w:val="4"/>
            <w:tcBorders>
              <w:top w:val="single" w:sz="4" w:space="0" w:color="auto"/>
              <w:left w:val="single" w:sz="4" w:space="0" w:color="auto"/>
              <w:bottom w:val="nil"/>
              <w:right w:val="nil"/>
            </w:tcBorders>
            <w:shd w:val="clear" w:color="auto" w:fill="auto"/>
            <w:noWrap/>
            <w:vAlign w:val="bottom"/>
            <w:hideMark/>
          </w:tcPr>
          <w:p w14:paraId="3BCE484C" w14:textId="77777777" w:rsidR="003273BD" w:rsidRPr="00245E91" w:rsidRDefault="003273BD" w:rsidP="00F7612D">
            <w:pPr>
              <w:spacing w:after="0" w:line="240" w:lineRule="auto"/>
              <w:contextualSpacing/>
              <w:jc w:val="center"/>
              <w:rPr>
                <w:rFonts w:ascii="Times New Roman" w:eastAsia="Times New Roman" w:hAnsi="Times New Roman"/>
                <w:color w:val="000000"/>
                <w:sz w:val="15"/>
                <w:szCs w:val="15"/>
              </w:rPr>
            </w:pPr>
            <w:r w:rsidRPr="00245E91">
              <w:rPr>
                <w:rFonts w:ascii="Times New Roman" w:eastAsia="Times New Roman" w:hAnsi="Times New Roman"/>
                <w:b/>
                <w:i/>
                <w:color w:val="000000"/>
                <w:sz w:val="15"/>
                <w:szCs w:val="15"/>
              </w:rPr>
              <w:t>Panel B – Long Tenure</w:t>
            </w:r>
          </w:p>
        </w:tc>
      </w:tr>
      <w:tr w:rsidR="003273BD" w:rsidRPr="00245E91" w14:paraId="77B505D3" w14:textId="77777777" w:rsidTr="00D83DD8">
        <w:trPr>
          <w:trHeight w:val="144"/>
        </w:trPr>
        <w:tc>
          <w:tcPr>
            <w:tcW w:w="727" w:type="pct"/>
            <w:tcBorders>
              <w:top w:val="nil"/>
              <w:left w:val="nil"/>
              <w:bottom w:val="single" w:sz="4" w:space="0" w:color="auto"/>
              <w:right w:val="nil"/>
            </w:tcBorders>
            <w:shd w:val="clear" w:color="auto" w:fill="auto"/>
            <w:noWrap/>
            <w:vAlign w:val="bottom"/>
            <w:hideMark/>
          </w:tcPr>
          <w:p w14:paraId="05F8C8DB"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Variables</w:t>
            </w:r>
          </w:p>
        </w:tc>
        <w:tc>
          <w:tcPr>
            <w:tcW w:w="534" w:type="pct"/>
            <w:tcBorders>
              <w:top w:val="nil"/>
              <w:left w:val="nil"/>
              <w:bottom w:val="single" w:sz="4" w:space="0" w:color="auto"/>
              <w:right w:val="nil"/>
            </w:tcBorders>
            <w:shd w:val="clear" w:color="auto" w:fill="auto"/>
            <w:noWrap/>
            <w:vAlign w:val="bottom"/>
            <w:hideMark/>
          </w:tcPr>
          <w:p w14:paraId="343E2EFC"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1 – RM1</w:t>
            </w:r>
          </w:p>
        </w:tc>
        <w:tc>
          <w:tcPr>
            <w:tcW w:w="534" w:type="pct"/>
            <w:tcBorders>
              <w:top w:val="nil"/>
              <w:left w:val="nil"/>
              <w:bottom w:val="single" w:sz="4" w:space="0" w:color="auto"/>
              <w:right w:val="nil"/>
            </w:tcBorders>
            <w:shd w:val="clear" w:color="auto" w:fill="auto"/>
            <w:noWrap/>
            <w:vAlign w:val="bottom"/>
            <w:hideMark/>
          </w:tcPr>
          <w:p w14:paraId="509D4094"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2 – RM2</w:t>
            </w:r>
          </w:p>
        </w:tc>
        <w:tc>
          <w:tcPr>
            <w:tcW w:w="534" w:type="pct"/>
            <w:tcBorders>
              <w:top w:val="nil"/>
              <w:left w:val="nil"/>
              <w:bottom w:val="single" w:sz="4" w:space="0" w:color="auto"/>
              <w:right w:val="nil"/>
            </w:tcBorders>
            <w:shd w:val="clear" w:color="auto" w:fill="auto"/>
            <w:noWrap/>
            <w:vAlign w:val="bottom"/>
            <w:hideMark/>
          </w:tcPr>
          <w:p w14:paraId="3BC34F19"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3 – DA</w:t>
            </w:r>
          </w:p>
        </w:tc>
        <w:tc>
          <w:tcPr>
            <w:tcW w:w="534" w:type="pct"/>
            <w:tcBorders>
              <w:top w:val="nil"/>
              <w:left w:val="nil"/>
              <w:bottom w:val="single" w:sz="4" w:space="0" w:color="auto"/>
              <w:right w:val="single" w:sz="4" w:space="0" w:color="auto"/>
            </w:tcBorders>
            <w:shd w:val="clear" w:color="auto" w:fill="auto"/>
            <w:noWrap/>
            <w:vAlign w:val="bottom"/>
            <w:hideMark/>
          </w:tcPr>
          <w:p w14:paraId="4EBE4A0C"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4 – DA</w:t>
            </w:r>
          </w:p>
        </w:tc>
        <w:tc>
          <w:tcPr>
            <w:tcW w:w="533" w:type="pct"/>
            <w:tcBorders>
              <w:top w:val="nil"/>
              <w:left w:val="single" w:sz="4" w:space="0" w:color="auto"/>
              <w:bottom w:val="single" w:sz="4" w:space="0" w:color="auto"/>
              <w:right w:val="nil"/>
            </w:tcBorders>
            <w:shd w:val="clear" w:color="auto" w:fill="auto"/>
            <w:noWrap/>
            <w:vAlign w:val="bottom"/>
            <w:hideMark/>
          </w:tcPr>
          <w:p w14:paraId="752B91A3"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1 – RM1</w:t>
            </w:r>
          </w:p>
        </w:tc>
        <w:tc>
          <w:tcPr>
            <w:tcW w:w="534" w:type="pct"/>
            <w:tcBorders>
              <w:top w:val="nil"/>
              <w:left w:val="nil"/>
              <w:bottom w:val="single" w:sz="4" w:space="0" w:color="auto"/>
              <w:right w:val="nil"/>
            </w:tcBorders>
            <w:shd w:val="clear" w:color="auto" w:fill="auto"/>
            <w:noWrap/>
            <w:vAlign w:val="bottom"/>
            <w:hideMark/>
          </w:tcPr>
          <w:p w14:paraId="237F0DE8"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2 – RM2</w:t>
            </w:r>
          </w:p>
        </w:tc>
        <w:tc>
          <w:tcPr>
            <w:tcW w:w="533" w:type="pct"/>
            <w:tcBorders>
              <w:top w:val="nil"/>
              <w:left w:val="nil"/>
              <w:bottom w:val="single" w:sz="4" w:space="0" w:color="auto"/>
              <w:right w:val="nil"/>
            </w:tcBorders>
            <w:shd w:val="clear" w:color="auto" w:fill="auto"/>
            <w:noWrap/>
            <w:vAlign w:val="bottom"/>
            <w:hideMark/>
          </w:tcPr>
          <w:p w14:paraId="5C454224"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3 – DA</w:t>
            </w:r>
          </w:p>
        </w:tc>
        <w:tc>
          <w:tcPr>
            <w:tcW w:w="535" w:type="pct"/>
            <w:tcBorders>
              <w:top w:val="nil"/>
              <w:left w:val="nil"/>
              <w:bottom w:val="single" w:sz="4" w:space="0" w:color="auto"/>
              <w:right w:val="nil"/>
            </w:tcBorders>
            <w:shd w:val="clear" w:color="auto" w:fill="auto"/>
            <w:noWrap/>
            <w:vAlign w:val="bottom"/>
            <w:hideMark/>
          </w:tcPr>
          <w:p w14:paraId="68073625"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4 – DA</w:t>
            </w:r>
          </w:p>
        </w:tc>
      </w:tr>
      <w:tr w:rsidR="003273BD" w:rsidRPr="00245E91" w14:paraId="2DB53AA8" w14:textId="77777777" w:rsidTr="00D83DD8">
        <w:trPr>
          <w:trHeight w:val="144"/>
        </w:trPr>
        <w:tc>
          <w:tcPr>
            <w:tcW w:w="727" w:type="pct"/>
            <w:tcBorders>
              <w:top w:val="single" w:sz="4" w:space="0" w:color="auto"/>
              <w:left w:val="nil"/>
              <w:bottom w:val="nil"/>
              <w:right w:val="nil"/>
            </w:tcBorders>
            <w:shd w:val="clear" w:color="auto" w:fill="auto"/>
            <w:noWrap/>
            <w:vAlign w:val="bottom"/>
            <w:hideMark/>
          </w:tcPr>
          <w:p w14:paraId="76AD6E6E" w14:textId="77777777" w:rsidR="003273BD" w:rsidRPr="00245E91" w:rsidRDefault="003273BD" w:rsidP="003273BD">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Constant</w:t>
            </w:r>
          </w:p>
        </w:tc>
        <w:tc>
          <w:tcPr>
            <w:tcW w:w="534" w:type="pct"/>
            <w:tcBorders>
              <w:top w:val="single" w:sz="4" w:space="0" w:color="auto"/>
              <w:left w:val="nil"/>
              <w:bottom w:val="nil"/>
              <w:right w:val="nil"/>
            </w:tcBorders>
            <w:shd w:val="clear" w:color="auto" w:fill="auto"/>
            <w:noWrap/>
            <w:vAlign w:val="bottom"/>
            <w:hideMark/>
          </w:tcPr>
          <w:p w14:paraId="767258A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-0.141</w:t>
            </w:r>
          </w:p>
        </w:tc>
        <w:tc>
          <w:tcPr>
            <w:tcW w:w="534" w:type="pct"/>
            <w:tcBorders>
              <w:top w:val="single" w:sz="4" w:space="0" w:color="auto"/>
              <w:left w:val="nil"/>
              <w:bottom w:val="nil"/>
              <w:right w:val="nil"/>
            </w:tcBorders>
            <w:shd w:val="clear" w:color="auto" w:fill="auto"/>
            <w:noWrap/>
            <w:vAlign w:val="bottom"/>
            <w:hideMark/>
          </w:tcPr>
          <w:p w14:paraId="1BC132F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0.003</w:t>
            </w:r>
          </w:p>
        </w:tc>
        <w:tc>
          <w:tcPr>
            <w:tcW w:w="534" w:type="pct"/>
            <w:tcBorders>
              <w:top w:val="single" w:sz="4" w:space="0" w:color="auto"/>
              <w:left w:val="nil"/>
              <w:bottom w:val="nil"/>
              <w:right w:val="nil"/>
            </w:tcBorders>
            <w:shd w:val="clear" w:color="auto" w:fill="auto"/>
            <w:noWrap/>
            <w:vAlign w:val="bottom"/>
            <w:hideMark/>
          </w:tcPr>
          <w:p w14:paraId="5DCD6EF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0.165</w:t>
            </w:r>
          </w:p>
        </w:tc>
        <w:tc>
          <w:tcPr>
            <w:tcW w:w="534" w:type="pct"/>
            <w:tcBorders>
              <w:top w:val="single" w:sz="4" w:space="0" w:color="auto"/>
              <w:left w:val="nil"/>
              <w:bottom w:val="nil"/>
              <w:right w:val="single" w:sz="4" w:space="0" w:color="auto"/>
            </w:tcBorders>
            <w:shd w:val="clear" w:color="auto" w:fill="auto"/>
            <w:noWrap/>
            <w:vAlign w:val="bottom"/>
            <w:hideMark/>
          </w:tcPr>
          <w:p w14:paraId="2D270B3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0.162</w:t>
            </w:r>
          </w:p>
        </w:tc>
        <w:tc>
          <w:tcPr>
            <w:tcW w:w="533" w:type="pct"/>
            <w:tcBorders>
              <w:top w:val="single" w:sz="4" w:space="0" w:color="auto"/>
              <w:left w:val="single" w:sz="4" w:space="0" w:color="auto"/>
              <w:bottom w:val="nil"/>
              <w:right w:val="nil"/>
            </w:tcBorders>
            <w:shd w:val="clear" w:color="auto" w:fill="auto"/>
            <w:noWrap/>
            <w:vAlign w:val="bottom"/>
            <w:hideMark/>
          </w:tcPr>
          <w:p w14:paraId="4DE7199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-0.153</w:t>
            </w:r>
          </w:p>
        </w:tc>
        <w:tc>
          <w:tcPr>
            <w:tcW w:w="534" w:type="pct"/>
            <w:tcBorders>
              <w:top w:val="single" w:sz="4" w:space="0" w:color="auto"/>
              <w:left w:val="nil"/>
              <w:bottom w:val="nil"/>
              <w:right w:val="nil"/>
            </w:tcBorders>
            <w:shd w:val="clear" w:color="auto" w:fill="auto"/>
            <w:noWrap/>
            <w:vAlign w:val="bottom"/>
            <w:hideMark/>
          </w:tcPr>
          <w:p w14:paraId="35CEC94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-0.051</w:t>
            </w:r>
          </w:p>
        </w:tc>
        <w:tc>
          <w:tcPr>
            <w:tcW w:w="533" w:type="pct"/>
            <w:tcBorders>
              <w:top w:val="single" w:sz="4" w:space="0" w:color="auto"/>
              <w:left w:val="nil"/>
              <w:bottom w:val="nil"/>
              <w:right w:val="nil"/>
            </w:tcBorders>
            <w:shd w:val="clear" w:color="auto" w:fill="auto"/>
            <w:noWrap/>
            <w:vAlign w:val="bottom"/>
            <w:hideMark/>
          </w:tcPr>
          <w:p w14:paraId="590C341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0.069</w:t>
            </w:r>
          </w:p>
        </w:tc>
        <w:tc>
          <w:tcPr>
            <w:tcW w:w="535" w:type="pct"/>
            <w:tcBorders>
              <w:top w:val="single" w:sz="4" w:space="0" w:color="auto"/>
              <w:left w:val="nil"/>
              <w:bottom w:val="nil"/>
              <w:right w:val="nil"/>
            </w:tcBorders>
            <w:shd w:val="clear" w:color="auto" w:fill="auto"/>
            <w:noWrap/>
            <w:vAlign w:val="bottom"/>
            <w:hideMark/>
          </w:tcPr>
          <w:p w14:paraId="4437DA0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0.070</w:t>
            </w:r>
          </w:p>
        </w:tc>
      </w:tr>
      <w:tr w:rsidR="003273BD" w:rsidRPr="00245E91" w14:paraId="51314AC5" w14:textId="77777777" w:rsidTr="00D83DD8">
        <w:trPr>
          <w:trHeight w:val="144"/>
        </w:trPr>
        <w:tc>
          <w:tcPr>
            <w:tcW w:w="727" w:type="pct"/>
            <w:tcBorders>
              <w:top w:val="nil"/>
              <w:left w:val="nil"/>
              <w:bottom w:val="nil"/>
              <w:right w:val="nil"/>
            </w:tcBorders>
            <w:shd w:val="clear" w:color="auto" w:fill="auto"/>
            <w:noWrap/>
            <w:vAlign w:val="bottom"/>
            <w:hideMark/>
          </w:tcPr>
          <w:p w14:paraId="1C980444" w14:textId="77777777" w:rsidR="003273BD" w:rsidRPr="00245E91" w:rsidRDefault="003273BD" w:rsidP="003273BD">
            <w:pPr>
              <w:spacing w:after="0" w:line="240" w:lineRule="auto"/>
              <w:contextualSpacing/>
              <w:rPr>
                <w:rFonts w:ascii="Times New Roman" w:eastAsia="Times New Roman" w:hAnsi="Times New Roman"/>
                <w:color w:val="000000"/>
                <w:sz w:val="15"/>
                <w:szCs w:val="15"/>
              </w:rPr>
            </w:pPr>
          </w:p>
        </w:tc>
        <w:tc>
          <w:tcPr>
            <w:tcW w:w="534" w:type="pct"/>
            <w:tcBorders>
              <w:top w:val="nil"/>
              <w:left w:val="nil"/>
              <w:bottom w:val="nil"/>
              <w:right w:val="nil"/>
            </w:tcBorders>
            <w:shd w:val="clear" w:color="auto" w:fill="auto"/>
            <w:noWrap/>
            <w:vAlign w:val="bottom"/>
            <w:hideMark/>
          </w:tcPr>
          <w:p w14:paraId="0EE8784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(-2.0**)</w:t>
            </w:r>
          </w:p>
        </w:tc>
        <w:tc>
          <w:tcPr>
            <w:tcW w:w="534" w:type="pct"/>
            <w:tcBorders>
              <w:top w:val="nil"/>
              <w:left w:val="nil"/>
              <w:bottom w:val="nil"/>
              <w:right w:val="nil"/>
            </w:tcBorders>
            <w:shd w:val="clear" w:color="auto" w:fill="auto"/>
            <w:noWrap/>
            <w:vAlign w:val="bottom"/>
            <w:hideMark/>
          </w:tcPr>
          <w:p w14:paraId="0759F70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w:t>
            </w:r>
          </w:p>
        </w:tc>
        <w:tc>
          <w:tcPr>
            <w:tcW w:w="534" w:type="pct"/>
            <w:tcBorders>
              <w:top w:val="nil"/>
              <w:left w:val="nil"/>
              <w:bottom w:val="nil"/>
              <w:right w:val="nil"/>
            </w:tcBorders>
            <w:shd w:val="clear" w:color="auto" w:fill="auto"/>
            <w:noWrap/>
            <w:vAlign w:val="bottom"/>
            <w:hideMark/>
          </w:tcPr>
          <w:p w14:paraId="2166C83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(3.65***)</w:t>
            </w:r>
          </w:p>
        </w:tc>
        <w:tc>
          <w:tcPr>
            <w:tcW w:w="534" w:type="pct"/>
            <w:tcBorders>
              <w:top w:val="nil"/>
              <w:left w:val="nil"/>
              <w:bottom w:val="nil"/>
              <w:right w:val="single" w:sz="4" w:space="0" w:color="auto"/>
            </w:tcBorders>
            <w:shd w:val="clear" w:color="auto" w:fill="auto"/>
            <w:noWrap/>
            <w:vAlign w:val="bottom"/>
            <w:hideMark/>
          </w:tcPr>
          <w:p w14:paraId="7F1AFB4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(3.68***)</w:t>
            </w:r>
          </w:p>
        </w:tc>
        <w:tc>
          <w:tcPr>
            <w:tcW w:w="533" w:type="pct"/>
            <w:tcBorders>
              <w:top w:val="nil"/>
              <w:left w:val="single" w:sz="4" w:space="0" w:color="auto"/>
              <w:bottom w:val="nil"/>
              <w:right w:val="nil"/>
            </w:tcBorders>
            <w:shd w:val="clear" w:color="auto" w:fill="auto"/>
            <w:noWrap/>
            <w:vAlign w:val="bottom"/>
            <w:hideMark/>
          </w:tcPr>
          <w:p w14:paraId="4926E02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(-2.08**)</w:t>
            </w:r>
          </w:p>
        </w:tc>
        <w:tc>
          <w:tcPr>
            <w:tcW w:w="534" w:type="pct"/>
            <w:tcBorders>
              <w:top w:val="nil"/>
              <w:left w:val="nil"/>
              <w:bottom w:val="nil"/>
              <w:right w:val="nil"/>
            </w:tcBorders>
            <w:shd w:val="clear" w:color="auto" w:fill="auto"/>
            <w:noWrap/>
            <w:vAlign w:val="bottom"/>
            <w:hideMark/>
          </w:tcPr>
          <w:p w14:paraId="73733B9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(-0.68)</w:t>
            </w:r>
          </w:p>
        </w:tc>
        <w:tc>
          <w:tcPr>
            <w:tcW w:w="533" w:type="pct"/>
            <w:tcBorders>
              <w:top w:val="nil"/>
              <w:left w:val="nil"/>
              <w:bottom w:val="nil"/>
              <w:right w:val="nil"/>
            </w:tcBorders>
            <w:shd w:val="clear" w:color="auto" w:fill="auto"/>
            <w:noWrap/>
            <w:vAlign w:val="bottom"/>
            <w:hideMark/>
          </w:tcPr>
          <w:p w14:paraId="26C326B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(2.12**)</w:t>
            </w:r>
          </w:p>
        </w:tc>
        <w:tc>
          <w:tcPr>
            <w:tcW w:w="535" w:type="pct"/>
            <w:tcBorders>
              <w:top w:val="nil"/>
              <w:left w:val="nil"/>
              <w:bottom w:val="nil"/>
              <w:right w:val="nil"/>
            </w:tcBorders>
            <w:shd w:val="clear" w:color="auto" w:fill="auto"/>
            <w:noWrap/>
            <w:vAlign w:val="bottom"/>
            <w:hideMark/>
          </w:tcPr>
          <w:p w14:paraId="27B1204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(2.183**)</w:t>
            </w:r>
          </w:p>
        </w:tc>
      </w:tr>
      <w:tr w:rsidR="003273BD" w:rsidRPr="00245E91" w14:paraId="1514F602" w14:textId="77777777" w:rsidTr="00D83DD8">
        <w:trPr>
          <w:trHeight w:val="144"/>
        </w:trPr>
        <w:tc>
          <w:tcPr>
            <w:tcW w:w="727" w:type="pct"/>
            <w:tcBorders>
              <w:top w:val="nil"/>
              <w:left w:val="nil"/>
              <w:bottom w:val="nil"/>
              <w:right w:val="nil"/>
            </w:tcBorders>
            <w:shd w:val="clear" w:color="auto" w:fill="auto"/>
            <w:noWrap/>
            <w:vAlign w:val="bottom"/>
            <w:hideMark/>
          </w:tcPr>
          <w:p w14:paraId="6B0E39C3"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MLP</w:t>
            </w:r>
          </w:p>
        </w:tc>
        <w:tc>
          <w:tcPr>
            <w:tcW w:w="534" w:type="pct"/>
            <w:tcBorders>
              <w:top w:val="nil"/>
              <w:left w:val="nil"/>
              <w:bottom w:val="nil"/>
              <w:right w:val="nil"/>
            </w:tcBorders>
            <w:shd w:val="clear" w:color="auto" w:fill="auto"/>
            <w:noWrap/>
            <w:vAlign w:val="bottom"/>
            <w:hideMark/>
          </w:tcPr>
          <w:p w14:paraId="1BCAD1A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0.166</w:t>
            </w:r>
          </w:p>
        </w:tc>
        <w:tc>
          <w:tcPr>
            <w:tcW w:w="534" w:type="pct"/>
            <w:tcBorders>
              <w:top w:val="nil"/>
              <w:left w:val="nil"/>
              <w:bottom w:val="nil"/>
              <w:right w:val="nil"/>
            </w:tcBorders>
            <w:shd w:val="clear" w:color="auto" w:fill="auto"/>
            <w:noWrap/>
            <w:vAlign w:val="bottom"/>
            <w:hideMark/>
          </w:tcPr>
          <w:p w14:paraId="4ED97EA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0.133</w:t>
            </w:r>
          </w:p>
        </w:tc>
        <w:tc>
          <w:tcPr>
            <w:tcW w:w="534" w:type="pct"/>
            <w:tcBorders>
              <w:top w:val="nil"/>
              <w:left w:val="nil"/>
              <w:bottom w:val="nil"/>
              <w:right w:val="nil"/>
            </w:tcBorders>
            <w:shd w:val="clear" w:color="auto" w:fill="auto"/>
            <w:noWrap/>
            <w:vAlign w:val="bottom"/>
            <w:hideMark/>
          </w:tcPr>
          <w:p w14:paraId="08DDCDF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-0.030</w:t>
            </w:r>
          </w:p>
        </w:tc>
        <w:tc>
          <w:tcPr>
            <w:tcW w:w="534" w:type="pct"/>
            <w:tcBorders>
              <w:top w:val="nil"/>
              <w:left w:val="nil"/>
              <w:bottom w:val="nil"/>
              <w:right w:val="single" w:sz="4" w:space="0" w:color="auto"/>
            </w:tcBorders>
            <w:shd w:val="clear" w:color="auto" w:fill="auto"/>
            <w:noWrap/>
            <w:vAlign w:val="bottom"/>
            <w:hideMark/>
          </w:tcPr>
          <w:p w14:paraId="4032BCF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-0.026</w:t>
            </w:r>
          </w:p>
        </w:tc>
        <w:tc>
          <w:tcPr>
            <w:tcW w:w="533" w:type="pct"/>
            <w:tcBorders>
              <w:top w:val="nil"/>
              <w:left w:val="single" w:sz="4" w:space="0" w:color="auto"/>
              <w:bottom w:val="nil"/>
              <w:right w:val="nil"/>
            </w:tcBorders>
            <w:shd w:val="clear" w:color="auto" w:fill="auto"/>
            <w:noWrap/>
            <w:vAlign w:val="bottom"/>
            <w:hideMark/>
          </w:tcPr>
          <w:p w14:paraId="758839D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0.194</w:t>
            </w:r>
          </w:p>
        </w:tc>
        <w:tc>
          <w:tcPr>
            <w:tcW w:w="534" w:type="pct"/>
            <w:tcBorders>
              <w:top w:val="nil"/>
              <w:left w:val="nil"/>
              <w:bottom w:val="nil"/>
              <w:right w:val="nil"/>
            </w:tcBorders>
            <w:shd w:val="clear" w:color="auto" w:fill="auto"/>
            <w:noWrap/>
            <w:vAlign w:val="bottom"/>
            <w:hideMark/>
          </w:tcPr>
          <w:p w14:paraId="061F5BA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0.210</w:t>
            </w:r>
          </w:p>
        </w:tc>
        <w:tc>
          <w:tcPr>
            <w:tcW w:w="533" w:type="pct"/>
            <w:tcBorders>
              <w:top w:val="nil"/>
              <w:left w:val="nil"/>
              <w:bottom w:val="nil"/>
              <w:right w:val="nil"/>
            </w:tcBorders>
            <w:shd w:val="clear" w:color="auto" w:fill="auto"/>
            <w:noWrap/>
            <w:vAlign w:val="bottom"/>
            <w:hideMark/>
          </w:tcPr>
          <w:p w14:paraId="7C0BBCD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-0.012</w:t>
            </w:r>
          </w:p>
        </w:tc>
        <w:tc>
          <w:tcPr>
            <w:tcW w:w="535" w:type="pct"/>
            <w:tcBorders>
              <w:top w:val="nil"/>
              <w:left w:val="nil"/>
              <w:bottom w:val="nil"/>
              <w:right w:val="nil"/>
            </w:tcBorders>
            <w:shd w:val="clear" w:color="auto" w:fill="auto"/>
            <w:noWrap/>
            <w:vAlign w:val="bottom"/>
            <w:hideMark/>
          </w:tcPr>
          <w:p w14:paraId="6958F75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-0.016</w:t>
            </w:r>
          </w:p>
        </w:tc>
      </w:tr>
      <w:tr w:rsidR="003273BD" w:rsidRPr="00245E91" w14:paraId="5EB1E7C9" w14:textId="77777777" w:rsidTr="00D83DD8">
        <w:trPr>
          <w:trHeight w:val="144"/>
        </w:trPr>
        <w:tc>
          <w:tcPr>
            <w:tcW w:w="727" w:type="pct"/>
            <w:tcBorders>
              <w:top w:val="nil"/>
              <w:left w:val="nil"/>
              <w:bottom w:val="nil"/>
              <w:right w:val="nil"/>
            </w:tcBorders>
            <w:shd w:val="clear" w:color="auto" w:fill="auto"/>
            <w:noWrap/>
            <w:vAlign w:val="bottom"/>
            <w:hideMark/>
          </w:tcPr>
          <w:p w14:paraId="602E6FCF"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7084442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(4.10***)</w:t>
            </w:r>
          </w:p>
        </w:tc>
        <w:tc>
          <w:tcPr>
            <w:tcW w:w="534" w:type="pct"/>
            <w:tcBorders>
              <w:top w:val="nil"/>
              <w:left w:val="nil"/>
              <w:bottom w:val="nil"/>
              <w:right w:val="nil"/>
            </w:tcBorders>
            <w:shd w:val="clear" w:color="auto" w:fill="auto"/>
            <w:noWrap/>
            <w:vAlign w:val="bottom"/>
            <w:hideMark/>
          </w:tcPr>
          <w:p w14:paraId="1D381C0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(3.71***)</w:t>
            </w:r>
          </w:p>
        </w:tc>
        <w:tc>
          <w:tcPr>
            <w:tcW w:w="534" w:type="pct"/>
            <w:tcBorders>
              <w:top w:val="nil"/>
              <w:left w:val="nil"/>
              <w:bottom w:val="nil"/>
              <w:right w:val="nil"/>
            </w:tcBorders>
            <w:shd w:val="clear" w:color="auto" w:fill="auto"/>
            <w:noWrap/>
            <w:vAlign w:val="bottom"/>
            <w:hideMark/>
          </w:tcPr>
          <w:p w14:paraId="0C97524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(-0.92)</w:t>
            </w:r>
          </w:p>
        </w:tc>
        <w:tc>
          <w:tcPr>
            <w:tcW w:w="534" w:type="pct"/>
            <w:tcBorders>
              <w:top w:val="nil"/>
              <w:left w:val="nil"/>
              <w:bottom w:val="nil"/>
              <w:right w:val="single" w:sz="4" w:space="0" w:color="auto"/>
            </w:tcBorders>
            <w:shd w:val="clear" w:color="auto" w:fill="auto"/>
            <w:noWrap/>
            <w:vAlign w:val="bottom"/>
            <w:hideMark/>
          </w:tcPr>
          <w:p w14:paraId="243BD6D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(-0.86)</w:t>
            </w:r>
          </w:p>
        </w:tc>
        <w:tc>
          <w:tcPr>
            <w:tcW w:w="533" w:type="pct"/>
            <w:tcBorders>
              <w:top w:val="nil"/>
              <w:left w:val="single" w:sz="4" w:space="0" w:color="auto"/>
              <w:bottom w:val="nil"/>
              <w:right w:val="nil"/>
            </w:tcBorders>
            <w:shd w:val="clear" w:color="auto" w:fill="auto"/>
            <w:noWrap/>
            <w:vAlign w:val="bottom"/>
            <w:hideMark/>
          </w:tcPr>
          <w:p w14:paraId="26AEC62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(3.19***)</w:t>
            </w:r>
          </w:p>
        </w:tc>
        <w:tc>
          <w:tcPr>
            <w:tcW w:w="534" w:type="pct"/>
            <w:tcBorders>
              <w:top w:val="nil"/>
              <w:left w:val="nil"/>
              <w:bottom w:val="nil"/>
              <w:right w:val="nil"/>
            </w:tcBorders>
            <w:shd w:val="clear" w:color="auto" w:fill="auto"/>
            <w:noWrap/>
            <w:vAlign w:val="bottom"/>
            <w:hideMark/>
          </w:tcPr>
          <w:p w14:paraId="19F4DFA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(3.83***)</w:t>
            </w:r>
          </w:p>
        </w:tc>
        <w:tc>
          <w:tcPr>
            <w:tcW w:w="533" w:type="pct"/>
            <w:tcBorders>
              <w:top w:val="nil"/>
              <w:left w:val="nil"/>
              <w:bottom w:val="nil"/>
              <w:right w:val="nil"/>
            </w:tcBorders>
            <w:shd w:val="clear" w:color="auto" w:fill="auto"/>
            <w:noWrap/>
            <w:vAlign w:val="bottom"/>
            <w:hideMark/>
          </w:tcPr>
          <w:p w14:paraId="6233B09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(-0.51)</w:t>
            </w:r>
          </w:p>
        </w:tc>
        <w:tc>
          <w:tcPr>
            <w:tcW w:w="535" w:type="pct"/>
            <w:tcBorders>
              <w:top w:val="nil"/>
              <w:left w:val="nil"/>
              <w:bottom w:val="nil"/>
              <w:right w:val="nil"/>
            </w:tcBorders>
            <w:shd w:val="clear" w:color="auto" w:fill="auto"/>
            <w:noWrap/>
            <w:vAlign w:val="bottom"/>
            <w:hideMark/>
          </w:tcPr>
          <w:p w14:paraId="740AD59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(-0.69)</w:t>
            </w:r>
          </w:p>
        </w:tc>
      </w:tr>
      <w:tr w:rsidR="003273BD" w:rsidRPr="00245E91" w14:paraId="4AED295F" w14:textId="77777777" w:rsidTr="00D83DD8">
        <w:trPr>
          <w:trHeight w:val="144"/>
        </w:trPr>
        <w:tc>
          <w:tcPr>
            <w:tcW w:w="727" w:type="pct"/>
            <w:tcBorders>
              <w:top w:val="nil"/>
              <w:left w:val="nil"/>
              <w:bottom w:val="nil"/>
              <w:right w:val="nil"/>
            </w:tcBorders>
            <w:shd w:val="clear" w:color="auto" w:fill="auto"/>
            <w:noWrap/>
            <w:vAlign w:val="bottom"/>
            <w:hideMark/>
          </w:tcPr>
          <w:p w14:paraId="6A15FEAE"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LN(Assets)</w:t>
            </w:r>
          </w:p>
        </w:tc>
        <w:tc>
          <w:tcPr>
            <w:tcW w:w="534" w:type="pct"/>
            <w:tcBorders>
              <w:top w:val="nil"/>
              <w:left w:val="nil"/>
              <w:bottom w:val="nil"/>
              <w:right w:val="nil"/>
            </w:tcBorders>
            <w:shd w:val="clear" w:color="auto" w:fill="auto"/>
            <w:noWrap/>
            <w:vAlign w:val="bottom"/>
            <w:hideMark/>
          </w:tcPr>
          <w:p w14:paraId="68D8524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0.076</w:t>
            </w:r>
          </w:p>
        </w:tc>
        <w:tc>
          <w:tcPr>
            <w:tcW w:w="534" w:type="pct"/>
            <w:tcBorders>
              <w:top w:val="nil"/>
              <w:left w:val="nil"/>
              <w:bottom w:val="nil"/>
              <w:right w:val="nil"/>
            </w:tcBorders>
            <w:shd w:val="clear" w:color="auto" w:fill="auto"/>
            <w:noWrap/>
            <w:vAlign w:val="bottom"/>
            <w:hideMark/>
          </w:tcPr>
          <w:p w14:paraId="4DD9F57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0.005</w:t>
            </w:r>
          </w:p>
        </w:tc>
        <w:tc>
          <w:tcPr>
            <w:tcW w:w="534" w:type="pct"/>
            <w:tcBorders>
              <w:top w:val="nil"/>
              <w:left w:val="nil"/>
              <w:bottom w:val="nil"/>
              <w:right w:val="nil"/>
            </w:tcBorders>
            <w:shd w:val="clear" w:color="auto" w:fill="auto"/>
            <w:noWrap/>
            <w:vAlign w:val="bottom"/>
            <w:hideMark/>
          </w:tcPr>
          <w:p w14:paraId="3DAAB77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-0.090</w:t>
            </w:r>
          </w:p>
        </w:tc>
        <w:tc>
          <w:tcPr>
            <w:tcW w:w="534" w:type="pct"/>
            <w:tcBorders>
              <w:top w:val="nil"/>
              <w:left w:val="nil"/>
              <w:bottom w:val="nil"/>
              <w:right w:val="single" w:sz="4" w:space="0" w:color="auto"/>
            </w:tcBorders>
            <w:shd w:val="clear" w:color="auto" w:fill="auto"/>
            <w:noWrap/>
            <w:vAlign w:val="bottom"/>
            <w:hideMark/>
          </w:tcPr>
          <w:p w14:paraId="594E076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-0.085</w:t>
            </w:r>
          </w:p>
        </w:tc>
        <w:tc>
          <w:tcPr>
            <w:tcW w:w="533" w:type="pct"/>
            <w:tcBorders>
              <w:top w:val="nil"/>
              <w:left w:val="single" w:sz="4" w:space="0" w:color="auto"/>
              <w:bottom w:val="nil"/>
              <w:right w:val="nil"/>
            </w:tcBorders>
            <w:shd w:val="clear" w:color="auto" w:fill="auto"/>
            <w:noWrap/>
            <w:vAlign w:val="bottom"/>
            <w:hideMark/>
          </w:tcPr>
          <w:p w14:paraId="217F082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0.043</w:t>
            </w:r>
          </w:p>
        </w:tc>
        <w:tc>
          <w:tcPr>
            <w:tcW w:w="534" w:type="pct"/>
            <w:tcBorders>
              <w:top w:val="nil"/>
              <w:left w:val="nil"/>
              <w:bottom w:val="nil"/>
              <w:right w:val="nil"/>
            </w:tcBorders>
            <w:shd w:val="clear" w:color="auto" w:fill="auto"/>
            <w:noWrap/>
            <w:vAlign w:val="bottom"/>
            <w:hideMark/>
          </w:tcPr>
          <w:p w14:paraId="2169C00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0.060</w:t>
            </w:r>
          </w:p>
        </w:tc>
        <w:tc>
          <w:tcPr>
            <w:tcW w:w="533" w:type="pct"/>
            <w:tcBorders>
              <w:top w:val="nil"/>
              <w:left w:val="nil"/>
              <w:bottom w:val="nil"/>
              <w:right w:val="nil"/>
            </w:tcBorders>
            <w:shd w:val="clear" w:color="auto" w:fill="auto"/>
            <w:noWrap/>
            <w:vAlign w:val="bottom"/>
            <w:hideMark/>
          </w:tcPr>
          <w:p w14:paraId="70F894E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-0.041</w:t>
            </w:r>
          </w:p>
        </w:tc>
        <w:tc>
          <w:tcPr>
            <w:tcW w:w="535" w:type="pct"/>
            <w:tcBorders>
              <w:top w:val="nil"/>
              <w:left w:val="nil"/>
              <w:bottom w:val="nil"/>
              <w:right w:val="nil"/>
            </w:tcBorders>
            <w:shd w:val="clear" w:color="auto" w:fill="auto"/>
            <w:noWrap/>
            <w:vAlign w:val="bottom"/>
            <w:hideMark/>
          </w:tcPr>
          <w:p w14:paraId="0B760D6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-0.047</w:t>
            </w:r>
          </w:p>
        </w:tc>
      </w:tr>
      <w:tr w:rsidR="003273BD" w:rsidRPr="00245E91" w14:paraId="7B0ADB6B" w14:textId="77777777" w:rsidTr="00D83DD8">
        <w:trPr>
          <w:trHeight w:val="144"/>
        </w:trPr>
        <w:tc>
          <w:tcPr>
            <w:tcW w:w="727" w:type="pct"/>
            <w:tcBorders>
              <w:top w:val="nil"/>
              <w:left w:val="nil"/>
              <w:bottom w:val="nil"/>
              <w:right w:val="nil"/>
            </w:tcBorders>
            <w:shd w:val="clear" w:color="auto" w:fill="auto"/>
            <w:noWrap/>
            <w:vAlign w:val="bottom"/>
            <w:hideMark/>
          </w:tcPr>
          <w:p w14:paraId="0758EC25"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7967F79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(1.62)</w:t>
            </w:r>
          </w:p>
        </w:tc>
        <w:tc>
          <w:tcPr>
            <w:tcW w:w="534" w:type="pct"/>
            <w:tcBorders>
              <w:top w:val="nil"/>
              <w:left w:val="nil"/>
              <w:bottom w:val="nil"/>
              <w:right w:val="nil"/>
            </w:tcBorders>
            <w:shd w:val="clear" w:color="auto" w:fill="auto"/>
            <w:noWrap/>
            <w:vAlign w:val="bottom"/>
            <w:hideMark/>
          </w:tcPr>
          <w:p w14:paraId="249360B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w:t>
            </w:r>
          </w:p>
        </w:tc>
        <w:tc>
          <w:tcPr>
            <w:tcW w:w="534" w:type="pct"/>
            <w:tcBorders>
              <w:top w:val="nil"/>
              <w:left w:val="nil"/>
              <w:bottom w:val="nil"/>
              <w:right w:val="nil"/>
            </w:tcBorders>
            <w:shd w:val="clear" w:color="auto" w:fill="auto"/>
            <w:noWrap/>
            <w:vAlign w:val="bottom"/>
            <w:hideMark/>
          </w:tcPr>
          <w:p w14:paraId="44F2DB5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(-2.58**)</w:t>
            </w:r>
          </w:p>
        </w:tc>
        <w:tc>
          <w:tcPr>
            <w:tcW w:w="534" w:type="pct"/>
            <w:tcBorders>
              <w:top w:val="nil"/>
              <w:left w:val="nil"/>
              <w:bottom w:val="nil"/>
              <w:right w:val="single" w:sz="4" w:space="0" w:color="auto"/>
            </w:tcBorders>
            <w:shd w:val="clear" w:color="auto" w:fill="auto"/>
            <w:noWrap/>
            <w:vAlign w:val="bottom"/>
            <w:hideMark/>
          </w:tcPr>
          <w:p w14:paraId="33D5B10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(-2.39**)</w:t>
            </w:r>
          </w:p>
        </w:tc>
        <w:tc>
          <w:tcPr>
            <w:tcW w:w="533" w:type="pct"/>
            <w:tcBorders>
              <w:top w:val="nil"/>
              <w:left w:val="single" w:sz="4" w:space="0" w:color="auto"/>
              <w:bottom w:val="nil"/>
              <w:right w:val="nil"/>
            </w:tcBorders>
            <w:shd w:val="clear" w:color="auto" w:fill="auto"/>
            <w:noWrap/>
            <w:vAlign w:val="bottom"/>
            <w:hideMark/>
          </w:tcPr>
          <w:p w14:paraId="27F4851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(0.82)</w:t>
            </w:r>
          </w:p>
        </w:tc>
        <w:tc>
          <w:tcPr>
            <w:tcW w:w="534" w:type="pct"/>
            <w:tcBorders>
              <w:top w:val="nil"/>
              <w:left w:val="nil"/>
              <w:bottom w:val="nil"/>
              <w:right w:val="nil"/>
            </w:tcBorders>
            <w:shd w:val="clear" w:color="auto" w:fill="auto"/>
            <w:noWrap/>
            <w:vAlign w:val="bottom"/>
            <w:hideMark/>
          </w:tcPr>
          <w:p w14:paraId="6AA2F51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(1.08)</w:t>
            </w:r>
          </w:p>
        </w:tc>
        <w:tc>
          <w:tcPr>
            <w:tcW w:w="533" w:type="pct"/>
            <w:tcBorders>
              <w:top w:val="nil"/>
              <w:left w:val="nil"/>
              <w:bottom w:val="nil"/>
              <w:right w:val="nil"/>
            </w:tcBorders>
            <w:shd w:val="clear" w:color="auto" w:fill="auto"/>
            <w:noWrap/>
            <w:vAlign w:val="bottom"/>
            <w:hideMark/>
          </w:tcPr>
          <w:p w14:paraId="08A1212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(-1.16)</w:t>
            </w:r>
          </w:p>
        </w:tc>
        <w:tc>
          <w:tcPr>
            <w:tcW w:w="535" w:type="pct"/>
            <w:tcBorders>
              <w:top w:val="nil"/>
              <w:left w:val="nil"/>
              <w:bottom w:val="nil"/>
              <w:right w:val="nil"/>
            </w:tcBorders>
            <w:shd w:val="clear" w:color="auto" w:fill="auto"/>
            <w:noWrap/>
            <w:vAlign w:val="bottom"/>
            <w:hideMark/>
          </w:tcPr>
          <w:p w14:paraId="288114E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(-1.33)</w:t>
            </w:r>
          </w:p>
        </w:tc>
      </w:tr>
      <w:tr w:rsidR="003273BD" w:rsidRPr="00245E91" w14:paraId="2A557F05" w14:textId="77777777" w:rsidTr="00D83DD8">
        <w:trPr>
          <w:trHeight w:val="144"/>
        </w:trPr>
        <w:tc>
          <w:tcPr>
            <w:tcW w:w="727" w:type="pct"/>
            <w:tcBorders>
              <w:top w:val="nil"/>
              <w:left w:val="nil"/>
              <w:bottom w:val="nil"/>
              <w:right w:val="nil"/>
            </w:tcBorders>
            <w:shd w:val="clear" w:color="auto" w:fill="auto"/>
            <w:noWrap/>
            <w:vAlign w:val="bottom"/>
            <w:hideMark/>
          </w:tcPr>
          <w:p w14:paraId="6A909659"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MKTSHARE</w:t>
            </w:r>
          </w:p>
        </w:tc>
        <w:tc>
          <w:tcPr>
            <w:tcW w:w="534" w:type="pct"/>
            <w:tcBorders>
              <w:top w:val="nil"/>
              <w:left w:val="nil"/>
              <w:bottom w:val="nil"/>
              <w:right w:val="nil"/>
            </w:tcBorders>
            <w:shd w:val="clear" w:color="auto" w:fill="auto"/>
            <w:noWrap/>
            <w:vAlign w:val="bottom"/>
            <w:hideMark/>
          </w:tcPr>
          <w:p w14:paraId="47E4C58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0.083</w:t>
            </w:r>
          </w:p>
        </w:tc>
        <w:tc>
          <w:tcPr>
            <w:tcW w:w="534" w:type="pct"/>
            <w:tcBorders>
              <w:top w:val="nil"/>
              <w:left w:val="nil"/>
              <w:bottom w:val="nil"/>
              <w:right w:val="nil"/>
            </w:tcBorders>
            <w:shd w:val="clear" w:color="auto" w:fill="auto"/>
            <w:noWrap/>
            <w:vAlign w:val="bottom"/>
            <w:hideMark/>
          </w:tcPr>
          <w:p w14:paraId="2E7B774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0.082</w:t>
            </w:r>
          </w:p>
        </w:tc>
        <w:tc>
          <w:tcPr>
            <w:tcW w:w="534" w:type="pct"/>
            <w:tcBorders>
              <w:top w:val="nil"/>
              <w:left w:val="nil"/>
              <w:bottom w:val="nil"/>
              <w:right w:val="nil"/>
            </w:tcBorders>
            <w:shd w:val="clear" w:color="auto" w:fill="auto"/>
            <w:noWrap/>
            <w:vAlign w:val="bottom"/>
            <w:hideMark/>
          </w:tcPr>
          <w:p w14:paraId="519CD74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0.040</w:t>
            </w:r>
          </w:p>
        </w:tc>
        <w:tc>
          <w:tcPr>
            <w:tcW w:w="534" w:type="pct"/>
            <w:tcBorders>
              <w:top w:val="nil"/>
              <w:left w:val="nil"/>
              <w:bottom w:val="nil"/>
              <w:right w:val="single" w:sz="4" w:space="0" w:color="auto"/>
            </w:tcBorders>
            <w:shd w:val="clear" w:color="auto" w:fill="auto"/>
            <w:noWrap/>
            <w:vAlign w:val="bottom"/>
            <w:hideMark/>
          </w:tcPr>
          <w:p w14:paraId="08FCC1B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0.040</w:t>
            </w:r>
          </w:p>
        </w:tc>
        <w:tc>
          <w:tcPr>
            <w:tcW w:w="533" w:type="pct"/>
            <w:tcBorders>
              <w:top w:val="nil"/>
              <w:left w:val="single" w:sz="4" w:space="0" w:color="auto"/>
              <w:bottom w:val="nil"/>
              <w:right w:val="nil"/>
            </w:tcBorders>
            <w:shd w:val="clear" w:color="auto" w:fill="auto"/>
            <w:noWrap/>
            <w:vAlign w:val="bottom"/>
            <w:hideMark/>
          </w:tcPr>
          <w:p w14:paraId="63A0AFB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0.056</w:t>
            </w:r>
          </w:p>
        </w:tc>
        <w:tc>
          <w:tcPr>
            <w:tcW w:w="534" w:type="pct"/>
            <w:tcBorders>
              <w:top w:val="nil"/>
              <w:left w:val="nil"/>
              <w:bottom w:val="nil"/>
              <w:right w:val="nil"/>
            </w:tcBorders>
            <w:shd w:val="clear" w:color="auto" w:fill="auto"/>
            <w:noWrap/>
            <w:vAlign w:val="bottom"/>
            <w:hideMark/>
          </w:tcPr>
          <w:p w14:paraId="26830E8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0.072</w:t>
            </w:r>
          </w:p>
        </w:tc>
        <w:tc>
          <w:tcPr>
            <w:tcW w:w="533" w:type="pct"/>
            <w:tcBorders>
              <w:top w:val="nil"/>
              <w:left w:val="nil"/>
              <w:bottom w:val="nil"/>
              <w:right w:val="nil"/>
            </w:tcBorders>
            <w:shd w:val="clear" w:color="auto" w:fill="auto"/>
            <w:noWrap/>
            <w:vAlign w:val="bottom"/>
            <w:hideMark/>
          </w:tcPr>
          <w:p w14:paraId="0CD1FAB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0.004</w:t>
            </w:r>
          </w:p>
        </w:tc>
        <w:tc>
          <w:tcPr>
            <w:tcW w:w="535" w:type="pct"/>
            <w:tcBorders>
              <w:top w:val="nil"/>
              <w:left w:val="nil"/>
              <w:bottom w:val="nil"/>
              <w:right w:val="nil"/>
            </w:tcBorders>
            <w:shd w:val="clear" w:color="auto" w:fill="auto"/>
            <w:noWrap/>
            <w:vAlign w:val="bottom"/>
            <w:hideMark/>
          </w:tcPr>
          <w:p w14:paraId="6E8CCB0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0.005</w:t>
            </w:r>
          </w:p>
        </w:tc>
      </w:tr>
      <w:tr w:rsidR="003273BD" w:rsidRPr="00245E91" w14:paraId="0D0CD6AE" w14:textId="77777777" w:rsidTr="00D83DD8">
        <w:trPr>
          <w:trHeight w:val="144"/>
        </w:trPr>
        <w:tc>
          <w:tcPr>
            <w:tcW w:w="727" w:type="pct"/>
            <w:tcBorders>
              <w:top w:val="nil"/>
              <w:left w:val="nil"/>
              <w:bottom w:val="nil"/>
              <w:right w:val="nil"/>
            </w:tcBorders>
            <w:shd w:val="clear" w:color="auto" w:fill="auto"/>
            <w:noWrap/>
            <w:vAlign w:val="bottom"/>
            <w:hideMark/>
          </w:tcPr>
          <w:p w14:paraId="2CF6B491"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0F79D8A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(2.63***)</w:t>
            </w:r>
          </w:p>
        </w:tc>
        <w:tc>
          <w:tcPr>
            <w:tcW w:w="534" w:type="pct"/>
            <w:tcBorders>
              <w:top w:val="nil"/>
              <w:left w:val="nil"/>
              <w:bottom w:val="nil"/>
              <w:right w:val="nil"/>
            </w:tcBorders>
            <w:shd w:val="clear" w:color="auto" w:fill="auto"/>
            <w:noWrap/>
            <w:vAlign w:val="bottom"/>
            <w:hideMark/>
          </w:tcPr>
          <w:p w14:paraId="507A089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(2.83***)</w:t>
            </w:r>
          </w:p>
        </w:tc>
        <w:tc>
          <w:tcPr>
            <w:tcW w:w="534" w:type="pct"/>
            <w:tcBorders>
              <w:top w:val="nil"/>
              <w:left w:val="nil"/>
              <w:bottom w:val="nil"/>
              <w:right w:val="nil"/>
            </w:tcBorders>
            <w:shd w:val="clear" w:color="auto" w:fill="auto"/>
            <w:noWrap/>
            <w:vAlign w:val="bottom"/>
            <w:hideMark/>
          </w:tcPr>
          <w:p w14:paraId="74A854F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(0.69)</w:t>
            </w:r>
          </w:p>
        </w:tc>
        <w:tc>
          <w:tcPr>
            <w:tcW w:w="534" w:type="pct"/>
            <w:tcBorders>
              <w:top w:val="nil"/>
              <w:left w:val="nil"/>
              <w:bottom w:val="nil"/>
              <w:right w:val="single" w:sz="4" w:space="0" w:color="auto"/>
            </w:tcBorders>
            <w:shd w:val="clear" w:color="auto" w:fill="auto"/>
            <w:noWrap/>
            <w:vAlign w:val="bottom"/>
            <w:hideMark/>
          </w:tcPr>
          <w:p w14:paraId="78D1100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(0.70)</w:t>
            </w:r>
          </w:p>
        </w:tc>
        <w:tc>
          <w:tcPr>
            <w:tcW w:w="533" w:type="pct"/>
            <w:tcBorders>
              <w:top w:val="nil"/>
              <w:left w:val="single" w:sz="4" w:space="0" w:color="auto"/>
              <w:bottom w:val="nil"/>
              <w:right w:val="nil"/>
            </w:tcBorders>
            <w:shd w:val="clear" w:color="auto" w:fill="auto"/>
            <w:noWrap/>
            <w:vAlign w:val="bottom"/>
            <w:hideMark/>
          </w:tcPr>
          <w:p w14:paraId="075FC2B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(1.20)</w:t>
            </w:r>
          </w:p>
        </w:tc>
        <w:tc>
          <w:tcPr>
            <w:tcW w:w="534" w:type="pct"/>
            <w:tcBorders>
              <w:top w:val="nil"/>
              <w:left w:val="nil"/>
              <w:bottom w:val="nil"/>
              <w:right w:val="nil"/>
            </w:tcBorders>
            <w:shd w:val="clear" w:color="auto" w:fill="auto"/>
            <w:noWrap/>
            <w:vAlign w:val="bottom"/>
            <w:hideMark/>
          </w:tcPr>
          <w:p w14:paraId="7FBDC3E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(1.63)</w:t>
            </w:r>
          </w:p>
        </w:tc>
        <w:tc>
          <w:tcPr>
            <w:tcW w:w="533" w:type="pct"/>
            <w:tcBorders>
              <w:top w:val="nil"/>
              <w:left w:val="nil"/>
              <w:bottom w:val="nil"/>
              <w:right w:val="nil"/>
            </w:tcBorders>
            <w:shd w:val="clear" w:color="auto" w:fill="auto"/>
            <w:noWrap/>
            <w:vAlign w:val="bottom"/>
            <w:hideMark/>
          </w:tcPr>
          <w:p w14:paraId="2E11D54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(0.25)</w:t>
            </w:r>
          </w:p>
        </w:tc>
        <w:tc>
          <w:tcPr>
            <w:tcW w:w="535" w:type="pct"/>
            <w:tcBorders>
              <w:top w:val="nil"/>
              <w:left w:val="nil"/>
              <w:bottom w:val="nil"/>
              <w:right w:val="nil"/>
            </w:tcBorders>
            <w:shd w:val="clear" w:color="auto" w:fill="auto"/>
            <w:noWrap/>
            <w:vAlign w:val="bottom"/>
            <w:hideMark/>
          </w:tcPr>
          <w:p w14:paraId="7D2EF22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(0.31)</w:t>
            </w:r>
          </w:p>
        </w:tc>
      </w:tr>
      <w:tr w:rsidR="003273BD" w:rsidRPr="00245E91" w14:paraId="6BDA026A" w14:textId="77777777" w:rsidTr="00D83DD8">
        <w:trPr>
          <w:trHeight w:val="144"/>
        </w:trPr>
        <w:tc>
          <w:tcPr>
            <w:tcW w:w="727" w:type="pct"/>
            <w:tcBorders>
              <w:top w:val="nil"/>
              <w:left w:val="nil"/>
              <w:bottom w:val="nil"/>
              <w:right w:val="nil"/>
            </w:tcBorders>
            <w:shd w:val="clear" w:color="auto" w:fill="auto"/>
            <w:noWrap/>
            <w:vAlign w:val="bottom"/>
            <w:hideMark/>
          </w:tcPr>
          <w:p w14:paraId="40948549"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DEBT</w:t>
            </w:r>
          </w:p>
        </w:tc>
        <w:tc>
          <w:tcPr>
            <w:tcW w:w="534" w:type="pct"/>
            <w:tcBorders>
              <w:top w:val="nil"/>
              <w:left w:val="nil"/>
              <w:bottom w:val="nil"/>
              <w:right w:val="nil"/>
            </w:tcBorders>
            <w:shd w:val="clear" w:color="auto" w:fill="auto"/>
            <w:noWrap/>
            <w:vAlign w:val="bottom"/>
            <w:hideMark/>
          </w:tcPr>
          <w:p w14:paraId="1CCA249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0.085</w:t>
            </w:r>
          </w:p>
        </w:tc>
        <w:tc>
          <w:tcPr>
            <w:tcW w:w="534" w:type="pct"/>
            <w:tcBorders>
              <w:top w:val="nil"/>
              <w:left w:val="nil"/>
              <w:bottom w:val="nil"/>
              <w:right w:val="nil"/>
            </w:tcBorders>
            <w:shd w:val="clear" w:color="auto" w:fill="auto"/>
            <w:noWrap/>
            <w:vAlign w:val="bottom"/>
            <w:hideMark/>
          </w:tcPr>
          <w:p w14:paraId="11E9FA3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0.100</w:t>
            </w:r>
          </w:p>
        </w:tc>
        <w:tc>
          <w:tcPr>
            <w:tcW w:w="534" w:type="pct"/>
            <w:tcBorders>
              <w:top w:val="nil"/>
              <w:left w:val="nil"/>
              <w:bottom w:val="nil"/>
              <w:right w:val="nil"/>
            </w:tcBorders>
            <w:shd w:val="clear" w:color="auto" w:fill="auto"/>
            <w:noWrap/>
            <w:vAlign w:val="bottom"/>
            <w:hideMark/>
          </w:tcPr>
          <w:p w14:paraId="582FD4A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-0.004</w:t>
            </w:r>
          </w:p>
        </w:tc>
        <w:tc>
          <w:tcPr>
            <w:tcW w:w="534" w:type="pct"/>
            <w:tcBorders>
              <w:top w:val="nil"/>
              <w:left w:val="nil"/>
              <w:bottom w:val="nil"/>
              <w:right w:val="single" w:sz="4" w:space="0" w:color="auto"/>
            </w:tcBorders>
            <w:shd w:val="clear" w:color="auto" w:fill="auto"/>
            <w:noWrap/>
            <w:vAlign w:val="bottom"/>
            <w:hideMark/>
          </w:tcPr>
          <w:p w14:paraId="3DFE2D5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-0.004</w:t>
            </w:r>
          </w:p>
        </w:tc>
        <w:tc>
          <w:tcPr>
            <w:tcW w:w="533" w:type="pct"/>
            <w:tcBorders>
              <w:top w:val="nil"/>
              <w:left w:val="single" w:sz="4" w:space="0" w:color="auto"/>
              <w:bottom w:val="nil"/>
              <w:right w:val="nil"/>
            </w:tcBorders>
            <w:shd w:val="clear" w:color="auto" w:fill="auto"/>
            <w:noWrap/>
            <w:vAlign w:val="bottom"/>
            <w:hideMark/>
          </w:tcPr>
          <w:p w14:paraId="5B1E233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0.155</w:t>
            </w:r>
          </w:p>
        </w:tc>
        <w:tc>
          <w:tcPr>
            <w:tcW w:w="534" w:type="pct"/>
            <w:tcBorders>
              <w:top w:val="nil"/>
              <w:left w:val="nil"/>
              <w:bottom w:val="nil"/>
              <w:right w:val="nil"/>
            </w:tcBorders>
            <w:shd w:val="clear" w:color="auto" w:fill="auto"/>
            <w:noWrap/>
            <w:vAlign w:val="bottom"/>
            <w:hideMark/>
          </w:tcPr>
          <w:p w14:paraId="2E38FEA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0.153</w:t>
            </w:r>
          </w:p>
        </w:tc>
        <w:tc>
          <w:tcPr>
            <w:tcW w:w="533" w:type="pct"/>
            <w:tcBorders>
              <w:top w:val="nil"/>
              <w:left w:val="nil"/>
              <w:bottom w:val="nil"/>
              <w:right w:val="nil"/>
            </w:tcBorders>
            <w:shd w:val="clear" w:color="auto" w:fill="auto"/>
            <w:noWrap/>
            <w:vAlign w:val="bottom"/>
            <w:hideMark/>
          </w:tcPr>
          <w:p w14:paraId="5B8EC73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0.025</w:t>
            </w:r>
          </w:p>
        </w:tc>
        <w:tc>
          <w:tcPr>
            <w:tcW w:w="535" w:type="pct"/>
            <w:tcBorders>
              <w:top w:val="nil"/>
              <w:left w:val="nil"/>
              <w:bottom w:val="nil"/>
              <w:right w:val="nil"/>
            </w:tcBorders>
            <w:shd w:val="clear" w:color="auto" w:fill="auto"/>
            <w:noWrap/>
            <w:vAlign w:val="bottom"/>
            <w:hideMark/>
          </w:tcPr>
          <w:p w14:paraId="0F7DE57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0.028</w:t>
            </w:r>
          </w:p>
        </w:tc>
      </w:tr>
      <w:tr w:rsidR="003273BD" w:rsidRPr="00245E91" w14:paraId="61D32B17" w14:textId="77777777" w:rsidTr="00D83DD8">
        <w:trPr>
          <w:trHeight w:val="144"/>
        </w:trPr>
        <w:tc>
          <w:tcPr>
            <w:tcW w:w="727" w:type="pct"/>
            <w:tcBorders>
              <w:top w:val="nil"/>
              <w:left w:val="nil"/>
              <w:bottom w:val="nil"/>
              <w:right w:val="nil"/>
            </w:tcBorders>
            <w:shd w:val="clear" w:color="auto" w:fill="auto"/>
            <w:noWrap/>
            <w:vAlign w:val="bottom"/>
            <w:hideMark/>
          </w:tcPr>
          <w:p w14:paraId="259B8F13"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5BCC9B6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(2.10**)</w:t>
            </w:r>
          </w:p>
        </w:tc>
        <w:tc>
          <w:tcPr>
            <w:tcW w:w="534" w:type="pct"/>
            <w:tcBorders>
              <w:top w:val="nil"/>
              <w:left w:val="nil"/>
              <w:bottom w:val="nil"/>
              <w:right w:val="nil"/>
            </w:tcBorders>
            <w:shd w:val="clear" w:color="auto" w:fill="auto"/>
            <w:noWrap/>
            <w:vAlign w:val="bottom"/>
            <w:hideMark/>
          </w:tcPr>
          <w:p w14:paraId="53728D8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(2.78***)</w:t>
            </w:r>
          </w:p>
        </w:tc>
        <w:tc>
          <w:tcPr>
            <w:tcW w:w="534" w:type="pct"/>
            <w:tcBorders>
              <w:top w:val="nil"/>
              <w:left w:val="nil"/>
              <w:bottom w:val="nil"/>
              <w:right w:val="nil"/>
            </w:tcBorders>
            <w:shd w:val="clear" w:color="auto" w:fill="auto"/>
            <w:noWrap/>
            <w:vAlign w:val="bottom"/>
            <w:hideMark/>
          </w:tcPr>
          <w:p w14:paraId="6CACE02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(-0.14)</w:t>
            </w:r>
          </w:p>
        </w:tc>
        <w:tc>
          <w:tcPr>
            <w:tcW w:w="534" w:type="pct"/>
            <w:tcBorders>
              <w:top w:val="nil"/>
              <w:left w:val="nil"/>
              <w:bottom w:val="nil"/>
              <w:right w:val="single" w:sz="4" w:space="0" w:color="auto"/>
            </w:tcBorders>
            <w:shd w:val="clear" w:color="auto" w:fill="auto"/>
            <w:noWrap/>
            <w:vAlign w:val="bottom"/>
            <w:hideMark/>
          </w:tcPr>
          <w:p w14:paraId="3F1FAC5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w:t>
            </w:r>
          </w:p>
        </w:tc>
        <w:tc>
          <w:tcPr>
            <w:tcW w:w="533" w:type="pct"/>
            <w:tcBorders>
              <w:top w:val="nil"/>
              <w:left w:val="single" w:sz="4" w:space="0" w:color="auto"/>
              <w:bottom w:val="nil"/>
              <w:right w:val="nil"/>
            </w:tcBorders>
            <w:shd w:val="clear" w:color="auto" w:fill="auto"/>
            <w:noWrap/>
            <w:vAlign w:val="bottom"/>
            <w:hideMark/>
          </w:tcPr>
          <w:p w14:paraId="3D22F80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(3.44***)</w:t>
            </w:r>
          </w:p>
        </w:tc>
        <w:tc>
          <w:tcPr>
            <w:tcW w:w="534" w:type="pct"/>
            <w:tcBorders>
              <w:top w:val="nil"/>
              <w:left w:val="nil"/>
              <w:bottom w:val="nil"/>
              <w:right w:val="nil"/>
            </w:tcBorders>
            <w:shd w:val="clear" w:color="auto" w:fill="auto"/>
            <w:noWrap/>
            <w:vAlign w:val="bottom"/>
            <w:hideMark/>
          </w:tcPr>
          <w:p w14:paraId="01929C8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(3.70***)</w:t>
            </w:r>
          </w:p>
        </w:tc>
        <w:tc>
          <w:tcPr>
            <w:tcW w:w="533" w:type="pct"/>
            <w:tcBorders>
              <w:top w:val="nil"/>
              <w:left w:val="nil"/>
              <w:bottom w:val="nil"/>
              <w:right w:val="nil"/>
            </w:tcBorders>
            <w:shd w:val="clear" w:color="auto" w:fill="auto"/>
            <w:noWrap/>
            <w:vAlign w:val="bottom"/>
            <w:hideMark/>
          </w:tcPr>
          <w:p w14:paraId="708CD64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(0.89)</w:t>
            </w:r>
          </w:p>
        </w:tc>
        <w:tc>
          <w:tcPr>
            <w:tcW w:w="535" w:type="pct"/>
            <w:tcBorders>
              <w:top w:val="nil"/>
              <w:left w:val="nil"/>
              <w:bottom w:val="nil"/>
              <w:right w:val="nil"/>
            </w:tcBorders>
            <w:shd w:val="clear" w:color="auto" w:fill="auto"/>
            <w:noWrap/>
            <w:vAlign w:val="bottom"/>
            <w:hideMark/>
          </w:tcPr>
          <w:p w14:paraId="6604D10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(0.98)</w:t>
            </w:r>
          </w:p>
        </w:tc>
      </w:tr>
      <w:tr w:rsidR="003273BD" w:rsidRPr="00245E91" w14:paraId="7CEBCD28" w14:textId="77777777" w:rsidTr="00D83DD8">
        <w:trPr>
          <w:trHeight w:val="144"/>
        </w:trPr>
        <w:tc>
          <w:tcPr>
            <w:tcW w:w="727" w:type="pct"/>
            <w:tcBorders>
              <w:top w:val="nil"/>
              <w:left w:val="nil"/>
              <w:bottom w:val="nil"/>
              <w:right w:val="nil"/>
            </w:tcBorders>
            <w:shd w:val="clear" w:color="auto" w:fill="auto"/>
            <w:noWrap/>
            <w:vAlign w:val="bottom"/>
            <w:hideMark/>
          </w:tcPr>
          <w:p w14:paraId="7D290ABC"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NOA</w:t>
            </w:r>
          </w:p>
        </w:tc>
        <w:tc>
          <w:tcPr>
            <w:tcW w:w="534" w:type="pct"/>
            <w:tcBorders>
              <w:top w:val="nil"/>
              <w:left w:val="nil"/>
              <w:bottom w:val="nil"/>
              <w:right w:val="nil"/>
            </w:tcBorders>
            <w:shd w:val="clear" w:color="auto" w:fill="auto"/>
            <w:noWrap/>
            <w:vAlign w:val="bottom"/>
            <w:hideMark/>
          </w:tcPr>
          <w:p w14:paraId="2A8DD86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0.024</w:t>
            </w:r>
          </w:p>
        </w:tc>
        <w:tc>
          <w:tcPr>
            <w:tcW w:w="534" w:type="pct"/>
            <w:tcBorders>
              <w:top w:val="nil"/>
              <w:left w:val="nil"/>
              <w:bottom w:val="nil"/>
              <w:right w:val="nil"/>
            </w:tcBorders>
            <w:shd w:val="clear" w:color="auto" w:fill="auto"/>
            <w:noWrap/>
            <w:vAlign w:val="bottom"/>
            <w:hideMark/>
          </w:tcPr>
          <w:p w14:paraId="1EB3452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-0.021</w:t>
            </w:r>
          </w:p>
        </w:tc>
        <w:tc>
          <w:tcPr>
            <w:tcW w:w="534" w:type="pct"/>
            <w:tcBorders>
              <w:top w:val="nil"/>
              <w:left w:val="nil"/>
              <w:bottom w:val="nil"/>
              <w:right w:val="nil"/>
            </w:tcBorders>
            <w:shd w:val="clear" w:color="auto" w:fill="auto"/>
            <w:noWrap/>
            <w:vAlign w:val="bottom"/>
            <w:hideMark/>
          </w:tcPr>
          <w:p w14:paraId="5E71A8C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-0.058</w:t>
            </w:r>
          </w:p>
        </w:tc>
        <w:tc>
          <w:tcPr>
            <w:tcW w:w="534" w:type="pct"/>
            <w:tcBorders>
              <w:top w:val="nil"/>
              <w:left w:val="nil"/>
              <w:bottom w:val="nil"/>
              <w:right w:val="single" w:sz="4" w:space="0" w:color="auto"/>
            </w:tcBorders>
            <w:shd w:val="clear" w:color="auto" w:fill="auto"/>
            <w:noWrap/>
            <w:vAlign w:val="bottom"/>
            <w:hideMark/>
          </w:tcPr>
          <w:p w14:paraId="496608C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-0.059</w:t>
            </w:r>
          </w:p>
        </w:tc>
        <w:tc>
          <w:tcPr>
            <w:tcW w:w="533" w:type="pct"/>
            <w:tcBorders>
              <w:top w:val="nil"/>
              <w:left w:val="single" w:sz="4" w:space="0" w:color="auto"/>
              <w:bottom w:val="nil"/>
              <w:right w:val="nil"/>
            </w:tcBorders>
            <w:shd w:val="clear" w:color="auto" w:fill="auto"/>
            <w:noWrap/>
            <w:vAlign w:val="bottom"/>
            <w:hideMark/>
          </w:tcPr>
          <w:p w14:paraId="6A6AC21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0.025</w:t>
            </w:r>
          </w:p>
        </w:tc>
        <w:tc>
          <w:tcPr>
            <w:tcW w:w="534" w:type="pct"/>
            <w:tcBorders>
              <w:top w:val="nil"/>
              <w:left w:val="nil"/>
              <w:bottom w:val="nil"/>
              <w:right w:val="nil"/>
            </w:tcBorders>
            <w:shd w:val="clear" w:color="auto" w:fill="auto"/>
            <w:noWrap/>
            <w:vAlign w:val="bottom"/>
            <w:hideMark/>
          </w:tcPr>
          <w:p w14:paraId="1CA5788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-0.026</w:t>
            </w:r>
          </w:p>
        </w:tc>
        <w:tc>
          <w:tcPr>
            <w:tcW w:w="533" w:type="pct"/>
            <w:tcBorders>
              <w:top w:val="nil"/>
              <w:left w:val="nil"/>
              <w:bottom w:val="nil"/>
              <w:right w:val="nil"/>
            </w:tcBorders>
            <w:shd w:val="clear" w:color="auto" w:fill="auto"/>
            <w:noWrap/>
            <w:vAlign w:val="bottom"/>
            <w:hideMark/>
          </w:tcPr>
          <w:p w14:paraId="130D8A0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-0.018</w:t>
            </w:r>
          </w:p>
        </w:tc>
        <w:tc>
          <w:tcPr>
            <w:tcW w:w="535" w:type="pct"/>
            <w:tcBorders>
              <w:top w:val="nil"/>
              <w:left w:val="nil"/>
              <w:bottom w:val="nil"/>
              <w:right w:val="nil"/>
            </w:tcBorders>
            <w:shd w:val="clear" w:color="auto" w:fill="auto"/>
            <w:noWrap/>
            <w:vAlign w:val="bottom"/>
            <w:hideMark/>
          </w:tcPr>
          <w:p w14:paraId="097587E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-0.018</w:t>
            </w:r>
          </w:p>
        </w:tc>
      </w:tr>
      <w:tr w:rsidR="003273BD" w:rsidRPr="00245E91" w14:paraId="0090416A" w14:textId="77777777" w:rsidTr="00D83DD8">
        <w:trPr>
          <w:trHeight w:val="144"/>
        </w:trPr>
        <w:tc>
          <w:tcPr>
            <w:tcW w:w="727" w:type="pct"/>
            <w:tcBorders>
              <w:top w:val="nil"/>
              <w:left w:val="nil"/>
              <w:bottom w:val="nil"/>
              <w:right w:val="nil"/>
            </w:tcBorders>
            <w:shd w:val="clear" w:color="auto" w:fill="auto"/>
            <w:noWrap/>
            <w:vAlign w:val="bottom"/>
            <w:hideMark/>
          </w:tcPr>
          <w:p w14:paraId="7D2A7DB9"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62262EB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(0.66)</w:t>
            </w:r>
          </w:p>
        </w:tc>
        <w:tc>
          <w:tcPr>
            <w:tcW w:w="534" w:type="pct"/>
            <w:tcBorders>
              <w:top w:val="nil"/>
              <w:left w:val="nil"/>
              <w:bottom w:val="nil"/>
              <w:right w:val="nil"/>
            </w:tcBorders>
            <w:shd w:val="clear" w:color="auto" w:fill="auto"/>
            <w:noWrap/>
            <w:vAlign w:val="bottom"/>
            <w:hideMark/>
          </w:tcPr>
          <w:p w14:paraId="6DDA52A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(-0.62)</w:t>
            </w:r>
          </w:p>
        </w:tc>
        <w:tc>
          <w:tcPr>
            <w:tcW w:w="534" w:type="pct"/>
            <w:tcBorders>
              <w:top w:val="nil"/>
              <w:left w:val="nil"/>
              <w:bottom w:val="nil"/>
              <w:right w:val="nil"/>
            </w:tcBorders>
            <w:shd w:val="clear" w:color="auto" w:fill="auto"/>
            <w:noWrap/>
            <w:vAlign w:val="bottom"/>
            <w:hideMark/>
          </w:tcPr>
          <w:p w14:paraId="6BA2CC4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(-2.41**)</w:t>
            </w:r>
          </w:p>
        </w:tc>
        <w:tc>
          <w:tcPr>
            <w:tcW w:w="534" w:type="pct"/>
            <w:tcBorders>
              <w:top w:val="nil"/>
              <w:left w:val="nil"/>
              <w:bottom w:val="nil"/>
              <w:right w:val="single" w:sz="4" w:space="0" w:color="auto"/>
            </w:tcBorders>
            <w:shd w:val="clear" w:color="auto" w:fill="auto"/>
            <w:noWrap/>
            <w:vAlign w:val="bottom"/>
            <w:hideMark/>
          </w:tcPr>
          <w:p w14:paraId="5F82BAF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(-2.42**)</w:t>
            </w:r>
          </w:p>
        </w:tc>
        <w:tc>
          <w:tcPr>
            <w:tcW w:w="533" w:type="pct"/>
            <w:tcBorders>
              <w:top w:val="nil"/>
              <w:left w:val="single" w:sz="4" w:space="0" w:color="auto"/>
              <w:bottom w:val="nil"/>
              <w:right w:val="nil"/>
            </w:tcBorders>
            <w:shd w:val="clear" w:color="auto" w:fill="auto"/>
            <w:noWrap/>
            <w:vAlign w:val="bottom"/>
            <w:hideMark/>
          </w:tcPr>
          <w:p w14:paraId="354AADF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(0.72)</w:t>
            </w:r>
          </w:p>
        </w:tc>
        <w:tc>
          <w:tcPr>
            <w:tcW w:w="534" w:type="pct"/>
            <w:tcBorders>
              <w:top w:val="nil"/>
              <w:left w:val="nil"/>
              <w:bottom w:val="nil"/>
              <w:right w:val="nil"/>
            </w:tcBorders>
            <w:shd w:val="clear" w:color="auto" w:fill="auto"/>
            <w:noWrap/>
            <w:vAlign w:val="bottom"/>
            <w:hideMark/>
          </w:tcPr>
          <w:p w14:paraId="0D0053E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(-0.78)</w:t>
            </w:r>
          </w:p>
        </w:tc>
        <w:tc>
          <w:tcPr>
            <w:tcW w:w="533" w:type="pct"/>
            <w:tcBorders>
              <w:top w:val="nil"/>
              <w:left w:val="nil"/>
              <w:bottom w:val="nil"/>
              <w:right w:val="nil"/>
            </w:tcBorders>
            <w:shd w:val="clear" w:color="auto" w:fill="auto"/>
            <w:noWrap/>
            <w:vAlign w:val="bottom"/>
            <w:hideMark/>
          </w:tcPr>
          <w:p w14:paraId="609F1B0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(-0.82)</w:t>
            </w:r>
          </w:p>
        </w:tc>
        <w:tc>
          <w:tcPr>
            <w:tcW w:w="535" w:type="pct"/>
            <w:tcBorders>
              <w:top w:val="nil"/>
              <w:left w:val="nil"/>
              <w:bottom w:val="nil"/>
              <w:right w:val="nil"/>
            </w:tcBorders>
            <w:shd w:val="clear" w:color="auto" w:fill="auto"/>
            <w:noWrap/>
            <w:vAlign w:val="bottom"/>
            <w:hideMark/>
          </w:tcPr>
          <w:p w14:paraId="52DCED8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(-0.83)</w:t>
            </w:r>
          </w:p>
        </w:tc>
      </w:tr>
      <w:tr w:rsidR="003273BD" w:rsidRPr="00245E91" w14:paraId="50E41488" w14:textId="77777777" w:rsidTr="00D83DD8">
        <w:trPr>
          <w:trHeight w:val="144"/>
        </w:trPr>
        <w:tc>
          <w:tcPr>
            <w:tcW w:w="727" w:type="pct"/>
            <w:tcBorders>
              <w:top w:val="nil"/>
              <w:left w:val="nil"/>
              <w:bottom w:val="nil"/>
              <w:right w:val="nil"/>
            </w:tcBorders>
            <w:shd w:val="clear" w:color="auto" w:fill="auto"/>
            <w:noWrap/>
            <w:vAlign w:val="bottom"/>
            <w:hideMark/>
          </w:tcPr>
          <w:p w14:paraId="392A20ED"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OPERCYCLE</w:t>
            </w:r>
          </w:p>
        </w:tc>
        <w:tc>
          <w:tcPr>
            <w:tcW w:w="534" w:type="pct"/>
            <w:tcBorders>
              <w:top w:val="nil"/>
              <w:left w:val="nil"/>
              <w:bottom w:val="nil"/>
              <w:right w:val="nil"/>
            </w:tcBorders>
            <w:shd w:val="clear" w:color="auto" w:fill="auto"/>
            <w:noWrap/>
            <w:vAlign w:val="bottom"/>
            <w:hideMark/>
          </w:tcPr>
          <w:p w14:paraId="203DFE6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0.005</w:t>
            </w:r>
          </w:p>
        </w:tc>
        <w:tc>
          <w:tcPr>
            <w:tcW w:w="534" w:type="pct"/>
            <w:tcBorders>
              <w:top w:val="nil"/>
              <w:left w:val="nil"/>
              <w:bottom w:val="nil"/>
              <w:right w:val="nil"/>
            </w:tcBorders>
            <w:shd w:val="clear" w:color="auto" w:fill="auto"/>
            <w:noWrap/>
            <w:vAlign w:val="bottom"/>
            <w:hideMark/>
          </w:tcPr>
          <w:p w14:paraId="0554FC8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0.050</w:t>
            </w:r>
          </w:p>
        </w:tc>
        <w:tc>
          <w:tcPr>
            <w:tcW w:w="534" w:type="pct"/>
            <w:tcBorders>
              <w:top w:val="nil"/>
              <w:left w:val="nil"/>
              <w:bottom w:val="nil"/>
              <w:right w:val="nil"/>
            </w:tcBorders>
            <w:shd w:val="clear" w:color="auto" w:fill="auto"/>
            <w:noWrap/>
            <w:vAlign w:val="bottom"/>
            <w:hideMark/>
          </w:tcPr>
          <w:p w14:paraId="286965D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0.037</w:t>
            </w:r>
          </w:p>
        </w:tc>
        <w:tc>
          <w:tcPr>
            <w:tcW w:w="534" w:type="pct"/>
            <w:tcBorders>
              <w:top w:val="nil"/>
              <w:left w:val="nil"/>
              <w:bottom w:val="nil"/>
              <w:right w:val="single" w:sz="4" w:space="0" w:color="auto"/>
            </w:tcBorders>
            <w:shd w:val="clear" w:color="auto" w:fill="auto"/>
            <w:noWrap/>
            <w:vAlign w:val="bottom"/>
            <w:hideMark/>
          </w:tcPr>
          <w:p w14:paraId="6E75DBC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0.037</w:t>
            </w:r>
          </w:p>
        </w:tc>
        <w:tc>
          <w:tcPr>
            <w:tcW w:w="533" w:type="pct"/>
            <w:tcBorders>
              <w:top w:val="nil"/>
              <w:left w:val="single" w:sz="4" w:space="0" w:color="auto"/>
              <w:bottom w:val="nil"/>
              <w:right w:val="nil"/>
            </w:tcBorders>
            <w:shd w:val="clear" w:color="auto" w:fill="auto"/>
            <w:noWrap/>
            <w:vAlign w:val="bottom"/>
            <w:hideMark/>
          </w:tcPr>
          <w:p w14:paraId="3A7D2AE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0.109</w:t>
            </w:r>
          </w:p>
        </w:tc>
        <w:tc>
          <w:tcPr>
            <w:tcW w:w="534" w:type="pct"/>
            <w:tcBorders>
              <w:top w:val="nil"/>
              <w:left w:val="nil"/>
              <w:bottom w:val="nil"/>
              <w:right w:val="nil"/>
            </w:tcBorders>
            <w:shd w:val="clear" w:color="auto" w:fill="auto"/>
            <w:noWrap/>
            <w:vAlign w:val="bottom"/>
            <w:hideMark/>
          </w:tcPr>
          <w:p w14:paraId="6EE2953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0.111</w:t>
            </w:r>
          </w:p>
        </w:tc>
        <w:tc>
          <w:tcPr>
            <w:tcW w:w="533" w:type="pct"/>
            <w:tcBorders>
              <w:top w:val="nil"/>
              <w:left w:val="nil"/>
              <w:bottom w:val="nil"/>
              <w:right w:val="nil"/>
            </w:tcBorders>
            <w:shd w:val="clear" w:color="auto" w:fill="auto"/>
            <w:noWrap/>
            <w:vAlign w:val="bottom"/>
            <w:hideMark/>
          </w:tcPr>
          <w:p w14:paraId="0584120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-0.011</w:t>
            </w:r>
          </w:p>
        </w:tc>
        <w:tc>
          <w:tcPr>
            <w:tcW w:w="535" w:type="pct"/>
            <w:tcBorders>
              <w:top w:val="nil"/>
              <w:left w:val="nil"/>
              <w:bottom w:val="nil"/>
              <w:right w:val="nil"/>
            </w:tcBorders>
            <w:shd w:val="clear" w:color="auto" w:fill="auto"/>
            <w:noWrap/>
            <w:vAlign w:val="bottom"/>
            <w:hideMark/>
          </w:tcPr>
          <w:p w14:paraId="36B4CB3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-0.006</w:t>
            </w:r>
          </w:p>
        </w:tc>
      </w:tr>
      <w:tr w:rsidR="003273BD" w:rsidRPr="00245E91" w14:paraId="5E00340B" w14:textId="77777777" w:rsidTr="00D83DD8">
        <w:trPr>
          <w:trHeight w:val="144"/>
        </w:trPr>
        <w:tc>
          <w:tcPr>
            <w:tcW w:w="727" w:type="pct"/>
            <w:tcBorders>
              <w:top w:val="nil"/>
              <w:left w:val="nil"/>
              <w:bottom w:val="nil"/>
              <w:right w:val="nil"/>
            </w:tcBorders>
            <w:shd w:val="clear" w:color="auto" w:fill="auto"/>
            <w:noWrap/>
            <w:vAlign w:val="bottom"/>
            <w:hideMark/>
          </w:tcPr>
          <w:p w14:paraId="58F4774D"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3591B34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(0.16)</w:t>
            </w:r>
          </w:p>
        </w:tc>
        <w:tc>
          <w:tcPr>
            <w:tcW w:w="534" w:type="pct"/>
            <w:tcBorders>
              <w:top w:val="nil"/>
              <w:left w:val="nil"/>
              <w:bottom w:val="nil"/>
              <w:right w:val="nil"/>
            </w:tcBorders>
            <w:shd w:val="clear" w:color="auto" w:fill="auto"/>
            <w:noWrap/>
            <w:vAlign w:val="bottom"/>
            <w:hideMark/>
          </w:tcPr>
          <w:p w14:paraId="31971FE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(1.54)</w:t>
            </w:r>
          </w:p>
        </w:tc>
        <w:tc>
          <w:tcPr>
            <w:tcW w:w="534" w:type="pct"/>
            <w:tcBorders>
              <w:top w:val="nil"/>
              <w:left w:val="nil"/>
              <w:bottom w:val="nil"/>
              <w:right w:val="nil"/>
            </w:tcBorders>
            <w:shd w:val="clear" w:color="auto" w:fill="auto"/>
            <w:noWrap/>
            <w:vAlign w:val="bottom"/>
            <w:hideMark/>
          </w:tcPr>
          <w:p w14:paraId="0DB0BA5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(1.58)</w:t>
            </w:r>
          </w:p>
        </w:tc>
        <w:tc>
          <w:tcPr>
            <w:tcW w:w="534" w:type="pct"/>
            <w:tcBorders>
              <w:top w:val="nil"/>
              <w:left w:val="nil"/>
              <w:bottom w:val="nil"/>
              <w:right w:val="single" w:sz="4" w:space="0" w:color="auto"/>
            </w:tcBorders>
            <w:shd w:val="clear" w:color="auto" w:fill="auto"/>
            <w:noWrap/>
            <w:vAlign w:val="bottom"/>
            <w:hideMark/>
          </w:tcPr>
          <w:p w14:paraId="4FE95D0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(1.60)</w:t>
            </w:r>
          </w:p>
        </w:tc>
        <w:tc>
          <w:tcPr>
            <w:tcW w:w="533" w:type="pct"/>
            <w:tcBorders>
              <w:top w:val="nil"/>
              <w:left w:val="single" w:sz="4" w:space="0" w:color="auto"/>
              <w:bottom w:val="nil"/>
              <w:right w:val="nil"/>
            </w:tcBorders>
            <w:shd w:val="clear" w:color="auto" w:fill="auto"/>
            <w:noWrap/>
            <w:vAlign w:val="bottom"/>
            <w:hideMark/>
          </w:tcPr>
          <w:p w14:paraId="46A2523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(3.33***)</w:t>
            </w:r>
          </w:p>
        </w:tc>
        <w:tc>
          <w:tcPr>
            <w:tcW w:w="534" w:type="pct"/>
            <w:tcBorders>
              <w:top w:val="nil"/>
              <w:left w:val="nil"/>
              <w:bottom w:val="nil"/>
              <w:right w:val="nil"/>
            </w:tcBorders>
            <w:shd w:val="clear" w:color="auto" w:fill="auto"/>
            <w:noWrap/>
            <w:vAlign w:val="bottom"/>
            <w:hideMark/>
          </w:tcPr>
          <w:p w14:paraId="5C3A150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(3.85***)</w:t>
            </w:r>
          </w:p>
        </w:tc>
        <w:tc>
          <w:tcPr>
            <w:tcW w:w="533" w:type="pct"/>
            <w:tcBorders>
              <w:top w:val="nil"/>
              <w:left w:val="nil"/>
              <w:bottom w:val="nil"/>
              <w:right w:val="nil"/>
            </w:tcBorders>
            <w:shd w:val="clear" w:color="auto" w:fill="auto"/>
            <w:noWrap/>
            <w:vAlign w:val="bottom"/>
            <w:hideMark/>
          </w:tcPr>
          <w:p w14:paraId="3B4574B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(-0.55)</w:t>
            </w:r>
          </w:p>
        </w:tc>
        <w:tc>
          <w:tcPr>
            <w:tcW w:w="535" w:type="pct"/>
            <w:tcBorders>
              <w:top w:val="nil"/>
              <w:left w:val="nil"/>
              <w:bottom w:val="nil"/>
              <w:right w:val="nil"/>
            </w:tcBorders>
            <w:shd w:val="clear" w:color="auto" w:fill="auto"/>
            <w:noWrap/>
            <w:vAlign w:val="bottom"/>
            <w:hideMark/>
          </w:tcPr>
          <w:p w14:paraId="729BCC7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(-0.32)</w:t>
            </w:r>
          </w:p>
        </w:tc>
      </w:tr>
      <w:tr w:rsidR="003273BD" w:rsidRPr="00245E91" w14:paraId="3101C4E6" w14:textId="77777777" w:rsidTr="00D83DD8">
        <w:trPr>
          <w:trHeight w:val="144"/>
        </w:trPr>
        <w:tc>
          <w:tcPr>
            <w:tcW w:w="727" w:type="pct"/>
            <w:tcBorders>
              <w:top w:val="nil"/>
              <w:left w:val="nil"/>
              <w:bottom w:val="nil"/>
              <w:right w:val="nil"/>
            </w:tcBorders>
            <w:shd w:val="clear" w:color="auto" w:fill="auto"/>
            <w:noWrap/>
            <w:vAlign w:val="bottom"/>
            <w:hideMark/>
          </w:tcPr>
          <w:p w14:paraId="48D96E06"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ROA</w:t>
            </w:r>
          </w:p>
        </w:tc>
        <w:tc>
          <w:tcPr>
            <w:tcW w:w="534" w:type="pct"/>
            <w:tcBorders>
              <w:top w:val="nil"/>
              <w:left w:val="nil"/>
              <w:bottom w:val="nil"/>
              <w:right w:val="nil"/>
            </w:tcBorders>
            <w:shd w:val="clear" w:color="auto" w:fill="auto"/>
            <w:noWrap/>
            <w:vAlign w:val="bottom"/>
            <w:hideMark/>
          </w:tcPr>
          <w:p w14:paraId="585EC8D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-0.160</w:t>
            </w:r>
          </w:p>
        </w:tc>
        <w:tc>
          <w:tcPr>
            <w:tcW w:w="534" w:type="pct"/>
            <w:tcBorders>
              <w:top w:val="nil"/>
              <w:left w:val="nil"/>
              <w:bottom w:val="nil"/>
              <w:right w:val="nil"/>
            </w:tcBorders>
            <w:shd w:val="clear" w:color="auto" w:fill="auto"/>
            <w:noWrap/>
            <w:vAlign w:val="bottom"/>
            <w:hideMark/>
          </w:tcPr>
          <w:p w14:paraId="474B2F0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-0.268</w:t>
            </w:r>
          </w:p>
        </w:tc>
        <w:tc>
          <w:tcPr>
            <w:tcW w:w="534" w:type="pct"/>
            <w:tcBorders>
              <w:top w:val="nil"/>
              <w:left w:val="nil"/>
              <w:bottom w:val="nil"/>
              <w:right w:val="nil"/>
            </w:tcBorders>
            <w:shd w:val="clear" w:color="auto" w:fill="auto"/>
            <w:noWrap/>
            <w:vAlign w:val="bottom"/>
            <w:hideMark/>
          </w:tcPr>
          <w:p w14:paraId="2A57FA5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0.468</w:t>
            </w:r>
          </w:p>
        </w:tc>
        <w:tc>
          <w:tcPr>
            <w:tcW w:w="534" w:type="pct"/>
            <w:tcBorders>
              <w:top w:val="nil"/>
              <w:left w:val="nil"/>
              <w:bottom w:val="nil"/>
              <w:right w:val="single" w:sz="4" w:space="0" w:color="auto"/>
            </w:tcBorders>
            <w:shd w:val="clear" w:color="auto" w:fill="auto"/>
            <w:noWrap/>
            <w:vAlign w:val="bottom"/>
            <w:hideMark/>
          </w:tcPr>
          <w:p w14:paraId="0C2C549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0.464</w:t>
            </w:r>
          </w:p>
        </w:tc>
        <w:tc>
          <w:tcPr>
            <w:tcW w:w="533" w:type="pct"/>
            <w:tcBorders>
              <w:top w:val="nil"/>
              <w:left w:val="single" w:sz="4" w:space="0" w:color="auto"/>
              <w:bottom w:val="nil"/>
              <w:right w:val="nil"/>
            </w:tcBorders>
            <w:shd w:val="clear" w:color="auto" w:fill="auto"/>
            <w:noWrap/>
            <w:vAlign w:val="bottom"/>
            <w:hideMark/>
          </w:tcPr>
          <w:p w14:paraId="1BB6156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-0.113</w:t>
            </w:r>
          </w:p>
        </w:tc>
        <w:tc>
          <w:tcPr>
            <w:tcW w:w="534" w:type="pct"/>
            <w:tcBorders>
              <w:top w:val="nil"/>
              <w:left w:val="nil"/>
              <w:bottom w:val="nil"/>
              <w:right w:val="nil"/>
            </w:tcBorders>
            <w:shd w:val="clear" w:color="auto" w:fill="auto"/>
            <w:noWrap/>
            <w:vAlign w:val="bottom"/>
            <w:hideMark/>
          </w:tcPr>
          <w:p w14:paraId="335FBD2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-0.258</w:t>
            </w:r>
          </w:p>
        </w:tc>
        <w:tc>
          <w:tcPr>
            <w:tcW w:w="533" w:type="pct"/>
            <w:tcBorders>
              <w:top w:val="nil"/>
              <w:left w:val="nil"/>
              <w:bottom w:val="nil"/>
              <w:right w:val="nil"/>
            </w:tcBorders>
            <w:shd w:val="clear" w:color="auto" w:fill="auto"/>
            <w:noWrap/>
            <w:vAlign w:val="bottom"/>
            <w:hideMark/>
          </w:tcPr>
          <w:p w14:paraId="7AE8458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0.443</w:t>
            </w:r>
          </w:p>
        </w:tc>
        <w:tc>
          <w:tcPr>
            <w:tcW w:w="535" w:type="pct"/>
            <w:tcBorders>
              <w:top w:val="nil"/>
              <w:left w:val="nil"/>
              <w:bottom w:val="nil"/>
              <w:right w:val="nil"/>
            </w:tcBorders>
            <w:shd w:val="clear" w:color="auto" w:fill="auto"/>
            <w:noWrap/>
            <w:vAlign w:val="bottom"/>
            <w:hideMark/>
          </w:tcPr>
          <w:p w14:paraId="3BBF328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0.448</w:t>
            </w:r>
          </w:p>
        </w:tc>
      </w:tr>
      <w:tr w:rsidR="003273BD" w:rsidRPr="00245E91" w14:paraId="7A4BD883" w14:textId="77777777" w:rsidTr="00D83DD8">
        <w:trPr>
          <w:trHeight w:val="144"/>
        </w:trPr>
        <w:tc>
          <w:tcPr>
            <w:tcW w:w="727" w:type="pct"/>
            <w:tcBorders>
              <w:top w:val="nil"/>
              <w:left w:val="nil"/>
              <w:bottom w:val="nil"/>
              <w:right w:val="nil"/>
            </w:tcBorders>
            <w:shd w:val="clear" w:color="auto" w:fill="auto"/>
            <w:noWrap/>
            <w:vAlign w:val="bottom"/>
            <w:hideMark/>
          </w:tcPr>
          <w:p w14:paraId="2BEB8851"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05D9605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(-3.82***)</w:t>
            </w:r>
          </w:p>
        </w:tc>
        <w:tc>
          <w:tcPr>
            <w:tcW w:w="534" w:type="pct"/>
            <w:tcBorders>
              <w:top w:val="nil"/>
              <w:left w:val="nil"/>
              <w:bottom w:val="nil"/>
              <w:right w:val="nil"/>
            </w:tcBorders>
            <w:shd w:val="clear" w:color="auto" w:fill="auto"/>
            <w:noWrap/>
            <w:vAlign w:val="bottom"/>
            <w:hideMark/>
          </w:tcPr>
          <w:p w14:paraId="7F50FBE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(-7.66***)</w:t>
            </w:r>
          </w:p>
        </w:tc>
        <w:tc>
          <w:tcPr>
            <w:tcW w:w="534" w:type="pct"/>
            <w:tcBorders>
              <w:top w:val="nil"/>
              <w:left w:val="nil"/>
              <w:bottom w:val="nil"/>
              <w:right w:val="nil"/>
            </w:tcBorders>
            <w:shd w:val="clear" w:color="auto" w:fill="auto"/>
            <w:noWrap/>
            <w:vAlign w:val="bottom"/>
            <w:hideMark/>
          </w:tcPr>
          <w:p w14:paraId="60DCF67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(11.83***)</w:t>
            </w:r>
          </w:p>
        </w:tc>
        <w:tc>
          <w:tcPr>
            <w:tcW w:w="534" w:type="pct"/>
            <w:tcBorders>
              <w:top w:val="nil"/>
              <w:left w:val="nil"/>
              <w:bottom w:val="nil"/>
              <w:right w:val="single" w:sz="4" w:space="0" w:color="auto"/>
            </w:tcBorders>
            <w:shd w:val="clear" w:color="auto" w:fill="auto"/>
            <w:noWrap/>
            <w:vAlign w:val="bottom"/>
            <w:hideMark/>
          </w:tcPr>
          <w:p w14:paraId="17E8A8A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(11.95***)</w:t>
            </w:r>
          </w:p>
        </w:tc>
        <w:tc>
          <w:tcPr>
            <w:tcW w:w="533" w:type="pct"/>
            <w:tcBorders>
              <w:top w:val="nil"/>
              <w:left w:val="single" w:sz="4" w:space="0" w:color="auto"/>
              <w:bottom w:val="nil"/>
              <w:right w:val="nil"/>
            </w:tcBorders>
            <w:shd w:val="clear" w:color="auto" w:fill="auto"/>
            <w:noWrap/>
            <w:vAlign w:val="bottom"/>
            <w:hideMark/>
          </w:tcPr>
          <w:p w14:paraId="5399B0B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(-2.39**)</w:t>
            </w:r>
          </w:p>
        </w:tc>
        <w:tc>
          <w:tcPr>
            <w:tcW w:w="534" w:type="pct"/>
            <w:tcBorders>
              <w:top w:val="nil"/>
              <w:left w:val="nil"/>
              <w:bottom w:val="nil"/>
              <w:right w:val="nil"/>
            </w:tcBorders>
            <w:shd w:val="clear" w:color="auto" w:fill="auto"/>
            <w:noWrap/>
            <w:vAlign w:val="bottom"/>
            <w:hideMark/>
          </w:tcPr>
          <w:p w14:paraId="4A1DCF0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(-7.17***)</w:t>
            </w:r>
          </w:p>
        </w:tc>
        <w:tc>
          <w:tcPr>
            <w:tcW w:w="533" w:type="pct"/>
            <w:tcBorders>
              <w:top w:val="nil"/>
              <w:left w:val="nil"/>
              <w:bottom w:val="nil"/>
              <w:right w:val="nil"/>
            </w:tcBorders>
            <w:shd w:val="clear" w:color="auto" w:fill="auto"/>
            <w:noWrap/>
            <w:vAlign w:val="bottom"/>
            <w:hideMark/>
          </w:tcPr>
          <w:p w14:paraId="749BF1E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(13.36***)</w:t>
            </w:r>
          </w:p>
        </w:tc>
        <w:tc>
          <w:tcPr>
            <w:tcW w:w="535" w:type="pct"/>
            <w:tcBorders>
              <w:top w:val="nil"/>
              <w:left w:val="nil"/>
              <w:bottom w:val="nil"/>
              <w:right w:val="nil"/>
            </w:tcBorders>
            <w:shd w:val="clear" w:color="auto" w:fill="auto"/>
            <w:noWrap/>
            <w:vAlign w:val="bottom"/>
            <w:hideMark/>
          </w:tcPr>
          <w:p w14:paraId="1D9BBA6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(13.32***)</w:t>
            </w:r>
          </w:p>
        </w:tc>
      </w:tr>
      <w:tr w:rsidR="003273BD" w:rsidRPr="00245E91" w14:paraId="297D5392" w14:textId="77777777" w:rsidTr="00D83DD8">
        <w:trPr>
          <w:trHeight w:val="144"/>
        </w:trPr>
        <w:tc>
          <w:tcPr>
            <w:tcW w:w="727" w:type="pct"/>
            <w:tcBorders>
              <w:top w:val="nil"/>
              <w:left w:val="nil"/>
              <w:bottom w:val="nil"/>
              <w:right w:val="nil"/>
            </w:tcBorders>
            <w:shd w:val="clear" w:color="auto" w:fill="auto"/>
            <w:noWrap/>
            <w:vAlign w:val="bottom"/>
            <w:hideMark/>
          </w:tcPr>
          <w:p w14:paraId="4ABE0F87"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MKBK</w:t>
            </w:r>
          </w:p>
        </w:tc>
        <w:tc>
          <w:tcPr>
            <w:tcW w:w="534" w:type="pct"/>
            <w:tcBorders>
              <w:top w:val="nil"/>
              <w:left w:val="nil"/>
              <w:bottom w:val="nil"/>
              <w:right w:val="nil"/>
            </w:tcBorders>
            <w:shd w:val="clear" w:color="auto" w:fill="auto"/>
            <w:noWrap/>
            <w:vAlign w:val="bottom"/>
            <w:hideMark/>
          </w:tcPr>
          <w:p w14:paraId="7866844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-0.041</w:t>
            </w:r>
          </w:p>
        </w:tc>
        <w:tc>
          <w:tcPr>
            <w:tcW w:w="534" w:type="pct"/>
            <w:tcBorders>
              <w:top w:val="nil"/>
              <w:left w:val="nil"/>
              <w:bottom w:val="nil"/>
              <w:right w:val="nil"/>
            </w:tcBorders>
            <w:shd w:val="clear" w:color="auto" w:fill="auto"/>
            <w:noWrap/>
            <w:vAlign w:val="bottom"/>
            <w:hideMark/>
          </w:tcPr>
          <w:p w14:paraId="0FEDC0F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-0.030</w:t>
            </w:r>
          </w:p>
        </w:tc>
        <w:tc>
          <w:tcPr>
            <w:tcW w:w="534" w:type="pct"/>
            <w:tcBorders>
              <w:top w:val="nil"/>
              <w:left w:val="nil"/>
              <w:bottom w:val="nil"/>
              <w:right w:val="nil"/>
            </w:tcBorders>
            <w:shd w:val="clear" w:color="auto" w:fill="auto"/>
            <w:noWrap/>
            <w:vAlign w:val="bottom"/>
            <w:hideMark/>
          </w:tcPr>
          <w:p w14:paraId="2F113CB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0.025</w:t>
            </w:r>
          </w:p>
        </w:tc>
        <w:tc>
          <w:tcPr>
            <w:tcW w:w="534" w:type="pct"/>
            <w:tcBorders>
              <w:top w:val="nil"/>
              <w:left w:val="nil"/>
              <w:bottom w:val="nil"/>
              <w:right w:val="single" w:sz="4" w:space="0" w:color="auto"/>
            </w:tcBorders>
            <w:shd w:val="clear" w:color="auto" w:fill="auto"/>
            <w:noWrap/>
            <w:vAlign w:val="bottom"/>
            <w:hideMark/>
          </w:tcPr>
          <w:p w14:paraId="4353290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0.023</w:t>
            </w:r>
          </w:p>
        </w:tc>
        <w:tc>
          <w:tcPr>
            <w:tcW w:w="533" w:type="pct"/>
            <w:tcBorders>
              <w:top w:val="nil"/>
              <w:left w:val="single" w:sz="4" w:space="0" w:color="auto"/>
              <w:bottom w:val="nil"/>
              <w:right w:val="nil"/>
            </w:tcBorders>
            <w:shd w:val="clear" w:color="auto" w:fill="auto"/>
            <w:noWrap/>
            <w:vAlign w:val="bottom"/>
            <w:hideMark/>
          </w:tcPr>
          <w:p w14:paraId="68599E4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0.013</w:t>
            </w:r>
          </w:p>
        </w:tc>
        <w:tc>
          <w:tcPr>
            <w:tcW w:w="534" w:type="pct"/>
            <w:tcBorders>
              <w:top w:val="nil"/>
              <w:left w:val="nil"/>
              <w:bottom w:val="nil"/>
              <w:right w:val="nil"/>
            </w:tcBorders>
            <w:shd w:val="clear" w:color="auto" w:fill="auto"/>
            <w:noWrap/>
            <w:vAlign w:val="bottom"/>
            <w:hideMark/>
          </w:tcPr>
          <w:p w14:paraId="5119CE2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-0.022</w:t>
            </w:r>
          </w:p>
        </w:tc>
        <w:tc>
          <w:tcPr>
            <w:tcW w:w="533" w:type="pct"/>
            <w:tcBorders>
              <w:top w:val="nil"/>
              <w:left w:val="nil"/>
              <w:bottom w:val="nil"/>
              <w:right w:val="nil"/>
            </w:tcBorders>
            <w:shd w:val="clear" w:color="auto" w:fill="auto"/>
            <w:noWrap/>
            <w:vAlign w:val="bottom"/>
            <w:hideMark/>
          </w:tcPr>
          <w:p w14:paraId="660594A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0.010</w:t>
            </w:r>
          </w:p>
        </w:tc>
        <w:tc>
          <w:tcPr>
            <w:tcW w:w="535" w:type="pct"/>
            <w:tcBorders>
              <w:top w:val="nil"/>
              <w:left w:val="nil"/>
              <w:bottom w:val="nil"/>
              <w:right w:val="nil"/>
            </w:tcBorders>
            <w:shd w:val="clear" w:color="auto" w:fill="auto"/>
            <w:noWrap/>
            <w:vAlign w:val="bottom"/>
            <w:hideMark/>
          </w:tcPr>
          <w:p w14:paraId="7F242A7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0.014</w:t>
            </w:r>
          </w:p>
        </w:tc>
      </w:tr>
      <w:tr w:rsidR="003273BD" w:rsidRPr="00245E91" w14:paraId="42DAC099" w14:textId="77777777" w:rsidTr="00D83DD8">
        <w:trPr>
          <w:trHeight w:val="144"/>
        </w:trPr>
        <w:tc>
          <w:tcPr>
            <w:tcW w:w="727" w:type="pct"/>
            <w:tcBorders>
              <w:top w:val="nil"/>
              <w:left w:val="nil"/>
              <w:bottom w:val="nil"/>
              <w:right w:val="nil"/>
            </w:tcBorders>
            <w:shd w:val="clear" w:color="auto" w:fill="auto"/>
            <w:noWrap/>
            <w:vAlign w:val="bottom"/>
            <w:hideMark/>
          </w:tcPr>
          <w:p w14:paraId="47FBE121"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24F887B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(-1.40)</w:t>
            </w:r>
          </w:p>
        </w:tc>
        <w:tc>
          <w:tcPr>
            <w:tcW w:w="534" w:type="pct"/>
            <w:tcBorders>
              <w:top w:val="nil"/>
              <w:left w:val="nil"/>
              <w:bottom w:val="nil"/>
              <w:right w:val="nil"/>
            </w:tcBorders>
            <w:shd w:val="clear" w:color="auto" w:fill="auto"/>
            <w:noWrap/>
            <w:vAlign w:val="bottom"/>
            <w:hideMark/>
          </w:tcPr>
          <w:p w14:paraId="6D7AE0A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(-1.10)</w:t>
            </w:r>
          </w:p>
        </w:tc>
        <w:tc>
          <w:tcPr>
            <w:tcW w:w="534" w:type="pct"/>
            <w:tcBorders>
              <w:top w:val="nil"/>
              <w:left w:val="nil"/>
              <w:bottom w:val="nil"/>
              <w:right w:val="nil"/>
            </w:tcBorders>
            <w:shd w:val="clear" w:color="auto" w:fill="auto"/>
            <w:noWrap/>
            <w:vAlign w:val="bottom"/>
            <w:hideMark/>
          </w:tcPr>
          <w:p w14:paraId="1E084AF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(0.80)</w:t>
            </w:r>
          </w:p>
        </w:tc>
        <w:tc>
          <w:tcPr>
            <w:tcW w:w="534" w:type="pct"/>
            <w:tcBorders>
              <w:top w:val="nil"/>
              <w:left w:val="nil"/>
              <w:bottom w:val="nil"/>
              <w:right w:val="single" w:sz="4" w:space="0" w:color="auto"/>
            </w:tcBorders>
            <w:shd w:val="clear" w:color="auto" w:fill="auto"/>
            <w:noWrap/>
            <w:vAlign w:val="bottom"/>
            <w:hideMark/>
          </w:tcPr>
          <w:p w14:paraId="3F30D4D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(0.72)</w:t>
            </w:r>
          </w:p>
        </w:tc>
        <w:tc>
          <w:tcPr>
            <w:tcW w:w="533" w:type="pct"/>
            <w:tcBorders>
              <w:top w:val="nil"/>
              <w:left w:val="single" w:sz="4" w:space="0" w:color="auto"/>
              <w:bottom w:val="nil"/>
              <w:right w:val="nil"/>
            </w:tcBorders>
            <w:shd w:val="clear" w:color="auto" w:fill="auto"/>
            <w:noWrap/>
            <w:vAlign w:val="bottom"/>
            <w:hideMark/>
          </w:tcPr>
          <w:p w14:paraId="4F6270F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(0.31)</w:t>
            </w:r>
          </w:p>
        </w:tc>
        <w:tc>
          <w:tcPr>
            <w:tcW w:w="534" w:type="pct"/>
            <w:tcBorders>
              <w:top w:val="nil"/>
              <w:left w:val="nil"/>
              <w:bottom w:val="nil"/>
              <w:right w:val="nil"/>
            </w:tcBorders>
            <w:shd w:val="clear" w:color="auto" w:fill="auto"/>
            <w:noWrap/>
            <w:vAlign w:val="bottom"/>
            <w:hideMark/>
          </w:tcPr>
          <w:p w14:paraId="0E95397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(-0.664)</w:t>
            </w:r>
          </w:p>
        </w:tc>
        <w:tc>
          <w:tcPr>
            <w:tcW w:w="533" w:type="pct"/>
            <w:tcBorders>
              <w:top w:val="nil"/>
              <w:left w:val="nil"/>
              <w:bottom w:val="nil"/>
              <w:right w:val="nil"/>
            </w:tcBorders>
            <w:shd w:val="clear" w:color="auto" w:fill="auto"/>
            <w:noWrap/>
            <w:vAlign w:val="bottom"/>
            <w:hideMark/>
          </w:tcPr>
          <w:p w14:paraId="0DCA030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(0.37)</w:t>
            </w:r>
          </w:p>
        </w:tc>
        <w:tc>
          <w:tcPr>
            <w:tcW w:w="535" w:type="pct"/>
            <w:tcBorders>
              <w:top w:val="nil"/>
              <w:left w:val="nil"/>
              <w:bottom w:val="nil"/>
              <w:right w:val="nil"/>
            </w:tcBorders>
            <w:shd w:val="clear" w:color="auto" w:fill="auto"/>
            <w:noWrap/>
            <w:vAlign w:val="bottom"/>
            <w:hideMark/>
          </w:tcPr>
          <w:p w14:paraId="19E35FB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(0.49)</w:t>
            </w:r>
          </w:p>
        </w:tc>
      </w:tr>
      <w:tr w:rsidR="003273BD" w:rsidRPr="00245E91" w14:paraId="0FEE58C6" w14:textId="77777777" w:rsidTr="00D83DD8">
        <w:trPr>
          <w:trHeight w:val="144"/>
        </w:trPr>
        <w:tc>
          <w:tcPr>
            <w:tcW w:w="727" w:type="pct"/>
            <w:tcBorders>
              <w:top w:val="nil"/>
              <w:left w:val="nil"/>
              <w:bottom w:val="nil"/>
              <w:right w:val="nil"/>
            </w:tcBorders>
            <w:shd w:val="clear" w:color="auto" w:fill="auto"/>
            <w:noWrap/>
            <w:vAlign w:val="bottom"/>
          </w:tcPr>
          <w:p w14:paraId="5D1B895E"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LIQUIDITY</w:t>
            </w:r>
          </w:p>
        </w:tc>
        <w:tc>
          <w:tcPr>
            <w:tcW w:w="534" w:type="pct"/>
            <w:tcBorders>
              <w:top w:val="nil"/>
              <w:left w:val="nil"/>
              <w:bottom w:val="nil"/>
              <w:right w:val="nil"/>
            </w:tcBorders>
            <w:shd w:val="clear" w:color="auto" w:fill="auto"/>
            <w:noWrap/>
            <w:vAlign w:val="bottom"/>
          </w:tcPr>
          <w:p w14:paraId="0471C88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-0.051</w:t>
            </w:r>
          </w:p>
        </w:tc>
        <w:tc>
          <w:tcPr>
            <w:tcW w:w="534" w:type="pct"/>
            <w:tcBorders>
              <w:top w:val="nil"/>
              <w:left w:val="nil"/>
              <w:bottom w:val="nil"/>
              <w:right w:val="nil"/>
            </w:tcBorders>
            <w:shd w:val="clear" w:color="auto" w:fill="auto"/>
            <w:noWrap/>
            <w:vAlign w:val="bottom"/>
          </w:tcPr>
          <w:p w14:paraId="1C275DD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-0.039</w:t>
            </w:r>
          </w:p>
        </w:tc>
        <w:tc>
          <w:tcPr>
            <w:tcW w:w="534" w:type="pct"/>
            <w:tcBorders>
              <w:top w:val="nil"/>
              <w:left w:val="nil"/>
              <w:bottom w:val="nil"/>
              <w:right w:val="nil"/>
            </w:tcBorders>
            <w:shd w:val="clear" w:color="auto" w:fill="auto"/>
            <w:noWrap/>
            <w:vAlign w:val="bottom"/>
          </w:tcPr>
          <w:p w14:paraId="2D4765F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0.020</w:t>
            </w:r>
          </w:p>
        </w:tc>
        <w:tc>
          <w:tcPr>
            <w:tcW w:w="534" w:type="pct"/>
            <w:tcBorders>
              <w:top w:val="nil"/>
              <w:left w:val="nil"/>
              <w:bottom w:val="nil"/>
              <w:right w:val="single" w:sz="4" w:space="0" w:color="auto"/>
            </w:tcBorders>
            <w:shd w:val="clear" w:color="auto" w:fill="auto"/>
            <w:noWrap/>
            <w:vAlign w:val="bottom"/>
          </w:tcPr>
          <w:p w14:paraId="2720317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0.021</w:t>
            </w:r>
          </w:p>
        </w:tc>
        <w:tc>
          <w:tcPr>
            <w:tcW w:w="533" w:type="pct"/>
            <w:tcBorders>
              <w:top w:val="nil"/>
              <w:left w:val="single" w:sz="4" w:space="0" w:color="auto"/>
              <w:bottom w:val="nil"/>
              <w:right w:val="nil"/>
            </w:tcBorders>
            <w:shd w:val="clear" w:color="auto" w:fill="auto"/>
            <w:noWrap/>
            <w:vAlign w:val="bottom"/>
          </w:tcPr>
          <w:p w14:paraId="19166F8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0.011</w:t>
            </w:r>
          </w:p>
        </w:tc>
        <w:tc>
          <w:tcPr>
            <w:tcW w:w="534" w:type="pct"/>
            <w:tcBorders>
              <w:top w:val="nil"/>
              <w:left w:val="nil"/>
              <w:bottom w:val="nil"/>
              <w:right w:val="nil"/>
            </w:tcBorders>
            <w:shd w:val="clear" w:color="auto" w:fill="auto"/>
            <w:noWrap/>
            <w:vAlign w:val="bottom"/>
          </w:tcPr>
          <w:p w14:paraId="0CC285D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0.025</w:t>
            </w:r>
          </w:p>
        </w:tc>
        <w:tc>
          <w:tcPr>
            <w:tcW w:w="533" w:type="pct"/>
            <w:tcBorders>
              <w:top w:val="nil"/>
              <w:left w:val="nil"/>
              <w:bottom w:val="nil"/>
              <w:right w:val="nil"/>
            </w:tcBorders>
            <w:shd w:val="clear" w:color="auto" w:fill="auto"/>
            <w:noWrap/>
            <w:vAlign w:val="bottom"/>
          </w:tcPr>
          <w:p w14:paraId="1D942D4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-0.003</w:t>
            </w:r>
          </w:p>
        </w:tc>
        <w:tc>
          <w:tcPr>
            <w:tcW w:w="535" w:type="pct"/>
            <w:tcBorders>
              <w:top w:val="nil"/>
              <w:left w:val="nil"/>
              <w:bottom w:val="nil"/>
              <w:right w:val="nil"/>
            </w:tcBorders>
            <w:shd w:val="clear" w:color="auto" w:fill="auto"/>
            <w:noWrap/>
            <w:vAlign w:val="bottom"/>
          </w:tcPr>
          <w:p w14:paraId="5899661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-0.002</w:t>
            </w:r>
          </w:p>
        </w:tc>
      </w:tr>
      <w:tr w:rsidR="003273BD" w:rsidRPr="00245E91" w14:paraId="762A8E1E" w14:textId="77777777" w:rsidTr="00D83DD8">
        <w:trPr>
          <w:trHeight w:val="144"/>
        </w:trPr>
        <w:tc>
          <w:tcPr>
            <w:tcW w:w="727" w:type="pct"/>
            <w:tcBorders>
              <w:top w:val="nil"/>
              <w:left w:val="nil"/>
              <w:bottom w:val="nil"/>
              <w:right w:val="nil"/>
            </w:tcBorders>
            <w:shd w:val="clear" w:color="auto" w:fill="auto"/>
            <w:noWrap/>
            <w:vAlign w:val="bottom"/>
          </w:tcPr>
          <w:p w14:paraId="45D0644B"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tcPr>
          <w:p w14:paraId="66A46C3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(-1.73*)</w:t>
            </w:r>
          </w:p>
        </w:tc>
        <w:tc>
          <w:tcPr>
            <w:tcW w:w="534" w:type="pct"/>
            <w:tcBorders>
              <w:top w:val="nil"/>
              <w:left w:val="nil"/>
              <w:bottom w:val="nil"/>
              <w:right w:val="nil"/>
            </w:tcBorders>
            <w:shd w:val="clear" w:color="auto" w:fill="auto"/>
            <w:noWrap/>
            <w:vAlign w:val="bottom"/>
          </w:tcPr>
          <w:p w14:paraId="4CD81AB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(-1.40)</w:t>
            </w:r>
          </w:p>
        </w:tc>
        <w:tc>
          <w:tcPr>
            <w:tcW w:w="534" w:type="pct"/>
            <w:tcBorders>
              <w:top w:val="nil"/>
              <w:left w:val="nil"/>
              <w:bottom w:val="nil"/>
              <w:right w:val="nil"/>
            </w:tcBorders>
            <w:shd w:val="clear" w:color="auto" w:fill="auto"/>
            <w:noWrap/>
            <w:vAlign w:val="bottom"/>
          </w:tcPr>
          <w:p w14:paraId="1986138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(0.54)</w:t>
            </w:r>
          </w:p>
        </w:tc>
        <w:tc>
          <w:tcPr>
            <w:tcW w:w="534" w:type="pct"/>
            <w:tcBorders>
              <w:top w:val="nil"/>
              <w:left w:val="nil"/>
              <w:bottom w:val="nil"/>
              <w:right w:val="single" w:sz="4" w:space="0" w:color="auto"/>
            </w:tcBorders>
            <w:shd w:val="clear" w:color="auto" w:fill="auto"/>
            <w:noWrap/>
            <w:vAlign w:val="bottom"/>
          </w:tcPr>
          <w:p w14:paraId="47A7361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(0.58)</w:t>
            </w:r>
          </w:p>
        </w:tc>
        <w:tc>
          <w:tcPr>
            <w:tcW w:w="533" w:type="pct"/>
            <w:tcBorders>
              <w:top w:val="nil"/>
              <w:left w:val="single" w:sz="4" w:space="0" w:color="auto"/>
              <w:bottom w:val="nil"/>
              <w:right w:val="nil"/>
            </w:tcBorders>
            <w:shd w:val="clear" w:color="auto" w:fill="auto"/>
            <w:noWrap/>
            <w:vAlign w:val="bottom"/>
          </w:tcPr>
          <w:p w14:paraId="74D2343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(0.40)</w:t>
            </w:r>
          </w:p>
        </w:tc>
        <w:tc>
          <w:tcPr>
            <w:tcW w:w="534" w:type="pct"/>
            <w:tcBorders>
              <w:top w:val="nil"/>
              <w:left w:val="nil"/>
              <w:bottom w:val="nil"/>
              <w:right w:val="nil"/>
            </w:tcBorders>
            <w:shd w:val="clear" w:color="auto" w:fill="auto"/>
            <w:noWrap/>
            <w:vAlign w:val="bottom"/>
          </w:tcPr>
          <w:p w14:paraId="3F292BF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w:t>
            </w:r>
          </w:p>
        </w:tc>
        <w:tc>
          <w:tcPr>
            <w:tcW w:w="533" w:type="pct"/>
            <w:tcBorders>
              <w:top w:val="nil"/>
              <w:left w:val="nil"/>
              <w:bottom w:val="nil"/>
              <w:right w:val="nil"/>
            </w:tcBorders>
            <w:shd w:val="clear" w:color="auto" w:fill="auto"/>
            <w:noWrap/>
            <w:vAlign w:val="bottom"/>
          </w:tcPr>
          <w:p w14:paraId="29889FC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(-0.13)</w:t>
            </w:r>
          </w:p>
        </w:tc>
        <w:tc>
          <w:tcPr>
            <w:tcW w:w="535" w:type="pct"/>
            <w:tcBorders>
              <w:top w:val="nil"/>
              <w:left w:val="nil"/>
              <w:bottom w:val="nil"/>
              <w:right w:val="nil"/>
            </w:tcBorders>
            <w:shd w:val="clear" w:color="auto" w:fill="auto"/>
            <w:noWrap/>
            <w:vAlign w:val="bottom"/>
          </w:tcPr>
          <w:p w14:paraId="7966C1E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w:t>
            </w:r>
          </w:p>
        </w:tc>
      </w:tr>
      <w:tr w:rsidR="003273BD" w:rsidRPr="00245E91" w14:paraId="24D33B1F" w14:textId="77777777" w:rsidTr="00D83DD8">
        <w:trPr>
          <w:trHeight w:val="144"/>
        </w:trPr>
        <w:tc>
          <w:tcPr>
            <w:tcW w:w="727" w:type="pct"/>
            <w:tcBorders>
              <w:top w:val="nil"/>
              <w:left w:val="nil"/>
              <w:bottom w:val="nil"/>
              <w:right w:val="nil"/>
            </w:tcBorders>
            <w:shd w:val="clear" w:color="auto" w:fill="auto"/>
            <w:noWrap/>
            <w:vAlign w:val="bottom"/>
          </w:tcPr>
          <w:p w14:paraId="599AF9D3"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STOCKISSUE</w:t>
            </w:r>
          </w:p>
        </w:tc>
        <w:tc>
          <w:tcPr>
            <w:tcW w:w="534" w:type="pct"/>
            <w:tcBorders>
              <w:top w:val="nil"/>
              <w:left w:val="nil"/>
              <w:bottom w:val="nil"/>
              <w:right w:val="nil"/>
            </w:tcBorders>
            <w:shd w:val="clear" w:color="auto" w:fill="auto"/>
            <w:noWrap/>
            <w:vAlign w:val="bottom"/>
          </w:tcPr>
          <w:p w14:paraId="296F074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-0.070</w:t>
            </w:r>
          </w:p>
        </w:tc>
        <w:tc>
          <w:tcPr>
            <w:tcW w:w="534" w:type="pct"/>
            <w:tcBorders>
              <w:top w:val="nil"/>
              <w:left w:val="nil"/>
              <w:bottom w:val="nil"/>
              <w:right w:val="nil"/>
            </w:tcBorders>
            <w:shd w:val="clear" w:color="auto" w:fill="auto"/>
            <w:noWrap/>
            <w:vAlign w:val="bottom"/>
          </w:tcPr>
          <w:p w14:paraId="23769FF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-0.046</w:t>
            </w:r>
          </w:p>
        </w:tc>
        <w:tc>
          <w:tcPr>
            <w:tcW w:w="534" w:type="pct"/>
            <w:tcBorders>
              <w:top w:val="nil"/>
              <w:left w:val="nil"/>
              <w:bottom w:val="nil"/>
              <w:right w:val="nil"/>
            </w:tcBorders>
            <w:shd w:val="clear" w:color="auto" w:fill="auto"/>
            <w:noWrap/>
            <w:vAlign w:val="bottom"/>
          </w:tcPr>
          <w:p w14:paraId="18E3553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0.032</w:t>
            </w:r>
          </w:p>
        </w:tc>
        <w:tc>
          <w:tcPr>
            <w:tcW w:w="534" w:type="pct"/>
            <w:tcBorders>
              <w:top w:val="nil"/>
              <w:left w:val="nil"/>
              <w:bottom w:val="nil"/>
              <w:right w:val="single" w:sz="4" w:space="0" w:color="auto"/>
            </w:tcBorders>
            <w:shd w:val="clear" w:color="auto" w:fill="auto"/>
            <w:noWrap/>
            <w:vAlign w:val="bottom"/>
          </w:tcPr>
          <w:p w14:paraId="644814D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0.034</w:t>
            </w:r>
          </w:p>
        </w:tc>
        <w:tc>
          <w:tcPr>
            <w:tcW w:w="533" w:type="pct"/>
            <w:tcBorders>
              <w:top w:val="nil"/>
              <w:left w:val="single" w:sz="4" w:space="0" w:color="auto"/>
              <w:bottom w:val="nil"/>
              <w:right w:val="nil"/>
            </w:tcBorders>
            <w:shd w:val="clear" w:color="auto" w:fill="auto"/>
            <w:noWrap/>
            <w:vAlign w:val="bottom"/>
          </w:tcPr>
          <w:p w14:paraId="3C534B8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0.036</w:t>
            </w:r>
          </w:p>
        </w:tc>
        <w:tc>
          <w:tcPr>
            <w:tcW w:w="534" w:type="pct"/>
            <w:tcBorders>
              <w:top w:val="nil"/>
              <w:left w:val="nil"/>
              <w:bottom w:val="nil"/>
              <w:right w:val="nil"/>
            </w:tcBorders>
            <w:shd w:val="clear" w:color="auto" w:fill="auto"/>
            <w:noWrap/>
            <w:vAlign w:val="bottom"/>
          </w:tcPr>
          <w:p w14:paraId="6284427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0.050</w:t>
            </w:r>
          </w:p>
        </w:tc>
        <w:tc>
          <w:tcPr>
            <w:tcW w:w="533" w:type="pct"/>
            <w:tcBorders>
              <w:top w:val="nil"/>
              <w:left w:val="nil"/>
              <w:bottom w:val="nil"/>
              <w:right w:val="nil"/>
            </w:tcBorders>
            <w:shd w:val="clear" w:color="auto" w:fill="auto"/>
            <w:noWrap/>
            <w:vAlign w:val="bottom"/>
          </w:tcPr>
          <w:p w14:paraId="06F6CEB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0.033</w:t>
            </w:r>
          </w:p>
        </w:tc>
        <w:tc>
          <w:tcPr>
            <w:tcW w:w="535" w:type="pct"/>
            <w:tcBorders>
              <w:top w:val="nil"/>
              <w:left w:val="nil"/>
              <w:bottom w:val="nil"/>
              <w:right w:val="nil"/>
            </w:tcBorders>
            <w:shd w:val="clear" w:color="auto" w:fill="auto"/>
            <w:noWrap/>
            <w:vAlign w:val="bottom"/>
          </w:tcPr>
          <w:p w14:paraId="4563E84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0.034</w:t>
            </w:r>
          </w:p>
        </w:tc>
      </w:tr>
      <w:tr w:rsidR="003273BD" w:rsidRPr="00245E91" w14:paraId="496329DB" w14:textId="77777777" w:rsidTr="00D83DD8">
        <w:trPr>
          <w:trHeight w:val="144"/>
        </w:trPr>
        <w:tc>
          <w:tcPr>
            <w:tcW w:w="727" w:type="pct"/>
            <w:tcBorders>
              <w:top w:val="nil"/>
              <w:left w:val="nil"/>
              <w:bottom w:val="nil"/>
              <w:right w:val="nil"/>
            </w:tcBorders>
            <w:shd w:val="clear" w:color="auto" w:fill="auto"/>
            <w:noWrap/>
            <w:vAlign w:val="bottom"/>
          </w:tcPr>
          <w:p w14:paraId="568FDEBD"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tcPr>
          <w:p w14:paraId="6860E7A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(-1.68*)</w:t>
            </w:r>
          </w:p>
        </w:tc>
        <w:tc>
          <w:tcPr>
            <w:tcW w:w="534" w:type="pct"/>
            <w:tcBorders>
              <w:top w:val="nil"/>
              <w:left w:val="nil"/>
              <w:bottom w:val="nil"/>
              <w:right w:val="nil"/>
            </w:tcBorders>
            <w:shd w:val="clear" w:color="auto" w:fill="auto"/>
            <w:noWrap/>
            <w:vAlign w:val="bottom"/>
          </w:tcPr>
          <w:p w14:paraId="68A2E5B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(-1.34)</w:t>
            </w:r>
          </w:p>
        </w:tc>
        <w:tc>
          <w:tcPr>
            <w:tcW w:w="534" w:type="pct"/>
            <w:tcBorders>
              <w:top w:val="nil"/>
              <w:left w:val="nil"/>
              <w:bottom w:val="nil"/>
              <w:right w:val="nil"/>
            </w:tcBorders>
            <w:shd w:val="clear" w:color="auto" w:fill="auto"/>
            <w:noWrap/>
            <w:vAlign w:val="bottom"/>
          </w:tcPr>
          <w:p w14:paraId="4C52F88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(1.45)</w:t>
            </w:r>
          </w:p>
        </w:tc>
        <w:tc>
          <w:tcPr>
            <w:tcW w:w="534" w:type="pct"/>
            <w:tcBorders>
              <w:top w:val="nil"/>
              <w:left w:val="nil"/>
              <w:bottom w:val="nil"/>
              <w:right w:val="single" w:sz="4" w:space="0" w:color="auto"/>
            </w:tcBorders>
            <w:shd w:val="clear" w:color="auto" w:fill="auto"/>
            <w:noWrap/>
            <w:vAlign w:val="bottom"/>
          </w:tcPr>
          <w:p w14:paraId="2615B14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(1.53)</w:t>
            </w:r>
          </w:p>
        </w:tc>
        <w:tc>
          <w:tcPr>
            <w:tcW w:w="533" w:type="pct"/>
            <w:tcBorders>
              <w:top w:val="nil"/>
              <w:left w:val="single" w:sz="4" w:space="0" w:color="auto"/>
              <w:bottom w:val="nil"/>
              <w:right w:val="nil"/>
            </w:tcBorders>
            <w:shd w:val="clear" w:color="auto" w:fill="auto"/>
            <w:noWrap/>
            <w:vAlign w:val="bottom"/>
          </w:tcPr>
          <w:p w14:paraId="293EE74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(1.81*)</w:t>
            </w:r>
          </w:p>
        </w:tc>
        <w:tc>
          <w:tcPr>
            <w:tcW w:w="534" w:type="pct"/>
            <w:tcBorders>
              <w:top w:val="nil"/>
              <w:left w:val="nil"/>
              <w:bottom w:val="nil"/>
              <w:right w:val="nil"/>
            </w:tcBorders>
            <w:shd w:val="clear" w:color="auto" w:fill="auto"/>
            <w:noWrap/>
            <w:vAlign w:val="bottom"/>
          </w:tcPr>
          <w:p w14:paraId="6D3A891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(2.63***)</w:t>
            </w:r>
          </w:p>
        </w:tc>
        <w:tc>
          <w:tcPr>
            <w:tcW w:w="533" w:type="pct"/>
            <w:tcBorders>
              <w:top w:val="nil"/>
              <w:left w:val="nil"/>
              <w:bottom w:val="nil"/>
              <w:right w:val="nil"/>
            </w:tcBorders>
            <w:shd w:val="clear" w:color="auto" w:fill="auto"/>
            <w:noWrap/>
            <w:vAlign w:val="bottom"/>
          </w:tcPr>
          <w:p w14:paraId="79AB424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(1.51)</w:t>
            </w:r>
          </w:p>
        </w:tc>
        <w:tc>
          <w:tcPr>
            <w:tcW w:w="535" w:type="pct"/>
            <w:tcBorders>
              <w:top w:val="nil"/>
              <w:left w:val="nil"/>
              <w:bottom w:val="nil"/>
              <w:right w:val="nil"/>
            </w:tcBorders>
            <w:shd w:val="clear" w:color="auto" w:fill="auto"/>
            <w:noWrap/>
            <w:vAlign w:val="bottom"/>
          </w:tcPr>
          <w:p w14:paraId="3A1B6E4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(1.57)</w:t>
            </w:r>
          </w:p>
        </w:tc>
      </w:tr>
      <w:tr w:rsidR="003273BD" w:rsidRPr="00245E91" w14:paraId="12D4BA25" w14:textId="77777777" w:rsidTr="00D83DD8">
        <w:trPr>
          <w:trHeight w:val="144"/>
        </w:trPr>
        <w:tc>
          <w:tcPr>
            <w:tcW w:w="727" w:type="pct"/>
            <w:tcBorders>
              <w:top w:val="nil"/>
              <w:left w:val="nil"/>
              <w:bottom w:val="nil"/>
              <w:right w:val="nil"/>
            </w:tcBorders>
            <w:shd w:val="clear" w:color="auto" w:fill="auto"/>
            <w:noWrap/>
            <w:vAlign w:val="bottom"/>
          </w:tcPr>
          <w:p w14:paraId="7C49A500"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DEBTISSUE</w:t>
            </w:r>
          </w:p>
        </w:tc>
        <w:tc>
          <w:tcPr>
            <w:tcW w:w="534" w:type="pct"/>
            <w:tcBorders>
              <w:top w:val="nil"/>
              <w:left w:val="nil"/>
              <w:bottom w:val="nil"/>
              <w:right w:val="nil"/>
            </w:tcBorders>
            <w:shd w:val="clear" w:color="auto" w:fill="auto"/>
            <w:noWrap/>
            <w:vAlign w:val="bottom"/>
          </w:tcPr>
          <w:p w14:paraId="304BE72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-0.016</w:t>
            </w:r>
          </w:p>
        </w:tc>
        <w:tc>
          <w:tcPr>
            <w:tcW w:w="534" w:type="pct"/>
            <w:tcBorders>
              <w:top w:val="nil"/>
              <w:left w:val="nil"/>
              <w:bottom w:val="nil"/>
              <w:right w:val="nil"/>
            </w:tcBorders>
            <w:shd w:val="clear" w:color="auto" w:fill="auto"/>
            <w:noWrap/>
            <w:vAlign w:val="bottom"/>
          </w:tcPr>
          <w:p w14:paraId="6AEFFAF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-0.032</w:t>
            </w:r>
          </w:p>
        </w:tc>
        <w:tc>
          <w:tcPr>
            <w:tcW w:w="534" w:type="pct"/>
            <w:tcBorders>
              <w:top w:val="nil"/>
              <w:left w:val="nil"/>
              <w:bottom w:val="nil"/>
              <w:right w:val="nil"/>
            </w:tcBorders>
            <w:shd w:val="clear" w:color="auto" w:fill="auto"/>
            <w:noWrap/>
            <w:vAlign w:val="bottom"/>
          </w:tcPr>
          <w:p w14:paraId="137BC53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-0.042</w:t>
            </w:r>
          </w:p>
        </w:tc>
        <w:tc>
          <w:tcPr>
            <w:tcW w:w="534" w:type="pct"/>
            <w:tcBorders>
              <w:top w:val="nil"/>
              <w:left w:val="nil"/>
              <w:bottom w:val="nil"/>
              <w:right w:val="single" w:sz="4" w:space="0" w:color="auto"/>
            </w:tcBorders>
            <w:shd w:val="clear" w:color="auto" w:fill="auto"/>
            <w:noWrap/>
            <w:vAlign w:val="bottom"/>
          </w:tcPr>
          <w:p w14:paraId="0E4A005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-0.041</w:t>
            </w:r>
          </w:p>
        </w:tc>
        <w:tc>
          <w:tcPr>
            <w:tcW w:w="533" w:type="pct"/>
            <w:tcBorders>
              <w:top w:val="nil"/>
              <w:left w:val="single" w:sz="4" w:space="0" w:color="auto"/>
              <w:bottom w:val="nil"/>
              <w:right w:val="nil"/>
            </w:tcBorders>
            <w:shd w:val="clear" w:color="auto" w:fill="auto"/>
            <w:noWrap/>
            <w:vAlign w:val="bottom"/>
          </w:tcPr>
          <w:p w14:paraId="47FBBAE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-0.020</w:t>
            </w:r>
          </w:p>
        </w:tc>
        <w:tc>
          <w:tcPr>
            <w:tcW w:w="534" w:type="pct"/>
            <w:tcBorders>
              <w:top w:val="nil"/>
              <w:left w:val="nil"/>
              <w:bottom w:val="nil"/>
              <w:right w:val="nil"/>
            </w:tcBorders>
            <w:shd w:val="clear" w:color="auto" w:fill="auto"/>
            <w:noWrap/>
            <w:vAlign w:val="bottom"/>
          </w:tcPr>
          <w:p w14:paraId="1F3E440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-0.022</w:t>
            </w:r>
          </w:p>
        </w:tc>
        <w:tc>
          <w:tcPr>
            <w:tcW w:w="533" w:type="pct"/>
            <w:tcBorders>
              <w:top w:val="nil"/>
              <w:left w:val="nil"/>
              <w:bottom w:val="nil"/>
              <w:right w:val="nil"/>
            </w:tcBorders>
            <w:shd w:val="clear" w:color="auto" w:fill="auto"/>
            <w:noWrap/>
            <w:vAlign w:val="bottom"/>
          </w:tcPr>
          <w:p w14:paraId="32C5848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0.021</w:t>
            </w:r>
          </w:p>
        </w:tc>
        <w:tc>
          <w:tcPr>
            <w:tcW w:w="535" w:type="pct"/>
            <w:tcBorders>
              <w:top w:val="nil"/>
              <w:left w:val="nil"/>
              <w:bottom w:val="nil"/>
              <w:right w:val="nil"/>
            </w:tcBorders>
            <w:shd w:val="clear" w:color="auto" w:fill="auto"/>
            <w:noWrap/>
            <w:vAlign w:val="bottom"/>
          </w:tcPr>
          <w:p w14:paraId="5E7A3F2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0.020</w:t>
            </w:r>
          </w:p>
        </w:tc>
      </w:tr>
      <w:tr w:rsidR="003273BD" w:rsidRPr="00245E91" w14:paraId="70FBBBB7" w14:textId="77777777" w:rsidTr="00D83DD8">
        <w:trPr>
          <w:trHeight w:val="144"/>
        </w:trPr>
        <w:tc>
          <w:tcPr>
            <w:tcW w:w="727" w:type="pct"/>
            <w:tcBorders>
              <w:top w:val="nil"/>
              <w:left w:val="nil"/>
              <w:bottom w:val="nil"/>
              <w:right w:val="nil"/>
            </w:tcBorders>
            <w:shd w:val="clear" w:color="auto" w:fill="auto"/>
            <w:noWrap/>
            <w:vAlign w:val="bottom"/>
          </w:tcPr>
          <w:p w14:paraId="05F5D92A"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tcPr>
          <w:p w14:paraId="4398CAD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(-0.49)</w:t>
            </w:r>
          </w:p>
        </w:tc>
        <w:tc>
          <w:tcPr>
            <w:tcW w:w="534" w:type="pct"/>
            <w:tcBorders>
              <w:top w:val="nil"/>
              <w:left w:val="nil"/>
              <w:bottom w:val="nil"/>
              <w:right w:val="nil"/>
            </w:tcBorders>
            <w:shd w:val="clear" w:color="auto" w:fill="auto"/>
            <w:noWrap/>
            <w:vAlign w:val="bottom"/>
          </w:tcPr>
          <w:p w14:paraId="57A9945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(-1.04)</w:t>
            </w:r>
          </w:p>
        </w:tc>
        <w:tc>
          <w:tcPr>
            <w:tcW w:w="534" w:type="pct"/>
            <w:tcBorders>
              <w:top w:val="nil"/>
              <w:left w:val="nil"/>
              <w:bottom w:val="nil"/>
              <w:right w:val="nil"/>
            </w:tcBorders>
            <w:shd w:val="clear" w:color="auto" w:fill="auto"/>
            <w:noWrap/>
            <w:vAlign w:val="bottom"/>
          </w:tcPr>
          <w:p w14:paraId="1FAD5E7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(-1.46)</w:t>
            </w:r>
          </w:p>
        </w:tc>
        <w:tc>
          <w:tcPr>
            <w:tcW w:w="534" w:type="pct"/>
            <w:tcBorders>
              <w:top w:val="nil"/>
              <w:left w:val="nil"/>
              <w:bottom w:val="nil"/>
              <w:right w:val="single" w:sz="4" w:space="0" w:color="auto"/>
            </w:tcBorders>
            <w:shd w:val="clear" w:color="auto" w:fill="auto"/>
            <w:noWrap/>
            <w:vAlign w:val="bottom"/>
          </w:tcPr>
          <w:p w14:paraId="590EF62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(-1.44)</w:t>
            </w:r>
          </w:p>
        </w:tc>
        <w:tc>
          <w:tcPr>
            <w:tcW w:w="533" w:type="pct"/>
            <w:tcBorders>
              <w:top w:val="nil"/>
              <w:left w:val="single" w:sz="4" w:space="0" w:color="auto"/>
              <w:bottom w:val="nil"/>
              <w:right w:val="nil"/>
            </w:tcBorders>
            <w:shd w:val="clear" w:color="auto" w:fill="auto"/>
            <w:noWrap/>
            <w:vAlign w:val="bottom"/>
          </w:tcPr>
          <w:p w14:paraId="2E05B24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(-0.49)</w:t>
            </w:r>
          </w:p>
        </w:tc>
        <w:tc>
          <w:tcPr>
            <w:tcW w:w="534" w:type="pct"/>
            <w:tcBorders>
              <w:top w:val="nil"/>
              <w:left w:val="nil"/>
              <w:bottom w:val="nil"/>
              <w:right w:val="nil"/>
            </w:tcBorders>
            <w:shd w:val="clear" w:color="auto" w:fill="auto"/>
            <w:noWrap/>
            <w:vAlign w:val="bottom"/>
          </w:tcPr>
          <w:p w14:paraId="2B94F03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(-0.58)</w:t>
            </w:r>
          </w:p>
        </w:tc>
        <w:tc>
          <w:tcPr>
            <w:tcW w:w="533" w:type="pct"/>
            <w:tcBorders>
              <w:top w:val="nil"/>
              <w:left w:val="nil"/>
              <w:bottom w:val="nil"/>
              <w:right w:val="nil"/>
            </w:tcBorders>
            <w:shd w:val="clear" w:color="auto" w:fill="auto"/>
            <w:noWrap/>
            <w:vAlign w:val="bottom"/>
          </w:tcPr>
          <w:p w14:paraId="0BCF233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(1.06)</w:t>
            </w:r>
          </w:p>
        </w:tc>
        <w:tc>
          <w:tcPr>
            <w:tcW w:w="535" w:type="pct"/>
            <w:tcBorders>
              <w:top w:val="nil"/>
              <w:left w:val="nil"/>
              <w:bottom w:val="nil"/>
              <w:right w:val="nil"/>
            </w:tcBorders>
            <w:shd w:val="clear" w:color="auto" w:fill="auto"/>
            <w:noWrap/>
            <w:vAlign w:val="bottom"/>
          </w:tcPr>
          <w:p w14:paraId="24872DF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(1.01)</w:t>
            </w:r>
          </w:p>
        </w:tc>
      </w:tr>
      <w:tr w:rsidR="003273BD" w:rsidRPr="00245E91" w14:paraId="20F2FC6F" w14:textId="77777777" w:rsidTr="00D83DD8">
        <w:trPr>
          <w:trHeight w:val="144"/>
        </w:trPr>
        <w:tc>
          <w:tcPr>
            <w:tcW w:w="727" w:type="pct"/>
            <w:tcBorders>
              <w:top w:val="nil"/>
              <w:left w:val="nil"/>
              <w:bottom w:val="nil"/>
              <w:right w:val="nil"/>
            </w:tcBorders>
            <w:shd w:val="clear" w:color="auto" w:fill="auto"/>
            <w:noWrap/>
            <w:vAlign w:val="bottom"/>
            <w:hideMark/>
          </w:tcPr>
          <w:p w14:paraId="045D4AE7"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BIG8</w:t>
            </w:r>
          </w:p>
        </w:tc>
        <w:tc>
          <w:tcPr>
            <w:tcW w:w="534" w:type="pct"/>
            <w:tcBorders>
              <w:top w:val="nil"/>
              <w:left w:val="nil"/>
              <w:bottom w:val="nil"/>
              <w:right w:val="nil"/>
            </w:tcBorders>
            <w:shd w:val="clear" w:color="auto" w:fill="auto"/>
            <w:noWrap/>
            <w:vAlign w:val="bottom"/>
            <w:hideMark/>
          </w:tcPr>
          <w:p w14:paraId="0A0F374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0.007</w:t>
            </w:r>
          </w:p>
        </w:tc>
        <w:tc>
          <w:tcPr>
            <w:tcW w:w="534" w:type="pct"/>
            <w:tcBorders>
              <w:top w:val="nil"/>
              <w:left w:val="nil"/>
              <w:bottom w:val="nil"/>
              <w:right w:val="nil"/>
            </w:tcBorders>
            <w:shd w:val="clear" w:color="auto" w:fill="auto"/>
            <w:noWrap/>
            <w:vAlign w:val="bottom"/>
            <w:hideMark/>
          </w:tcPr>
          <w:p w14:paraId="04C8F4A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0.009</w:t>
            </w:r>
          </w:p>
        </w:tc>
        <w:tc>
          <w:tcPr>
            <w:tcW w:w="534" w:type="pct"/>
            <w:tcBorders>
              <w:top w:val="nil"/>
              <w:left w:val="nil"/>
              <w:bottom w:val="nil"/>
              <w:right w:val="nil"/>
            </w:tcBorders>
            <w:shd w:val="clear" w:color="auto" w:fill="auto"/>
            <w:noWrap/>
            <w:vAlign w:val="bottom"/>
            <w:hideMark/>
          </w:tcPr>
          <w:p w14:paraId="2C5DFA7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-0.040</w:t>
            </w:r>
          </w:p>
        </w:tc>
        <w:tc>
          <w:tcPr>
            <w:tcW w:w="534" w:type="pct"/>
            <w:tcBorders>
              <w:top w:val="nil"/>
              <w:left w:val="nil"/>
              <w:bottom w:val="nil"/>
              <w:right w:val="single" w:sz="4" w:space="0" w:color="auto"/>
            </w:tcBorders>
            <w:shd w:val="clear" w:color="auto" w:fill="auto"/>
            <w:noWrap/>
            <w:vAlign w:val="bottom"/>
            <w:hideMark/>
          </w:tcPr>
          <w:p w14:paraId="2C5F6F1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-0.041</w:t>
            </w:r>
          </w:p>
        </w:tc>
        <w:tc>
          <w:tcPr>
            <w:tcW w:w="533" w:type="pct"/>
            <w:tcBorders>
              <w:top w:val="nil"/>
              <w:left w:val="single" w:sz="4" w:space="0" w:color="auto"/>
              <w:bottom w:val="nil"/>
              <w:right w:val="nil"/>
            </w:tcBorders>
            <w:shd w:val="clear" w:color="auto" w:fill="auto"/>
            <w:noWrap/>
            <w:vAlign w:val="bottom"/>
            <w:hideMark/>
          </w:tcPr>
          <w:p w14:paraId="6436A65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0.032</w:t>
            </w:r>
          </w:p>
        </w:tc>
        <w:tc>
          <w:tcPr>
            <w:tcW w:w="534" w:type="pct"/>
            <w:tcBorders>
              <w:top w:val="nil"/>
              <w:left w:val="nil"/>
              <w:bottom w:val="nil"/>
              <w:right w:val="nil"/>
            </w:tcBorders>
            <w:shd w:val="clear" w:color="auto" w:fill="auto"/>
            <w:noWrap/>
            <w:vAlign w:val="bottom"/>
            <w:hideMark/>
          </w:tcPr>
          <w:p w14:paraId="1F984CA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0.013</w:t>
            </w:r>
          </w:p>
        </w:tc>
        <w:tc>
          <w:tcPr>
            <w:tcW w:w="533" w:type="pct"/>
            <w:tcBorders>
              <w:top w:val="nil"/>
              <w:left w:val="nil"/>
              <w:bottom w:val="nil"/>
              <w:right w:val="nil"/>
            </w:tcBorders>
            <w:shd w:val="clear" w:color="auto" w:fill="auto"/>
            <w:noWrap/>
            <w:vAlign w:val="bottom"/>
            <w:hideMark/>
          </w:tcPr>
          <w:p w14:paraId="30C1252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-0.065</w:t>
            </w:r>
          </w:p>
        </w:tc>
        <w:tc>
          <w:tcPr>
            <w:tcW w:w="535" w:type="pct"/>
            <w:tcBorders>
              <w:top w:val="nil"/>
              <w:left w:val="nil"/>
              <w:bottom w:val="nil"/>
              <w:right w:val="nil"/>
            </w:tcBorders>
            <w:shd w:val="clear" w:color="auto" w:fill="auto"/>
            <w:noWrap/>
            <w:vAlign w:val="bottom"/>
            <w:hideMark/>
          </w:tcPr>
          <w:p w14:paraId="7CBAAFB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-0.064</w:t>
            </w:r>
          </w:p>
        </w:tc>
      </w:tr>
      <w:tr w:rsidR="003273BD" w:rsidRPr="00245E91" w14:paraId="372F19D7" w14:textId="77777777" w:rsidTr="00D83DD8">
        <w:trPr>
          <w:trHeight w:val="144"/>
        </w:trPr>
        <w:tc>
          <w:tcPr>
            <w:tcW w:w="727" w:type="pct"/>
            <w:tcBorders>
              <w:top w:val="nil"/>
              <w:left w:val="nil"/>
              <w:bottom w:val="nil"/>
              <w:right w:val="nil"/>
            </w:tcBorders>
            <w:shd w:val="clear" w:color="auto" w:fill="auto"/>
            <w:noWrap/>
            <w:vAlign w:val="bottom"/>
            <w:hideMark/>
          </w:tcPr>
          <w:p w14:paraId="24CAEDCA"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1811327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(0.19)</w:t>
            </w:r>
          </w:p>
        </w:tc>
        <w:tc>
          <w:tcPr>
            <w:tcW w:w="534" w:type="pct"/>
            <w:tcBorders>
              <w:top w:val="nil"/>
              <w:left w:val="nil"/>
              <w:bottom w:val="nil"/>
              <w:right w:val="nil"/>
            </w:tcBorders>
            <w:shd w:val="clear" w:color="auto" w:fill="auto"/>
            <w:noWrap/>
            <w:vAlign w:val="bottom"/>
            <w:hideMark/>
          </w:tcPr>
          <w:p w14:paraId="66C95E5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(0.27)</w:t>
            </w:r>
          </w:p>
        </w:tc>
        <w:tc>
          <w:tcPr>
            <w:tcW w:w="534" w:type="pct"/>
            <w:tcBorders>
              <w:top w:val="nil"/>
              <w:left w:val="nil"/>
              <w:bottom w:val="nil"/>
              <w:right w:val="nil"/>
            </w:tcBorders>
            <w:shd w:val="clear" w:color="auto" w:fill="auto"/>
            <w:noWrap/>
            <w:vAlign w:val="bottom"/>
            <w:hideMark/>
          </w:tcPr>
          <w:p w14:paraId="5634ED0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(-1.31)</w:t>
            </w:r>
          </w:p>
        </w:tc>
        <w:tc>
          <w:tcPr>
            <w:tcW w:w="534" w:type="pct"/>
            <w:tcBorders>
              <w:top w:val="nil"/>
              <w:left w:val="nil"/>
              <w:bottom w:val="nil"/>
              <w:right w:val="single" w:sz="4" w:space="0" w:color="auto"/>
            </w:tcBorders>
            <w:shd w:val="clear" w:color="auto" w:fill="auto"/>
            <w:noWrap/>
            <w:vAlign w:val="bottom"/>
            <w:hideMark/>
          </w:tcPr>
          <w:p w14:paraId="4776BD1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(-1.35)</w:t>
            </w:r>
          </w:p>
        </w:tc>
        <w:tc>
          <w:tcPr>
            <w:tcW w:w="533" w:type="pct"/>
            <w:tcBorders>
              <w:top w:val="nil"/>
              <w:left w:val="single" w:sz="4" w:space="0" w:color="auto"/>
              <w:bottom w:val="nil"/>
              <w:right w:val="nil"/>
            </w:tcBorders>
            <w:shd w:val="clear" w:color="auto" w:fill="auto"/>
            <w:noWrap/>
            <w:vAlign w:val="bottom"/>
            <w:hideMark/>
          </w:tcPr>
          <w:p w14:paraId="31415CD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(0.77)</w:t>
            </w:r>
          </w:p>
        </w:tc>
        <w:tc>
          <w:tcPr>
            <w:tcW w:w="534" w:type="pct"/>
            <w:tcBorders>
              <w:top w:val="nil"/>
              <w:left w:val="nil"/>
              <w:bottom w:val="nil"/>
              <w:right w:val="nil"/>
            </w:tcBorders>
            <w:shd w:val="clear" w:color="auto" w:fill="auto"/>
            <w:noWrap/>
            <w:vAlign w:val="bottom"/>
            <w:hideMark/>
          </w:tcPr>
          <w:p w14:paraId="3392BDF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(0.30)</w:t>
            </w:r>
          </w:p>
        </w:tc>
        <w:tc>
          <w:tcPr>
            <w:tcW w:w="533" w:type="pct"/>
            <w:tcBorders>
              <w:top w:val="nil"/>
              <w:left w:val="nil"/>
              <w:bottom w:val="nil"/>
              <w:right w:val="nil"/>
            </w:tcBorders>
            <w:shd w:val="clear" w:color="auto" w:fill="auto"/>
            <w:noWrap/>
            <w:vAlign w:val="bottom"/>
            <w:hideMark/>
          </w:tcPr>
          <w:p w14:paraId="1F8F09E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(-2.55**)</w:t>
            </w:r>
          </w:p>
        </w:tc>
        <w:tc>
          <w:tcPr>
            <w:tcW w:w="535" w:type="pct"/>
            <w:tcBorders>
              <w:top w:val="nil"/>
              <w:left w:val="nil"/>
              <w:bottom w:val="nil"/>
              <w:right w:val="nil"/>
            </w:tcBorders>
            <w:shd w:val="clear" w:color="auto" w:fill="auto"/>
            <w:noWrap/>
            <w:vAlign w:val="bottom"/>
            <w:hideMark/>
          </w:tcPr>
          <w:p w14:paraId="4D7C5E0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(-2.53**)</w:t>
            </w:r>
          </w:p>
        </w:tc>
      </w:tr>
      <w:tr w:rsidR="003273BD" w:rsidRPr="00245E91" w14:paraId="570AB3E4" w14:textId="77777777" w:rsidTr="00D83DD8">
        <w:trPr>
          <w:trHeight w:val="144"/>
        </w:trPr>
        <w:tc>
          <w:tcPr>
            <w:tcW w:w="727" w:type="pct"/>
            <w:tcBorders>
              <w:top w:val="nil"/>
              <w:left w:val="nil"/>
              <w:bottom w:val="nil"/>
              <w:right w:val="nil"/>
            </w:tcBorders>
            <w:shd w:val="clear" w:color="auto" w:fill="auto"/>
            <w:noWrap/>
            <w:vAlign w:val="bottom"/>
            <w:hideMark/>
          </w:tcPr>
          <w:p w14:paraId="24FF1FE7"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TENURE</w:t>
            </w:r>
          </w:p>
        </w:tc>
        <w:tc>
          <w:tcPr>
            <w:tcW w:w="534" w:type="pct"/>
            <w:tcBorders>
              <w:top w:val="nil"/>
              <w:left w:val="nil"/>
              <w:bottom w:val="nil"/>
              <w:right w:val="nil"/>
            </w:tcBorders>
            <w:shd w:val="clear" w:color="auto" w:fill="auto"/>
            <w:noWrap/>
            <w:vAlign w:val="bottom"/>
            <w:hideMark/>
          </w:tcPr>
          <w:p w14:paraId="6A77AFB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0.012</w:t>
            </w:r>
          </w:p>
        </w:tc>
        <w:tc>
          <w:tcPr>
            <w:tcW w:w="534" w:type="pct"/>
            <w:tcBorders>
              <w:top w:val="nil"/>
              <w:left w:val="nil"/>
              <w:bottom w:val="nil"/>
              <w:right w:val="nil"/>
            </w:tcBorders>
            <w:shd w:val="clear" w:color="auto" w:fill="auto"/>
            <w:noWrap/>
            <w:vAlign w:val="bottom"/>
            <w:hideMark/>
          </w:tcPr>
          <w:p w14:paraId="0C9DE92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0.001</w:t>
            </w:r>
          </w:p>
        </w:tc>
        <w:tc>
          <w:tcPr>
            <w:tcW w:w="534" w:type="pct"/>
            <w:tcBorders>
              <w:top w:val="nil"/>
              <w:left w:val="nil"/>
              <w:bottom w:val="nil"/>
              <w:right w:val="nil"/>
            </w:tcBorders>
            <w:shd w:val="clear" w:color="auto" w:fill="auto"/>
            <w:noWrap/>
            <w:vAlign w:val="bottom"/>
            <w:hideMark/>
          </w:tcPr>
          <w:p w14:paraId="21069B4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-0.007</w:t>
            </w:r>
          </w:p>
        </w:tc>
        <w:tc>
          <w:tcPr>
            <w:tcW w:w="534" w:type="pct"/>
            <w:tcBorders>
              <w:top w:val="nil"/>
              <w:left w:val="nil"/>
              <w:bottom w:val="nil"/>
              <w:right w:val="single" w:sz="4" w:space="0" w:color="auto"/>
            </w:tcBorders>
            <w:shd w:val="clear" w:color="auto" w:fill="auto"/>
            <w:noWrap/>
            <w:vAlign w:val="bottom"/>
            <w:hideMark/>
          </w:tcPr>
          <w:p w14:paraId="157F639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-0.005</w:t>
            </w:r>
          </w:p>
        </w:tc>
        <w:tc>
          <w:tcPr>
            <w:tcW w:w="533" w:type="pct"/>
            <w:tcBorders>
              <w:top w:val="nil"/>
              <w:left w:val="single" w:sz="4" w:space="0" w:color="auto"/>
              <w:bottom w:val="nil"/>
              <w:right w:val="nil"/>
            </w:tcBorders>
            <w:shd w:val="clear" w:color="auto" w:fill="auto"/>
            <w:noWrap/>
            <w:vAlign w:val="bottom"/>
            <w:hideMark/>
          </w:tcPr>
          <w:p w14:paraId="531C29D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0.034</w:t>
            </w:r>
          </w:p>
        </w:tc>
        <w:tc>
          <w:tcPr>
            <w:tcW w:w="534" w:type="pct"/>
            <w:tcBorders>
              <w:top w:val="nil"/>
              <w:left w:val="nil"/>
              <w:bottom w:val="nil"/>
              <w:right w:val="nil"/>
            </w:tcBorders>
            <w:shd w:val="clear" w:color="auto" w:fill="auto"/>
            <w:noWrap/>
            <w:vAlign w:val="bottom"/>
            <w:hideMark/>
          </w:tcPr>
          <w:p w14:paraId="7A7DE75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0.046</w:t>
            </w:r>
          </w:p>
        </w:tc>
        <w:tc>
          <w:tcPr>
            <w:tcW w:w="533" w:type="pct"/>
            <w:tcBorders>
              <w:top w:val="nil"/>
              <w:left w:val="nil"/>
              <w:bottom w:val="nil"/>
              <w:right w:val="nil"/>
            </w:tcBorders>
            <w:shd w:val="clear" w:color="auto" w:fill="auto"/>
            <w:noWrap/>
            <w:vAlign w:val="bottom"/>
            <w:hideMark/>
          </w:tcPr>
          <w:p w14:paraId="4B218E7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0.035</w:t>
            </w:r>
          </w:p>
        </w:tc>
        <w:tc>
          <w:tcPr>
            <w:tcW w:w="535" w:type="pct"/>
            <w:tcBorders>
              <w:top w:val="nil"/>
              <w:left w:val="nil"/>
              <w:bottom w:val="nil"/>
              <w:right w:val="nil"/>
            </w:tcBorders>
            <w:shd w:val="clear" w:color="auto" w:fill="auto"/>
            <w:noWrap/>
            <w:vAlign w:val="bottom"/>
            <w:hideMark/>
          </w:tcPr>
          <w:p w14:paraId="616411C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0.032</w:t>
            </w:r>
          </w:p>
        </w:tc>
      </w:tr>
      <w:tr w:rsidR="003273BD" w:rsidRPr="00245E91" w14:paraId="69F83D9E" w14:textId="77777777" w:rsidTr="00D83DD8">
        <w:trPr>
          <w:trHeight w:val="144"/>
        </w:trPr>
        <w:tc>
          <w:tcPr>
            <w:tcW w:w="727" w:type="pct"/>
            <w:tcBorders>
              <w:top w:val="nil"/>
              <w:left w:val="nil"/>
              <w:bottom w:val="nil"/>
              <w:right w:val="nil"/>
            </w:tcBorders>
            <w:shd w:val="clear" w:color="auto" w:fill="auto"/>
            <w:noWrap/>
            <w:vAlign w:val="bottom"/>
            <w:hideMark/>
          </w:tcPr>
          <w:p w14:paraId="50A41F4C"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43518EE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(0.58)</w:t>
            </w:r>
          </w:p>
        </w:tc>
        <w:tc>
          <w:tcPr>
            <w:tcW w:w="534" w:type="pct"/>
            <w:tcBorders>
              <w:top w:val="nil"/>
              <w:left w:val="nil"/>
              <w:bottom w:val="nil"/>
              <w:right w:val="nil"/>
            </w:tcBorders>
            <w:shd w:val="clear" w:color="auto" w:fill="auto"/>
            <w:noWrap/>
            <w:vAlign w:val="bottom"/>
            <w:hideMark/>
          </w:tcPr>
          <w:p w14:paraId="2AE4547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w:t>
            </w:r>
          </w:p>
        </w:tc>
        <w:tc>
          <w:tcPr>
            <w:tcW w:w="534" w:type="pct"/>
            <w:tcBorders>
              <w:top w:val="nil"/>
              <w:left w:val="nil"/>
              <w:bottom w:val="nil"/>
              <w:right w:val="nil"/>
            </w:tcBorders>
            <w:shd w:val="clear" w:color="auto" w:fill="auto"/>
            <w:noWrap/>
            <w:vAlign w:val="bottom"/>
            <w:hideMark/>
          </w:tcPr>
          <w:p w14:paraId="148A231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(-0.38)</w:t>
            </w:r>
          </w:p>
        </w:tc>
        <w:tc>
          <w:tcPr>
            <w:tcW w:w="534" w:type="pct"/>
            <w:tcBorders>
              <w:top w:val="nil"/>
              <w:left w:val="nil"/>
              <w:bottom w:val="nil"/>
              <w:right w:val="single" w:sz="4" w:space="0" w:color="auto"/>
            </w:tcBorders>
            <w:shd w:val="clear" w:color="auto" w:fill="auto"/>
            <w:noWrap/>
            <w:vAlign w:val="bottom"/>
            <w:hideMark/>
          </w:tcPr>
          <w:p w14:paraId="12700CF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(-0.29)</w:t>
            </w:r>
          </w:p>
        </w:tc>
        <w:tc>
          <w:tcPr>
            <w:tcW w:w="533" w:type="pct"/>
            <w:tcBorders>
              <w:top w:val="nil"/>
              <w:left w:val="single" w:sz="4" w:space="0" w:color="auto"/>
              <w:bottom w:val="nil"/>
              <w:right w:val="nil"/>
            </w:tcBorders>
            <w:shd w:val="clear" w:color="auto" w:fill="auto"/>
            <w:noWrap/>
            <w:vAlign w:val="bottom"/>
            <w:hideMark/>
          </w:tcPr>
          <w:p w14:paraId="6FAECFC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(0.915)</w:t>
            </w:r>
          </w:p>
        </w:tc>
        <w:tc>
          <w:tcPr>
            <w:tcW w:w="534" w:type="pct"/>
            <w:tcBorders>
              <w:top w:val="nil"/>
              <w:left w:val="nil"/>
              <w:bottom w:val="nil"/>
              <w:right w:val="nil"/>
            </w:tcBorders>
            <w:shd w:val="clear" w:color="auto" w:fill="auto"/>
            <w:noWrap/>
            <w:vAlign w:val="bottom"/>
            <w:hideMark/>
          </w:tcPr>
          <w:p w14:paraId="2066C46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(1.48)</w:t>
            </w:r>
          </w:p>
        </w:tc>
        <w:tc>
          <w:tcPr>
            <w:tcW w:w="533" w:type="pct"/>
            <w:tcBorders>
              <w:top w:val="nil"/>
              <w:left w:val="nil"/>
              <w:bottom w:val="nil"/>
              <w:right w:val="nil"/>
            </w:tcBorders>
            <w:shd w:val="clear" w:color="auto" w:fill="auto"/>
            <w:noWrap/>
            <w:vAlign w:val="bottom"/>
            <w:hideMark/>
          </w:tcPr>
          <w:p w14:paraId="2189E15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(1.35)</w:t>
            </w:r>
          </w:p>
        </w:tc>
        <w:tc>
          <w:tcPr>
            <w:tcW w:w="535" w:type="pct"/>
            <w:tcBorders>
              <w:top w:val="nil"/>
              <w:left w:val="nil"/>
              <w:bottom w:val="nil"/>
              <w:right w:val="nil"/>
            </w:tcBorders>
            <w:shd w:val="clear" w:color="auto" w:fill="auto"/>
            <w:noWrap/>
            <w:vAlign w:val="bottom"/>
            <w:hideMark/>
          </w:tcPr>
          <w:p w14:paraId="419771D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(1.18)</w:t>
            </w:r>
          </w:p>
        </w:tc>
      </w:tr>
      <w:tr w:rsidR="003273BD" w:rsidRPr="00245E91" w14:paraId="6B869883" w14:textId="77777777" w:rsidTr="00D83DD8">
        <w:trPr>
          <w:trHeight w:val="144"/>
        </w:trPr>
        <w:tc>
          <w:tcPr>
            <w:tcW w:w="727" w:type="pct"/>
            <w:tcBorders>
              <w:top w:val="nil"/>
              <w:left w:val="nil"/>
              <w:bottom w:val="nil"/>
              <w:right w:val="nil"/>
            </w:tcBorders>
            <w:shd w:val="clear" w:color="auto" w:fill="auto"/>
            <w:noWrap/>
            <w:vAlign w:val="bottom"/>
            <w:hideMark/>
          </w:tcPr>
          <w:p w14:paraId="7360CCC8"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INSTOWN</w:t>
            </w:r>
          </w:p>
        </w:tc>
        <w:tc>
          <w:tcPr>
            <w:tcW w:w="534" w:type="pct"/>
            <w:tcBorders>
              <w:top w:val="nil"/>
              <w:left w:val="nil"/>
              <w:bottom w:val="nil"/>
              <w:right w:val="nil"/>
            </w:tcBorders>
            <w:shd w:val="clear" w:color="auto" w:fill="auto"/>
            <w:noWrap/>
            <w:vAlign w:val="bottom"/>
            <w:hideMark/>
          </w:tcPr>
          <w:p w14:paraId="639D148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0.072</w:t>
            </w:r>
          </w:p>
        </w:tc>
        <w:tc>
          <w:tcPr>
            <w:tcW w:w="534" w:type="pct"/>
            <w:tcBorders>
              <w:top w:val="nil"/>
              <w:left w:val="nil"/>
              <w:bottom w:val="nil"/>
              <w:right w:val="nil"/>
            </w:tcBorders>
            <w:shd w:val="clear" w:color="auto" w:fill="auto"/>
            <w:noWrap/>
            <w:vAlign w:val="bottom"/>
            <w:hideMark/>
          </w:tcPr>
          <w:p w14:paraId="1C2A8E3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0.063</w:t>
            </w:r>
          </w:p>
        </w:tc>
        <w:tc>
          <w:tcPr>
            <w:tcW w:w="534" w:type="pct"/>
            <w:tcBorders>
              <w:top w:val="nil"/>
              <w:left w:val="nil"/>
              <w:bottom w:val="nil"/>
              <w:right w:val="nil"/>
            </w:tcBorders>
            <w:shd w:val="clear" w:color="auto" w:fill="auto"/>
            <w:noWrap/>
            <w:vAlign w:val="bottom"/>
            <w:hideMark/>
          </w:tcPr>
          <w:p w14:paraId="279D91E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-0.010</w:t>
            </w:r>
          </w:p>
        </w:tc>
        <w:tc>
          <w:tcPr>
            <w:tcW w:w="534" w:type="pct"/>
            <w:tcBorders>
              <w:top w:val="nil"/>
              <w:left w:val="nil"/>
              <w:bottom w:val="nil"/>
              <w:right w:val="single" w:sz="4" w:space="0" w:color="auto"/>
            </w:tcBorders>
            <w:shd w:val="clear" w:color="auto" w:fill="auto"/>
            <w:noWrap/>
            <w:vAlign w:val="bottom"/>
            <w:hideMark/>
          </w:tcPr>
          <w:p w14:paraId="62F3ACF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-0.011</w:t>
            </w:r>
          </w:p>
        </w:tc>
        <w:tc>
          <w:tcPr>
            <w:tcW w:w="533" w:type="pct"/>
            <w:tcBorders>
              <w:top w:val="nil"/>
              <w:left w:val="single" w:sz="4" w:space="0" w:color="auto"/>
              <w:bottom w:val="nil"/>
              <w:right w:val="nil"/>
            </w:tcBorders>
            <w:shd w:val="clear" w:color="auto" w:fill="auto"/>
            <w:noWrap/>
            <w:vAlign w:val="bottom"/>
            <w:hideMark/>
          </w:tcPr>
          <w:p w14:paraId="393FCD0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0.044</w:t>
            </w:r>
          </w:p>
        </w:tc>
        <w:tc>
          <w:tcPr>
            <w:tcW w:w="534" w:type="pct"/>
            <w:tcBorders>
              <w:top w:val="nil"/>
              <w:left w:val="nil"/>
              <w:bottom w:val="nil"/>
              <w:right w:val="nil"/>
            </w:tcBorders>
            <w:shd w:val="clear" w:color="auto" w:fill="auto"/>
            <w:noWrap/>
            <w:vAlign w:val="bottom"/>
            <w:hideMark/>
          </w:tcPr>
          <w:p w14:paraId="5FA9A06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0.039</w:t>
            </w:r>
          </w:p>
        </w:tc>
        <w:tc>
          <w:tcPr>
            <w:tcW w:w="533" w:type="pct"/>
            <w:tcBorders>
              <w:top w:val="nil"/>
              <w:left w:val="nil"/>
              <w:bottom w:val="nil"/>
              <w:right w:val="nil"/>
            </w:tcBorders>
            <w:shd w:val="clear" w:color="auto" w:fill="auto"/>
            <w:noWrap/>
            <w:vAlign w:val="bottom"/>
            <w:hideMark/>
          </w:tcPr>
          <w:p w14:paraId="097C140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-0.016</w:t>
            </w:r>
          </w:p>
        </w:tc>
        <w:tc>
          <w:tcPr>
            <w:tcW w:w="535" w:type="pct"/>
            <w:tcBorders>
              <w:top w:val="nil"/>
              <w:left w:val="nil"/>
              <w:bottom w:val="nil"/>
              <w:right w:val="nil"/>
            </w:tcBorders>
            <w:shd w:val="clear" w:color="auto" w:fill="auto"/>
            <w:noWrap/>
            <w:vAlign w:val="bottom"/>
            <w:hideMark/>
          </w:tcPr>
          <w:p w14:paraId="7818D3E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-0.018</w:t>
            </w:r>
          </w:p>
        </w:tc>
      </w:tr>
      <w:tr w:rsidR="003273BD" w:rsidRPr="00245E91" w14:paraId="0A55A1A5" w14:textId="77777777" w:rsidTr="00D83DD8">
        <w:trPr>
          <w:trHeight w:val="144"/>
        </w:trPr>
        <w:tc>
          <w:tcPr>
            <w:tcW w:w="727" w:type="pct"/>
            <w:tcBorders>
              <w:top w:val="nil"/>
              <w:left w:val="nil"/>
              <w:bottom w:val="nil"/>
              <w:right w:val="nil"/>
            </w:tcBorders>
            <w:shd w:val="clear" w:color="auto" w:fill="auto"/>
            <w:noWrap/>
            <w:vAlign w:val="bottom"/>
            <w:hideMark/>
          </w:tcPr>
          <w:p w14:paraId="2595D7FF"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008C159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(1.68*)</w:t>
            </w:r>
          </w:p>
        </w:tc>
        <w:tc>
          <w:tcPr>
            <w:tcW w:w="534" w:type="pct"/>
            <w:tcBorders>
              <w:top w:val="nil"/>
              <w:left w:val="nil"/>
              <w:bottom w:val="nil"/>
              <w:right w:val="nil"/>
            </w:tcBorders>
            <w:shd w:val="clear" w:color="auto" w:fill="auto"/>
            <w:noWrap/>
            <w:vAlign w:val="bottom"/>
            <w:hideMark/>
          </w:tcPr>
          <w:p w14:paraId="19255EC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(1.52)</w:t>
            </w:r>
          </w:p>
        </w:tc>
        <w:tc>
          <w:tcPr>
            <w:tcW w:w="534" w:type="pct"/>
            <w:tcBorders>
              <w:top w:val="nil"/>
              <w:left w:val="nil"/>
              <w:bottom w:val="nil"/>
              <w:right w:val="nil"/>
            </w:tcBorders>
            <w:shd w:val="clear" w:color="auto" w:fill="auto"/>
            <w:noWrap/>
            <w:vAlign w:val="bottom"/>
            <w:hideMark/>
          </w:tcPr>
          <w:p w14:paraId="49B0F99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(-0.36)</w:t>
            </w:r>
          </w:p>
        </w:tc>
        <w:tc>
          <w:tcPr>
            <w:tcW w:w="534" w:type="pct"/>
            <w:tcBorders>
              <w:top w:val="nil"/>
              <w:left w:val="nil"/>
              <w:bottom w:val="nil"/>
              <w:right w:val="single" w:sz="4" w:space="0" w:color="auto"/>
            </w:tcBorders>
            <w:shd w:val="clear" w:color="auto" w:fill="auto"/>
            <w:noWrap/>
            <w:vAlign w:val="bottom"/>
            <w:hideMark/>
          </w:tcPr>
          <w:p w14:paraId="2563F54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(-0.40)</w:t>
            </w:r>
          </w:p>
        </w:tc>
        <w:tc>
          <w:tcPr>
            <w:tcW w:w="533" w:type="pct"/>
            <w:tcBorders>
              <w:top w:val="nil"/>
              <w:left w:val="single" w:sz="4" w:space="0" w:color="auto"/>
              <w:bottom w:val="nil"/>
              <w:right w:val="nil"/>
            </w:tcBorders>
            <w:shd w:val="clear" w:color="auto" w:fill="auto"/>
            <w:noWrap/>
            <w:vAlign w:val="bottom"/>
            <w:hideMark/>
          </w:tcPr>
          <w:p w14:paraId="06C577A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(1.25)</w:t>
            </w:r>
          </w:p>
        </w:tc>
        <w:tc>
          <w:tcPr>
            <w:tcW w:w="534" w:type="pct"/>
            <w:tcBorders>
              <w:top w:val="nil"/>
              <w:left w:val="nil"/>
              <w:bottom w:val="nil"/>
              <w:right w:val="nil"/>
            </w:tcBorders>
            <w:shd w:val="clear" w:color="auto" w:fill="auto"/>
            <w:noWrap/>
            <w:vAlign w:val="bottom"/>
            <w:hideMark/>
          </w:tcPr>
          <w:p w14:paraId="608C8A8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(1.44)</w:t>
            </w:r>
          </w:p>
        </w:tc>
        <w:tc>
          <w:tcPr>
            <w:tcW w:w="533" w:type="pct"/>
            <w:tcBorders>
              <w:top w:val="nil"/>
              <w:left w:val="nil"/>
              <w:bottom w:val="nil"/>
              <w:right w:val="nil"/>
            </w:tcBorders>
            <w:shd w:val="clear" w:color="auto" w:fill="auto"/>
            <w:noWrap/>
            <w:vAlign w:val="bottom"/>
            <w:hideMark/>
          </w:tcPr>
          <w:p w14:paraId="0AAC1C3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(-0.67)</w:t>
            </w:r>
          </w:p>
        </w:tc>
        <w:tc>
          <w:tcPr>
            <w:tcW w:w="535" w:type="pct"/>
            <w:tcBorders>
              <w:top w:val="nil"/>
              <w:left w:val="nil"/>
              <w:bottom w:val="nil"/>
              <w:right w:val="nil"/>
            </w:tcBorders>
            <w:shd w:val="clear" w:color="auto" w:fill="auto"/>
            <w:noWrap/>
            <w:vAlign w:val="bottom"/>
            <w:hideMark/>
          </w:tcPr>
          <w:p w14:paraId="07C421E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(-0.78)</w:t>
            </w:r>
          </w:p>
        </w:tc>
      </w:tr>
      <w:tr w:rsidR="003273BD" w:rsidRPr="00245E91" w14:paraId="6CEE573D" w14:textId="77777777" w:rsidTr="00D83DD8">
        <w:trPr>
          <w:trHeight w:val="144"/>
        </w:trPr>
        <w:tc>
          <w:tcPr>
            <w:tcW w:w="727" w:type="pct"/>
            <w:tcBorders>
              <w:top w:val="nil"/>
              <w:left w:val="nil"/>
              <w:bottom w:val="nil"/>
              <w:right w:val="nil"/>
            </w:tcBorders>
            <w:shd w:val="clear" w:color="auto" w:fill="auto"/>
            <w:noWrap/>
            <w:vAlign w:val="bottom"/>
            <w:hideMark/>
          </w:tcPr>
          <w:p w14:paraId="1226DAAF"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NUMANALYST</w:t>
            </w:r>
          </w:p>
        </w:tc>
        <w:tc>
          <w:tcPr>
            <w:tcW w:w="534" w:type="pct"/>
            <w:tcBorders>
              <w:top w:val="nil"/>
              <w:left w:val="nil"/>
              <w:bottom w:val="nil"/>
              <w:right w:val="nil"/>
            </w:tcBorders>
            <w:shd w:val="clear" w:color="auto" w:fill="auto"/>
            <w:noWrap/>
            <w:vAlign w:val="bottom"/>
            <w:hideMark/>
          </w:tcPr>
          <w:p w14:paraId="77A037B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-0.077</w:t>
            </w:r>
          </w:p>
        </w:tc>
        <w:tc>
          <w:tcPr>
            <w:tcW w:w="534" w:type="pct"/>
            <w:tcBorders>
              <w:top w:val="nil"/>
              <w:left w:val="nil"/>
              <w:bottom w:val="nil"/>
              <w:right w:val="nil"/>
            </w:tcBorders>
            <w:shd w:val="clear" w:color="auto" w:fill="auto"/>
            <w:noWrap/>
            <w:vAlign w:val="bottom"/>
            <w:hideMark/>
          </w:tcPr>
          <w:p w14:paraId="5885BCD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-0.085</w:t>
            </w:r>
          </w:p>
        </w:tc>
        <w:tc>
          <w:tcPr>
            <w:tcW w:w="534" w:type="pct"/>
            <w:tcBorders>
              <w:top w:val="nil"/>
              <w:left w:val="nil"/>
              <w:bottom w:val="nil"/>
              <w:right w:val="nil"/>
            </w:tcBorders>
            <w:shd w:val="clear" w:color="auto" w:fill="auto"/>
            <w:noWrap/>
            <w:vAlign w:val="bottom"/>
            <w:hideMark/>
          </w:tcPr>
          <w:p w14:paraId="1DAA9D3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0.039</w:t>
            </w:r>
          </w:p>
        </w:tc>
        <w:tc>
          <w:tcPr>
            <w:tcW w:w="534" w:type="pct"/>
            <w:tcBorders>
              <w:top w:val="nil"/>
              <w:left w:val="nil"/>
              <w:bottom w:val="nil"/>
              <w:right w:val="single" w:sz="4" w:space="0" w:color="auto"/>
            </w:tcBorders>
            <w:shd w:val="clear" w:color="auto" w:fill="auto"/>
            <w:noWrap/>
            <w:vAlign w:val="bottom"/>
            <w:hideMark/>
          </w:tcPr>
          <w:p w14:paraId="355CF17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0.041</w:t>
            </w:r>
          </w:p>
        </w:tc>
        <w:tc>
          <w:tcPr>
            <w:tcW w:w="533" w:type="pct"/>
            <w:tcBorders>
              <w:top w:val="nil"/>
              <w:left w:val="single" w:sz="4" w:space="0" w:color="auto"/>
              <w:bottom w:val="nil"/>
              <w:right w:val="nil"/>
            </w:tcBorders>
            <w:shd w:val="clear" w:color="auto" w:fill="auto"/>
            <w:noWrap/>
            <w:vAlign w:val="bottom"/>
            <w:hideMark/>
          </w:tcPr>
          <w:p w14:paraId="49A7159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-0.049</w:t>
            </w:r>
          </w:p>
        </w:tc>
        <w:tc>
          <w:tcPr>
            <w:tcW w:w="534" w:type="pct"/>
            <w:tcBorders>
              <w:top w:val="nil"/>
              <w:left w:val="nil"/>
              <w:bottom w:val="nil"/>
              <w:right w:val="nil"/>
            </w:tcBorders>
            <w:shd w:val="clear" w:color="auto" w:fill="auto"/>
            <w:noWrap/>
            <w:vAlign w:val="bottom"/>
            <w:hideMark/>
          </w:tcPr>
          <w:p w14:paraId="29F48C7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-0.059</w:t>
            </w:r>
          </w:p>
        </w:tc>
        <w:tc>
          <w:tcPr>
            <w:tcW w:w="533" w:type="pct"/>
            <w:tcBorders>
              <w:top w:val="nil"/>
              <w:left w:val="nil"/>
              <w:bottom w:val="nil"/>
              <w:right w:val="nil"/>
            </w:tcBorders>
            <w:shd w:val="clear" w:color="auto" w:fill="auto"/>
            <w:noWrap/>
            <w:vAlign w:val="bottom"/>
            <w:hideMark/>
          </w:tcPr>
          <w:p w14:paraId="25BD6AB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0.034</w:t>
            </w:r>
          </w:p>
        </w:tc>
        <w:tc>
          <w:tcPr>
            <w:tcW w:w="535" w:type="pct"/>
            <w:tcBorders>
              <w:top w:val="nil"/>
              <w:left w:val="nil"/>
              <w:bottom w:val="nil"/>
              <w:right w:val="nil"/>
            </w:tcBorders>
            <w:shd w:val="clear" w:color="auto" w:fill="auto"/>
            <w:noWrap/>
            <w:vAlign w:val="bottom"/>
            <w:hideMark/>
          </w:tcPr>
          <w:p w14:paraId="6EB33B1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0.033</w:t>
            </w:r>
          </w:p>
        </w:tc>
      </w:tr>
      <w:tr w:rsidR="003273BD" w:rsidRPr="00245E91" w14:paraId="00956C6E" w14:textId="77777777" w:rsidTr="00D83DD8">
        <w:trPr>
          <w:trHeight w:val="144"/>
        </w:trPr>
        <w:tc>
          <w:tcPr>
            <w:tcW w:w="727" w:type="pct"/>
            <w:tcBorders>
              <w:top w:val="nil"/>
              <w:left w:val="nil"/>
              <w:bottom w:val="nil"/>
              <w:right w:val="nil"/>
            </w:tcBorders>
            <w:shd w:val="clear" w:color="auto" w:fill="auto"/>
            <w:noWrap/>
            <w:vAlign w:val="bottom"/>
            <w:hideMark/>
          </w:tcPr>
          <w:p w14:paraId="0E95AB6F"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1EDE86E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(-2.24**)</w:t>
            </w:r>
          </w:p>
        </w:tc>
        <w:tc>
          <w:tcPr>
            <w:tcW w:w="534" w:type="pct"/>
            <w:tcBorders>
              <w:top w:val="nil"/>
              <w:left w:val="nil"/>
              <w:bottom w:val="nil"/>
              <w:right w:val="nil"/>
            </w:tcBorders>
            <w:shd w:val="clear" w:color="auto" w:fill="auto"/>
            <w:noWrap/>
            <w:vAlign w:val="bottom"/>
            <w:hideMark/>
          </w:tcPr>
          <w:p w14:paraId="59EB4ED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(-2.39**)</w:t>
            </w:r>
          </w:p>
        </w:tc>
        <w:tc>
          <w:tcPr>
            <w:tcW w:w="534" w:type="pct"/>
            <w:tcBorders>
              <w:top w:val="nil"/>
              <w:left w:val="nil"/>
              <w:bottom w:val="nil"/>
              <w:right w:val="nil"/>
            </w:tcBorders>
            <w:shd w:val="clear" w:color="auto" w:fill="auto"/>
            <w:noWrap/>
            <w:vAlign w:val="bottom"/>
            <w:hideMark/>
          </w:tcPr>
          <w:p w14:paraId="333CB45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(1.64)</w:t>
            </w:r>
          </w:p>
        </w:tc>
        <w:tc>
          <w:tcPr>
            <w:tcW w:w="534" w:type="pct"/>
            <w:tcBorders>
              <w:top w:val="nil"/>
              <w:left w:val="nil"/>
              <w:bottom w:val="nil"/>
              <w:right w:val="single" w:sz="4" w:space="0" w:color="auto"/>
            </w:tcBorders>
            <w:shd w:val="clear" w:color="auto" w:fill="auto"/>
            <w:noWrap/>
            <w:vAlign w:val="bottom"/>
            <w:hideMark/>
          </w:tcPr>
          <w:p w14:paraId="3AE07CA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(1.69*)</w:t>
            </w:r>
          </w:p>
        </w:tc>
        <w:tc>
          <w:tcPr>
            <w:tcW w:w="533" w:type="pct"/>
            <w:tcBorders>
              <w:top w:val="nil"/>
              <w:left w:val="single" w:sz="4" w:space="0" w:color="auto"/>
              <w:bottom w:val="nil"/>
              <w:right w:val="nil"/>
            </w:tcBorders>
            <w:shd w:val="clear" w:color="auto" w:fill="auto"/>
            <w:noWrap/>
            <w:vAlign w:val="bottom"/>
            <w:hideMark/>
          </w:tcPr>
          <w:p w14:paraId="511BBC5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(-1.25)</w:t>
            </w:r>
          </w:p>
        </w:tc>
        <w:tc>
          <w:tcPr>
            <w:tcW w:w="534" w:type="pct"/>
            <w:tcBorders>
              <w:top w:val="nil"/>
              <w:left w:val="nil"/>
              <w:bottom w:val="nil"/>
              <w:right w:val="nil"/>
            </w:tcBorders>
            <w:shd w:val="clear" w:color="auto" w:fill="auto"/>
            <w:noWrap/>
            <w:vAlign w:val="bottom"/>
            <w:hideMark/>
          </w:tcPr>
          <w:p w14:paraId="3015E22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(-1.78*)</w:t>
            </w:r>
          </w:p>
        </w:tc>
        <w:tc>
          <w:tcPr>
            <w:tcW w:w="533" w:type="pct"/>
            <w:tcBorders>
              <w:top w:val="nil"/>
              <w:left w:val="nil"/>
              <w:bottom w:val="nil"/>
              <w:right w:val="nil"/>
            </w:tcBorders>
            <w:shd w:val="clear" w:color="auto" w:fill="auto"/>
            <w:noWrap/>
            <w:vAlign w:val="bottom"/>
            <w:hideMark/>
          </w:tcPr>
          <w:p w14:paraId="5291A5A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(1.57)</w:t>
            </w:r>
          </w:p>
        </w:tc>
        <w:tc>
          <w:tcPr>
            <w:tcW w:w="535" w:type="pct"/>
            <w:tcBorders>
              <w:top w:val="nil"/>
              <w:left w:val="nil"/>
              <w:bottom w:val="nil"/>
              <w:right w:val="nil"/>
            </w:tcBorders>
            <w:shd w:val="clear" w:color="auto" w:fill="auto"/>
            <w:noWrap/>
            <w:vAlign w:val="bottom"/>
            <w:hideMark/>
          </w:tcPr>
          <w:p w14:paraId="388C7C9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(1.54)</w:t>
            </w:r>
          </w:p>
        </w:tc>
      </w:tr>
      <w:tr w:rsidR="003273BD" w:rsidRPr="00245E91" w14:paraId="3C8F2FC2" w14:textId="77777777" w:rsidTr="00D83DD8">
        <w:trPr>
          <w:trHeight w:val="144"/>
        </w:trPr>
        <w:tc>
          <w:tcPr>
            <w:tcW w:w="727" w:type="pct"/>
            <w:tcBorders>
              <w:top w:val="nil"/>
              <w:left w:val="nil"/>
              <w:bottom w:val="nil"/>
              <w:right w:val="nil"/>
            </w:tcBorders>
            <w:shd w:val="clear" w:color="auto" w:fill="auto"/>
            <w:noWrap/>
            <w:vAlign w:val="bottom"/>
            <w:hideMark/>
          </w:tcPr>
          <w:p w14:paraId="7F6D5FD2"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SOX</w:t>
            </w:r>
          </w:p>
        </w:tc>
        <w:tc>
          <w:tcPr>
            <w:tcW w:w="534" w:type="pct"/>
            <w:tcBorders>
              <w:top w:val="nil"/>
              <w:left w:val="nil"/>
              <w:bottom w:val="nil"/>
              <w:right w:val="nil"/>
            </w:tcBorders>
            <w:shd w:val="clear" w:color="auto" w:fill="auto"/>
            <w:noWrap/>
            <w:vAlign w:val="bottom"/>
            <w:hideMark/>
          </w:tcPr>
          <w:p w14:paraId="2201ED6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-0.465</w:t>
            </w:r>
          </w:p>
        </w:tc>
        <w:tc>
          <w:tcPr>
            <w:tcW w:w="534" w:type="pct"/>
            <w:tcBorders>
              <w:top w:val="nil"/>
              <w:left w:val="nil"/>
              <w:bottom w:val="nil"/>
              <w:right w:val="nil"/>
            </w:tcBorders>
            <w:shd w:val="clear" w:color="auto" w:fill="auto"/>
            <w:noWrap/>
            <w:vAlign w:val="bottom"/>
            <w:hideMark/>
          </w:tcPr>
          <w:p w14:paraId="3EFD865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-0.606</w:t>
            </w:r>
          </w:p>
        </w:tc>
        <w:tc>
          <w:tcPr>
            <w:tcW w:w="534" w:type="pct"/>
            <w:tcBorders>
              <w:top w:val="nil"/>
              <w:left w:val="nil"/>
              <w:bottom w:val="nil"/>
              <w:right w:val="nil"/>
            </w:tcBorders>
            <w:shd w:val="clear" w:color="auto" w:fill="auto"/>
            <w:noWrap/>
            <w:vAlign w:val="bottom"/>
            <w:hideMark/>
          </w:tcPr>
          <w:p w14:paraId="1F18D15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0.209</w:t>
            </w:r>
          </w:p>
        </w:tc>
        <w:tc>
          <w:tcPr>
            <w:tcW w:w="534" w:type="pct"/>
            <w:tcBorders>
              <w:top w:val="nil"/>
              <w:left w:val="nil"/>
              <w:bottom w:val="nil"/>
              <w:right w:val="single" w:sz="4" w:space="0" w:color="auto"/>
            </w:tcBorders>
            <w:shd w:val="clear" w:color="auto" w:fill="auto"/>
            <w:noWrap/>
            <w:vAlign w:val="bottom"/>
            <w:hideMark/>
          </w:tcPr>
          <w:p w14:paraId="1622CBF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0.214</w:t>
            </w:r>
          </w:p>
        </w:tc>
        <w:tc>
          <w:tcPr>
            <w:tcW w:w="533" w:type="pct"/>
            <w:tcBorders>
              <w:top w:val="nil"/>
              <w:left w:val="single" w:sz="4" w:space="0" w:color="auto"/>
              <w:bottom w:val="nil"/>
              <w:right w:val="nil"/>
            </w:tcBorders>
            <w:shd w:val="clear" w:color="auto" w:fill="auto"/>
            <w:noWrap/>
            <w:vAlign w:val="bottom"/>
            <w:hideMark/>
          </w:tcPr>
          <w:p w14:paraId="4FF8B89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0.236</w:t>
            </w:r>
          </w:p>
        </w:tc>
        <w:tc>
          <w:tcPr>
            <w:tcW w:w="534" w:type="pct"/>
            <w:tcBorders>
              <w:top w:val="nil"/>
              <w:left w:val="nil"/>
              <w:bottom w:val="nil"/>
              <w:right w:val="nil"/>
            </w:tcBorders>
            <w:shd w:val="clear" w:color="auto" w:fill="auto"/>
            <w:noWrap/>
            <w:vAlign w:val="bottom"/>
            <w:hideMark/>
          </w:tcPr>
          <w:p w14:paraId="13CF947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-0.119</w:t>
            </w:r>
          </w:p>
        </w:tc>
        <w:tc>
          <w:tcPr>
            <w:tcW w:w="533" w:type="pct"/>
            <w:tcBorders>
              <w:top w:val="nil"/>
              <w:left w:val="nil"/>
              <w:bottom w:val="nil"/>
              <w:right w:val="nil"/>
            </w:tcBorders>
            <w:shd w:val="clear" w:color="auto" w:fill="auto"/>
            <w:noWrap/>
            <w:vAlign w:val="bottom"/>
            <w:hideMark/>
          </w:tcPr>
          <w:p w14:paraId="1D7E5D0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0.250</w:t>
            </w:r>
          </w:p>
        </w:tc>
        <w:tc>
          <w:tcPr>
            <w:tcW w:w="535" w:type="pct"/>
            <w:tcBorders>
              <w:top w:val="nil"/>
              <w:left w:val="nil"/>
              <w:bottom w:val="nil"/>
              <w:right w:val="nil"/>
            </w:tcBorders>
            <w:shd w:val="clear" w:color="auto" w:fill="auto"/>
            <w:noWrap/>
            <w:vAlign w:val="bottom"/>
            <w:hideMark/>
          </w:tcPr>
          <w:p w14:paraId="13C30B2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0.266</w:t>
            </w:r>
          </w:p>
        </w:tc>
      </w:tr>
      <w:tr w:rsidR="003273BD" w:rsidRPr="00245E91" w14:paraId="74C80900" w14:textId="77777777" w:rsidTr="00D83DD8">
        <w:trPr>
          <w:trHeight w:val="144"/>
        </w:trPr>
        <w:tc>
          <w:tcPr>
            <w:tcW w:w="727" w:type="pct"/>
            <w:tcBorders>
              <w:top w:val="nil"/>
              <w:left w:val="nil"/>
              <w:bottom w:val="nil"/>
              <w:right w:val="nil"/>
            </w:tcBorders>
            <w:shd w:val="clear" w:color="auto" w:fill="auto"/>
            <w:noWrap/>
            <w:vAlign w:val="bottom"/>
            <w:hideMark/>
          </w:tcPr>
          <w:p w14:paraId="5C27EA7C"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025B7C0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(-3.01***)</w:t>
            </w:r>
          </w:p>
        </w:tc>
        <w:tc>
          <w:tcPr>
            <w:tcW w:w="534" w:type="pct"/>
            <w:tcBorders>
              <w:top w:val="nil"/>
              <w:left w:val="nil"/>
              <w:bottom w:val="nil"/>
              <w:right w:val="nil"/>
            </w:tcBorders>
            <w:shd w:val="clear" w:color="auto" w:fill="auto"/>
            <w:noWrap/>
            <w:vAlign w:val="bottom"/>
            <w:hideMark/>
          </w:tcPr>
          <w:p w14:paraId="0AB2D2D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(-5.67***)</w:t>
            </w:r>
          </w:p>
        </w:tc>
        <w:tc>
          <w:tcPr>
            <w:tcW w:w="534" w:type="pct"/>
            <w:tcBorders>
              <w:top w:val="nil"/>
              <w:left w:val="nil"/>
              <w:bottom w:val="nil"/>
              <w:right w:val="nil"/>
            </w:tcBorders>
            <w:shd w:val="clear" w:color="auto" w:fill="auto"/>
            <w:noWrap/>
            <w:vAlign w:val="bottom"/>
            <w:hideMark/>
          </w:tcPr>
          <w:p w14:paraId="095067D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(3.70***)</w:t>
            </w:r>
          </w:p>
        </w:tc>
        <w:tc>
          <w:tcPr>
            <w:tcW w:w="534" w:type="pct"/>
            <w:tcBorders>
              <w:top w:val="nil"/>
              <w:left w:val="nil"/>
              <w:bottom w:val="nil"/>
              <w:right w:val="single" w:sz="4" w:space="0" w:color="auto"/>
            </w:tcBorders>
            <w:shd w:val="clear" w:color="auto" w:fill="auto"/>
            <w:noWrap/>
            <w:vAlign w:val="bottom"/>
            <w:hideMark/>
          </w:tcPr>
          <w:p w14:paraId="6CAB8D3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(4.14***)</w:t>
            </w:r>
          </w:p>
        </w:tc>
        <w:tc>
          <w:tcPr>
            <w:tcW w:w="533" w:type="pct"/>
            <w:tcBorders>
              <w:top w:val="nil"/>
              <w:left w:val="single" w:sz="4" w:space="0" w:color="auto"/>
              <w:bottom w:val="nil"/>
              <w:right w:val="nil"/>
            </w:tcBorders>
            <w:shd w:val="clear" w:color="auto" w:fill="auto"/>
            <w:noWrap/>
            <w:vAlign w:val="bottom"/>
            <w:hideMark/>
          </w:tcPr>
          <w:p w14:paraId="0C56435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(1.07)</w:t>
            </w:r>
          </w:p>
        </w:tc>
        <w:tc>
          <w:tcPr>
            <w:tcW w:w="534" w:type="pct"/>
            <w:tcBorders>
              <w:top w:val="nil"/>
              <w:left w:val="nil"/>
              <w:bottom w:val="nil"/>
              <w:right w:val="nil"/>
            </w:tcBorders>
            <w:shd w:val="clear" w:color="auto" w:fill="auto"/>
            <w:noWrap/>
            <w:vAlign w:val="bottom"/>
            <w:hideMark/>
          </w:tcPr>
          <w:p w14:paraId="64614B6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(-0.85)</w:t>
            </w:r>
          </w:p>
        </w:tc>
        <w:tc>
          <w:tcPr>
            <w:tcW w:w="533" w:type="pct"/>
            <w:tcBorders>
              <w:top w:val="nil"/>
              <w:left w:val="nil"/>
              <w:bottom w:val="nil"/>
              <w:right w:val="nil"/>
            </w:tcBorders>
            <w:shd w:val="clear" w:color="auto" w:fill="auto"/>
            <w:noWrap/>
            <w:vAlign w:val="bottom"/>
            <w:hideMark/>
          </w:tcPr>
          <w:p w14:paraId="039755A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(1.12)</w:t>
            </w:r>
          </w:p>
        </w:tc>
        <w:tc>
          <w:tcPr>
            <w:tcW w:w="535" w:type="pct"/>
            <w:tcBorders>
              <w:top w:val="nil"/>
              <w:left w:val="nil"/>
              <w:bottom w:val="nil"/>
              <w:right w:val="nil"/>
            </w:tcBorders>
            <w:shd w:val="clear" w:color="auto" w:fill="auto"/>
            <w:noWrap/>
            <w:vAlign w:val="bottom"/>
            <w:hideMark/>
          </w:tcPr>
          <w:p w14:paraId="5FBD1B2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(1.18)</w:t>
            </w:r>
          </w:p>
        </w:tc>
      </w:tr>
      <w:tr w:rsidR="003273BD" w:rsidRPr="00245E91" w14:paraId="2D59736F" w14:textId="77777777" w:rsidTr="00D83DD8">
        <w:trPr>
          <w:trHeight w:val="144"/>
        </w:trPr>
        <w:tc>
          <w:tcPr>
            <w:tcW w:w="727" w:type="pct"/>
            <w:tcBorders>
              <w:top w:val="nil"/>
              <w:left w:val="nil"/>
              <w:bottom w:val="nil"/>
              <w:right w:val="nil"/>
            </w:tcBorders>
            <w:shd w:val="clear" w:color="auto" w:fill="auto"/>
            <w:noWrap/>
            <w:vAlign w:val="bottom"/>
            <w:hideMark/>
          </w:tcPr>
          <w:p w14:paraId="390E30AC"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RESID_RM1</w:t>
            </w:r>
          </w:p>
        </w:tc>
        <w:tc>
          <w:tcPr>
            <w:tcW w:w="534" w:type="pct"/>
            <w:tcBorders>
              <w:top w:val="nil"/>
              <w:left w:val="nil"/>
              <w:bottom w:val="nil"/>
              <w:right w:val="nil"/>
            </w:tcBorders>
            <w:shd w:val="clear" w:color="auto" w:fill="auto"/>
            <w:noWrap/>
            <w:vAlign w:val="bottom"/>
            <w:hideMark/>
          </w:tcPr>
          <w:p w14:paraId="706E1112" w14:textId="77777777" w:rsidR="003273BD" w:rsidRPr="00245E91" w:rsidRDefault="003273BD" w:rsidP="003273BD">
            <w:pPr>
              <w:spacing w:line="240" w:lineRule="auto"/>
              <w:contextualSpacing/>
              <w:rPr>
                <w:rFonts w:ascii="Times New Roman" w:hAnsi="Times New Roman"/>
                <w:color w:val="000000"/>
                <w:sz w:val="15"/>
                <w:szCs w:val="15"/>
              </w:rPr>
            </w:pPr>
          </w:p>
        </w:tc>
        <w:tc>
          <w:tcPr>
            <w:tcW w:w="534" w:type="pct"/>
            <w:tcBorders>
              <w:top w:val="nil"/>
              <w:left w:val="nil"/>
              <w:bottom w:val="nil"/>
              <w:right w:val="nil"/>
            </w:tcBorders>
            <w:shd w:val="clear" w:color="auto" w:fill="auto"/>
            <w:noWrap/>
            <w:vAlign w:val="bottom"/>
            <w:hideMark/>
          </w:tcPr>
          <w:p w14:paraId="4991D088" w14:textId="77777777" w:rsidR="003273BD" w:rsidRPr="00245E91" w:rsidRDefault="003273BD" w:rsidP="003273BD">
            <w:pPr>
              <w:spacing w:line="240" w:lineRule="auto"/>
              <w:contextualSpacing/>
              <w:rPr>
                <w:rFonts w:ascii="Times New Roman" w:hAnsi="Times New Roman"/>
                <w:sz w:val="15"/>
                <w:szCs w:val="15"/>
              </w:rPr>
            </w:pPr>
          </w:p>
        </w:tc>
        <w:tc>
          <w:tcPr>
            <w:tcW w:w="534" w:type="pct"/>
            <w:tcBorders>
              <w:top w:val="nil"/>
              <w:left w:val="nil"/>
              <w:bottom w:val="nil"/>
              <w:right w:val="nil"/>
            </w:tcBorders>
            <w:shd w:val="clear" w:color="auto" w:fill="auto"/>
            <w:noWrap/>
            <w:vAlign w:val="bottom"/>
            <w:hideMark/>
          </w:tcPr>
          <w:p w14:paraId="79F9C7F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0.093</w:t>
            </w:r>
          </w:p>
        </w:tc>
        <w:tc>
          <w:tcPr>
            <w:tcW w:w="534" w:type="pct"/>
            <w:tcBorders>
              <w:top w:val="nil"/>
              <w:left w:val="nil"/>
              <w:bottom w:val="nil"/>
              <w:right w:val="single" w:sz="4" w:space="0" w:color="auto"/>
            </w:tcBorders>
            <w:shd w:val="clear" w:color="auto" w:fill="auto"/>
            <w:noWrap/>
            <w:vAlign w:val="bottom"/>
            <w:hideMark/>
          </w:tcPr>
          <w:p w14:paraId="7E78873F" w14:textId="77777777" w:rsidR="003273BD" w:rsidRPr="00245E91" w:rsidRDefault="003273BD" w:rsidP="003273BD">
            <w:pPr>
              <w:spacing w:line="240" w:lineRule="auto"/>
              <w:contextualSpacing/>
              <w:rPr>
                <w:rFonts w:ascii="Times New Roman" w:hAnsi="Times New Roman"/>
                <w:color w:val="000000"/>
                <w:sz w:val="15"/>
                <w:szCs w:val="15"/>
              </w:rPr>
            </w:pPr>
          </w:p>
        </w:tc>
        <w:tc>
          <w:tcPr>
            <w:tcW w:w="533" w:type="pct"/>
            <w:tcBorders>
              <w:top w:val="nil"/>
              <w:left w:val="single" w:sz="4" w:space="0" w:color="auto"/>
              <w:bottom w:val="nil"/>
              <w:right w:val="nil"/>
            </w:tcBorders>
            <w:shd w:val="clear" w:color="auto" w:fill="auto"/>
            <w:noWrap/>
            <w:vAlign w:val="bottom"/>
            <w:hideMark/>
          </w:tcPr>
          <w:p w14:paraId="70E9714C" w14:textId="77777777" w:rsidR="003273BD" w:rsidRPr="00245E91" w:rsidRDefault="003273BD" w:rsidP="003273BD">
            <w:pPr>
              <w:spacing w:line="240" w:lineRule="auto"/>
              <w:contextualSpacing/>
              <w:rPr>
                <w:rFonts w:ascii="Times New Roman" w:hAnsi="Times New Roman"/>
                <w:sz w:val="15"/>
                <w:szCs w:val="15"/>
              </w:rPr>
            </w:pPr>
          </w:p>
        </w:tc>
        <w:tc>
          <w:tcPr>
            <w:tcW w:w="534" w:type="pct"/>
            <w:tcBorders>
              <w:top w:val="nil"/>
              <w:left w:val="nil"/>
              <w:bottom w:val="nil"/>
              <w:right w:val="nil"/>
            </w:tcBorders>
            <w:shd w:val="clear" w:color="auto" w:fill="auto"/>
            <w:noWrap/>
            <w:vAlign w:val="bottom"/>
            <w:hideMark/>
          </w:tcPr>
          <w:p w14:paraId="46AC62BA" w14:textId="77777777" w:rsidR="003273BD" w:rsidRPr="00245E91" w:rsidRDefault="003273BD" w:rsidP="003273BD">
            <w:pPr>
              <w:spacing w:line="240" w:lineRule="auto"/>
              <w:contextualSpacing/>
              <w:rPr>
                <w:rFonts w:ascii="Times New Roman" w:hAnsi="Times New Roman"/>
                <w:sz w:val="15"/>
                <w:szCs w:val="15"/>
              </w:rPr>
            </w:pPr>
          </w:p>
        </w:tc>
        <w:tc>
          <w:tcPr>
            <w:tcW w:w="533" w:type="pct"/>
            <w:tcBorders>
              <w:top w:val="nil"/>
              <w:left w:val="nil"/>
              <w:bottom w:val="nil"/>
              <w:right w:val="nil"/>
            </w:tcBorders>
            <w:shd w:val="clear" w:color="auto" w:fill="auto"/>
            <w:noWrap/>
            <w:vAlign w:val="bottom"/>
            <w:hideMark/>
          </w:tcPr>
          <w:p w14:paraId="5E54459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0.164</w:t>
            </w:r>
          </w:p>
        </w:tc>
        <w:tc>
          <w:tcPr>
            <w:tcW w:w="535" w:type="pct"/>
            <w:tcBorders>
              <w:top w:val="nil"/>
              <w:left w:val="nil"/>
              <w:bottom w:val="nil"/>
              <w:right w:val="nil"/>
            </w:tcBorders>
            <w:shd w:val="clear" w:color="auto" w:fill="auto"/>
            <w:noWrap/>
            <w:vAlign w:val="bottom"/>
            <w:hideMark/>
          </w:tcPr>
          <w:p w14:paraId="61FFCC9C" w14:textId="77777777" w:rsidR="003273BD" w:rsidRPr="00245E91" w:rsidRDefault="003273BD" w:rsidP="003273BD">
            <w:pPr>
              <w:spacing w:line="240" w:lineRule="auto"/>
              <w:contextualSpacing/>
              <w:rPr>
                <w:rFonts w:ascii="Times New Roman" w:hAnsi="Times New Roman"/>
                <w:color w:val="000000"/>
                <w:sz w:val="15"/>
                <w:szCs w:val="15"/>
              </w:rPr>
            </w:pPr>
          </w:p>
        </w:tc>
      </w:tr>
      <w:tr w:rsidR="003273BD" w:rsidRPr="00245E91" w14:paraId="30A44E29" w14:textId="77777777" w:rsidTr="00D83DD8">
        <w:trPr>
          <w:trHeight w:val="144"/>
        </w:trPr>
        <w:tc>
          <w:tcPr>
            <w:tcW w:w="727" w:type="pct"/>
            <w:tcBorders>
              <w:top w:val="nil"/>
              <w:left w:val="nil"/>
              <w:bottom w:val="nil"/>
              <w:right w:val="nil"/>
            </w:tcBorders>
            <w:shd w:val="clear" w:color="auto" w:fill="auto"/>
            <w:noWrap/>
            <w:vAlign w:val="bottom"/>
            <w:hideMark/>
          </w:tcPr>
          <w:p w14:paraId="5BAE3F57" w14:textId="77777777" w:rsidR="003273BD" w:rsidRPr="00245E91" w:rsidRDefault="003273BD" w:rsidP="003273BD">
            <w:pPr>
              <w:spacing w:after="0" w:line="240" w:lineRule="auto"/>
              <w:contextualSpacing/>
              <w:rPr>
                <w:rFonts w:ascii="Times New Roman" w:eastAsia="Times New Roman" w:hAnsi="Times New Roman"/>
                <w:i/>
                <w:sz w:val="15"/>
                <w:szCs w:val="15"/>
              </w:rPr>
            </w:pPr>
          </w:p>
        </w:tc>
        <w:tc>
          <w:tcPr>
            <w:tcW w:w="534" w:type="pct"/>
            <w:tcBorders>
              <w:top w:val="nil"/>
              <w:left w:val="nil"/>
              <w:bottom w:val="nil"/>
              <w:right w:val="nil"/>
            </w:tcBorders>
            <w:shd w:val="clear" w:color="auto" w:fill="auto"/>
            <w:noWrap/>
            <w:vAlign w:val="bottom"/>
            <w:hideMark/>
          </w:tcPr>
          <w:p w14:paraId="46C0DA86" w14:textId="77777777" w:rsidR="003273BD" w:rsidRPr="00245E91" w:rsidRDefault="003273BD" w:rsidP="003273BD">
            <w:pPr>
              <w:spacing w:line="240" w:lineRule="auto"/>
              <w:contextualSpacing/>
              <w:rPr>
                <w:rFonts w:ascii="Times New Roman" w:hAnsi="Times New Roman"/>
                <w:sz w:val="15"/>
                <w:szCs w:val="15"/>
              </w:rPr>
            </w:pPr>
          </w:p>
        </w:tc>
        <w:tc>
          <w:tcPr>
            <w:tcW w:w="534" w:type="pct"/>
            <w:tcBorders>
              <w:top w:val="nil"/>
              <w:left w:val="nil"/>
              <w:bottom w:val="nil"/>
              <w:right w:val="nil"/>
            </w:tcBorders>
            <w:shd w:val="clear" w:color="auto" w:fill="auto"/>
            <w:noWrap/>
            <w:vAlign w:val="bottom"/>
            <w:hideMark/>
          </w:tcPr>
          <w:p w14:paraId="6F8C326D" w14:textId="77777777" w:rsidR="003273BD" w:rsidRPr="00245E91" w:rsidRDefault="003273BD" w:rsidP="003273BD">
            <w:pPr>
              <w:spacing w:line="240" w:lineRule="auto"/>
              <w:contextualSpacing/>
              <w:rPr>
                <w:rFonts w:ascii="Times New Roman" w:hAnsi="Times New Roman"/>
                <w:sz w:val="15"/>
                <w:szCs w:val="15"/>
              </w:rPr>
            </w:pPr>
          </w:p>
        </w:tc>
        <w:tc>
          <w:tcPr>
            <w:tcW w:w="534" w:type="pct"/>
            <w:tcBorders>
              <w:top w:val="nil"/>
              <w:left w:val="nil"/>
              <w:bottom w:val="nil"/>
              <w:right w:val="nil"/>
            </w:tcBorders>
            <w:shd w:val="clear" w:color="auto" w:fill="auto"/>
            <w:noWrap/>
            <w:vAlign w:val="bottom"/>
            <w:hideMark/>
          </w:tcPr>
          <w:p w14:paraId="7077611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(2.47**)</w:t>
            </w:r>
          </w:p>
        </w:tc>
        <w:tc>
          <w:tcPr>
            <w:tcW w:w="534" w:type="pct"/>
            <w:tcBorders>
              <w:top w:val="nil"/>
              <w:left w:val="nil"/>
              <w:bottom w:val="nil"/>
              <w:right w:val="single" w:sz="4" w:space="0" w:color="auto"/>
            </w:tcBorders>
            <w:shd w:val="clear" w:color="auto" w:fill="auto"/>
            <w:noWrap/>
            <w:vAlign w:val="bottom"/>
            <w:hideMark/>
          </w:tcPr>
          <w:p w14:paraId="2ED4223F" w14:textId="77777777" w:rsidR="003273BD" w:rsidRPr="00245E91" w:rsidRDefault="003273BD" w:rsidP="003273BD">
            <w:pPr>
              <w:spacing w:line="240" w:lineRule="auto"/>
              <w:contextualSpacing/>
              <w:rPr>
                <w:rFonts w:ascii="Times New Roman" w:hAnsi="Times New Roman"/>
                <w:color w:val="000000"/>
                <w:sz w:val="15"/>
                <w:szCs w:val="15"/>
              </w:rPr>
            </w:pPr>
          </w:p>
        </w:tc>
        <w:tc>
          <w:tcPr>
            <w:tcW w:w="533" w:type="pct"/>
            <w:tcBorders>
              <w:top w:val="nil"/>
              <w:left w:val="single" w:sz="4" w:space="0" w:color="auto"/>
              <w:bottom w:val="nil"/>
              <w:right w:val="nil"/>
            </w:tcBorders>
            <w:shd w:val="clear" w:color="auto" w:fill="auto"/>
            <w:noWrap/>
            <w:vAlign w:val="bottom"/>
            <w:hideMark/>
          </w:tcPr>
          <w:p w14:paraId="1B32869B" w14:textId="77777777" w:rsidR="003273BD" w:rsidRPr="00245E91" w:rsidRDefault="003273BD" w:rsidP="003273BD">
            <w:pPr>
              <w:spacing w:line="240" w:lineRule="auto"/>
              <w:contextualSpacing/>
              <w:rPr>
                <w:rFonts w:ascii="Times New Roman" w:hAnsi="Times New Roman"/>
                <w:sz w:val="15"/>
                <w:szCs w:val="15"/>
              </w:rPr>
            </w:pPr>
          </w:p>
        </w:tc>
        <w:tc>
          <w:tcPr>
            <w:tcW w:w="534" w:type="pct"/>
            <w:tcBorders>
              <w:top w:val="nil"/>
              <w:left w:val="nil"/>
              <w:bottom w:val="nil"/>
              <w:right w:val="nil"/>
            </w:tcBorders>
            <w:shd w:val="clear" w:color="auto" w:fill="auto"/>
            <w:noWrap/>
            <w:vAlign w:val="bottom"/>
            <w:hideMark/>
          </w:tcPr>
          <w:p w14:paraId="7C62B93A" w14:textId="77777777" w:rsidR="003273BD" w:rsidRPr="00245E91" w:rsidRDefault="003273BD" w:rsidP="003273BD">
            <w:pPr>
              <w:spacing w:line="240" w:lineRule="auto"/>
              <w:contextualSpacing/>
              <w:rPr>
                <w:rFonts w:ascii="Times New Roman" w:hAnsi="Times New Roman"/>
                <w:sz w:val="15"/>
                <w:szCs w:val="15"/>
              </w:rPr>
            </w:pPr>
          </w:p>
        </w:tc>
        <w:tc>
          <w:tcPr>
            <w:tcW w:w="533" w:type="pct"/>
            <w:tcBorders>
              <w:top w:val="nil"/>
              <w:left w:val="nil"/>
              <w:bottom w:val="nil"/>
              <w:right w:val="nil"/>
            </w:tcBorders>
            <w:shd w:val="clear" w:color="auto" w:fill="auto"/>
            <w:noWrap/>
            <w:vAlign w:val="bottom"/>
            <w:hideMark/>
          </w:tcPr>
          <w:p w14:paraId="7268ECD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(4.12***)</w:t>
            </w:r>
          </w:p>
        </w:tc>
        <w:tc>
          <w:tcPr>
            <w:tcW w:w="535" w:type="pct"/>
            <w:tcBorders>
              <w:top w:val="nil"/>
              <w:left w:val="nil"/>
              <w:bottom w:val="nil"/>
              <w:right w:val="nil"/>
            </w:tcBorders>
            <w:shd w:val="clear" w:color="auto" w:fill="auto"/>
            <w:noWrap/>
            <w:vAlign w:val="bottom"/>
            <w:hideMark/>
          </w:tcPr>
          <w:p w14:paraId="3E53D1CC" w14:textId="77777777" w:rsidR="003273BD" w:rsidRPr="00245E91" w:rsidRDefault="003273BD" w:rsidP="003273BD">
            <w:pPr>
              <w:spacing w:line="240" w:lineRule="auto"/>
              <w:contextualSpacing/>
              <w:rPr>
                <w:rFonts w:ascii="Times New Roman" w:hAnsi="Times New Roman"/>
                <w:color w:val="000000"/>
                <w:sz w:val="15"/>
                <w:szCs w:val="15"/>
              </w:rPr>
            </w:pPr>
          </w:p>
        </w:tc>
      </w:tr>
      <w:tr w:rsidR="003273BD" w:rsidRPr="00245E91" w14:paraId="48E05E9F" w14:textId="77777777" w:rsidTr="00D83DD8">
        <w:trPr>
          <w:trHeight w:val="144"/>
        </w:trPr>
        <w:tc>
          <w:tcPr>
            <w:tcW w:w="727" w:type="pct"/>
            <w:tcBorders>
              <w:top w:val="nil"/>
              <w:left w:val="nil"/>
              <w:bottom w:val="nil"/>
              <w:right w:val="nil"/>
            </w:tcBorders>
            <w:shd w:val="clear" w:color="auto" w:fill="auto"/>
            <w:noWrap/>
            <w:vAlign w:val="bottom"/>
            <w:hideMark/>
          </w:tcPr>
          <w:p w14:paraId="2A574693"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RESID_RM2</w:t>
            </w:r>
          </w:p>
        </w:tc>
        <w:tc>
          <w:tcPr>
            <w:tcW w:w="534" w:type="pct"/>
            <w:tcBorders>
              <w:top w:val="nil"/>
              <w:left w:val="nil"/>
              <w:bottom w:val="nil"/>
              <w:right w:val="nil"/>
            </w:tcBorders>
            <w:shd w:val="clear" w:color="auto" w:fill="auto"/>
            <w:noWrap/>
            <w:vAlign w:val="bottom"/>
            <w:hideMark/>
          </w:tcPr>
          <w:p w14:paraId="713B3A69" w14:textId="77777777" w:rsidR="003273BD" w:rsidRPr="00245E91" w:rsidRDefault="003273BD" w:rsidP="003273BD">
            <w:pPr>
              <w:spacing w:line="240" w:lineRule="auto"/>
              <w:contextualSpacing/>
              <w:rPr>
                <w:rFonts w:ascii="Times New Roman" w:hAnsi="Times New Roman"/>
                <w:sz w:val="15"/>
                <w:szCs w:val="15"/>
              </w:rPr>
            </w:pPr>
          </w:p>
        </w:tc>
        <w:tc>
          <w:tcPr>
            <w:tcW w:w="534" w:type="pct"/>
            <w:tcBorders>
              <w:top w:val="nil"/>
              <w:left w:val="nil"/>
              <w:bottom w:val="nil"/>
              <w:right w:val="nil"/>
            </w:tcBorders>
            <w:shd w:val="clear" w:color="auto" w:fill="auto"/>
            <w:noWrap/>
            <w:vAlign w:val="bottom"/>
            <w:hideMark/>
          </w:tcPr>
          <w:p w14:paraId="083CB327" w14:textId="77777777" w:rsidR="003273BD" w:rsidRPr="00245E91" w:rsidRDefault="003273BD" w:rsidP="003273BD">
            <w:pPr>
              <w:spacing w:line="240" w:lineRule="auto"/>
              <w:contextualSpacing/>
              <w:rPr>
                <w:rFonts w:ascii="Times New Roman" w:hAnsi="Times New Roman"/>
                <w:sz w:val="15"/>
                <w:szCs w:val="15"/>
              </w:rPr>
            </w:pPr>
          </w:p>
        </w:tc>
        <w:tc>
          <w:tcPr>
            <w:tcW w:w="534" w:type="pct"/>
            <w:tcBorders>
              <w:top w:val="nil"/>
              <w:left w:val="nil"/>
              <w:bottom w:val="nil"/>
              <w:right w:val="nil"/>
            </w:tcBorders>
            <w:shd w:val="clear" w:color="auto" w:fill="auto"/>
            <w:noWrap/>
            <w:vAlign w:val="bottom"/>
            <w:hideMark/>
          </w:tcPr>
          <w:p w14:paraId="1BB18CF4" w14:textId="77777777" w:rsidR="003273BD" w:rsidRPr="00245E91" w:rsidRDefault="003273BD" w:rsidP="003273BD">
            <w:pPr>
              <w:spacing w:line="240" w:lineRule="auto"/>
              <w:contextualSpacing/>
              <w:rPr>
                <w:rFonts w:ascii="Times New Roman" w:hAnsi="Times New Roman"/>
                <w:sz w:val="15"/>
                <w:szCs w:val="15"/>
              </w:rPr>
            </w:pPr>
          </w:p>
        </w:tc>
        <w:tc>
          <w:tcPr>
            <w:tcW w:w="534" w:type="pct"/>
            <w:tcBorders>
              <w:top w:val="nil"/>
              <w:left w:val="nil"/>
              <w:bottom w:val="nil"/>
              <w:right w:val="single" w:sz="4" w:space="0" w:color="auto"/>
            </w:tcBorders>
            <w:shd w:val="clear" w:color="auto" w:fill="auto"/>
            <w:noWrap/>
            <w:vAlign w:val="bottom"/>
            <w:hideMark/>
          </w:tcPr>
          <w:p w14:paraId="05791F7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0.134</w:t>
            </w:r>
          </w:p>
        </w:tc>
        <w:tc>
          <w:tcPr>
            <w:tcW w:w="533" w:type="pct"/>
            <w:tcBorders>
              <w:top w:val="nil"/>
              <w:left w:val="single" w:sz="4" w:space="0" w:color="auto"/>
              <w:bottom w:val="nil"/>
              <w:right w:val="nil"/>
            </w:tcBorders>
            <w:shd w:val="clear" w:color="auto" w:fill="auto"/>
            <w:noWrap/>
            <w:vAlign w:val="bottom"/>
            <w:hideMark/>
          </w:tcPr>
          <w:p w14:paraId="12B811BD" w14:textId="77777777" w:rsidR="003273BD" w:rsidRPr="00245E91" w:rsidRDefault="003273BD" w:rsidP="003273BD">
            <w:pPr>
              <w:spacing w:line="240" w:lineRule="auto"/>
              <w:contextualSpacing/>
              <w:rPr>
                <w:rFonts w:ascii="Times New Roman" w:hAnsi="Times New Roman"/>
                <w:color w:val="000000"/>
                <w:sz w:val="15"/>
                <w:szCs w:val="15"/>
              </w:rPr>
            </w:pPr>
          </w:p>
        </w:tc>
        <w:tc>
          <w:tcPr>
            <w:tcW w:w="534" w:type="pct"/>
            <w:tcBorders>
              <w:top w:val="nil"/>
              <w:left w:val="nil"/>
              <w:bottom w:val="nil"/>
              <w:right w:val="nil"/>
            </w:tcBorders>
            <w:shd w:val="clear" w:color="auto" w:fill="auto"/>
            <w:noWrap/>
            <w:vAlign w:val="bottom"/>
            <w:hideMark/>
          </w:tcPr>
          <w:p w14:paraId="3A8D316A" w14:textId="77777777" w:rsidR="003273BD" w:rsidRPr="00245E91" w:rsidRDefault="003273BD" w:rsidP="003273BD">
            <w:pPr>
              <w:spacing w:line="240" w:lineRule="auto"/>
              <w:contextualSpacing/>
              <w:rPr>
                <w:rFonts w:ascii="Times New Roman" w:hAnsi="Times New Roman"/>
                <w:sz w:val="15"/>
                <w:szCs w:val="15"/>
              </w:rPr>
            </w:pPr>
          </w:p>
        </w:tc>
        <w:tc>
          <w:tcPr>
            <w:tcW w:w="533" w:type="pct"/>
            <w:tcBorders>
              <w:top w:val="nil"/>
              <w:left w:val="nil"/>
              <w:bottom w:val="nil"/>
              <w:right w:val="nil"/>
            </w:tcBorders>
            <w:shd w:val="clear" w:color="auto" w:fill="auto"/>
            <w:noWrap/>
            <w:vAlign w:val="bottom"/>
            <w:hideMark/>
          </w:tcPr>
          <w:p w14:paraId="55AD7A5C" w14:textId="77777777" w:rsidR="003273BD" w:rsidRPr="00245E91" w:rsidRDefault="003273BD" w:rsidP="003273BD">
            <w:pPr>
              <w:spacing w:line="240" w:lineRule="auto"/>
              <w:contextualSpacing/>
              <w:rPr>
                <w:rFonts w:ascii="Times New Roman" w:hAnsi="Times New Roman"/>
                <w:sz w:val="15"/>
                <w:szCs w:val="15"/>
              </w:rPr>
            </w:pPr>
          </w:p>
        </w:tc>
        <w:tc>
          <w:tcPr>
            <w:tcW w:w="535" w:type="pct"/>
            <w:tcBorders>
              <w:top w:val="nil"/>
              <w:left w:val="nil"/>
              <w:bottom w:val="nil"/>
              <w:right w:val="nil"/>
            </w:tcBorders>
            <w:shd w:val="clear" w:color="auto" w:fill="auto"/>
            <w:noWrap/>
            <w:vAlign w:val="bottom"/>
            <w:hideMark/>
          </w:tcPr>
          <w:p w14:paraId="7B3C06D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0.142</w:t>
            </w:r>
          </w:p>
        </w:tc>
      </w:tr>
      <w:tr w:rsidR="003273BD" w:rsidRPr="00245E91" w14:paraId="351A3F2E" w14:textId="77777777" w:rsidTr="00D83DD8">
        <w:trPr>
          <w:trHeight w:val="144"/>
        </w:trPr>
        <w:tc>
          <w:tcPr>
            <w:tcW w:w="727" w:type="pct"/>
            <w:tcBorders>
              <w:top w:val="nil"/>
              <w:left w:val="nil"/>
              <w:bottom w:val="nil"/>
              <w:right w:val="nil"/>
            </w:tcBorders>
            <w:shd w:val="clear" w:color="auto" w:fill="auto"/>
            <w:noWrap/>
            <w:vAlign w:val="bottom"/>
            <w:hideMark/>
          </w:tcPr>
          <w:p w14:paraId="629AC9DC" w14:textId="77777777" w:rsidR="003273BD" w:rsidRPr="00245E91" w:rsidRDefault="003273BD" w:rsidP="003273BD">
            <w:pPr>
              <w:spacing w:after="0" w:line="240" w:lineRule="auto"/>
              <w:contextualSpacing/>
              <w:rPr>
                <w:rFonts w:ascii="Times New Roman" w:eastAsia="Times New Roman" w:hAnsi="Times New Roman"/>
                <w:color w:val="000000"/>
                <w:sz w:val="15"/>
                <w:szCs w:val="15"/>
              </w:rPr>
            </w:pPr>
          </w:p>
        </w:tc>
        <w:tc>
          <w:tcPr>
            <w:tcW w:w="534" w:type="pct"/>
            <w:tcBorders>
              <w:top w:val="nil"/>
              <w:left w:val="nil"/>
              <w:bottom w:val="nil"/>
              <w:right w:val="nil"/>
            </w:tcBorders>
            <w:shd w:val="clear" w:color="auto" w:fill="auto"/>
            <w:noWrap/>
            <w:vAlign w:val="bottom"/>
            <w:hideMark/>
          </w:tcPr>
          <w:p w14:paraId="673EDD6D" w14:textId="77777777" w:rsidR="003273BD" w:rsidRPr="00245E91" w:rsidRDefault="003273BD" w:rsidP="003273BD">
            <w:pPr>
              <w:spacing w:line="240" w:lineRule="auto"/>
              <w:contextualSpacing/>
              <w:rPr>
                <w:rFonts w:ascii="Times New Roman" w:hAnsi="Times New Roman"/>
                <w:color w:val="000000"/>
                <w:sz w:val="15"/>
                <w:szCs w:val="15"/>
              </w:rPr>
            </w:pPr>
          </w:p>
        </w:tc>
        <w:tc>
          <w:tcPr>
            <w:tcW w:w="534" w:type="pct"/>
            <w:tcBorders>
              <w:top w:val="nil"/>
              <w:left w:val="nil"/>
              <w:bottom w:val="nil"/>
              <w:right w:val="nil"/>
            </w:tcBorders>
            <w:shd w:val="clear" w:color="auto" w:fill="auto"/>
            <w:noWrap/>
            <w:vAlign w:val="bottom"/>
            <w:hideMark/>
          </w:tcPr>
          <w:p w14:paraId="71C19D00" w14:textId="77777777" w:rsidR="003273BD" w:rsidRPr="00245E91" w:rsidRDefault="003273BD" w:rsidP="003273BD">
            <w:pPr>
              <w:spacing w:line="240" w:lineRule="auto"/>
              <w:contextualSpacing/>
              <w:rPr>
                <w:rFonts w:ascii="Times New Roman" w:hAnsi="Times New Roman"/>
                <w:sz w:val="15"/>
                <w:szCs w:val="15"/>
              </w:rPr>
            </w:pPr>
          </w:p>
        </w:tc>
        <w:tc>
          <w:tcPr>
            <w:tcW w:w="534" w:type="pct"/>
            <w:tcBorders>
              <w:top w:val="nil"/>
              <w:left w:val="nil"/>
              <w:bottom w:val="nil"/>
              <w:right w:val="nil"/>
            </w:tcBorders>
            <w:shd w:val="clear" w:color="auto" w:fill="auto"/>
            <w:noWrap/>
            <w:vAlign w:val="bottom"/>
            <w:hideMark/>
          </w:tcPr>
          <w:p w14:paraId="2BB0F340" w14:textId="77777777" w:rsidR="003273BD" w:rsidRPr="00245E91" w:rsidRDefault="003273BD" w:rsidP="003273BD">
            <w:pPr>
              <w:spacing w:line="240" w:lineRule="auto"/>
              <w:contextualSpacing/>
              <w:rPr>
                <w:rFonts w:ascii="Times New Roman" w:hAnsi="Times New Roman"/>
                <w:sz w:val="15"/>
                <w:szCs w:val="15"/>
              </w:rPr>
            </w:pPr>
          </w:p>
        </w:tc>
        <w:tc>
          <w:tcPr>
            <w:tcW w:w="534" w:type="pct"/>
            <w:tcBorders>
              <w:top w:val="nil"/>
              <w:left w:val="nil"/>
              <w:bottom w:val="nil"/>
              <w:right w:val="single" w:sz="4" w:space="0" w:color="auto"/>
            </w:tcBorders>
            <w:shd w:val="clear" w:color="auto" w:fill="auto"/>
            <w:noWrap/>
            <w:vAlign w:val="bottom"/>
            <w:hideMark/>
          </w:tcPr>
          <w:p w14:paraId="3E70A79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(4.508***)</w:t>
            </w:r>
          </w:p>
        </w:tc>
        <w:tc>
          <w:tcPr>
            <w:tcW w:w="533" w:type="pct"/>
            <w:tcBorders>
              <w:top w:val="nil"/>
              <w:left w:val="single" w:sz="4" w:space="0" w:color="auto"/>
              <w:bottom w:val="nil"/>
              <w:right w:val="nil"/>
            </w:tcBorders>
            <w:shd w:val="clear" w:color="auto" w:fill="auto"/>
            <w:noWrap/>
            <w:vAlign w:val="bottom"/>
            <w:hideMark/>
          </w:tcPr>
          <w:p w14:paraId="02DAB87C" w14:textId="77777777" w:rsidR="003273BD" w:rsidRPr="00245E91" w:rsidRDefault="003273BD" w:rsidP="003273BD">
            <w:pPr>
              <w:spacing w:line="240" w:lineRule="auto"/>
              <w:contextualSpacing/>
              <w:rPr>
                <w:rFonts w:ascii="Times New Roman" w:hAnsi="Times New Roman"/>
                <w:color w:val="000000"/>
                <w:sz w:val="15"/>
                <w:szCs w:val="15"/>
              </w:rPr>
            </w:pPr>
          </w:p>
        </w:tc>
        <w:tc>
          <w:tcPr>
            <w:tcW w:w="534" w:type="pct"/>
            <w:tcBorders>
              <w:top w:val="nil"/>
              <w:left w:val="nil"/>
              <w:bottom w:val="nil"/>
              <w:right w:val="nil"/>
            </w:tcBorders>
            <w:shd w:val="clear" w:color="auto" w:fill="auto"/>
            <w:noWrap/>
            <w:vAlign w:val="bottom"/>
            <w:hideMark/>
          </w:tcPr>
          <w:p w14:paraId="1BE411FD" w14:textId="77777777" w:rsidR="003273BD" w:rsidRPr="00245E91" w:rsidRDefault="003273BD" w:rsidP="003273BD">
            <w:pPr>
              <w:spacing w:line="240" w:lineRule="auto"/>
              <w:contextualSpacing/>
              <w:rPr>
                <w:rFonts w:ascii="Times New Roman" w:hAnsi="Times New Roman"/>
                <w:sz w:val="15"/>
                <w:szCs w:val="15"/>
              </w:rPr>
            </w:pPr>
          </w:p>
        </w:tc>
        <w:tc>
          <w:tcPr>
            <w:tcW w:w="533" w:type="pct"/>
            <w:tcBorders>
              <w:top w:val="nil"/>
              <w:left w:val="nil"/>
              <w:bottom w:val="nil"/>
              <w:right w:val="nil"/>
            </w:tcBorders>
            <w:shd w:val="clear" w:color="auto" w:fill="auto"/>
            <w:noWrap/>
            <w:vAlign w:val="bottom"/>
            <w:hideMark/>
          </w:tcPr>
          <w:p w14:paraId="1792DF72" w14:textId="77777777" w:rsidR="003273BD" w:rsidRPr="00245E91" w:rsidRDefault="003273BD" w:rsidP="003273BD">
            <w:pPr>
              <w:spacing w:line="240" w:lineRule="auto"/>
              <w:contextualSpacing/>
              <w:rPr>
                <w:rFonts w:ascii="Times New Roman" w:hAnsi="Times New Roman"/>
                <w:sz w:val="15"/>
                <w:szCs w:val="15"/>
              </w:rPr>
            </w:pPr>
          </w:p>
        </w:tc>
        <w:tc>
          <w:tcPr>
            <w:tcW w:w="535" w:type="pct"/>
            <w:tcBorders>
              <w:top w:val="nil"/>
              <w:left w:val="nil"/>
              <w:bottom w:val="nil"/>
              <w:right w:val="nil"/>
            </w:tcBorders>
            <w:shd w:val="clear" w:color="auto" w:fill="auto"/>
            <w:noWrap/>
            <w:vAlign w:val="bottom"/>
            <w:hideMark/>
          </w:tcPr>
          <w:p w14:paraId="7892DC4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(4.46***)</w:t>
            </w:r>
          </w:p>
        </w:tc>
      </w:tr>
      <w:tr w:rsidR="003273BD" w:rsidRPr="00245E91" w14:paraId="521CB449" w14:textId="77777777" w:rsidTr="00D83DD8">
        <w:trPr>
          <w:trHeight w:val="144"/>
        </w:trPr>
        <w:tc>
          <w:tcPr>
            <w:tcW w:w="727" w:type="pct"/>
            <w:tcBorders>
              <w:top w:val="nil"/>
              <w:left w:val="nil"/>
              <w:bottom w:val="nil"/>
              <w:right w:val="nil"/>
            </w:tcBorders>
            <w:shd w:val="clear" w:color="auto" w:fill="auto"/>
            <w:noWrap/>
            <w:vAlign w:val="bottom"/>
            <w:hideMark/>
          </w:tcPr>
          <w:p w14:paraId="4AF68D05" w14:textId="77777777" w:rsidR="003273BD" w:rsidRPr="00245E91" w:rsidRDefault="003273BD" w:rsidP="003273BD">
            <w:pPr>
              <w:spacing w:after="0" w:line="240" w:lineRule="auto"/>
              <w:contextualSpacing/>
              <w:rPr>
                <w:rFonts w:ascii="Times New Roman" w:eastAsia="Times New Roman" w:hAnsi="Times New Roman"/>
                <w:color w:val="000000"/>
                <w:sz w:val="15"/>
                <w:szCs w:val="15"/>
              </w:rPr>
            </w:pPr>
          </w:p>
        </w:tc>
        <w:tc>
          <w:tcPr>
            <w:tcW w:w="534" w:type="pct"/>
            <w:tcBorders>
              <w:top w:val="nil"/>
              <w:left w:val="nil"/>
              <w:bottom w:val="nil"/>
              <w:right w:val="nil"/>
            </w:tcBorders>
            <w:shd w:val="clear" w:color="auto" w:fill="auto"/>
            <w:noWrap/>
            <w:vAlign w:val="bottom"/>
            <w:hideMark/>
          </w:tcPr>
          <w:p w14:paraId="6F8CD354" w14:textId="77777777" w:rsidR="003273BD" w:rsidRPr="00245E91" w:rsidRDefault="003273BD" w:rsidP="003273BD">
            <w:pPr>
              <w:spacing w:line="240" w:lineRule="auto"/>
              <w:contextualSpacing/>
              <w:rPr>
                <w:rFonts w:ascii="Times New Roman" w:hAnsi="Times New Roman"/>
                <w:color w:val="000000"/>
                <w:sz w:val="15"/>
                <w:szCs w:val="15"/>
              </w:rPr>
            </w:pPr>
          </w:p>
        </w:tc>
        <w:tc>
          <w:tcPr>
            <w:tcW w:w="534" w:type="pct"/>
            <w:tcBorders>
              <w:top w:val="nil"/>
              <w:left w:val="nil"/>
              <w:bottom w:val="nil"/>
              <w:right w:val="nil"/>
            </w:tcBorders>
            <w:shd w:val="clear" w:color="auto" w:fill="auto"/>
            <w:noWrap/>
            <w:vAlign w:val="bottom"/>
            <w:hideMark/>
          </w:tcPr>
          <w:p w14:paraId="0894278B" w14:textId="77777777" w:rsidR="003273BD" w:rsidRPr="00245E91" w:rsidRDefault="003273BD" w:rsidP="003273BD">
            <w:pPr>
              <w:spacing w:line="240" w:lineRule="auto"/>
              <w:contextualSpacing/>
              <w:rPr>
                <w:rFonts w:ascii="Times New Roman" w:hAnsi="Times New Roman"/>
                <w:sz w:val="15"/>
                <w:szCs w:val="15"/>
              </w:rPr>
            </w:pPr>
          </w:p>
        </w:tc>
        <w:tc>
          <w:tcPr>
            <w:tcW w:w="534" w:type="pct"/>
            <w:tcBorders>
              <w:top w:val="nil"/>
              <w:left w:val="nil"/>
              <w:bottom w:val="nil"/>
              <w:right w:val="nil"/>
            </w:tcBorders>
            <w:shd w:val="clear" w:color="auto" w:fill="auto"/>
            <w:noWrap/>
            <w:vAlign w:val="bottom"/>
            <w:hideMark/>
          </w:tcPr>
          <w:p w14:paraId="36BDB3DF" w14:textId="77777777" w:rsidR="003273BD" w:rsidRPr="00245E91" w:rsidRDefault="003273BD" w:rsidP="003273BD">
            <w:pPr>
              <w:spacing w:line="240" w:lineRule="auto"/>
              <w:contextualSpacing/>
              <w:rPr>
                <w:rFonts w:ascii="Times New Roman" w:hAnsi="Times New Roman"/>
                <w:sz w:val="15"/>
                <w:szCs w:val="15"/>
              </w:rPr>
            </w:pPr>
          </w:p>
        </w:tc>
        <w:tc>
          <w:tcPr>
            <w:tcW w:w="534" w:type="pct"/>
            <w:tcBorders>
              <w:top w:val="nil"/>
              <w:left w:val="nil"/>
              <w:bottom w:val="nil"/>
              <w:right w:val="single" w:sz="4" w:space="0" w:color="auto"/>
            </w:tcBorders>
            <w:shd w:val="clear" w:color="auto" w:fill="auto"/>
            <w:noWrap/>
            <w:vAlign w:val="bottom"/>
            <w:hideMark/>
          </w:tcPr>
          <w:p w14:paraId="26AA4A94" w14:textId="77777777" w:rsidR="003273BD" w:rsidRPr="00245E91" w:rsidRDefault="003273BD" w:rsidP="003273BD">
            <w:pPr>
              <w:spacing w:line="240" w:lineRule="auto"/>
              <w:contextualSpacing/>
              <w:rPr>
                <w:rFonts w:ascii="Times New Roman" w:hAnsi="Times New Roman"/>
                <w:sz w:val="15"/>
                <w:szCs w:val="15"/>
              </w:rPr>
            </w:pPr>
          </w:p>
        </w:tc>
        <w:tc>
          <w:tcPr>
            <w:tcW w:w="533" w:type="pct"/>
            <w:tcBorders>
              <w:top w:val="nil"/>
              <w:left w:val="single" w:sz="4" w:space="0" w:color="auto"/>
              <w:bottom w:val="nil"/>
              <w:right w:val="nil"/>
            </w:tcBorders>
            <w:shd w:val="clear" w:color="auto" w:fill="auto"/>
            <w:noWrap/>
            <w:vAlign w:val="bottom"/>
            <w:hideMark/>
          </w:tcPr>
          <w:p w14:paraId="6DFBDE10" w14:textId="77777777" w:rsidR="003273BD" w:rsidRPr="00245E91" w:rsidRDefault="003273BD" w:rsidP="003273BD">
            <w:pPr>
              <w:spacing w:line="240" w:lineRule="auto"/>
              <w:contextualSpacing/>
              <w:rPr>
                <w:rFonts w:ascii="Times New Roman" w:hAnsi="Times New Roman"/>
                <w:sz w:val="15"/>
                <w:szCs w:val="15"/>
              </w:rPr>
            </w:pPr>
          </w:p>
        </w:tc>
        <w:tc>
          <w:tcPr>
            <w:tcW w:w="534" w:type="pct"/>
            <w:tcBorders>
              <w:top w:val="nil"/>
              <w:left w:val="nil"/>
              <w:bottom w:val="nil"/>
              <w:right w:val="nil"/>
            </w:tcBorders>
            <w:shd w:val="clear" w:color="auto" w:fill="auto"/>
            <w:noWrap/>
            <w:vAlign w:val="bottom"/>
            <w:hideMark/>
          </w:tcPr>
          <w:p w14:paraId="728304E5" w14:textId="77777777" w:rsidR="003273BD" w:rsidRPr="00245E91" w:rsidRDefault="003273BD" w:rsidP="003273BD">
            <w:pPr>
              <w:spacing w:line="240" w:lineRule="auto"/>
              <w:contextualSpacing/>
              <w:rPr>
                <w:rFonts w:ascii="Times New Roman" w:hAnsi="Times New Roman"/>
                <w:sz w:val="15"/>
                <w:szCs w:val="15"/>
              </w:rPr>
            </w:pPr>
          </w:p>
        </w:tc>
        <w:tc>
          <w:tcPr>
            <w:tcW w:w="533" w:type="pct"/>
            <w:tcBorders>
              <w:top w:val="nil"/>
              <w:left w:val="nil"/>
              <w:bottom w:val="nil"/>
              <w:right w:val="nil"/>
            </w:tcBorders>
            <w:shd w:val="clear" w:color="auto" w:fill="auto"/>
            <w:noWrap/>
            <w:vAlign w:val="bottom"/>
            <w:hideMark/>
          </w:tcPr>
          <w:p w14:paraId="275FB36A" w14:textId="77777777" w:rsidR="003273BD" w:rsidRPr="00245E91" w:rsidRDefault="003273BD" w:rsidP="003273BD">
            <w:pPr>
              <w:spacing w:line="240" w:lineRule="auto"/>
              <w:contextualSpacing/>
              <w:rPr>
                <w:rFonts w:ascii="Times New Roman" w:hAnsi="Times New Roman"/>
                <w:sz w:val="15"/>
                <w:szCs w:val="15"/>
              </w:rPr>
            </w:pPr>
          </w:p>
        </w:tc>
        <w:tc>
          <w:tcPr>
            <w:tcW w:w="535" w:type="pct"/>
            <w:tcBorders>
              <w:top w:val="nil"/>
              <w:left w:val="nil"/>
              <w:bottom w:val="nil"/>
              <w:right w:val="nil"/>
            </w:tcBorders>
            <w:shd w:val="clear" w:color="auto" w:fill="auto"/>
            <w:noWrap/>
            <w:vAlign w:val="bottom"/>
            <w:hideMark/>
          </w:tcPr>
          <w:p w14:paraId="1D72A47B" w14:textId="77777777" w:rsidR="003273BD" w:rsidRPr="00245E91" w:rsidRDefault="003273BD" w:rsidP="003273BD">
            <w:pPr>
              <w:spacing w:line="240" w:lineRule="auto"/>
              <w:contextualSpacing/>
              <w:rPr>
                <w:rFonts w:ascii="Times New Roman" w:hAnsi="Times New Roman"/>
                <w:sz w:val="15"/>
                <w:szCs w:val="15"/>
              </w:rPr>
            </w:pPr>
          </w:p>
        </w:tc>
      </w:tr>
      <w:tr w:rsidR="003273BD" w:rsidRPr="00245E91" w14:paraId="69BBFBA7" w14:textId="77777777" w:rsidTr="00D83DD8">
        <w:trPr>
          <w:trHeight w:val="144"/>
        </w:trPr>
        <w:tc>
          <w:tcPr>
            <w:tcW w:w="727" w:type="pct"/>
            <w:tcBorders>
              <w:top w:val="nil"/>
              <w:left w:val="nil"/>
              <w:bottom w:val="nil"/>
              <w:right w:val="nil"/>
            </w:tcBorders>
            <w:shd w:val="clear" w:color="auto" w:fill="auto"/>
            <w:noWrap/>
            <w:vAlign w:val="bottom"/>
          </w:tcPr>
          <w:p w14:paraId="323D37CD" w14:textId="77777777" w:rsidR="003273BD" w:rsidRPr="00245E91" w:rsidRDefault="003273BD" w:rsidP="003273BD">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Adj. R-squared</w:t>
            </w:r>
          </w:p>
        </w:tc>
        <w:tc>
          <w:tcPr>
            <w:tcW w:w="534" w:type="pct"/>
            <w:tcBorders>
              <w:top w:val="nil"/>
              <w:left w:val="nil"/>
              <w:bottom w:val="nil"/>
              <w:right w:val="nil"/>
            </w:tcBorders>
            <w:shd w:val="clear" w:color="auto" w:fill="auto"/>
            <w:noWrap/>
            <w:vAlign w:val="bottom"/>
          </w:tcPr>
          <w:p w14:paraId="719280C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w:t>
            </w:r>
          </w:p>
        </w:tc>
        <w:tc>
          <w:tcPr>
            <w:tcW w:w="534" w:type="pct"/>
            <w:tcBorders>
              <w:top w:val="nil"/>
              <w:left w:val="nil"/>
              <w:bottom w:val="nil"/>
              <w:right w:val="nil"/>
            </w:tcBorders>
            <w:shd w:val="clear" w:color="auto" w:fill="auto"/>
            <w:noWrap/>
            <w:vAlign w:val="bottom"/>
          </w:tcPr>
          <w:p w14:paraId="1C63FD5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w:t>
            </w:r>
          </w:p>
        </w:tc>
        <w:tc>
          <w:tcPr>
            <w:tcW w:w="534" w:type="pct"/>
            <w:tcBorders>
              <w:top w:val="nil"/>
              <w:left w:val="nil"/>
              <w:bottom w:val="nil"/>
              <w:right w:val="nil"/>
            </w:tcBorders>
            <w:shd w:val="clear" w:color="auto" w:fill="auto"/>
            <w:noWrap/>
            <w:vAlign w:val="bottom"/>
          </w:tcPr>
          <w:p w14:paraId="42FA7D0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0.22</w:t>
            </w:r>
          </w:p>
        </w:tc>
        <w:tc>
          <w:tcPr>
            <w:tcW w:w="534" w:type="pct"/>
            <w:tcBorders>
              <w:top w:val="nil"/>
              <w:left w:val="nil"/>
              <w:bottom w:val="nil"/>
              <w:right w:val="single" w:sz="4" w:space="0" w:color="auto"/>
            </w:tcBorders>
            <w:shd w:val="clear" w:color="auto" w:fill="auto"/>
            <w:noWrap/>
            <w:vAlign w:val="bottom"/>
          </w:tcPr>
          <w:p w14:paraId="1E9B0C2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0.23</w:t>
            </w:r>
          </w:p>
        </w:tc>
        <w:tc>
          <w:tcPr>
            <w:tcW w:w="533" w:type="pct"/>
            <w:tcBorders>
              <w:top w:val="nil"/>
              <w:left w:val="single" w:sz="4" w:space="0" w:color="auto"/>
              <w:bottom w:val="nil"/>
              <w:right w:val="nil"/>
            </w:tcBorders>
            <w:shd w:val="clear" w:color="auto" w:fill="auto"/>
            <w:noWrap/>
            <w:vAlign w:val="bottom"/>
          </w:tcPr>
          <w:p w14:paraId="3D2EC84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w:t>
            </w:r>
          </w:p>
        </w:tc>
        <w:tc>
          <w:tcPr>
            <w:tcW w:w="534" w:type="pct"/>
            <w:tcBorders>
              <w:top w:val="nil"/>
              <w:left w:val="nil"/>
              <w:bottom w:val="nil"/>
              <w:right w:val="nil"/>
            </w:tcBorders>
            <w:shd w:val="clear" w:color="auto" w:fill="auto"/>
            <w:noWrap/>
            <w:vAlign w:val="bottom"/>
          </w:tcPr>
          <w:p w14:paraId="46C632E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0.18</w:t>
            </w:r>
          </w:p>
        </w:tc>
        <w:tc>
          <w:tcPr>
            <w:tcW w:w="533" w:type="pct"/>
            <w:tcBorders>
              <w:top w:val="nil"/>
              <w:left w:val="nil"/>
              <w:bottom w:val="nil"/>
              <w:right w:val="nil"/>
            </w:tcBorders>
            <w:shd w:val="clear" w:color="auto" w:fill="auto"/>
            <w:noWrap/>
            <w:vAlign w:val="bottom"/>
          </w:tcPr>
          <w:p w14:paraId="3C9B52A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0.20</w:t>
            </w:r>
          </w:p>
        </w:tc>
        <w:tc>
          <w:tcPr>
            <w:tcW w:w="535" w:type="pct"/>
            <w:tcBorders>
              <w:top w:val="nil"/>
              <w:left w:val="nil"/>
              <w:bottom w:val="nil"/>
              <w:right w:val="nil"/>
            </w:tcBorders>
            <w:shd w:val="clear" w:color="auto" w:fill="auto"/>
            <w:noWrap/>
            <w:vAlign w:val="bottom"/>
          </w:tcPr>
          <w:p w14:paraId="2DBDE9B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0.19</w:t>
            </w:r>
          </w:p>
        </w:tc>
      </w:tr>
      <w:tr w:rsidR="003273BD" w:rsidRPr="00245E91" w14:paraId="252FF51A" w14:textId="77777777" w:rsidTr="00D83DD8">
        <w:trPr>
          <w:trHeight w:val="144"/>
        </w:trPr>
        <w:tc>
          <w:tcPr>
            <w:tcW w:w="727" w:type="pct"/>
            <w:tcBorders>
              <w:top w:val="nil"/>
              <w:left w:val="nil"/>
              <w:bottom w:val="nil"/>
              <w:right w:val="nil"/>
            </w:tcBorders>
            <w:shd w:val="clear" w:color="auto" w:fill="auto"/>
            <w:noWrap/>
            <w:vAlign w:val="bottom"/>
            <w:hideMark/>
          </w:tcPr>
          <w:p w14:paraId="6BB21E44" w14:textId="77777777" w:rsidR="003273BD" w:rsidRPr="00245E91" w:rsidRDefault="003273BD" w:rsidP="003273BD">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Year fixed effect</w:t>
            </w:r>
          </w:p>
        </w:tc>
        <w:tc>
          <w:tcPr>
            <w:tcW w:w="534" w:type="pct"/>
            <w:tcBorders>
              <w:top w:val="nil"/>
              <w:left w:val="nil"/>
              <w:bottom w:val="nil"/>
              <w:right w:val="nil"/>
            </w:tcBorders>
            <w:shd w:val="clear" w:color="auto" w:fill="auto"/>
            <w:noWrap/>
            <w:vAlign w:val="bottom"/>
            <w:hideMark/>
          </w:tcPr>
          <w:p w14:paraId="2B40066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4" w:type="pct"/>
            <w:tcBorders>
              <w:top w:val="nil"/>
              <w:left w:val="nil"/>
              <w:bottom w:val="nil"/>
              <w:right w:val="nil"/>
            </w:tcBorders>
            <w:shd w:val="clear" w:color="auto" w:fill="auto"/>
            <w:noWrap/>
            <w:vAlign w:val="bottom"/>
            <w:hideMark/>
          </w:tcPr>
          <w:p w14:paraId="5243307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4" w:type="pct"/>
            <w:tcBorders>
              <w:top w:val="nil"/>
              <w:left w:val="nil"/>
              <w:bottom w:val="nil"/>
              <w:right w:val="nil"/>
            </w:tcBorders>
            <w:shd w:val="clear" w:color="auto" w:fill="auto"/>
            <w:noWrap/>
            <w:vAlign w:val="bottom"/>
            <w:hideMark/>
          </w:tcPr>
          <w:p w14:paraId="76A7B0F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4" w:type="pct"/>
            <w:tcBorders>
              <w:top w:val="nil"/>
              <w:left w:val="nil"/>
              <w:bottom w:val="nil"/>
              <w:right w:val="single" w:sz="4" w:space="0" w:color="auto"/>
            </w:tcBorders>
            <w:shd w:val="clear" w:color="auto" w:fill="auto"/>
            <w:noWrap/>
            <w:vAlign w:val="bottom"/>
            <w:hideMark/>
          </w:tcPr>
          <w:p w14:paraId="1A3C6B6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3" w:type="pct"/>
            <w:tcBorders>
              <w:top w:val="nil"/>
              <w:left w:val="single" w:sz="4" w:space="0" w:color="auto"/>
              <w:bottom w:val="nil"/>
              <w:right w:val="nil"/>
            </w:tcBorders>
            <w:shd w:val="clear" w:color="auto" w:fill="auto"/>
            <w:noWrap/>
            <w:vAlign w:val="bottom"/>
            <w:hideMark/>
          </w:tcPr>
          <w:p w14:paraId="1AF1953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4" w:type="pct"/>
            <w:tcBorders>
              <w:top w:val="nil"/>
              <w:left w:val="nil"/>
              <w:bottom w:val="nil"/>
              <w:right w:val="nil"/>
            </w:tcBorders>
            <w:shd w:val="clear" w:color="auto" w:fill="auto"/>
            <w:noWrap/>
            <w:vAlign w:val="bottom"/>
            <w:hideMark/>
          </w:tcPr>
          <w:p w14:paraId="40F5C19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3" w:type="pct"/>
            <w:tcBorders>
              <w:top w:val="nil"/>
              <w:left w:val="nil"/>
              <w:bottom w:val="nil"/>
              <w:right w:val="nil"/>
            </w:tcBorders>
            <w:shd w:val="clear" w:color="auto" w:fill="auto"/>
            <w:noWrap/>
            <w:vAlign w:val="bottom"/>
            <w:hideMark/>
          </w:tcPr>
          <w:p w14:paraId="2F114FB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5" w:type="pct"/>
            <w:tcBorders>
              <w:top w:val="nil"/>
              <w:left w:val="nil"/>
              <w:bottom w:val="nil"/>
              <w:right w:val="nil"/>
            </w:tcBorders>
            <w:shd w:val="clear" w:color="auto" w:fill="auto"/>
            <w:noWrap/>
            <w:vAlign w:val="bottom"/>
            <w:hideMark/>
          </w:tcPr>
          <w:p w14:paraId="462C1BB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r>
      <w:tr w:rsidR="003273BD" w:rsidRPr="00245E91" w14:paraId="262FD607" w14:textId="77777777" w:rsidTr="00D83DD8">
        <w:trPr>
          <w:trHeight w:val="72"/>
        </w:trPr>
        <w:tc>
          <w:tcPr>
            <w:tcW w:w="727" w:type="pct"/>
            <w:tcBorders>
              <w:top w:val="nil"/>
              <w:left w:val="nil"/>
              <w:right w:val="nil"/>
            </w:tcBorders>
            <w:shd w:val="clear" w:color="auto" w:fill="auto"/>
            <w:noWrap/>
            <w:vAlign w:val="bottom"/>
          </w:tcPr>
          <w:p w14:paraId="3BDAB412" w14:textId="77777777" w:rsidR="003273BD" w:rsidRPr="00245E91" w:rsidRDefault="003273BD" w:rsidP="003273BD">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Clustered by firm</w:t>
            </w:r>
          </w:p>
        </w:tc>
        <w:tc>
          <w:tcPr>
            <w:tcW w:w="534" w:type="pct"/>
            <w:tcBorders>
              <w:top w:val="nil"/>
              <w:left w:val="nil"/>
              <w:bottom w:val="nil"/>
              <w:right w:val="nil"/>
            </w:tcBorders>
            <w:shd w:val="clear" w:color="auto" w:fill="auto"/>
            <w:noWrap/>
            <w:vAlign w:val="bottom"/>
          </w:tcPr>
          <w:p w14:paraId="503AF74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4" w:type="pct"/>
            <w:tcBorders>
              <w:top w:val="nil"/>
              <w:left w:val="nil"/>
              <w:bottom w:val="nil"/>
              <w:right w:val="nil"/>
            </w:tcBorders>
            <w:shd w:val="clear" w:color="auto" w:fill="auto"/>
            <w:noWrap/>
            <w:vAlign w:val="bottom"/>
          </w:tcPr>
          <w:p w14:paraId="012CFF0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4" w:type="pct"/>
            <w:tcBorders>
              <w:top w:val="nil"/>
              <w:left w:val="nil"/>
              <w:bottom w:val="nil"/>
              <w:right w:val="nil"/>
            </w:tcBorders>
            <w:shd w:val="clear" w:color="auto" w:fill="auto"/>
            <w:noWrap/>
            <w:vAlign w:val="bottom"/>
          </w:tcPr>
          <w:p w14:paraId="363FF3F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4" w:type="pct"/>
            <w:tcBorders>
              <w:top w:val="nil"/>
              <w:left w:val="nil"/>
              <w:bottom w:val="nil"/>
              <w:right w:val="single" w:sz="4" w:space="0" w:color="auto"/>
            </w:tcBorders>
            <w:shd w:val="clear" w:color="auto" w:fill="auto"/>
            <w:noWrap/>
            <w:vAlign w:val="bottom"/>
          </w:tcPr>
          <w:p w14:paraId="4E7F882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3" w:type="pct"/>
            <w:tcBorders>
              <w:top w:val="nil"/>
              <w:left w:val="single" w:sz="4" w:space="0" w:color="auto"/>
              <w:bottom w:val="nil"/>
              <w:right w:val="nil"/>
            </w:tcBorders>
            <w:shd w:val="clear" w:color="auto" w:fill="auto"/>
            <w:noWrap/>
            <w:vAlign w:val="bottom"/>
          </w:tcPr>
          <w:p w14:paraId="0D97064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4" w:type="pct"/>
            <w:tcBorders>
              <w:top w:val="nil"/>
              <w:left w:val="nil"/>
              <w:bottom w:val="nil"/>
              <w:right w:val="nil"/>
            </w:tcBorders>
            <w:shd w:val="clear" w:color="auto" w:fill="auto"/>
            <w:noWrap/>
            <w:vAlign w:val="bottom"/>
          </w:tcPr>
          <w:p w14:paraId="75D9926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3" w:type="pct"/>
            <w:tcBorders>
              <w:top w:val="nil"/>
              <w:left w:val="nil"/>
              <w:bottom w:val="nil"/>
              <w:right w:val="nil"/>
            </w:tcBorders>
            <w:shd w:val="clear" w:color="auto" w:fill="auto"/>
            <w:noWrap/>
            <w:vAlign w:val="bottom"/>
          </w:tcPr>
          <w:p w14:paraId="36D2A93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5" w:type="pct"/>
            <w:tcBorders>
              <w:top w:val="nil"/>
              <w:left w:val="nil"/>
              <w:bottom w:val="nil"/>
              <w:right w:val="nil"/>
            </w:tcBorders>
            <w:shd w:val="clear" w:color="auto" w:fill="auto"/>
            <w:noWrap/>
            <w:vAlign w:val="bottom"/>
          </w:tcPr>
          <w:p w14:paraId="4AB1E87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r>
      <w:tr w:rsidR="003273BD" w:rsidRPr="00245E91" w14:paraId="122623AB" w14:textId="77777777" w:rsidTr="00D83DD8">
        <w:trPr>
          <w:trHeight w:val="144"/>
        </w:trPr>
        <w:tc>
          <w:tcPr>
            <w:tcW w:w="727" w:type="pct"/>
            <w:tcBorders>
              <w:top w:val="nil"/>
              <w:left w:val="nil"/>
              <w:bottom w:val="single" w:sz="4" w:space="0" w:color="auto"/>
              <w:right w:val="nil"/>
            </w:tcBorders>
            <w:shd w:val="clear" w:color="auto" w:fill="auto"/>
            <w:noWrap/>
            <w:vAlign w:val="bottom"/>
          </w:tcPr>
          <w:p w14:paraId="1432983F" w14:textId="77777777" w:rsidR="003273BD" w:rsidRPr="00245E91" w:rsidRDefault="003273BD" w:rsidP="003273BD">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Observations</w:t>
            </w:r>
          </w:p>
        </w:tc>
        <w:tc>
          <w:tcPr>
            <w:tcW w:w="534" w:type="pct"/>
            <w:tcBorders>
              <w:top w:val="nil"/>
              <w:left w:val="nil"/>
              <w:bottom w:val="single" w:sz="4" w:space="0" w:color="auto"/>
              <w:right w:val="nil"/>
            </w:tcBorders>
            <w:shd w:val="clear" w:color="auto" w:fill="auto"/>
            <w:noWrap/>
            <w:vAlign w:val="bottom"/>
          </w:tcPr>
          <w:p w14:paraId="74076A3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2,753</w:t>
            </w:r>
          </w:p>
        </w:tc>
        <w:tc>
          <w:tcPr>
            <w:tcW w:w="534" w:type="pct"/>
            <w:tcBorders>
              <w:top w:val="nil"/>
              <w:left w:val="nil"/>
              <w:bottom w:val="single" w:sz="4" w:space="0" w:color="auto"/>
              <w:right w:val="nil"/>
            </w:tcBorders>
            <w:shd w:val="clear" w:color="auto" w:fill="auto"/>
            <w:noWrap/>
            <w:vAlign w:val="bottom"/>
          </w:tcPr>
          <w:p w14:paraId="5B82F58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2,732</w:t>
            </w:r>
          </w:p>
        </w:tc>
        <w:tc>
          <w:tcPr>
            <w:tcW w:w="534" w:type="pct"/>
            <w:tcBorders>
              <w:top w:val="nil"/>
              <w:left w:val="nil"/>
              <w:bottom w:val="single" w:sz="4" w:space="0" w:color="auto"/>
              <w:right w:val="nil"/>
            </w:tcBorders>
            <w:shd w:val="clear" w:color="auto" w:fill="auto"/>
            <w:noWrap/>
            <w:vAlign w:val="bottom"/>
          </w:tcPr>
          <w:p w14:paraId="4A1240B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2,723</w:t>
            </w:r>
          </w:p>
        </w:tc>
        <w:tc>
          <w:tcPr>
            <w:tcW w:w="534" w:type="pct"/>
            <w:tcBorders>
              <w:top w:val="nil"/>
              <w:left w:val="nil"/>
              <w:bottom w:val="single" w:sz="4" w:space="0" w:color="auto"/>
              <w:right w:val="single" w:sz="4" w:space="0" w:color="auto"/>
            </w:tcBorders>
            <w:shd w:val="clear" w:color="auto" w:fill="auto"/>
            <w:noWrap/>
            <w:vAlign w:val="bottom"/>
          </w:tcPr>
          <w:p w14:paraId="394A86C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2,723</w:t>
            </w:r>
          </w:p>
        </w:tc>
        <w:tc>
          <w:tcPr>
            <w:tcW w:w="533" w:type="pct"/>
            <w:tcBorders>
              <w:top w:val="nil"/>
              <w:left w:val="single" w:sz="4" w:space="0" w:color="auto"/>
              <w:bottom w:val="single" w:sz="4" w:space="0" w:color="auto"/>
              <w:right w:val="nil"/>
            </w:tcBorders>
            <w:shd w:val="clear" w:color="auto" w:fill="auto"/>
            <w:noWrap/>
            <w:vAlign w:val="bottom"/>
          </w:tcPr>
          <w:p w14:paraId="7B222EC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3,224</w:t>
            </w:r>
          </w:p>
        </w:tc>
        <w:tc>
          <w:tcPr>
            <w:tcW w:w="534" w:type="pct"/>
            <w:tcBorders>
              <w:top w:val="nil"/>
              <w:left w:val="nil"/>
              <w:bottom w:val="single" w:sz="4" w:space="0" w:color="auto"/>
              <w:right w:val="nil"/>
            </w:tcBorders>
            <w:shd w:val="clear" w:color="auto" w:fill="auto"/>
            <w:noWrap/>
            <w:vAlign w:val="bottom"/>
          </w:tcPr>
          <w:p w14:paraId="69696CF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3,199</w:t>
            </w:r>
          </w:p>
        </w:tc>
        <w:tc>
          <w:tcPr>
            <w:tcW w:w="533" w:type="pct"/>
            <w:tcBorders>
              <w:top w:val="nil"/>
              <w:left w:val="nil"/>
              <w:bottom w:val="single" w:sz="4" w:space="0" w:color="auto"/>
              <w:right w:val="nil"/>
            </w:tcBorders>
            <w:shd w:val="clear" w:color="auto" w:fill="auto"/>
            <w:noWrap/>
            <w:vAlign w:val="bottom"/>
          </w:tcPr>
          <w:p w14:paraId="0C87514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3,190</w:t>
            </w:r>
          </w:p>
        </w:tc>
        <w:tc>
          <w:tcPr>
            <w:tcW w:w="535" w:type="pct"/>
            <w:tcBorders>
              <w:top w:val="nil"/>
              <w:left w:val="nil"/>
              <w:bottom w:val="single" w:sz="4" w:space="0" w:color="auto"/>
              <w:right w:val="nil"/>
            </w:tcBorders>
            <w:shd w:val="clear" w:color="auto" w:fill="auto"/>
            <w:noWrap/>
            <w:vAlign w:val="bottom"/>
          </w:tcPr>
          <w:p w14:paraId="3E45ADB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3,190</w:t>
            </w:r>
          </w:p>
        </w:tc>
      </w:tr>
    </w:tbl>
    <w:p w14:paraId="32E18F9E" w14:textId="77777777" w:rsidR="003273BD" w:rsidRPr="00245E91" w:rsidRDefault="003273BD" w:rsidP="003273BD">
      <w:pPr>
        <w:spacing w:after="0" w:line="240" w:lineRule="auto"/>
        <w:rPr>
          <w:rFonts w:ascii="Times New Roman" w:hAnsi="Times New Roman"/>
          <w:b/>
          <w:sz w:val="15"/>
          <w:szCs w:val="15"/>
        </w:rPr>
      </w:pPr>
      <w:r w:rsidRPr="00245E91">
        <w:rPr>
          <w:rFonts w:ascii="Times New Roman" w:hAnsi="Times New Roman"/>
          <w:b/>
          <w:sz w:val="15"/>
          <w:szCs w:val="15"/>
        </w:rPr>
        <w:t>Table 10 - Cross-sectional Analyses of Earnings Management – Low Liquidity vs. High Liquidity</w:t>
      </w:r>
    </w:p>
    <w:p w14:paraId="644C954E" w14:textId="0C15A0AB" w:rsidR="003273BD" w:rsidRPr="00245E91" w:rsidRDefault="00EE4A1C" w:rsidP="003273BD">
      <w:pPr>
        <w:spacing w:after="0" w:line="240" w:lineRule="auto"/>
        <w:rPr>
          <w:rFonts w:ascii="Times New Roman" w:hAnsi="Times New Roman"/>
          <w:sz w:val="15"/>
          <w:szCs w:val="15"/>
        </w:rPr>
      </w:pPr>
      <w:r w:rsidRPr="00245E91">
        <w:rPr>
          <w:rFonts w:ascii="Times New Roman" w:hAnsi="Times New Roman"/>
          <w:sz w:val="15"/>
          <w:szCs w:val="15"/>
        </w:rPr>
        <w:t xml:space="preserve">The sample includes MLPs and all Non-MLP firms in the same industry in the same year. </w:t>
      </w:r>
      <w:r w:rsidR="003273BD" w:rsidRPr="00245E91">
        <w:rPr>
          <w:rFonts w:ascii="Times New Roman" w:hAnsi="Times New Roman"/>
          <w:sz w:val="15"/>
          <w:szCs w:val="15"/>
        </w:rPr>
        <w:t>The dependent variables are RM1, RM2 and DA, alternatively. RM1 is the sum of RDISX and RPROD. RM2 is the sum of RDISX, RPROD and RCFO. RDISX is the abnormal discretionary expenditure. RPROD is the abnormal production costs. RCFO is the abnormal cash flow. DA is the discretionary accrual. MLP is the dummy variable for MLP firms. LN(Assets) is the natural log of total assets. MKTSHARE is the ratio of firm sales to total sales of all firms in the same industry. DEBT is the ratio of debt-to-assets. NOA is net operating assets and is calculated as total assets minus cash and short-term investment scaled by total assets. OPERCYCLE is the days of receivable plus the days of inventory less the days of payable at the beginning of the year. ROA is net income to total assets ratio. MKBK is the market-to-book ratio of equity. LIQUIDITY is the average of the ratio of monthly trading volume to shares outstanding in the year. STOCKISSUE is the ratio of the amount of sales of common stock and preferred stock in the year to the market capitalization of the firm. DEBISSUE is the ratio of the amount of long-term debt issuance to the firm’s assets. BIG8 is the dummy variable for firms with auditors in the top 8. TENURE is the number of years the auditor has audited the client. INSTOWN is the percentage of institutional ownership at the beginning of year. NUMANALYST is the number of analysts following the firm. RESID_RM1 and RESID_RM2 are the residuals from Models 4 and 5. *, **, and *** indicate the significance levels of 10%, 5% and 1%, respectively.</w:t>
      </w:r>
    </w:p>
    <w:tbl>
      <w:tblPr>
        <w:tblW w:w="5000" w:type="pct"/>
        <w:tblLook w:val="04A0" w:firstRow="1" w:lastRow="0" w:firstColumn="1" w:lastColumn="0" w:noHBand="0" w:noVBand="1"/>
      </w:tblPr>
      <w:tblGrid>
        <w:gridCol w:w="1885"/>
        <w:gridCol w:w="1385"/>
        <w:gridCol w:w="1384"/>
        <w:gridCol w:w="1384"/>
        <w:gridCol w:w="1387"/>
        <w:gridCol w:w="1382"/>
        <w:gridCol w:w="1384"/>
        <w:gridCol w:w="1382"/>
        <w:gridCol w:w="1387"/>
      </w:tblGrid>
      <w:tr w:rsidR="003273BD" w:rsidRPr="00245E91" w14:paraId="023B3B37" w14:textId="77777777" w:rsidTr="00D83DD8">
        <w:trPr>
          <w:trHeight w:val="144"/>
        </w:trPr>
        <w:tc>
          <w:tcPr>
            <w:tcW w:w="727" w:type="pct"/>
            <w:tcBorders>
              <w:top w:val="single" w:sz="4" w:space="0" w:color="auto"/>
              <w:left w:val="nil"/>
              <w:right w:val="nil"/>
            </w:tcBorders>
            <w:shd w:val="clear" w:color="auto" w:fill="auto"/>
            <w:noWrap/>
            <w:vAlign w:val="bottom"/>
            <w:hideMark/>
          </w:tcPr>
          <w:p w14:paraId="50977902" w14:textId="77777777" w:rsidR="003273BD" w:rsidRPr="00245E91" w:rsidRDefault="003273BD" w:rsidP="003273BD">
            <w:pPr>
              <w:spacing w:after="0" w:line="240" w:lineRule="auto"/>
              <w:contextualSpacing/>
              <w:rPr>
                <w:rFonts w:ascii="Times New Roman" w:eastAsia="Times New Roman" w:hAnsi="Times New Roman"/>
                <w:b/>
                <w:i/>
                <w:sz w:val="15"/>
                <w:szCs w:val="15"/>
              </w:rPr>
            </w:pPr>
          </w:p>
        </w:tc>
        <w:tc>
          <w:tcPr>
            <w:tcW w:w="2137" w:type="pct"/>
            <w:gridSpan w:val="4"/>
            <w:tcBorders>
              <w:top w:val="single" w:sz="4" w:space="0" w:color="auto"/>
              <w:left w:val="nil"/>
              <w:right w:val="single" w:sz="4" w:space="0" w:color="auto"/>
            </w:tcBorders>
            <w:shd w:val="clear" w:color="auto" w:fill="auto"/>
            <w:noWrap/>
            <w:vAlign w:val="bottom"/>
            <w:hideMark/>
          </w:tcPr>
          <w:p w14:paraId="5E0A2215" w14:textId="77777777" w:rsidR="003273BD" w:rsidRPr="00245E91" w:rsidRDefault="003273BD" w:rsidP="00F7612D">
            <w:pPr>
              <w:spacing w:after="0" w:line="240" w:lineRule="auto"/>
              <w:contextualSpacing/>
              <w:jc w:val="center"/>
              <w:rPr>
                <w:rFonts w:ascii="Times New Roman" w:eastAsia="Times New Roman" w:hAnsi="Times New Roman"/>
                <w:color w:val="000000"/>
                <w:sz w:val="15"/>
                <w:szCs w:val="15"/>
              </w:rPr>
            </w:pPr>
            <w:r w:rsidRPr="00245E91">
              <w:rPr>
                <w:rFonts w:ascii="Times New Roman" w:eastAsia="Times New Roman" w:hAnsi="Times New Roman"/>
                <w:b/>
                <w:i/>
                <w:color w:val="000000"/>
                <w:sz w:val="15"/>
                <w:szCs w:val="15"/>
              </w:rPr>
              <w:t>Panel A – Low Liquidity</w:t>
            </w:r>
          </w:p>
        </w:tc>
        <w:tc>
          <w:tcPr>
            <w:tcW w:w="2135" w:type="pct"/>
            <w:gridSpan w:val="4"/>
            <w:tcBorders>
              <w:top w:val="single" w:sz="4" w:space="0" w:color="auto"/>
              <w:left w:val="single" w:sz="4" w:space="0" w:color="auto"/>
              <w:bottom w:val="nil"/>
              <w:right w:val="nil"/>
            </w:tcBorders>
            <w:shd w:val="clear" w:color="auto" w:fill="auto"/>
            <w:noWrap/>
            <w:vAlign w:val="bottom"/>
            <w:hideMark/>
          </w:tcPr>
          <w:p w14:paraId="45CA7019" w14:textId="77777777" w:rsidR="003273BD" w:rsidRPr="00245E91" w:rsidRDefault="003273BD" w:rsidP="00F7612D">
            <w:pPr>
              <w:spacing w:after="0" w:line="240" w:lineRule="auto"/>
              <w:contextualSpacing/>
              <w:jc w:val="center"/>
              <w:rPr>
                <w:rFonts w:ascii="Times New Roman" w:eastAsia="Times New Roman" w:hAnsi="Times New Roman"/>
                <w:color w:val="000000"/>
                <w:sz w:val="15"/>
                <w:szCs w:val="15"/>
              </w:rPr>
            </w:pPr>
            <w:r w:rsidRPr="00245E91">
              <w:rPr>
                <w:rFonts w:ascii="Times New Roman" w:eastAsia="Times New Roman" w:hAnsi="Times New Roman"/>
                <w:b/>
                <w:i/>
                <w:color w:val="000000"/>
                <w:sz w:val="15"/>
                <w:szCs w:val="15"/>
              </w:rPr>
              <w:t>Panel B – High Liquidity</w:t>
            </w:r>
          </w:p>
        </w:tc>
      </w:tr>
      <w:tr w:rsidR="003273BD" w:rsidRPr="00245E91" w14:paraId="7663B8A7" w14:textId="77777777" w:rsidTr="00245E91">
        <w:trPr>
          <w:trHeight w:val="144"/>
        </w:trPr>
        <w:tc>
          <w:tcPr>
            <w:tcW w:w="727" w:type="pct"/>
            <w:tcBorders>
              <w:top w:val="nil"/>
              <w:left w:val="nil"/>
              <w:bottom w:val="single" w:sz="4" w:space="0" w:color="auto"/>
              <w:right w:val="nil"/>
            </w:tcBorders>
            <w:shd w:val="clear" w:color="auto" w:fill="auto"/>
            <w:noWrap/>
            <w:vAlign w:val="bottom"/>
            <w:hideMark/>
          </w:tcPr>
          <w:p w14:paraId="355B4F13"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Variables</w:t>
            </w:r>
          </w:p>
        </w:tc>
        <w:tc>
          <w:tcPr>
            <w:tcW w:w="534" w:type="pct"/>
            <w:tcBorders>
              <w:top w:val="nil"/>
              <w:left w:val="nil"/>
              <w:bottom w:val="single" w:sz="4" w:space="0" w:color="auto"/>
              <w:right w:val="nil"/>
            </w:tcBorders>
            <w:shd w:val="clear" w:color="auto" w:fill="auto"/>
            <w:noWrap/>
            <w:vAlign w:val="bottom"/>
            <w:hideMark/>
          </w:tcPr>
          <w:p w14:paraId="0AF5582F"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1 – RM1</w:t>
            </w:r>
          </w:p>
        </w:tc>
        <w:tc>
          <w:tcPr>
            <w:tcW w:w="534" w:type="pct"/>
            <w:tcBorders>
              <w:top w:val="nil"/>
              <w:left w:val="nil"/>
              <w:bottom w:val="single" w:sz="4" w:space="0" w:color="auto"/>
              <w:right w:val="nil"/>
            </w:tcBorders>
            <w:shd w:val="clear" w:color="auto" w:fill="auto"/>
            <w:noWrap/>
            <w:vAlign w:val="bottom"/>
            <w:hideMark/>
          </w:tcPr>
          <w:p w14:paraId="0144CA1C"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2 – RM2</w:t>
            </w:r>
          </w:p>
        </w:tc>
        <w:tc>
          <w:tcPr>
            <w:tcW w:w="534" w:type="pct"/>
            <w:tcBorders>
              <w:top w:val="nil"/>
              <w:left w:val="nil"/>
              <w:bottom w:val="single" w:sz="4" w:space="0" w:color="auto"/>
              <w:right w:val="nil"/>
            </w:tcBorders>
            <w:shd w:val="clear" w:color="auto" w:fill="auto"/>
            <w:noWrap/>
            <w:vAlign w:val="bottom"/>
            <w:hideMark/>
          </w:tcPr>
          <w:p w14:paraId="470A4F24"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3 – DA</w:t>
            </w:r>
          </w:p>
        </w:tc>
        <w:tc>
          <w:tcPr>
            <w:tcW w:w="535" w:type="pct"/>
            <w:tcBorders>
              <w:top w:val="nil"/>
              <w:left w:val="nil"/>
              <w:bottom w:val="single" w:sz="4" w:space="0" w:color="auto"/>
              <w:right w:val="single" w:sz="4" w:space="0" w:color="auto"/>
            </w:tcBorders>
            <w:shd w:val="clear" w:color="auto" w:fill="auto"/>
            <w:noWrap/>
            <w:vAlign w:val="bottom"/>
            <w:hideMark/>
          </w:tcPr>
          <w:p w14:paraId="718AF00B"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4 – DA</w:t>
            </w:r>
          </w:p>
        </w:tc>
        <w:tc>
          <w:tcPr>
            <w:tcW w:w="533" w:type="pct"/>
            <w:tcBorders>
              <w:top w:val="nil"/>
              <w:left w:val="single" w:sz="4" w:space="0" w:color="auto"/>
              <w:bottom w:val="single" w:sz="4" w:space="0" w:color="auto"/>
              <w:right w:val="nil"/>
            </w:tcBorders>
            <w:shd w:val="clear" w:color="auto" w:fill="auto"/>
            <w:noWrap/>
            <w:vAlign w:val="bottom"/>
            <w:hideMark/>
          </w:tcPr>
          <w:p w14:paraId="7A27C4BD"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1 – RM1</w:t>
            </w:r>
          </w:p>
        </w:tc>
        <w:tc>
          <w:tcPr>
            <w:tcW w:w="534" w:type="pct"/>
            <w:tcBorders>
              <w:top w:val="nil"/>
              <w:left w:val="nil"/>
              <w:bottom w:val="single" w:sz="4" w:space="0" w:color="auto"/>
              <w:right w:val="nil"/>
            </w:tcBorders>
            <w:shd w:val="clear" w:color="auto" w:fill="auto"/>
            <w:noWrap/>
            <w:vAlign w:val="bottom"/>
            <w:hideMark/>
          </w:tcPr>
          <w:p w14:paraId="62B3727B"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2 – RM2</w:t>
            </w:r>
          </w:p>
        </w:tc>
        <w:tc>
          <w:tcPr>
            <w:tcW w:w="533" w:type="pct"/>
            <w:tcBorders>
              <w:top w:val="nil"/>
              <w:left w:val="nil"/>
              <w:bottom w:val="single" w:sz="4" w:space="0" w:color="auto"/>
              <w:right w:val="nil"/>
            </w:tcBorders>
            <w:shd w:val="clear" w:color="auto" w:fill="auto"/>
            <w:noWrap/>
            <w:vAlign w:val="bottom"/>
            <w:hideMark/>
          </w:tcPr>
          <w:p w14:paraId="193BC136"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3 – DA</w:t>
            </w:r>
          </w:p>
        </w:tc>
        <w:tc>
          <w:tcPr>
            <w:tcW w:w="535" w:type="pct"/>
            <w:tcBorders>
              <w:top w:val="nil"/>
              <w:left w:val="nil"/>
              <w:bottom w:val="single" w:sz="4" w:space="0" w:color="auto"/>
              <w:right w:val="nil"/>
            </w:tcBorders>
            <w:shd w:val="clear" w:color="auto" w:fill="auto"/>
            <w:noWrap/>
            <w:vAlign w:val="bottom"/>
            <w:hideMark/>
          </w:tcPr>
          <w:p w14:paraId="246FF701"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4 – DA</w:t>
            </w:r>
          </w:p>
        </w:tc>
      </w:tr>
      <w:tr w:rsidR="003273BD" w:rsidRPr="00245E91" w14:paraId="2A751D44" w14:textId="77777777" w:rsidTr="00245E91">
        <w:trPr>
          <w:trHeight w:val="144"/>
        </w:trPr>
        <w:tc>
          <w:tcPr>
            <w:tcW w:w="727" w:type="pct"/>
            <w:tcBorders>
              <w:top w:val="single" w:sz="4" w:space="0" w:color="auto"/>
              <w:left w:val="nil"/>
              <w:bottom w:val="nil"/>
              <w:right w:val="nil"/>
            </w:tcBorders>
            <w:shd w:val="clear" w:color="auto" w:fill="auto"/>
            <w:noWrap/>
            <w:vAlign w:val="bottom"/>
            <w:hideMark/>
          </w:tcPr>
          <w:p w14:paraId="6AAFCFF5" w14:textId="77777777" w:rsidR="003273BD" w:rsidRPr="00245E91" w:rsidRDefault="003273BD" w:rsidP="003273BD">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Constant</w:t>
            </w:r>
          </w:p>
        </w:tc>
        <w:tc>
          <w:tcPr>
            <w:tcW w:w="534" w:type="pct"/>
            <w:tcBorders>
              <w:top w:val="single" w:sz="4" w:space="0" w:color="auto"/>
              <w:left w:val="nil"/>
              <w:bottom w:val="nil"/>
              <w:right w:val="nil"/>
            </w:tcBorders>
            <w:shd w:val="clear" w:color="auto" w:fill="auto"/>
            <w:noWrap/>
            <w:vAlign w:val="bottom"/>
            <w:hideMark/>
          </w:tcPr>
          <w:p w14:paraId="75C9DC6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-0.111</w:t>
            </w:r>
          </w:p>
        </w:tc>
        <w:tc>
          <w:tcPr>
            <w:tcW w:w="534" w:type="pct"/>
            <w:tcBorders>
              <w:top w:val="single" w:sz="4" w:space="0" w:color="auto"/>
              <w:left w:val="nil"/>
              <w:bottom w:val="nil"/>
              <w:right w:val="nil"/>
            </w:tcBorders>
            <w:shd w:val="clear" w:color="auto" w:fill="auto"/>
            <w:noWrap/>
            <w:vAlign w:val="bottom"/>
            <w:hideMark/>
          </w:tcPr>
          <w:p w14:paraId="5C19DCB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-0.009</w:t>
            </w:r>
          </w:p>
        </w:tc>
        <w:tc>
          <w:tcPr>
            <w:tcW w:w="534" w:type="pct"/>
            <w:tcBorders>
              <w:top w:val="single" w:sz="4" w:space="0" w:color="auto"/>
              <w:left w:val="nil"/>
              <w:bottom w:val="nil"/>
              <w:right w:val="nil"/>
            </w:tcBorders>
            <w:shd w:val="clear" w:color="auto" w:fill="auto"/>
            <w:noWrap/>
            <w:vAlign w:val="bottom"/>
            <w:hideMark/>
          </w:tcPr>
          <w:p w14:paraId="673575C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0.101</w:t>
            </w:r>
          </w:p>
        </w:tc>
        <w:tc>
          <w:tcPr>
            <w:tcW w:w="535" w:type="pct"/>
            <w:tcBorders>
              <w:top w:val="single" w:sz="4" w:space="0" w:color="auto"/>
              <w:left w:val="nil"/>
              <w:bottom w:val="nil"/>
              <w:right w:val="single" w:sz="4" w:space="0" w:color="auto"/>
            </w:tcBorders>
            <w:shd w:val="clear" w:color="auto" w:fill="auto"/>
            <w:noWrap/>
            <w:vAlign w:val="bottom"/>
            <w:hideMark/>
          </w:tcPr>
          <w:p w14:paraId="08F3511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0.101</w:t>
            </w:r>
          </w:p>
        </w:tc>
        <w:tc>
          <w:tcPr>
            <w:tcW w:w="533" w:type="pct"/>
            <w:tcBorders>
              <w:top w:val="single" w:sz="4" w:space="0" w:color="auto"/>
              <w:left w:val="single" w:sz="4" w:space="0" w:color="auto"/>
              <w:bottom w:val="nil"/>
              <w:right w:val="nil"/>
            </w:tcBorders>
            <w:shd w:val="clear" w:color="auto" w:fill="auto"/>
            <w:noWrap/>
            <w:vAlign w:val="bottom"/>
            <w:hideMark/>
          </w:tcPr>
          <w:p w14:paraId="7979DED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-0.200</w:t>
            </w:r>
          </w:p>
        </w:tc>
        <w:tc>
          <w:tcPr>
            <w:tcW w:w="534" w:type="pct"/>
            <w:tcBorders>
              <w:top w:val="single" w:sz="4" w:space="0" w:color="auto"/>
              <w:left w:val="nil"/>
              <w:bottom w:val="nil"/>
              <w:right w:val="nil"/>
            </w:tcBorders>
            <w:shd w:val="clear" w:color="auto" w:fill="auto"/>
            <w:noWrap/>
            <w:vAlign w:val="bottom"/>
            <w:hideMark/>
          </w:tcPr>
          <w:p w14:paraId="53673DB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-0.081</w:t>
            </w:r>
          </w:p>
        </w:tc>
        <w:tc>
          <w:tcPr>
            <w:tcW w:w="533" w:type="pct"/>
            <w:tcBorders>
              <w:top w:val="single" w:sz="4" w:space="0" w:color="auto"/>
              <w:left w:val="nil"/>
              <w:bottom w:val="nil"/>
              <w:right w:val="nil"/>
            </w:tcBorders>
            <w:shd w:val="clear" w:color="auto" w:fill="auto"/>
            <w:noWrap/>
            <w:vAlign w:val="bottom"/>
            <w:hideMark/>
          </w:tcPr>
          <w:p w14:paraId="3AB689B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0.115</w:t>
            </w:r>
          </w:p>
        </w:tc>
        <w:tc>
          <w:tcPr>
            <w:tcW w:w="535" w:type="pct"/>
            <w:tcBorders>
              <w:top w:val="single" w:sz="4" w:space="0" w:color="auto"/>
              <w:left w:val="nil"/>
              <w:bottom w:val="nil"/>
              <w:right w:val="nil"/>
            </w:tcBorders>
            <w:shd w:val="clear" w:color="auto" w:fill="auto"/>
            <w:noWrap/>
            <w:vAlign w:val="bottom"/>
            <w:hideMark/>
          </w:tcPr>
          <w:p w14:paraId="07CEFAB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0.112</w:t>
            </w:r>
          </w:p>
        </w:tc>
      </w:tr>
      <w:tr w:rsidR="003273BD" w:rsidRPr="00245E91" w14:paraId="16AD0CE1" w14:textId="77777777" w:rsidTr="00245E91">
        <w:trPr>
          <w:trHeight w:val="144"/>
        </w:trPr>
        <w:tc>
          <w:tcPr>
            <w:tcW w:w="727" w:type="pct"/>
            <w:tcBorders>
              <w:top w:val="nil"/>
              <w:left w:val="nil"/>
              <w:bottom w:val="nil"/>
              <w:right w:val="nil"/>
            </w:tcBorders>
            <w:shd w:val="clear" w:color="auto" w:fill="auto"/>
            <w:noWrap/>
            <w:vAlign w:val="bottom"/>
            <w:hideMark/>
          </w:tcPr>
          <w:p w14:paraId="69F08AEC" w14:textId="77777777" w:rsidR="003273BD" w:rsidRPr="00245E91" w:rsidRDefault="003273BD" w:rsidP="003273BD">
            <w:pPr>
              <w:spacing w:after="0" w:line="240" w:lineRule="auto"/>
              <w:contextualSpacing/>
              <w:rPr>
                <w:rFonts w:ascii="Times New Roman" w:eastAsia="Times New Roman" w:hAnsi="Times New Roman"/>
                <w:color w:val="000000"/>
                <w:sz w:val="15"/>
                <w:szCs w:val="15"/>
              </w:rPr>
            </w:pPr>
          </w:p>
        </w:tc>
        <w:tc>
          <w:tcPr>
            <w:tcW w:w="534" w:type="pct"/>
            <w:tcBorders>
              <w:top w:val="nil"/>
              <w:left w:val="nil"/>
              <w:bottom w:val="nil"/>
              <w:right w:val="nil"/>
            </w:tcBorders>
            <w:shd w:val="clear" w:color="auto" w:fill="auto"/>
            <w:noWrap/>
            <w:vAlign w:val="bottom"/>
            <w:hideMark/>
          </w:tcPr>
          <w:p w14:paraId="4C0E7C0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(-1.80*)</w:t>
            </w:r>
          </w:p>
        </w:tc>
        <w:tc>
          <w:tcPr>
            <w:tcW w:w="534" w:type="pct"/>
            <w:tcBorders>
              <w:top w:val="nil"/>
              <w:left w:val="nil"/>
              <w:bottom w:val="nil"/>
              <w:right w:val="nil"/>
            </w:tcBorders>
            <w:shd w:val="clear" w:color="auto" w:fill="auto"/>
            <w:noWrap/>
            <w:vAlign w:val="bottom"/>
            <w:hideMark/>
          </w:tcPr>
          <w:p w14:paraId="62B9729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w:t>
            </w:r>
          </w:p>
        </w:tc>
        <w:tc>
          <w:tcPr>
            <w:tcW w:w="534" w:type="pct"/>
            <w:tcBorders>
              <w:top w:val="nil"/>
              <w:left w:val="nil"/>
              <w:bottom w:val="nil"/>
              <w:right w:val="nil"/>
            </w:tcBorders>
            <w:shd w:val="clear" w:color="auto" w:fill="auto"/>
            <w:noWrap/>
            <w:vAlign w:val="bottom"/>
            <w:hideMark/>
          </w:tcPr>
          <w:p w14:paraId="7F6DADF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(2.87***)</w:t>
            </w:r>
          </w:p>
        </w:tc>
        <w:tc>
          <w:tcPr>
            <w:tcW w:w="535" w:type="pct"/>
            <w:tcBorders>
              <w:top w:val="nil"/>
              <w:left w:val="nil"/>
              <w:bottom w:val="nil"/>
              <w:right w:val="single" w:sz="4" w:space="0" w:color="auto"/>
            </w:tcBorders>
            <w:shd w:val="clear" w:color="auto" w:fill="auto"/>
            <w:noWrap/>
            <w:vAlign w:val="bottom"/>
            <w:hideMark/>
          </w:tcPr>
          <w:p w14:paraId="2DB8F0B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(2.90***)</w:t>
            </w:r>
          </w:p>
        </w:tc>
        <w:tc>
          <w:tcPr>
            <w:tcW w:w="533" w:type="pct"/>
            <w:tcBorders>
              <w:top w:val="nil"/>
              <w:left w:val="single" w:sz="4" w:space="0" w:color="auto"/>
              <w:bottom w:val="nil"/>
              <w:right w:val="nil"/>
            </w:tcBorders>
            <w:shd w:val="clear" w:color="auto" w:fill="auto"/>
            <w:noWrap/>
            <w:vAlign w:val="bottom"/>
            <w:hideMark/>
          </w:tcPr>
          <w:p w14:paraId="2AF8927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(-2.04**)</w:t>
            </w:r>
          </w:p>
        </w:tc>
        <w:tc>
          <w:tcPr>
            <w:tcW w:w="534" w:type="pct"/>
            <w:tcBorders>
              <w:top w:val="nil"/>
              <w:left w:val="nil"/>
              <w:bottom w:val="nil"/>
              <w:right w:val="nil"/>
            </w:tcBorders>
            <w:shd w:val="clear" w:color="auto" w:fill="auto"/>
            <w:noWrap/>
            <w:vAlign w:val="bottom"/>
            <w:hideMark/>
          </w:tcPr>
          <w:p w14:paraId="1D170F0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(-0.81)</w:t>
            </w:r>
          </w:p>
        </w:tc>
        <w:tc>
          <w:tcPr>
            <w:tcW w:w="533" w:type="pct"/>
            <w:tcBorders>
              <w:top w:val="nil"/>
              <w:left w:val="nil"/>
              <w:bottom w:val="nil"/>
              <w:right w:val="nil"/>
            </w:tcBorders>
            <w:shd w:val="clear" w:color="auto" w:fill="auto"/>
            <w:noWrap/>
            <w:vAlign w:val="bottom"/>
            <w:hideMark/>
          </w:tcPr>
          <w:p w14:paraId="18A97EA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(2.26**)</w:t>
            </w:r>
          </w:p>
        </w:tc>
        <w:tc>
          <w:tcPr>
            <w:tcW w:w="535" w:type="pct"/>
            <w:tcBorders>
              <w:top w:val="nil"/>
              <w:left w:val="nil"/>
              <w:bottom w:val="nil"/>
              <w:right w:val="nil"/>
            </w:tcBorders>
            <w:shd w:val="clear" w:color="auto" w:fill="auto"/>
            <w:noWrap/>
            <w:vAlign w:val="bottom"/>
            <w:hideMark/>
          </w:tcPr>
          <w:p w14:paraId="396C9C1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(2.31**)</w:t>
            </w:r>
          </w:p>
        </w:tc>
      </w:tr>
      <w:tr w:rsidR="003273BD" w:rsidRPr="00245E91" w14:paraId="3838830A" w14:textId="77777777" w:rsidTr="00245E91">
        <w:trPr>
          <w:trHeight w:val="144"/>
        </w:trPr>
        <w:tc>
          <w:tcPr>
            <w:tcW w:w="727" w:type="pct"/>
            <w:tcBorders>
              <w:top w:val="nil"/>
              <w:left w:val="nil"/>
              <w:bottom w:val="nil"/>
              <w:right w:val="nil"/>
            </w:tcBorders>
            <w:shd w:val="clear" w:color="auto" w:fill="auto"/>
            <w:noWrap/>
            <w:vAlign w:val="bottom"/>
            <w:hideMark/>
          </w:tcPr>
          <w:p w14:paraId="07D3C425"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MLP</w:t>
            </w:r>
          </w:p>
        </w:tc>
        <w:tc>
          <w:tcPr>
            <w:tcW w:w="534" w:type="pct"/>
            <w:tcBorders>
              <w:top w:val="nil"/>
              <w:left w:val="nil"/>
              <w:bottom w:val="nil"/>
              <w:right w:val="nil"/>
            </w:tcBorders>
            <w:shd w:val="clear" w:color="auto" w:fill="auto"/>
            <w:noWrap/>
            <w:vAlign w:val="bottom"/>
            <w:hideMark/>
          </w:tcPr>
          <w:p w14:paraId="62187FF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0.292</w:t>
            </w:r>
          </w:p>
        </w:tc>
        <w:tc>
          <w:tcPr>
            <w:tcW w:w="534" w:type="pct"/>
            <w:tcBorders>
              <w:top w:val="nil"/>
              <w:left w:val="nil"/>
              <w:bottom w:val="nil"/>
              <w:right w:val="nil"/>
            </w:tcBorders>
            <w:shd w:val="clear" w:color="auto" w:fill="auto"/>
            <w:noWrap/>
            <w:vAlign w:val="bottom"/>
            <w:hideMark/>
          </w:tcPr>
          <w:p w14:paraId="60F19C8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0.253</w:t>
            </w:r>
          </w:p>
        </w:tc>
        <w:tc>
          <w:tcPr>
            <w:tcW w:w="534" w:type="pct"/>
            <w:tcBorders>
              <w:top w:val="nil"/>
              <w:left w:val="nil"/>
              <w:bottom w:val="nil"/>
              <w:right w:val="nil"/>
            </w:tcBorders>
            <w:shd w:val="clear" w:color="auto" w:fill="auto"/>
            <w:noWrap/>
            <w:vAlign w:val="bottom"/>
            <w:hideMark/>
          </w:tcPr>
          <w:p w14:paraId="300F3F5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-0.008</w:t>
            </w:r>
          </w:p>
        </w:tc>
        <w:tc>
          <w:tcPr>
            <w:tcW w:w="535" w:type="pct"/>
            <w:tcBorders>
              <w:top w:val="nil"/>
              <w:left w:val="nil"/>
              <w:bottom w:val="nil"/>
              <w:right w:val="single" w:sz="4" w:space="0" w:color="auto"/>
            </w:tcBorders>
            <w:shd w:val="clear" w:color="auto" w:fill="auto"/>
            <w:noWrap/>
            <w:vAlign w:val="bottom"/>
            <w:hideMark/>
          </w:tcPr>
          <w:p w14:paraId="53FE957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-0.007</w:t>
            </w:r>
          </w:p>
        </w:tc>
        <w:tc>
          <w:tcPr>
            <w:tcW w:w="533" w:type="pct"/>
            <w:tcBorders>
              <w:top w:val="nil"/>
              <w:left w:val="single" w:sz="4" w:space="0" w:color="auto"/>
              <w:bottom w:val="nil"/>
              <w:right w:val="nil"/>
            </w:tcBorders>
            <w:shd w:val="clear" w:color="auto" w:fill="auto"/>
            <w:noWrap/>
            <w:vAlign w:val="bottom"/>
            <w:hideMark/>
          </w:tcPr>
          <w:p w14:paraId="68B90FC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0.031</w:t>
            </w:r>
          </w:p>
        </w:tc>
        <w:tc>
          <w:tcPr>
            <w:tcW w:w="534" w:type="pct"/>
            <w:tcBorders>
              <w:top w:val="nil"/>
              <w:left w:val="nil"/>
              <w:bottom w:val="nil"/>
              <w:right w:val="nil"/>
            </w:tcBorders>
            <w:shd w:val="clear" w:color="auto" w:fill="auto"/>
            <w:noWrap/>
            <w:vAlign w:val="bottom"/>
            <w:hideMark/>
          </w:tcPr>
          <w:p w14:paraId="1E9E664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0.056</w:t>
            </w:r>
          </w:p>
        </w:tc>
        <w:tc>
          <w:tcPr>
            <w:tcW w:w="533" w:type="pct"/>
            <w:tcBorders>
              <w:top w:val="nil"/>
              <w:left w:val="nil"/>
              <w:bottom w:val="nil"/>
              <w:right w:val="nil"/>
            </w:tcBorders>
            <w:shd w:val="clear" w:color="auto" w:fill="auto"/>
            <w:noWrap/>
            <w:vAlign w:val="bottom"/>
            <w:hideMark/>
          </w:tcPr>
          <w:p w14:paraId="3DC6CC1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-0.003</w:t>
            </w:r>
          </w:p>
        </w:tc>
        <w:tc>
          <w:tcPr>
            <w:tcW w:w="535" w:type="pct"/>
            <w:tcBorders>
              <w:top w:val="nil"/>
              <w:left w:val="nil"/>
              <w:bottom w:val="nil"/>
              <w:right w:val="nil"/>
            </w:tcBorders>
            <w:shd w:val="clear" w:color="auto" w:fill="auto"/>
            <w:noWrap/>
            <w:vAlign w:val="bottom"/>
            <w:hideMark/>
          </w:tcPr>
          <w:p w14:paraId="0E8FA84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-0.009</w:t>
            </w:r>
          </w:p>
        </w:tc>
      </w:tr>
      <w:tr w:rsidR="003273BD" w:rsidRPr="00245E91" w14:paraId="70DB67F9" w14:textId="77777777" w:rsidTr="00245E91">
        <w:trPr>
          <w:trHeight w:val="144"/>
        </w:trPr>
        <w:tc>
          <w:tcPr>
            <w:tcW w:w="727" w:type="pct"/>
            <w:tcBorders>
              <w:top w:val="nil"/>
              <w:left w:val="nil"/>
              <w:bottom w:val="nil"/>
              <w:right w:val="nil"/>
            </w:tcBorders>
            <w:shd w:val="clear" w:color="auto" w:fill="auto"/>
            <w:noWrap/>
            <w:vAlign w:val="bottom"/>
            <w:hideMark/>
          </w:tcPr>
          <w:p w14:paraId="6B07F424"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2B2DFD4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(5.18***)</w:t>
            </w:r>
          </w:p>
        </w:tc>
        <w:tc>
          <w:tcPr>
            <w:tcW w:w="534" w:type="pct"/>
            <w:tcBorders>
              <w:top w:val="nil"/>
              <w:left w:val="nil"/>
              <w:bottom w:val="nil"/>
              <w:right w:val="nil"/>
            </w:tcBorders>
            <w:shd w:val="clear" w:color="auto" w:fill="auto"/>
            <w:noWrap/>
            <w:vAlign w:val="bottom"/>
            <w:hideMark/>
          </w:tcPr>
          <w:p w14:paraId="1E5AF59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(4.76***)</w:t>
            </w:r>
          </w:p>
        </w:tc>
        <w:tc>
          <w:tcPr>
            <w:tcW w:w="534" w:type="pct"/>
            <w:tcBorders>
              <w:top w:val="nil"/>
              <w:left w:val="nil"/>
              <w:bottom w:val="nil"/>
              <w:right w:val="nil"/>
            </w:tcBorders>
            <w:shd w:val="clear" w:color="auto" w:fill="auto"/>
            <w:noWrap/>
            <w:vAlign w:val="bottom"/>
            <w:hideMark/>
          </w:tcPr>
          <w:p w14:paraId="228CAFC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(-0.28)</w:t>
            </w:r>
          </w:p>
        </w:tc>
        <w:tc>
          <w:tcPr>
            <w:tcW w:w="535" w:type="pct"/>
            <w:tcBorders>
              <w:top w:val="nil"/>
              <w:left w:val="nil"/>
              <w:bottom w:val="nil"/>
              <w:right w:val="single" w:sz="4" w:space="0" w:color="auto"/>
            </w:tcBorders>
            <w:shd w:val="clear" w:color="auto" w:fill="auto"/>
            <w:noWrap/>
            <w:vAlign w:val="bottom"/>
            <w:hideMark/>
          </w:tcPr>
          <w:p w14:paraId="0A3FF37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(-0.26)</w:t>
            </w:r>
          </w:p>
        </w:tc>
        <w:tc>
          <w:tcPr>
            <w:tcW w:w="533" w:type="pct"/>
            <w:tcBorders>
              <w:top w:val="nil"/>
              <w:left w:val="single" w:sz="4" w:space="0" w:color="auto"/>
              <w:bottom w:val="nil"/>
              <w:right w:val="nil"/>
            </w:tcBorders>
            <w:shd w:val="clear" w:color="auto" w:fill="auto"/>
            <w:noWrap/>
            <w:vAlign w:val="bottom"/>
            <w:hideMark/>
          </w:tcPr>
          <w:p w14:paraId="526B8FA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(0.93)</w:t>
            </w:r>
          </w:p>
        </w:tc>
        <w:tc>
          <w:tcPr>
            <w:tcW w:w="534" w:type="pct"/>
            <w:tcBorders>
              <w:top w:val="nil"/>
              <w:left w:val="nil"/>
              <w:bottom w:val="nil"/>
              <w:right w:val="nil"/>
            </w:tcBorders>
            <w:shd w:val="clear" w:color="auto" w:fill="auto"/>
            <w:noWrap/>
            <w:vAlign w:val="bottom"/>
            <w:hideMark/>
          </w:tcPr>
          <w:p w14:paraId="0372730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(1.89*)</w:t>
            </w:r>
          </w:p>
        </w:tc>
        <w:tc>
          <w:tcPr>
            <w:tcW w:w="533" w:type="pct"/>
            <w:tcBorders>
              <w:top w:val="nil"/>
              <w:left w:val="nil"/>
              <w:bottom w:val="nil"/>
              <w:right w:val="nil"/>
            </w:tcBorders>
            <w:shd w:val="clear" w:color="auto" w:fill="auto"/>
            <w:noWrap/>
            <w:vAlign w:val="bottom"/>
            <w:hideMark/>
          </w:tcPr>
          <w:p w14:paraId="58B29A7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w:t>
            </w:r>
          </w:p>
        </w:tc>
        <w:tc>
          <w:tcPr>
            <w:tcW w:w="535" w:type="pct"/>
            <w:tcBorders>
              <w:top w:val="nil"/>
              <w:left w:val="nil"/>
              <w:bottom w:val="nil"/>
              <w:right w:val="nil"/>
            </w:tcBorders>
            <w:shd w:val="clear" w:color="auto" w:fill="auto"/>
            <w:noWrap/>
            <w:vAlign w:val="bottom"/>
            <w:hideMark/>
          </w:tcPr>
          <w:p w14:paraId="56DCD4C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(-0.32)</w:t>
            </w:r>
          </w:p>
        </w:tc>
      </w:tr>
      <w:tr w:rsidR="003273BD" w:rsidRPr="00245E91" w14:paraId="3353E3AB" w14:textId="77777777" w:rsidTr="00245E91">
        <w:trPr>
          <w:trHeight w:val="144"/>
        </w:trPr>
        <w:tc>
          <w:tcPr>
            <w:tcW w:w="727" w:type="pct"/>
            <w:tcBorders>
              <w:top w:val="nil"/>
              <w:left w:val="nil"/>
              <w:bottom w:val="nil"/>
              <w:right w:val="nil"/>
            </w:tcBorders>
            <w:shd w:val="clear" w:color="auto" w:fill="auto"/>
            <w:noWrap/>
            <w:vAlign w:val="bottom"/>
            <w:hideMark/>
          </w:tcPr>
          <w:p w14:paraId="2C30B691"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LN(Assets)</w:t>
            </w:r>
          </w:p>
        </w:tc>
        <w:tc>
          <w:tcPr>
            <w:tcW w:w="534" w:type="pct"/>
            <w:tcBorders>
              <w:top w:val="nil"/>
              <w:left w:val="nil"/>
              <w:bottom w:val="nil"/>
              <w:right w:val="nil"/>
            </w:tcBorders>
            <w:shd w:val="clear" w:color="auto" w:fill="auto"/>
            <w:noWrap/>
            <w:vAlign w:val="bottom"/>
            <w:hideMark/>
          </w:tcPr>
          <w:p w14:paraId="63D89CE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0.051</w:t>
            </w:r>
          </w:p>
        </w:tc>
        <w:tc>
          <w:tcPr>
            <w:tcW w:w="534" w:type="pct"/>
            <w:tcBorders>
              <w:top w:val="nil"/>
              <w:left w:val="nil"/>
              <w:bottom w:val="nil"/>
              <w:right w:val="nil"/>
            </w:tcBorders>
            <w:shd w:val="clear" w:color="auto" w:fill="auto"/>
            <w:noWrap/>
            <w:vAlign w:val="bottom"/>
            <w:hideMark/>
          </w:tcPr>
          <w:p w14:paraId="080968E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0.003</w:t>
            </w:r>
          </w:p>
        </w:tc>
        <w:tc>
          <w:tcPr>
            <w:tcW w:w="534" w:type="pct"/>
            <w:tcBorders>
              <w:top w:val="nil"/>
              <w:left w:val="nil"/>
              <w:bottom w:val="nil"/>
              <w:right w:val="nil"/>
            </w:tcBorders>
            <w:shd w:val="clear" w:color="auto" w:fill="auto"/>
            <w:noWrap/>
            <w:vAlign w:val="bottom"/>
            <w:hideMark/>
          </w:tcPr>
          <w:p w14:paraId="6C090A0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-0.016</w:t>
            </w:r>
          </w:p>
        </w:tc>
        <w:tc>
          <w:tcPr>
            <w:tcW w:w="535" w:type="pct"/>
            <w:tcBorders>
              <w:top w:val="nil"/>
              <w:left w:val="nil"/>
              <w:bottom w:val="nil"/>
              <w:right w:val="single" w:sz="4" w:space="0" w:color="auto"/>
            </w:tcBorders>
            <w:shd w:val="clear" w:color="auto" w:fill="auto"/>
            <w:noWrap/>
            <w:vAlign w:val="bottom"/>
            <w:hideMark/>
          </w:tcPr>
          <w:p w14:paraId="31D19DC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-0.013</w:t>
            </w:r>
          </w:p>
        </w:tc>
        <w:tc>
          <w:tcPr>
            <w:tcW w:w="533" w:type="pct"/>
            <w:tcBorders>
              <w:top w:val="nil"/>
              <w:left w:val="single" w:sz="4" w:space="0" w:color="auto"/>
              <w:bottom w:val="nil"/>
              <w:right w:val="nil"/>
            </w:tcBorders>
            <w:shd w:val="clear" w:color="auto" w:fill="auto"/>
            <w:noWrap/>
            <w:vAlign w:val="bottom"/>
            <w:hideMark/>
          </w:tcPr>
          <w:p w14:paraId="519EDE3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0.122</w:t>
            </w:r>
          </w:p>
        </w:tc>
        <w:tc>
          <w:tcPr>
            <w:tcW w:w="534" w:type="pct"/>
            <w:tcBorders>
              <w:top w:val="nil"/>
              <w:left w:val="nil"/>
              <w:bottom w:val="nil"/>
              <w:right w:val="nil"/>
            </w:tcBorders>
            <w:shd w:val="clear" w:color="auto" w:fill="auto"/>
            <w:noWrap/>
            <w:vAlign w:val="bottom"/>
            <w:hideMark/>
          </w:tcPr>
          <w:p w14:paraId="56BEE42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0.128</w:t>
            </w:r>
          </w:p>
        </w:tc>
        <w:tc>
          <w:tcPr>
            <w:tcW w:w="533" w:type="pct"/>
            <w:tcBorders>
              <w:top w:val="nil"/>
              <w:left w:val="nil"/>
              <w:bottom w:val="nil"/>
              <w:right w:val="nil"/>
            </w:tcBorders>
            <w:shd w:val="clear" w:color="auto" w:fill="auto"/>
            <w:noWrap/>
            <w:vAlign w:val="bottom"/>
            <w:hideMark/>
          </w:tcPr>
          <w:p w14:paraId="74438AA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-0.090</w:t>
            </w:r>
          </w:p>
        </w:tc>
        <w:tc>
          <w:tcPr>
            <w:tcW w:w="535" w:type="pct"/>
            <w:tcBorders>
              <w:top w:val="nil"/>
              <w:left w:val="nil"/>
              <w:bottom w:val="nil"/>
              <w:right w:val="nil"/>
            </w:tcBorders>
            <w:shd w:val="clear" w:color="auto" w:fill="auto"/>
            <w:noWrap/>
            <w:vAlign w:val="bottom"/>
            <w:hideMark/>
          </w:tcPr>
          <w:p w14:paraId="5E2B046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-0.095</w:t>
            </w:r>
          </w:p>
        </w:tc>
      </w:tr>
      <w:tr w:rsidR="003273BD" w:rsidRPr="00245E91" w14:paraId="38C3C6F1" w14:textId="77777777" w:rsidTr="00245E91">
        <w:trPr>
          <w:trHeight w:val="144"/>
        </w:trPr>
        <w:tc>
          <w:tcPr>
            <w:tcW w:w="727" w:type="pct"/>
            <w:tcBorders>
              <w:top w:val="nil"/>
              <w:left w:val="nil"/>
              <w:bottom w:val="nil"/>
              <w:right w:val="nil"/>
            </w:tcBorders>
            <w:shd w:val="clear" w:color="auto" w:fill="auto"/>
            <w:noWrap/>
            <w:vAlign w:val="bottom"/>
            <w:hideMark/>
          </w:tcPr>
          <w:p w14:paraId="3451D636"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4293AD3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(1.02)</w:t>
            </w:r>
          </w:p>
        </w:tc>
        <w:tc>
          <w:tcPr>
            <w:tcW w:w="534" w:type="pct"/>
            <w:tcBorders>
              <w:top w:val="nil"/>
              <w:left w:val="nil"/>
              <w:bottom w:val="nil"/>
              <w:right w:val="nil"/>
            </w:tcBorders>
            <w:shd w:val="clear" w:color="auto" w:fill="auto"/>
            <w:noWrap/>
            <w:vAlign w:val="bottom"/>
            <w:hideMark/>
          </w:tcPr>
          <w:p w14:paraId="3668B10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w:t>
            </w:r>
          </w:p>
        </w:tc>
        <w:tc>
          <w:tcPr>
            <w:tcW w:w="534" w:type="pct"/>
            <w:tcBorders>
              <w:top w:val="nil"/>
              <w:left w:val="nil"/>
              <w:bottom w:val="nil"/>
              <w:right w:val="nil"/>
            </w:tcBorders>
            <w:shd w:val="clear" w:color="auto" w:fill="auto"/>
            <w:noWrap/>
            <w:vAlign w:val="bottom"/>
            <w:hideMark/>
          </w:tcPr>
          <w:p w14:paraId="695D480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(-0.48)</w:t>
            </w:r>
          </w:p>
        </w:tc>
        <w:tc>
          <w:tcPr>
            <w:tcW w:w="535" w:type="pct"/>
            <w:tcBorders>
              <w:top w:val="nil"/>
              <w:left w:val="nil"/>
              <w:bottom w:val="nil"/>
              <w:right w:val="single" w:sz="4" w:space="0" w:color="auto"/>
            </w:tcBorders>
            <w:shd w:val="clear" w:color="auto" w:fill="auto"/>
            <w:noWrap/>
            <w:vAlign w:val="bottom"/>
            <w:hideMark/>
          </w:tcPr>
          <w:p w14:paraId="3AA0AAC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(-0.38)</w:t>
            </w:r>
          </w:p>
        </w:tc>
        <w:tc>
          <w:tcPr>
            <w:tcW w:w="533" w:type="pct"/>
            <w:tcBorders>
              <w:top w:val="nil"/>
              <w:left w:val="single" w:sz="4" w:space="0" w:color="auto"/>
              <w:bottom w:val="nil"/>
              <w:right w:val="nil"/>
            </w:tcBorders>
            <w:shd w:val="clear" w:color="auto" w:fill="auto"/>
            <w:noWrap/>
            <w:vAlign w:val="bottom"/>
            <w:hideMark/>
          </w:tcPr>
          <w:p w14:paraId="40C5632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(2.28**)</w:t>
            </w:r>
          </w:p>
        </w:tc>
        <w:tc>
          <w:tcPr>
            <w:tcW w:w="534" w:type="pct"/>
            <w:tcBorders>
              <w:top w:val="nil"/>
              <w:left w:val="nil"/>
              <w:bottom w:val="nil"/>
              <w:right w:val="nil"/>
            </w:tcBorders>
            <w:shd w:val="clear" w:color="auto" w:fill="auto"/>
            <w:noWrap/>
            <w:vAlign w:val="bottom"/>
            <w:hideMark/>
          </w:tcPr>
          <w:p w14:paraId="6F79792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(2.47**)</w:t>
            </w:r>
          </w:p>
        </w:tc>
        <w:tc>
          <w:tcPr>
            <w:tcW w:w="533" w:type="pct"/>
            <w:tcBorders>
              <w:top w:val="nil"/>
              <w:left w:val="nil"/>
              <w:bottom w:val="nil"/>
              <w:right w:val="nil"/>
            </w:tcBorders>
            <w:shd w:val="clear" w:color="auto" w:fill="auto"/>
            <w:noWrap/>
            <w:vAlign w:val="bottom"/>
            <w:hideMark/>
          </w:tcPr>
          <w:p w14:paraId="2228B60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(-2.48**)</w:t>
            </w:r>
          </w:p>
        </w:tc>
        <w:tc>
          <w:tcPr>
            <w:tcW w:w="535" w:type="pct"/>
            <w:tcBorders>
              <w:top w:val="nil"/>
              <w:left w:val="nil"/>
              <w:bottom w:val="nil"/>
              <w:right w:val="nil"/>
            </w:tcBorders>
            <w:shd w:val="clear" w:color="auto" w:fill="auto"/>
            <w:noWrap/>
            <w:vAlign w:val="bottom"/>
            <w:hideMark/>
          </w:tcPr>
          <w:p w14:paraId="0EDC696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(-2.63***)</w:t>
            </w:r>
          </w:p>
        </w:tc>
      </w:tr>
      <w:tr w:rsidR="003273BD" w:rsidRPr="00245E91" w14:paraId="5029CB31" w14:textId="77777777" w:rsidTr="00245E91">
        <w:trPr>
          <w:trHeight w:val="144"/>
        </w:trPr>
        <w:tc>
          <w:tcPr>
            <w:tcW w:w="727" w:type="pct"/>
            <w:tcBorders>
              <w:top w:val="nil"/>
              <w:left w:val="nil"/>
              <w:bottom w:val="nil"/>
              <w:right w:val="nil"/>
            </w:tcBorders>
            <w:shd w:val="clear" w:color="auto" w:fill="auto"/>
            <w:noWrap/>
            <w:vAlign w:val="bottom"/>
            <w:hideMark/>
          </w:tcPr>
          <w:p w14:paraId="49B3EC6F"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MKTSHARE</w:t>
            </w:r>
          </w:p>
        </w:tc>
        <w:tc>
          <w:tcPr>
            <w:tcW w:w="534" w:type="pct"/>
            <w:tcBorders>
              <w:top w:val="nil"/>
              <w:left w:val="nil"/>
              <w:bottom w:val="nil"/>
              <w:right w:val="nil"/>
            </w:tcBorders>
            <w:shd w:val="clear" w:color="auto" w:fill="auto"/>
            <w:noWrap/>
            <w:vAlign w:val="bottom"/>
            <w:hideMark/>
          </w:tcPr>
          <w:p w14:paraId="168232D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0.067</w:t>
            </w:r>
          </w:p>
        </w:tc>
        <w:tc>
          <w:tcPr>
            <w:tcW w:w="534" w:type="pct"/>
            <w:tcBorders>
              <w:top w:val="nil"/>
              <w:left w:val="nil"/>
              <w:bottom w:val="nil"/>
              <w:right w:val="nil"/>
            </w:tcBorders>
            <w:shd w:val="clear" w:color="auto" w:fill="auto"/>
            <w:noWrap/>
            <w:vAlign w:val="bottom"/>
            <w:hideMark/>
          </w:tcPr>
          <w:p w14:paraId="1BE55E1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0.081</w:t>
            </w:r>
          </w:p>
        </w:tc>
        <w:tc>
          <w:tcPr>
            <w:tcW w:w="534" w:type="pct"/>
            <w:tcBorders>
              <w:top w:val="nil"/>
              <w:left w:val="nil"/>
              <w:bottom w:val="nil"/>
              <w:right w:val="nil"/>
            </w:tcBorders>
            <w:shd w:val="clear" w:color="auto" w:fill="auto"/>
            <w:noWrap/>
            <w:vAlign w:val="bottom"/>
            <w:hideMark/>
          </w:tcPr>
          <w:p w14:paraId="4958499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0.006</w:t>
            </w:r>
          </w:p>
        </w:tc>
        <w:tc>
          <w:tcPr>
            <w:tcW w:w="535" w:type="pct"/>
            <w:tcBorders>
              <w:top w:val="nil"/>
              <w:left w:val="nil"/>
              <w:bottom w:val="nil"/>
              <w:right w:val="single" w:sz="4" w:space="0" w:color="auto"/>
            </w:tcBorders>
            <w:shd w:val="clear" w:color="auto" w:fill="auto"/>
            <w:noWrap/>
            <w:vAlign w:val="bottom"/>
            <w:hideMark/>
          </w:tcPr>
          <w:p w14:paraId="5B0CE60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0.007</w:t>
            </w:r>
          </w:p>
        </w:tc>
        <w:tc>
          <w:tcPr>
            <w:tcW w:w="533" w:type="pct"/>
            <w:tcBorders>
              <w:top w:val="nil"/>
              <w:left w:val="single" w:sz="4" w:space="0" w:color="auto"/>
              <w:bottom w:val="nil"/>
              <w:right w:val="nil"/>
            </w:tcBorders>
            <w:shd w:val="clear" w:color="auto" w:fill="auto"/>
            <w:noWrap/>
            <w:vAlign w:val="bottom"/>
            <w:hideMark/>
          </w:tcPr>
          <w:p w14:paraId="18E153C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0.056</w:t>
            </w:r>
          </w:p>
        </w:tc>
        <w:tc>
          <w:tcPr>
            <w:tcW w:w="534" w:type="pct"/>
            <w:tcBorders>
              <w:top w:val="nil"/>
              <w:left w:val="nil"/>
              <w:bottom w:val="nil"/>
              <w:right w:val="nil"/>
            </w:tcBorders>
            <w:shd w:val="clear" w:color="auto" w:fill="auto"/>
            <w:noWrap/>
            <w:vAlign w:val="bottom"/>
            <w:hideMark/>
          </w:tcPr>
          <w:p w14:paraId="17583D8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0.068</w:t>
            </w:r>
          </w:p>
        </w:tc>
        <w:tc>
          <w:tcPr>
            <w:tcW w:w="533" w:type="pct"/>
            <w:tcBorders>
              <w:top w:val="nil"/>
              <w:left w:val="nil"/>
              <w:bottom w:val="nil"/>
              <w:right w:val="nil"/>
            </w:tcBorders>
            <w:shd w:val="clear" w:color="auto" w:fill="auto"/>
            <w:noWrap/>
            <w:vAlign w:val="bottom"/>
            <w:hideMark/>
          </w:tcPr>
          <w:p w14:paraId="2F3D596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0.037</w:t>
            </w:r>
          </w:p>
        </w:tc>
        <w:tc>
          <w:tcPr>
            <w:tcW w:w="535" w:type="pct"/>
            <w:tcBorders>
              <w:top w:val="nil"/>
              <w:left w:val="nil"/>
              <w:bottom w:val="nil"/>
              <w:right w:val="nil"/>
            </w:tcBorders>
            <w:shd w:val="clear" w:color="auto" w:fill="auto"/>
            <w:noWrap/>
            <w:vAlign w:val="bottom"/>
            <w:hideMark/>
          </w:tcPr>
          <w:p w14:paraId="5F9AC94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0.036</w:t>
            </w:r>
          </w:p>
        </w:tc>
      </w:tr>
      <w:tr w:rsidR="003273BD" w:rsidRPr="00245E91" w14:paraId="1C1D52E1" w14:textId="77777777" w:rsidTr="00245E91">
        <w:trPr>
          <w:trHeight w:val="144"/>
        </w:trPr>
        <w:tc>
          <w:tcPr>
            <w:tcW w:w="727" w:type="pct"/>
            <w:tcBorders>
              <w:top w:val="nil"/>
              <w:left w:val="nil"/>
              <w:bottom w:val="nil"/>
              <w:right w:val="nil"/>
            </w:tcBorders>
            <w:shd w:val="clear" w:color="auto" w:fill="auto"/>
            <w:noWrap/>
            <w:vAlign w:val="bottom"/>
            <w:hideMark/>
          </w:tcPr>
          <w:p w14:paraId="6E64FB6D"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330E82A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(2.0**)</w:t>
            </w:r>
          </w:p>
        </w:tc>
        <w:tc>
          <w:tcPr>
            <w:tcW w:w="534" w:type="pct"/>
            <w:tcBorders>
              <w:top w:val="nil"/>
              <w:left w:val="nil"/>
              <w:bottom w:val="nil"/>
              <w:right w:val="nil"/>
            </w:tcBorders>
            <w:shd w:val="clear" w:color="auto" w:fill="auto"/>
            <w:noWrap/>
            <w:vAlign w:val="bottom"/>
            <w:hideMark/>
          </w:tcPr>
          <w:p w14:paraId="4EB6220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(2.52**)</w:t>
            </w:r>
          </w:p>
        </w:tc>
        <w:tc>
          <w:tcPr>
            <w:tcW w:w="534" w:type="pct"/>
            <w:tcBorders>
              <w:top w:val="nil"/>
              <w:left w:val="nil"/>
              <w:bottom w:val="nil"/>
              <w:right w:val="nil"/>
            </w:tcBorders>
            <w:shd w:val="clear" w:color="auto" w:fill="auto"/>
            <w:noWrap/>
            <w:vAlign w:val="bottom"/>
            <w:hideMark/>
          </w:tcPr>
          <w:p w14:paraId="3C44EBB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(0.34)</w:t>
            </w:r>
          </w:p>
        </w:tc>
        <w:tc>
          <w:tcPr>
            <w:tcW w:w="535" w:type="pct"/>
            <w:tcBorders>
              <w:top w:val="nil"/>
              <w:left w:val="nil"/>
              <w:bottom w:val="nil"/>
              <w:right w:val="single" w:sz="4" w:space="0" w:color="auto"/>
            </w:tcBorders>
            <w:shd w:val="clear" w:color="auto" w:fill="auto"/>
            <w:noWrap/>
            <w:vAlign w:val="bottom"/>
            <w:hideMark/>
          </w:tcPr>
          <w:p w14:paraId="3B14B98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(0.40)</w:t>
            </w:r>
          </w:p>
        </w:tc>
        <w:tc>
          <w:tcPr>
            <w:tcW w:w="533" w:type="pct"/>
            <w:tcBorders>
              <w:top w:val="nil"/>
              <w:left w:val="single" w:sz="4" w:space="0" w:color="auto"/>
              <w:bottom w:val="nil"/>
              <w:right w:val="nil"/>
            </w:tcBorders>
            <w:shd w:val="clear" w:color="auto" w:fill="auto"/>
            <w:noWrap/>
            <w:vAlign w:val="bottom"/>
            <w:hideMark/>
          </w:tcPr>
          <w:p w14:paraId="251D6FC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(1.04)</w:t>
            </w:r>
          </w:p>
        </w:tc>
        <w:tc>
          <w:tcPr>
            <w:tcW w:w="534" w:type="pct"/>
            <w:tcBorders>
              <w:top w:val="nil"/>
              <w:left w:val="nil"/>
              <w:bottom w:val="nil"/>
              <w:right w:val="nil"/>
            </w:tcBorders>
            <w:shd w:val="clear" w:color="auto" w:fill="auto"/>
            <w:noWrap/>
            <w:vAlign w:val="bottom"/>
            <w:hideMark/>
          </w:tcPr>
          <w:p w14:paraId="75558D3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(1.40)</w:t>
            </w:r>
          </w:p>
        </w:tc>
        <w:tc>
          <w:tcPr>
            <w:tcW w:w="533" w:type="pct"/>
            <w:tcBorders>
              <w:top w:val="nil"/>
              <w:left w:val="nil"/>
              <w:bottom w:val="nil"/>
              <w:right w:val="nil"/>
            </w:tcBorders>
            <w:shd w:val="clear" w:color="auto" w:fill="auto"/>
            <w:noWrap/>
            <w:vAlign w:val="bottom"/>
            <w:hideMark/>
          </w:tcPr>
          <w:p w14:paraId="6E18519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(0.86)</w:t>
            </w:r>
          </w:p>
        </w:tc>
        <w:tc>
          <w:tcPr>
            <w:tcW w:w="535" w:type="pct"/>
            <w:tcBorders>
              <w:top w:val="nil"/>
              <w:left w:val="nil"/>
              <w:bottom w:val="nil"/>
              <w:right w:val="nil"/>
            </w:tcBorders>
            <w:shd w:val="clear" w:color="auto" w:fill="auto"/>
            <w:noWrap/>
            <w:vAlign w:val="bottom"/>
            <w:hideMark/>
          </w:tcPr>
          <w:p w14:paraId="35FF3EE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(0.82)</w:t>
            </w:r>
          </w:p>
        </w:tc>
      </w:tr>
      <w:tr w:rsidR="003273BD" w:rsidRPr="00245E91" w14:paraId="43B32B1F" w14:textId="77777777" w:rsidTr="00245E91">
        <w:trPr>
          <w:trHeight w:val="144"/>
        </w:trPr>
        <w:tc>
          <w:tcPr>
            <w:tcW w:w="727" w:type="pct"/>
            <w:tcBorders>
              <w:top w:val="nil"/>
              <w:left w:val="nil"/>
              <w:bottom w:val="nil"/>
              <w:right w:val="nil"/>
            </w:tcBorders>
            <w:shd w:val="clear" w:color="auto" w:fill="auto"/>
            <w:noWrap/>
            <w:vAlign w:val="bottom"/>
            <w:hideMark/>
          </w:tcPr>
          <w:p w14:paraId="2C013A3C"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DEBT</w:t>
            </w:r>
          </w:p>
        </w:tc>
        <w:tc>
          <w:tcPr>
            <w:tcW w:w="534" w:type="pct"/>
            <w:tcBorders>
              <w:top w:val="nil"/>
              <w:left w:val="nil"/>
              <w:bottom w:val="nil"/>
              <w:right w:val="nil"/>
            </w:tcBorders>
            <w:shd w:val="clear" w:color="auto" w:fill="auto"/>
            <w:noWrap/>
            <w:vAlign w:val="bottom"/>
            <w:hideMark/>
          </w:tcPr>
          <w:p w14:paraId="4623E7F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0.132</w:t>
            </w:r>
          </w:p>
        </w:tc>
        <w:tc>
          <w:tcPr>
            <w:tcW w:w="534" w:type="pct"/>
            <w:tcBorders>
              <w:top w:val="nil"/>
              <w:left w:val="nil"/>
              <w:bottom w:val="nil"/>
              <w:right w:val="nil"/>
            </w:tcBorders>
            <w:shd w:val="clear" w:color="auto" w:fill="auto"/>
            <w:noWrap/>
            <w:vAlign w:val="bottom"/>
            <w:hideMark/>
          </w:tcPr>
          <w:p w14:paraId="6A87A6B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0.145</w:t>
            </w:r>
          </w:p>
        </w:tc>
        <w:tc>
          <w:tcPr>
            <w:tcW w:w="534" w:type="pct"/>
            <w:tcBorders>
              <w:top w:val="nil"/>
              <w:left w:val="nil"/>
              <w:bottom w:val="nil"/>
              <w:right w:val="nil"/>
            </w:tcBorders>
            <w:shd w:val="clear" w:color="auto" w:fill="auto"/>
            <w:noWrap/>
            <w:vAlign w:val="bottom"/>
            <w:hideMark/>
          </w:tcPr>
          <w:p w14:paraId="71143B4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-0.041</w:t>
            </w:r>
          </w:p>
        </w:tc>
        <w:tc>
          <w:tcPr>
            <w:tcW w:w="535" w:type="pct"/>
            <w:tcBorders>
              <w:top w:val="nil"/>
              <w:left w:val="nil"/>
              <w:bottom w:val="nil"/>
              <w:right w:val="single" w:sz="4" w:space="0" w:color="auto"/>
            </w:tcBorders>
            <w:shd w:val="clear" w:color="auto" w:fill="auto"/>
            <w:noWrap/>
            <w:vAlign w:val="bottom"/>
            <w:hideMark/>
          </w:tcPr>
          <w:p w14:paraId="30323F5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-0.042</w:t>
            </w:r>
          </w:p>
        </w:tc>
        <w:tc>
          <w:tcPr>
            <w:tcW w:w="533" w:type="pct"/>
            <w:tcBorders>
              <w:top w:val="nil"/>
              <w:left w:val="single" w:sz="4" w:space="0" w:color="auto"/>
              <w:bottom w:val="nil"/>
              <w:right w:val="nil"/>
            </w:tcBorders>
            <w:shd w:val="clear" w:color="auto" w:fill="auto"/>
            <w:noWrap/>
            <w:vAlign w:val="bottom"/>
            <w:hideMark/>
          </w:tcPr>
          <w:p w14:paraId="12B41FC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0.100</w:t>
            </w:r>
          </w:p>
        </w:tc>
        <w:tc>
          <w:tcPr>
            <w:tcW w:w="534" w:type="pct"/>
            <w:tcBorders>
              <w:top w:val="nil"/>
              <w:left w:val="nil"/>
              <w:bottom w:val="nil"/>
              <w:right w:val="nil"/>
            </w:tcBorders>
            <w:shd w:val="clear" w:color="auto" w:fill="auto"/>
            <w:noWrap/>
            <w:vAlign w:val="bottom"/>
            <w:hideMark/>
          </w:tcPr>
          <w:p w14:paraId="2334F4B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0.099</w:t>
            </w:r>
          </w:p>
        </w:tc>
        <w:tc>
          <w:tcPr>
            <w:tcW w:w="533" w:type="pct"/>
            <w:tcBorders>
              <w:top w:val="nil"/>
              <w:left w:val="nil"/>
              <w:bottom w:val="nil"/>
              <w:right w:val="nil"/>
            </w:tcBorders>
            <w:shd w:val="clear" w:color="auto" w:fill="auto"/>
            <w:noWrap/>
            <w:vAlign w:val="bottom"/>
            <w:hideMark/>
          </w:tcPr>
          <w:p w14:paraId="419C998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0.060</w:t>
            </w:r>
          </w:p>
        </w:tc>
        <w:tc>
          <w:tcPr>
            <w:tcW w:w="535" w:type="pct"/>
            <w:tcBorders>
              <w:top w:val="nil"/>
              <w:left w:val="nil"/>
              <w:bottom w:val="nil"/>
              <w:right w:val="nil"/>
            </w:tcBorders>
            <w:shd w:val="clear" w:color="auto" w:fill="auto"/>
            <w:noWrap/>
            <w:vAlign w:val="bottom"/>
            <w:hideMark/>
          </w:tcPr>
          <w:p w14:paraId="2FBB68E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0.062</w:t>
            </w:r>
          </w:p>
        </w:tc>
      </w:tr>
      <w:tr w:rsidR="003273BD" w:rsidRPr="00245E91" w14:paraId="6AC1D49A" w14:textId="77777777" w:rsidTr="00245E91">
        <w:trPr>
          <w:trHeight w:val="144"/>
        </w:trPr>
        <w:tc>
          <w:tcPr>
            <w:tcW w:w="727" w:type="pct"/>
            <w:tcBorders>
              <w:top w:val="nil"/>
              <w:left w:val="nil"/>
              <w:bottom w:val="nil"/>
              <w:right w:val="nil"/>
            </w:tcBorders>
            <w:shd w:val="clear" w:color="auto" w:fill="auto"/>
            <w:noWrap/>
            <w:vAlign w:val="bottom"/>
            <w:hideMark/>
          </w:tcPr>
          <w:p w14:paraId="4B8A249E"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0DABB1D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(2.97***)</w:t>
            </w:r>
          </w:p>
        </w:tc>
        <w:tc>
          <w:tcPr>
            <w:tcW w:w="534" w:type="pct"/>
            <w:tcBorders>
              <w:top w:val="nil"/>
              <w:left w:val="nil"/>
              <w:bottom w:val="nil"/>
              <w:right w:val="nil"/>
            </w:tcBorders>
            <w:shd w:val="clear" w:color="auto" w:fill="auto"/>
            <w:noWrap/>
            <w:vAlign w:val="bottom"/>
            <w:hideMark/>
          </w:tcPr>
          <w:p w14:paraId="0ED35DC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(3.59***)</w:t>
            </w:r>
          </w:p>
        </w:tc>
        <w:tc>
          <w:tcPr>
            <w:tcW w:w="534" w:type="pct"/>
            <w:tcBorders>
              <w:top w:val="nil"/>
              <w:left w:val="nil"/>
              <w:bottom w:val="nil"/>
              <w:right w:val="nil"/>
            </w:tcBorders>
            <w:shd w:val="clear" w:color="auto" w:fill="auto"/>
            <w:noWrap/>
            <w:vAlign w:val="bottom"/>
            <w:hideMark/>
          </w:tcPr>
          <w:p w14:paraId="5DC163B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(-1.53)</w:t>
            </w:r>
          </w:p>
        </w:tc>
        <w:tc>
          <w:tcPr>
            <w:tcW w:w="535" w:type="pct"/>
            <w:tcBorders>
              <w:top w:val="nil"/>
              <w:left w:val="nil"/>
              <w:bottom w:val="nil"/>
              <w:right w:val="single" w:sz="4" w:space="0" w:color="auto"/>
            </w:tcBorders>
            <w:shd w:val="clear" w:color="auto" w:fill="auto"/>
            <w:noWrap/>
            <w:vAlign w:val="bottom"/>
            <w:hideMark/>
          </w:tcPr>
          <w:p w14:paraId="5F1C890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(-1.57)</w:t>
            </w:r>
          </w:p>
        </w:tc>
        <w:tc>
          <w:tcPr>
            <w:tcW w:w="533" w:type="pct"/>
            <w:tcBorders>
              <w:top w:val="nil"/>
              <w:left w:val="single" w:sz="4" w:space="0" w:color="auto"/>
              <w:bottom w:val="nil"/>
              <w:right w:val="nil"/>
            </w:tcBorders>
            <w:shd w:val="clear" w:color="auto" w:fill="auto"/>
            <w:noWrap/>
            <w:vAlign w:val="bottom"/>
            <w:hideMark/>
          </w:tcPr>
          <w:p w14:paraId="64C1A7E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(2.20**)</w:t>
            </w:r>
          </w:p>
        </w:tc>
        <w:tc>
          <w:tcPr>
            <w:tcW w:w="534" w:type="pct"/>
            <w:tcBorders>
              <w:top w:val="nil"/>
              <w:left w:val="nil"/>
              <w:bottom w:val="nil"/>
              <w:right w:val="nil"/>
            </w:tcBorders>
            <w:shd w:val="clear" w:color="auto" w:fill="auto"/>
            <w:noWrap/>
            <w:vAlign w:val="bottom"/>
            <w:hideMark/>
          </w:tcPr>
          <w:p w14:paraId="7454663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(2.43**)</w:t>
            </w:r>
          </w:p>
        </w:tc>
        <w:tc>
          <w:tcPr>
            <w:tcW w:w="533" w:type="pct"/>
            <w:tcBorders>
              <w:top w:val="nil"/>
              <w:left w:val="nil"/>
              <w:bottom w:val="nil"/>
              <w:right w:val="nil"/>
            </w:tcBorders>
            <w:shd w:val="clear" w:color="auto" w:fill="auto"/>
            <w:noWrap/>
            <w:vAlign w:val="bottom"/>
            <w:hideMark/>
          </w:tcPr>
          <w:p w14:paraId="64E26FD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(2.02**)</w:t>
            </w:r>
          </w:p>
        </w:tc>
        <w:tc>
          <w:tcPr>
            <w:tcW w:w="535" w:type="pct"/>
            <w:tcBorders>
              <w:top w:val="nil"/>
              <w:left w:val="nil"/>
              <w:bottom w:val="nil"/>
              <w:right w:val="nil"/>
            </w:tcBorders>
            <w:shd w:val="clear" w:color="auto" w:fill="auto"/>
            <w:noWrap/>
            <w:vAlign w:val="bottom"/>
            <w:hideMark/>
          </w:tcPr>
          <w:p w14:paraId="5DE9BB4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(2.08**)</w:t>
            </w:r>
          </w:p>
        </w:tc>
      </w:tr>
      <w:tr w:rsidR="003273BD" w:rsidRPr="00245E91" w14:paraId="4FBCED90" w14:textId="77777777" w:rsidTr="00245E91">
        <w:trPr>
          <w:trHeight w:val="144"/>
        </w:trPr>
        <w:tc>
          <w:tcPr>
            <w:tcW w:w="727" w:type="pct"/>
            <w:tcBorders>
              <w:top w:val="nil"/>
              <w:left w:val="nil"/>
              <w:bottom w:val="nil"/>
              <w:right w:val="nil"/>
            </w:tcBorders>
            <w:shd w:val="clear" w:color="auto" w:fill="auto"/>
            <w:noWrap/>
            <w:vAlign w:val="bottom"/>
            <w:hideMark/>
          </w:tcPr>
          <w:p w14:paraId="2905FAED"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NOA</w:t>
            </w:r>
          </w:p>
        </w:tc>
        <w:tc>
          <w:tcPr>
            <w:tcW w:w="534" w:type="pct"/>
            <w:tcBorders>
              <w:top w:val="nil"/>
              <w:left w:val="nil"/>
              <w:bottom w:val="nil"/>
              <w:right w:val="nil"/>
            </w:tcBorders>
            <w:shd w:val="clear" w:color="auto" w:fill="auto"/>
            <w:noWrap/>
            <w:vAlign w:val="bottom"/>
            <w:hideMark/>
          </w:tcPr>
          <w:p w14:paraId="65782DE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0.020</w:t>
            </w:r>
          </w:p>
        </w:tc>
        <w:tc>
          <w:tcPr>
            <w:tcW w:w="534" w:type="pct"/>
            <w:tcBorders>
              <w:top w:val="nil"/>
              <w:left w:val="nil"/>
              <w:bottom w:val="nil"/>
              <w:right w:val="nil"/>
            </w:tcBorders>
            <w:shd w:val="clear" w:color="auto" w:fill="auto"/>
            <w:noWrap/>
            <w:vAlign w:val="bottom"/>
            <w:hideMark/>
          </w:tcPr>
          <w:p w14:paraId="4E863F5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-0.025</w:t>
            </w:r>
          </w:p>
        </w:tc>
        <w:tc>
          <w:tcPr>
            <w:tcW w:w="534" w:type="pct"/>
            <w:tcBorders>
              <w:top w:val="nil"/>
              <w:left w:val="nil"/>
              <w:bottom w:val="nil"/>
              <w:right w:val="nil"/>
            </w:tcBorders>
            <w:shd w:val="clear" w:color="auto" w:fill="auto"/>
            <w:noWrap/>
            <w:vAlign w:val="bottom"/>
            <w:hideMark/>
          </w:tcPr>
          <w:p w14:paraId="0F39354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-0.035</w:t>
            </w:r>
          </w:p>
        </w:tc>
        <w:tc>
          <w:tcPr>
            <w:tcW w:w="535" w:type="pct"/>
            <w:tcBorders>
              <w:top w:val="nil"/>
              <w:left w:val="nil"/>
              <w:bottom w:val="nil"/>
              <w:right w:val="single" w:sz="4" w:space="0" w:color="auto"/>
            </w:tcBorders>
            <w:shd w:val="clear" w:color="auto" w:fill="auto"/>
            <w:noWrap/>
            <w:vAlign w:val="bottom"/>
            <w:hideMark/>
          </w:tcPr>
          <w:p w14:paraId="20BD35D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-0.036</w:t>
            </w:r>
          </w:p>
        </w:tc>
        <w:tc>
          <w:tcPr>
            <w:tcW w:w="533" w:type="pct"/>
            <w:tcBorders>
              <w:top w:val="nil"/>
              <w:left w:val="single" w:sz="4" w:space="0" w:color="auto"/>
              <w:bottom w:val="nil"/>
              <w:right w:val="nil"/>
            </w:tcBorders>
            <w:shd w:val="clear" w:color="auto" w:fill="auto"/>
            <w:noWrap/>
            <w:vAlign w:val="bottom"/>
            <w:hideMark/>
          </w:tcPr>
          <w:p w14:paraId="15C64AA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0.029</w:t>
            </w:r>
          </w:p>
        </w:tc>
        <w:tc>
          <w:tcPr>
            <w:tcW w:w="534" w:type="pct"/>
            <w:tcBorders>
              <w:top w:val="nil"/>
              <w:left w:val="nil"/>
              <w:bottom w:val="nil"/>
              <w:right w:val="nil"/>
            </w:tcBorders>
            <w:shd w:val="clear" w:color="auto" w:fill="auto"/>
            <w:noWrap/>
            <w:vAlign w:val="bottom"/>
            <w:hideMark/>
          </w:tcPr>
          <w:p w14:paraId="732B87B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-0.020</w:t>
            </w:r>
          </w:p>
        </w:tc>
        <w:tc>
          <w:tcPr>
            <w:tcW w:w="533" w:type="pct"/>
            <w:tcBorders>
              <w:top w:val="nil"/>
              <w:left w:val="nil"/>
              <w:bottom w:val="nil"/>
              <w:right w:val="nil"/>
            </w:tcBorders>
            <w:shd w:val="clear" w:color="auto" w:fill="auto"/>
            <w:noWrap/>
            <w:vAlign w:val="bottom"/>
            <w:hideMark/>
          </w:tcPr>
          <w:p w14:paraId="6802728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-0.045</w:t>
            </w:r>
          </w:p>
        </w:tc>
        <w:tc>
          <w:tcPr>
            <w:tcW w:w="535" w:type="pct"/>
            <w:tcBorders>
              <w:top w:val="nil"/>
              <w:left w:val="nil"/>
              <w:bottom w:val="nil"/>
              <w:right w:val="nil"/>
            </w:tcBorders>
            <w:shd w:val="clear" w:color="auto" w:fill="auto"/>
            <w:noWrap/>
            <w:vAlign w:val="bottom"/>
            <w:hideMark/>
          </w:tcPr>
          <w:p w14:paraId="40EFEF5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-0.045</w:t>
            </w:r>
          </w:p>
        </w:tc>
      </w:tr>
      <w:tr w:rsidR="003273BD" w:rsidRPr="00245E91" w14:paraId="69A6F448" w14:textId="77777777" w:rsidTr="00245E91">
        <w:trPr>
          <w:trHeight w:val="144"/>
        </w:trPr>
        <w:tc>
          <w:tcPr>
            <w:tcW w:w="727" w:type="pct"/>
            <w:tcBorders>
              <w:top w:val="nil"/>
              <w:left w:val="nil"/>
              <w:bottom w:val="nil"/>
              <w:right w:val="nil"/>
            </w:tcBorders>
            <w:shd w:val="clear" w:color="auto" w:fill="auto"/>
            <w:noWrap/>
            <w:vAlign w:val="bottom"/>
            <w:hideMark/>
          </w:tcPr>
          <w:p w14:paraId="1DF27FD0"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7B1E018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(0.68)</w:t>
            </w:r>
          </w:p>
        </w:tc>
        <w:tc>
          <w:tcPr>
            <w:tcW w:w="534" w:type="pct"/>
            <w:tcBorders>
              <w:top w:val="nil"/>
              <w:left w:val="nil"/>
              <w:bottom w:val="nil"/>
              <w:right w:val="nil"/>
            </w:tcBorders>
            <w:shd w:val="clear" w:color="auto" w:fill="auto"/>
            <w:noWrap/>
            <w:vAlign w:val="bottom"/>
            <w:hideMark/>
          </w:tcPr>
          <w:p w14:paraId="492CEC3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(-0.86)</w:t>
            </w:r>
          </w:p>
        </w:tc>
        <w:tc>
          <w:tcPr>
            <w:tcW w:w="534" w:type="pct"/>
            <w:tcBorders>
              <w:top w:val="nil"/>
              <w:left w:val="nil"/>
              <w:bottom w:val="nil"/>
              <w:right w:val="nil"/>
            </w:tcBorders>
            <w:shd w:val="clear" w:color="auto" w:fill="auto"/>
            <w:noWrap/>
            <w:vAlign w:val="bottom"/>
            <w:hideMark/>
          </w:tcPr>
          <w:p w14:paraId="5B6EA39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(-1.45)</w:t>
            </w:r>
          </w:p>
        </w:tc>
        <w:tc>
          <w:tcPr>
            <w:tcW w:w="535" w:type="pct"/>
            <w:tcBorders>
              <w:top w:val="nil"/>
              <w:left w:val="nil"/>
              <w:bottom w:val="nil"/>
              <w:right w:val="single" w:sz="4" w:space="0" w:color="auto"/>
            </w:tcBorders>
            <w:shd w:val="clear" w:color="auto" w:fill="auto"/>
            <w:noWrap/>
            <w:vAlign w:val="bottom"/>
            <w:hideMark/>
          </w:tcPr>
          <w:p w14:paraId="3E85C43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(-1.462)</w:t>
            </w:r>
          </w:p>
        </w:tc>
        <w:tc>
          <w:tcPr>
            <w:tcW w:w="533" w:type="pct"/>
            <w:tcBorders>
              <w:top w:val="nil"/>
              <w:left w:val="single" w:sz="4" w:space="0" w:color="auto"/>
              <w:bottom w:val="nil"/>
              <w:right w:val="nil"/>
            </w:tcBorders>
            <w:shd w:val="clear" w:color="auto" w:fill="auto"/>
            <w:noWrap/>
            <w:vAlign w:val="bottom"/>
            <w:hideMark/>
          </w:tcPr>
          <w:p w14:paraId="2CC6852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(0.60)</w:t>
            </w:r>
          </w:p>
        </w:tc>
        <w:tc>
          <w:tcPr>
            <w:tcW w:w="534" w:type="pct"/>
            <w:tcBorders>
              <w:top w:val="nil"/>
              <w:left w:val="nil"/>
              <w:bottom w:val="nil"/>
              <w:right w:val="nil"/>
            </w:tcBorders>
            <w:shd w:val="clear" w:color="auto" w:fill="auto"/>
            <w:noWrap/>
            <w:vAlign w:val="bottom"/>
            <w:hideMark/>
          </w:tcPr>
          <w:p w14:paraId="56EFAC1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(-0.45)</w:t>
            </w:r>
          </w:p>
        </w:tc>
        <w:tc>
          <w:tcPr>
            <w:tcW w:w="533" w:type="pct"/>
            <w:tcBorders>
              <w:top w:val="nil"/>
              <w:left w:val="nil"/>
              <w:bottom w:val="nil"/>
              <w:right w:val="nil"/>
            </w:tcBorders>
            <w:shd w:val="clear" w:color="auto" w:fill="auto"/>
            <w:noWrap/>
            <w:vAlign w:val="bottom"/>
            <w:hideMark/>
          </w:tcPr>
          <w:p w14:paraId="43AAF18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(-1.92*)</w:t>
            </w:r>
          </w:p>
        </w:tc>
        <w:tc>
          <w:tcPr>
            <w:tcW w:w="535" w:type="pct"/>
            <w:tcBorders>
              <w:top w:val="nil"/>
              <w:left w:val="nil"/>
              <w:bottom w:val="nil"/>
              <w:right w:val="nil"/>
            </w:tcBorders>
            <w:shd w:val="clear" w:color="auto" w:fill="auto"/>
            <w:noWrap/>
            <w:vAlign w:val="bottom"/>
            <w:hideMark/>
          </w:tcPr>
          <w:p w14:paraId="0FFFF6A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(-1.95*)</w:t>
            </w:r>
          </w:p>
        </w:tc>
      </w:tr>
      <w:tr w:rsidR="003273BD" w:rsidRPr="00245E91" w14:paraId="06F1CD0F" w14:textId="77777777" w:rsidTr="00245E91">
        <w:trPr>
          <w:trHeight w:val="144"/>
        </w:trPr>
        <w:tc>
          <w:tcPr>
            <w:tcW w:w="727" w:type="pct"/>
            <w:tcBorders>
              <w:top w:val="nil"/>
              <w:left w:val="nil"/>
              <w:bottom w:val="nil"/>
              <w:right w:val="nil"/>
            </w:tcBorders>
            <w:shd w:val="clear" w:color="auto" w:fill="auto"/>
            <w:noWrap/>
            <w:vAlign w:val="bottom"/>
            <w:hideMark/>
          </w:tcPr>
          <w:p w14:paraId="44F65927"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OPERCYCLE</w:t>
            </w:r>
          </w:p>
        </w:tc>
        <w:tc>
          <w:tcPr>
            <w:tcW w:w="534" w:type="pct"/>
            <w:tcBorders>
              <w:top w:val="nil"/>
              <w:left w:val="nil"/>
              <w:bottom w:val="nil"/>
              <w:right w:val="nil"/>
            </w:tcBorders>
            <w:shd w:val="clear" w:color="auto" w:fill="auto"/>
            <w:noWrap/>
            <w:vAlign w:val="bottom"/>
            <w:hideMark/>
          </w:tcPr>
          <w:p w14:paraId="39C715B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0.018</w:t>
            </w:r>
          </w:p>
        </w:tc>
        <w:tc>
          <w:tcPr>
            <w:tcW w:w="534" w:type="pct"/>
            <w:tcBorders>
              <w:top w:val="nil"/>
              <w:left w:val="nil"/>
              <w:bottom w:val="nil"/>
              <w:right w:val="nil"/>
            </w:tcBorders>
            <w:shd w:val="clear" w:color="auto" w:fill="auto"/>
            <w:noWrap/>
            <w:vAlign w:val="bottom"/>
            <w:hideMark/>
          </w:tcPr>
          <w:p w14:paraId="2598100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0.028</w:t>
            </w:r>
          </w:p>
        </w:tc>
        <w:tc>
          <w:tcPr>
            <w:tcW w:w="534" w:type="pct"/>
            <w:tcBorders>
              <w:top w:val="nil"/>
              <w:left w:val="nil"/>
              <w:bottom w:val="nil"/>
              <w:right w:val="nil"/>
            </w:tcBorders>
            <w:shd w:val="clear" w:color="auto" w:fill="auto"/>
            <w:noWrap/>
            <w:vAlign w:val="bottom"/>
            <w:hideMark/>
          </w:tcPr>
          <w:p w14:paraId="55AC9A0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-0.001</w:t>
            </w:r>
          </w:p>
        </w:tc>
        <w:tc>
          <w:tcPr>
            <w:tcW w:w="535" w:type="pct"/>
            <w:tcBorders>
              <w:top w:val="nil"/>
              <w:left w:val="nil"/>
              <w:bottom w:val="nil"/>
              <w:right w:val="single" w:sz="4" w:space="0" w:color="auto"/>
            </w:tcBorders>
            <w:shd w:val="clear" w:color="auto" w:fill="auto"/>
            <w:noWrap/>
            <w:vAlign w:val="bottom"/>
            <w:hideMark/>
          </w:tcPr>
          <w:p w14:paraId="599D566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0.003</w:t>
            </w:r>
          </w:p>
        </w:tc>
        <w:tc>
          <w:tcPr>
            <w:tcW w:w="533" w:type="pct"/>
            <w:tcBorders>
              <w:top w:val="nil"/>
              <w:left w:val="single" w:sz="4" w:space="0" w:color="auto"/>
              <w:bottom w:val="nil"/>
              <w:right w:val="nil"/>
            </w:tcBorders>
            <w:shd w:val="clear" w:color="auto" w:fill="auto"/>
            <w:noWrap/>
            <w:vAlign w:val="bottom"/>
            <w:hideMark/>
          </w:tcPr>
          <w:p w14:paraId="0407B9A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0.091</w:t>
            </w:r>
          </w:p>
        </w:tc>
        <w:tc>
          <w:tcPr>
            <w:tcW w:w="534" w:type="pct"/>
            <w:tcBorders>
              <w:top w:val="nil"/>
              <w:left w:val="nil"/>
              <w:bottom w:val="nil"/>
              <w:right w:val="nil"/>
            </w:tcBorders>
            <w:shd w:val="clear" w:color="auto" w:fill="auto"/>
            <w:noWrap/>
            <w:vAlign w:val="bottom"/>
            <w:hideMark/>
          </w:tcPr>
          <w:p w14:paraId="376A238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0.126</w:t>
            </w:r>
          </w:p>
        </w:tc>
        <w:tc>
          <w:tcPr>
            <w:tcW w:w="533" w:type="pct"/>
            <w:tcBorders>
              <w:top w:val="nil"/>
              <w:left w:val="nil"/>
              <w:bottom w:val="nil"/>
              <w:right w:val="nil"/>
            </w:tcBorders>
            <w:shd w:val="clear" w:color="auto" w:fill="auto"/>
            <w:noWrap/>
            <w:vAlign w:val="bottom"/>
            <w:hideMark/>
          </w:tcPr>
          <w:p w14:paraId="7DE175B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0.026</w:t>
            </w:r>
          </w:p>
        </w:tc>
        <w:tc>
          <w:tcPr>
            <w:tcW w:w="535" w:type="pct"/>
            <w:tcBorders>
              <w:top w:val="nil"/>
              <w:left w:val="nil"/>
              <w:bottom w:val="nil"/>
              <w:right w:val="nil"/>
            </w:tcBorders>
            <w:shd w:val="clear" w:color="auto" w:fill="auto"/>
            <w:noWrap/>
            <w:vAlign w:val="bottom"/>
            <w:hideMark/>
          </w:tcPr>
          <w:p w14:paraId="4D6DC37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0.025</w:t>
            </w:r>
          </w:p>
        </w:tc>
      </w:tr>
      <w:tr w:rsidR="003273BD" w:rsidRPr="00245E91" w14:paraId="733B51D1" w14:textId="77777777" w:rsidTr="00245E91">
        <w:trPr>
          <w:trHeight w:val="144"/>
        </w:trPr>
        <w:tc>
          <w:tcPr>
            <w:tcW w:w="727" w:type="pct"/>
            <w:tcBorders>
              <w:top w:val="nil"/>
              <w:left w:val="nil"/>
              <w:bottom w:val="nil"/>
              <w:right w:val="nil"/>
            </w:tcBorders>
            <w:shd w:val="clear" w:color="auto" w:fill="auto"/>
            <w:noWrap/>
            <w:vAlign w:val="bottom"/>
            <w:hideMark/>
          </w:tcPr>
          <w:p w14:paraId="05547DD6"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156C35D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(0.54)</w:t>
            </w:r>
          </w:p>
        </w:tc>
        <w:tc>
          <w:tcPr>
            <w:tcW w:w="534" w:type="pct"/>
            <w:tcBorders>
              <w:top w:val="nil"/>
              <w:left w:val="nil"/>
              <w:bottom w:val="nil"/>
              <w:right w:val="nil"/>
            </w:tcBorders>
            <w:shd w:val="clear" w:color="auto" w:fill="auto"/>
            <w:noWrap/>
            <w:vAlign w:val="bottom"/>
            <w:hideMark/>
          </w:tcPr>
          <w:p w14:paraId="735B1ED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(1.08)</w:t>
            </w:r>
          </w:p>
        </w:tc>
        <w:tc>
          <w:tcPr>
            <w:tcW w:w="534" w:type="pct"/>
            <w:tcBorders>
              <w:top w:val="nil"/>
              <w:left w:val="nil"/>
              <w:bottom w:val="nil"/>
              <w:right w:val="nil"/>
            </w:tcBorders>
            <w:shd w:val="clear" w:color="auto" w:fill="auto"/>
            <w:noWrap/>
            <w:vAlign w:val="bottom"/>
            <w:hideMark/>
          </w:tcPr>
          <w:p w14:paraId="09BA5FB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w:t>
            </w:r>
          </w:p>
        </w:tc>
        <w:tc>
          <w:tcPr>
            <w:tcW w:w="535" w:type="pct"/>
            <w:tcBorders>
              <w:top w:val="nil"/>
              <w:left w:val="nil"/>
              <w:bottom w:val="nil"/>
              <w:right w:val="single" w:sz="4" w:space="0" w:color="auto"/>
            </w:tcBorders>
            <w:shd w:val="clear" w:color="auto" w:fill="auto"/>
            <w:noWrap/>
            <w:vAlign w:val="bottom"/>
            <w:hideMark/>
          </w:tcPr>
          <w:p w14:paraId="4DF5D77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w:t>
            </w:r>
          </w:p>
        </w:tc>
        <w:tc>
          <w:tcPr>
            <w:tcW w:w="533" w:type="pct"/>
            <w:tcBorders>
              <w:top w:val="nil"/>
              <w:left w:val="single" w:sz="4" w:space="0" w:color="auto"/>
              <w:bottom w:val="nil"/>
              <w:right w:val="nil"/>
            </w:tcBorders>
            <w:shd w:val="clear" w:color="auto" w:fill="auto"/>
            <w:noWrap/>
            <w:vAlign w:val="bottom"/>
            <w:hideMark/>
          </w:tcPr>
          <w:p w14:paraId="6B5741E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(2.71***)</w:t>
            </w:r>
          </w:p>
        </w:tc>
        <w:tc>
          <w:tcPr>
            <w:tcW w:w="534" w:type="pct"/>
            <w:tcBorders>
              <w:top w:val="nil"/>
              <w:left w:val="nil"/>
              <w:bottom w:val="nil"/>
              <w:right w:val="nil"/>
            </w:tcBorders>
            <w:shd w:val="clear" w:color="auto" w:fill="auto"/>
            <w:noWrap/>
            <w:vAlign w:val="bottom"/>
            <w:hideMark/>
          </w:tcPr>
          <w:p w14:paraId="0D88F13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(3.82***)</w:t>
            </w:r>
          </w:p>
        </w:tc>
        <w:tc>
          <w:tcPr>
            <w:tcW w:w="533" w:type="pct"/>
            <w:tcBorders>
              <w:top w:val="nil"/>
              <w:left w:val="nil"/>
              <w:bottom w:val="nil"/>
              <w:right w:val="nil"/>
            </w:tcBorders>
            <w:shd w:val="clear" w:color="auto" w:fill="auto"/>
            <w:noWrap/>
            <w:vAlign w:val="bottom"/>
            <w:hideMark/>
          </w:tcPr>
          <w:p w14:paraId="5999EBB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(1.12)</w:t>
            </w:r>
          </w:p>
        </w:tc>
        <w:tc>
          <w:tcPr>
            <w:tcW w:w="535" w:type="pct"/>
            <w:tcBorders>
              <w:top w:val="nil"/>
              <w:left w:val="nil"/>
              <w:bottom w:val="nil"/>
              <w:right w:val="nil"/>
            </w:tcBorders>
            <w:shd w:val="clear" w:color="auto" w:fill="auto"/>
            <w:noWrap/>
            <w:vAlign w:val="bottom"/>
            <w:hideMark/>
          </w:tcPr>
          <w:p w14:paraId="00F5DD6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(1.08)</w:t>
            </w:r>
          </w:p>
        </w:tc>
      </w:tr>
      <w:tr w:rsidR="003273BD" w:rsidRPr="00245E91" w14:paraId="0506FD47" w14:textId="77777777" w:rsidTr="00245E91">
        <w:trPr>
          <w:trHeight w:val="144"/>
        </w:trPr>
        <w:tc>
          <w:tcPr>
            <w:tcW w:w="727" w:type="pct"/>
            <w:tcBorders>
              <w:top w:val="nil"/>
              <w:left w:val="nil"/>
              <w:bottom w:val="nil"/>
              <w:right w:val="nil"/>
            </w:tcBorders>
            <w:shd w:val="clear" w:color="auto" w:fill="auto"/>
            <w:noWrap/>
            <w:vAlign w:val="bottom"/>
            <w:hideMark/>
          </w:tcPr>
          <w:p w14:paraId="45BEAEDF"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ROA</w:t>
            </w:r>
          </w:p>
        </w:tc>
        <w:tc>
          <w:tcPr>
            <w:tcW w:w="534" w:type="pct"/>
            <w:tcBorders>
              <w:top w:val="nil"/>
              <w:left w:val="nil"/>
              <w:bottom w:val="nil"/>
              <w:right w:val="nil"/>
            </w:tcBorders>
            <w:shd w:val="clear" w:color="auto" w:fill="auto"/>
            <w:noWrap/>
            <w:vAlign w:val="bottom"/>
            <w:hideMark/>
          </w:tcPr>
          <w:p w14:paraId="3F476E4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-0.123</w:t>
            </w:r>
          </w:p>
        </w:tc>
        <w:tc>
          <w:tcPr>
            <w:tcW w:w="534" w:type="pct"/>
            <w:tcBorders>
              <w:top w:val="nil"/>
              <w:left w:val="nil"/>
              <w:bottom w:val="nil"/>
              <w:right w:val="nil"/>
            </w:tcBorders>
            <w:shd w:val="clear" w:color="auto" w:fill="auto"/>
            <w:noWrap/>
            <w:vAlign w:val="bottom"/>
            <w:hideMark/>
          </w:tcPr>
          <w:p w14:paraId="325DE49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-0.260</w:t>
            </w:r>
          </w:p>
        </w:tc>
        <w:tc>
          <w:tcPr>
            <w:tcW w:w="534" w:type="pct"/>
            <w:tcBorders>
              <w:top w:val="nil"/>
              <w:left w:val="nil"/>
              <w:bottom w:val="nil"/>
              <w:right w:val="nil"/>
            </w:tcBorders>
            <w:shd w:val="clear" w:color="auto" w:fill="auto"/>
            <w:noWrap/>
            <w:vAlign w:val="bottom"/>
            <w:hideMark/>
          </w:tcPr>
          <w:p w14:paraId="5717766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0.403</w:t>
            </w:r>
          </w:p>
        </w:tc>
        <w:tc>
          <w:tcPr>
            <w:tcW w:w="535" w:type="pct"/>
            <w:tcBorders>
              <w:top w:val="nil"/>
              <w:left w:val="nil"/>
              <w:bottom w:val="nil"/>
              <w:right w:val="single" w:sz="4" w:space="0" w:color="auto"/>
            </w:tcBorders>
            <w:shd w:val="clear" w:color="auto" w:fill="auto"/>
            <w:noWrap/>
            <w:vAlign w:val="bottom"/>
            <w:hideMark/>
          </w:tcPr>
          <w:p w14:paraId="3A264FC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0.404</w:t>
            </w:r>
          </w:p>
        </w:tc>
        <w:tc>
          <w:tcPr>
            <w:tcW w:w="533" w:type="pct"/>
            <w:tcBorders>
              <w:top w:val="nil"/>
              <w:left w:val="single" w:sz="4" w:space="0" w:color="auto"/>
              <w:bottom w:val="nil"/>
              <w:right w:val="nil"/>
            </w:tcBorders>
            <w:shd w:val="clear" w:color="auto" w:fill="auto"/>
            <w:noWrap/>
            <w:vAlign w:val="bottom"/>
            <w:hideMark/>
          </w:tcPr>
          <w:p w14:paraId="6ACFFAA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-0.157</w:t>
            </w:r>
          </w:p>
        </w:tc>
        <w:tc>
          <w:tcPr>
            <w:tcW w:w="534" w:type="pct"/>
            <w:tcBorders>
              <w:top w:val="nil"/>
              <w:left w:val="nil"/>
              <w:bottom w:val="nil"/>
              <w:right w:val="nil"/>
            </w:tcBorders>
            <w:shd w:val="clear" w:color="auto" w:fill="auto"/>
            <w:noWrap/>
            <w:vAlign w:val="bottom"/>
            <w:hideMark/>
          </w:tcPr>
          <w:p w14:paraId="47D0E08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-0.282</w:t>
            </w:r>
          </w:p>
        </w:tc>
        <w:tc>
          <w:tcPr>
            <w:tcW w:w="533" w:type="pct"/>
            <w:tcBorders>
              <w:top w:val="nil"/>
              <w:left w:val="nil"/>
              <w:bottom w:val="nil"/>
              <w:right w:val="nil"/>
            </w:tcBorders>
            <w:shd w:val="clear" w:color="auto" w:fill="auto"/>
            <w:noWrap/>
            <w:vAlign w:val="bottom"/>
            <w:hideMark/>
          </w:tcPr>
          <w:p w14:paraId="33430DB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0.507</w:t>
            </w:r>
          </w:p>
        </w:tc>
        <w:tc>
          <w:tcPr>
            <w:tcW w:w="535" w:type="pct"/>
            <w:tcBorders>
              <w:top w:val="nil"/>
              <w:left w:val="nil"/>
              <w:bottom w:val="nil"/>
              <w:right w:val="nil"/>
            </w:tcBorders>
            <w:shd w:val="clear" w:color="auto" w:fill="auto"/>
            <w:noWrap/>
            <w:vAlign w:val="bottom"/>
            <w:hideMark/>
          </w:tcPr>
          <w:p w14:paraId="2E72CBF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0.506</w:t>
            </w:r>
          </w:p>
        </w:tc>
      </w:tr>
      <w:tr w:rsidR="003273BD" w:rsidRPr="00245E91" w14:paraId="39B95A54" w14:textId="77777777" w:rsidTr="00245E91">
        <w:trPr>
          <w:trHeight w:val="144"/>
        </w:trPr>
        <w:tc>
          <w:tcPr>
            <w:tcW w:w="727" w:type="pct"/>
            <w:tcBorders>
              <w:top w:val="nil"/>
              <w:left w:val="nil"/>
              <w:bottom w:val="nil"/>
              <w:right w:val="nil"/>
            </w:tcBorders>
            <w:shd w:val="clear" w:color="auto" w:fill="auto"/>
            <w:noWrap/>
            <w:vAlign w:val="bottom"/>
            <w:hideMark/>
          </w:tcPr>
          <w:p w14:paraId="782F31A8"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4590E1F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(-3.17***)</w:t>
            </w:r>
          </w:p>
        </w:tc>
        <w:tc>
          <w:tcPr>
            <w:tcW w:w="534" w:type="pct"/>
            <w:tcBorders>
              <w:top w:val="nil"/>
              <w:left w:val="nil"/>
              <w:bottom w:val="nil"/>
              <w:right w:val="nil"/>
            </w:tcBorders>
            <w:shd w:val="clear" w:color="auto" w:fill="auto"/>
            <w:noWrap/>
            <w:vAlign w:val="bottom"/>
            <w:hideMark/>
          </w:tcPr>
          <w:p w14:paraId="62394B7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(-7.28***)</w:t>
            </w:r>
          </w:p>
        </w:tc>
        <w:tc>
          <w:tcPr>
            <w:tcW w:w="534" w:type="pct"/>
            <w:tcBorders>
              <w:top w:val="nil"/>
              <w:left w:val="nil"/>
              <w:bottom w:val="nil"/>
              <w:right w:val="nil"/>
            </w:tcBorders>
            <w:shd w:val="clear" w:color="auto" w:fill="auto"/>
            <w:noWrap/>
            <w:vAlign w:val="bottom"/>
            <w:hideMark/>
          </w:tcPr>
          <w:p w14:paraId="4B102D4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(11.13***)</w:t>
            </w:r>
          </w:p>
        </w:tc>
        <w:tc>
          <w:tcPr>
            <w:tcW w:w="535" w:type="pct"/>
            <w:tcBorders>
              <w:top w:val="nil"/>
              <w:left w:val="nil"/>
              <w:bottom w:val="nil"/>
              <w:right w:val="single" w:sz="4" w:space="0" w:color="auto"/>
            </w:tcBorders>
            <w:shd w:val="clear" w:color="auto" w:fill="auto"/>
            <w:noWrap/>
            <w:vAlign w:val="bottom"/>
            <w:hideMark/>
          </w:tcPr>
          <w:p w14:paraId="46A5E6F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(11.23***)</w:t>
            </w:r>
          </w:p>
        </w:tc>
        <w:tc>
          <w:tcPr>
            <w:tcW w:w="533" w:type="pct"/>
            <w:tcBorders>
              <w:top w:val="nil"/>
              <w:left w:val="single" w:sz="4" w:space="0" w:color="auto"/>
              <w:bottom w:val="nil"/>
              <w:right w:val="nil"/>
            </w:tcBorders>
            <w:shd w:val="clear" w:color="auto" w:fill="auto"/>
            <w:noWrap/>
            <w:vAlign w:val="bottom"/>
            <w:hideMark/>
          </w:tcPr>
          <w:p w14:paraId="659A7A5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(-3.43***)</w:t>
            </w:r>
          </w:p>
        </w:tc>
        <w:tc>
          <w:tcPr>
            <w:tcW w:w="534" w:type="pct"/>
            <w:tcBorders>
              <w:top w:val="nil"/>
              <w:left w:val="nil"/>
              <w:bottom w:val="nil"/>
              <w:right w:val="nil"/>
            </w:tcBorders>
            <w:shd w:val="clear" w:color="auto" w:fill="auto"/>
            <w:noWrap/>
            <w:vAlign w:val="bottom"/>
            <w:hideMark/>
          </w:tcPr>
          <w:p w14:paraId="7253D83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(-7.79***)</w:t>
            </w:r>
          </w:p>
        </w:tc>
        <w:tc>
          <w:tcPr>
            <w:tcW w:w="533" w:type="pct"/>
            <w:tcBorders>
              <w:top w:val="nil"/>
              <w:left w:val="nil"/>
              <w:bottom w:val="nil"/>
              <w:right w:val="nil"/>
            </w:tcBorders>
            <w:shd w:val="clear" w:color="auto" w:fill="auto"/>
            <w:noWrap/>
            <w:vAlign w:val="bottom"/>
            <w:hideMark/>
          </w:tcPr>
          <w:p w14:paraId="159B48F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(13.85***)</w:t>
            </w:r>
          </w:p>
        </w:tc>
        <w:tc>
          <w:tcPr>
            <w:tcW w:w="535" w:type="pct"/>
            <w:tcBorders>
              <w:top w:val="nil"/>
              <w:left w:val="nil"/>
              <w:bottom w:val="nil"/>
              <w:right w:val="nil"/>
            </w:tcBorders>
            <w:shd w:val="clear" w:color="auto" w:fill="auto"/>
            <w:noWrap/>
            <w:vAlign w:val="bottom"/>
            <w:hideMark/>
          </w:tcPr>
          <w:p w14:paraId="014B1D8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(13.89***)</w:t>
            </w:r>
          </w:p>
        </w:tc>
      </w:tr>
      <w:tr w:rsidR="003273BD" w:rsidRPr="00245E91" w14:paraId="4DA402C9" w14:textId="77777777" w:rsidTr="00245E91">
        <w:trPr>
          <w:trHeight w:val="144"/>
        </w:trPr>
        <w:tc>
          <w:tcPr>
            <w:tcW w:w="727" w:type="pct"/>
            <w:tcBorders>
              <w:top w:val="nil"/>
              <w:left w:val="nil"/>
              <w:bottom w:val="nil"/>
              <w:right w:val="nil"/>
            </w:tcBorders>
            <w:shd w:val="clear" w:color="auto" w:fill="auto"/>
            <w:noWrap/>
            <w:vAlign w:val="bottom"/>
            <w:hideMark/>
          </w:tcPr>
          <w:p w14:paraId="16CB1386"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MKBK</w:t>
            </w:r>
          </w:p>
        </w:tc>
        <w:tc>
          <w:tcPr>
            <w:tcW w:w="534" w:type="pct"/>
            <w:tcBorders>
              <w:top w:val="nil"/>
              <w:left w:val="nil"/>
              <w:bottom w:val="nil"/>
              <w:right w:val="nil"/>
            </w:tcBorders>
            <w:shd w:val="clear" w:color="auto" w:fill="auto"/>
            <w:noWrap/>
            <w:vAlign w:val="bottom"/>
            <w:hideMark/>
          </w:tcPr>
          <w:p w14:paraId="07B8B3C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-0.030</w:t>
            </w:r>
          </w:p>
        </w:tc>
        <w:tc>
          <w:tcPr>
            <w:tcW w:w="534" w:type="pct"/>
            <w:tcBorders>
              <w:top w:val="nil"/>
              <w:left w:val="nil"/>
              <w:bottom w:val="nil"/>
              <w:right w:val="nil"/>
            </w:tcBorders>
            <w:shd w:val="clear" w:color="auto" w:fill="auto"/>
            <w:noWrap/>
            <w:vAlign w:val="bottom"/>
            <w:hideMark/>
          </w:tcPr>
          <w:p w14:paraId="53D69B2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-0.032</w:t>
            </w:r>
          </w:p>
        </w:tc>
        <w:tc>
          <w:tcPr>
            <w:tcW w:w="534" w:type="pct"/>
            <w:tcBorders>
              <w:top w:val="nil"/>
              <w:left w:val="nil"/>
              <w:bottom w:val="nil"/>
              <w:right w:val="nil"/>
            </w:tcBorders>
            <w:shd w:val="clear" w:color="auto" w:fill="auto"/>
            <w:noWrap/>
            <w:vAlign w:val="bottom"/>
            <w:hideMark/>
          </w:tcPr>
          <w:p w14:paraId="6B0C408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0.040</w:t>
            </w:r>
          </w:p>
        </w:tc>
        <w:tc>
          <w:tcPr>
            <w:tcW w:w="535" w:type="pct"/>
            <w:tcBorders>
              <w:top w:val="nil"/>
              <w:left w:val="nil"/>
              <w:bottom w:val="nil"/>
              <w:right w:val="single" w:sz="4" w:space="0" w:color="auto"/>
            </w:tcBorders>
            <w:shd w:val="clear" w:color="auto" w:fill="auto"/>
            <w:noWrap/>
            <w:vAlign w:val="bottom"/>
            <w:hideMark/>
          </w:tcPr>
          <w:p w14:paraId="501353F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0.039</w:t>
            </w:r>
          </w:p>
        </w:tc>
        <w:tc>
          <w:tcPr>
            <w:tcW w:w="533" w:type="pct"/>
            <w:tcBorders>
              <w:top w:val="nil"/>
              <w:left w:val="single" w:sz="4" w:space="0" w:color="auto"/>
              <w:bottom w:val="nil"/>
              <w:right w:val="nil"/>
            </w:tcBorders>
            <w:shd w:val="clear" w:color="auto" w:fill="auto"/>
            <w:noWrap/>
            <w:vAlign w:val="bottom"/>
            <w:hideMark/>
          </w:tcPr>
          <w:p w14:paraId="10888F6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-0.005</w:t>
            </w:r>
          </w:p>
        </w:tc>
        <w:tc>
          <w:tcPr>
            <w:tcW w:w="534" w:type="pct"/>
            <w:tcBorders>
              <w:top w:val="nil"/>
              <w:left w:val="nil"/>
              <w:bottom w:val="nil"/>
              <w:right w:val="nil"/>
            </w:tcBorders>
            <w:shd w:val="clear" w:color="auto" w:fill="auto"/>
            <w:noWrap/>
            <w:vAlign w:val="bottom"/>
            <w:hideMark/>
          </w:tcPr>
          <w:p w14:paraId="61F170F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-0.029</w:t>
            </w:r>
          </w:p>
        </w:tc>
        <w:tc>
          <w:tcPr>
            <w:tcW w:w="533" w:type="pct"/>
            <w:tcBorders>
              <w:top w:val="nil"/>
              <w:left w:val="nil"/>
              <w:bottom w:val="nil"/>
              <w:right w:val="nil"/>
            </w:tcBorders>
            <w:shd w:val="clear" w:color="auto" w:fill="auto"/>
            <w:noWrap/>
            <w:vAlign w:val="bottom"/>
            <w:hideMark/>
          </w:tcPr>
          <w:p w14:paraId="0688008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0.004</w:t>
            </w:r>
          </w:p>
        </w:tc>
        <w:tc>
          <w:tcPr>
            <w:tcW w:w="535" w:type="pct"/>
            <w:tcBorders>
              <w:top w:val="nil"/>
              <w:left w:val="nil"/>
              <w:bottom w:val="nil"/>
              <w:right w:val="nil"/>
            </w:tcBorders>
            <w:shd w:val="clear" w:color="auto" w:fill="auto"/>
            <w:noWrap/>
            <w:vAlign w:val="bottom"/>
            <w:hideMark/>
          </w:tcPr>
          <w:p w14:paraId="2A88655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0.005</w:t>
            </w:r>
          </w:p>
        </w:tc>
      </w:tr>
      <w:tr w:rsidR="003273BD" w:rsidRPr="00245E91" w14:paraId="61D35F86" w14:textId="77777777" w:rsidTr="00245E91">
        <w:trPr>
          <w:trHeight w:val="144"/>
        </w:trPr>
        <w:tc>
          <w:tcPr>
            <w:tcW w:w="727" w:type="pct"/>
            <w:tcBorders>
              <w:top w:val="nil"/>
              <w:left w:val="nil"/>
              <w:bottom w:val="nil"/>
              <w:right w:val="nil"/>
            </w:tcBorders>
            <w:shd w:val="clear" w:color="auto" w:fill="auto"/>
            <w:noWrap/>
            <w:vAlign w:val="bottom"/>
            <w:hideMark/>
          </w:tcPr>
          <w:p w14:paraId="280BA67F"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61FF28E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(-0.87)</w:t>
            </w:r>
          </w:p>
        </w:tc>
        <w:tc>
          <w:tcPr>
            <w:tcW w:w="534" w:type="pct"/>
            <w:tcBorders>
              <w:top w:val="nil"/>
              <w:left w:val="nil"/>
              <w:bottom w:val="nil"/>
              <w:right w:val="nil"/>
            </w:tcBorders>
            <w:shd w:val="clear" w:color="auto" w:fill="auto"/>
            <w:noWrap/>
            <w:vAlign w:val="bottom"/>
            <w:hideMark/>
          </w:tcPr>
          <w:p w14:paraId="14D227A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(-1.09)</w:t>
            </w:r>
          </w:p>
        </w:tc>
        <w:tc>
          <w:tcPr>
            <w:tcW w:w="534" w:type="pct"/>
            <w:tcBorders>
              <w:top w:val="nil"/>
              <w:left w:val="nil"/>
              <w:bottom w:val="nil"/>
              <w:right w:val="nil"/>
            </w:tcBorders>
            <w:shd w:val="clear" w:color="auto" w:fill="auto"/>
            <w:noWrap/>
            <w:vAlign w:val="bottom"/>
            <w:hideMark/>
          </w:tcPr>
          <w:p w14:paraId="5D47E87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(1.32)</w:t>
            </w:r>
          </w:p>
        </w:tc>
        <w:tc>
          <w:tcPr>
            <w:tcW w:w="535" w:type="pct"/>
            <w:tcBorders>
              <w:top w:val="nil"/>
              <w:left w:val="nil"/>
              <w:bottom w:val="nil"/>
              <w:right w:val="single" w:sz="4" w:space="0" w:color="auto"/>
            </w:tcBorders>
            <w:shd w:val="clear" w:color="auto" w:fill="auto"/>
            <w:noWrap/>
            <w:vAlign w:val="bottom"/>
            <w:hideMark/>
          </w:tcPr>
          <w:p w14:paraId="2AAD086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(1.30)</w:t>
            </w:r>
          </w:p>
        </w:tc>
        <w:tc>
          <w:tcPr>
            <w:tcW w:w="533" w:type="pct"/>
            <w:tcBorders>
              <w:top w:val="nil"/>
              <w:left w:val="single" w:sz="4" w:space="0" w:color="auto"/>
              <w:bottom w:val="nil"/>
              <w:right w:val="nil"/>
            </w:tcBorders>
            <w:shd w:val="clear" w:color="auto" w:fill="auto"/>
            <w:noWrap/>
            <w:vAlign w:val="bottom"/>
            <w:hideMark/>
          </w:tcPr>
          <w:p w14:paraId="4B28FB1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(-0.15)</w:t>
            </w:r>
          </w:p>
        </w:tc>
        <w:tc>
          <w:tcPr>
            <w:tcW w:w="534" w:type="pct"/>
            <w:tcBorders>
              <w:top w:val="nil"/>
              <w:left w:val="nil"/>
              <w:bottom w:val="nil"/>
              <w:right w:val="nil"/>
            </w:tcBorders>
            <w:shd w:val="clear" w:color="auto" w:fill="auto"/>
            <w:noWrap/>
            <w:vAlign w:val="bottom"/>
            <w:hideMark/>
          </w:tcPr>
          <w:p w14:paraId="7E36663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(-0.97)</w:t>
            </w:r>
          </w:p>
        </w:tc>
        <w:tc>
          <w:tcPr>
            <w:tcW w:w="533" w:type="pct"/>
            <w:tcBorders>
              <w:top w:val="nil"/>
              <w:left w:val="nil"/>
              <w:bottom w:val="nil"/>
              <w:right w:val="nil"/>
            </w:tcBorders>
            <w:shd w:val="clear" w:color="auto" w:fill="auto"/>
            <w:noWrap/>
            <w:vAlign w:val="bottom"/>
            <w:hideMark/>
          </w:tcPr>
          <w:p w14:paraId="07FD492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w:t>
            </w:r>
          </w:p>
        </w:tc>
        <w:tc>
          <w:tcPr>
            <w:tcW w:w="535" w:type="pct"/>
            <w:tcBorders>
              <w:top w:val="nil"/>
              <w:left w:val="nil"/>
              <w:bottom w:val="nil"/>
              <w:right w:val="nil"/>
            </w:tcBorders>
            <w:shd w:val="clear" w:color="auto" w:fill="auto"/>
            <w:noWrap/>
            <w:vAlign w:val="bottom"/>
            <w:hideMark/>
          </w:tcPr>
          <w:p w14:paraId="1AEBC43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(0.18)</w:t>
            </w:r>
          </w:p>
        </w:tc>
      </w:tr>
      <w:tr w:rsidR="003273BD" w:rsidRPr="00245E91" w14:paraId="75B62A95" w14:textId="77777777" w:rsidTr="00245E91">
        <w:trPr>
          <w:trHeight w:val="144"/>
        </w:trPr>
        <w:tc>
          <w:tcPr>
            <w:tcW w:w="727" w:type="pct"/>
            <w:tcBorders>
              <w:top w:val="nil"/>
              <w:left w:val="nil"/>
              <w:bottom w:val="nil"/>
              <w:right w:val="nil"/>
            </w:tcBorders>
            <w:shd w:val="clear" w:color="auto" w:fill="auto"/>
            <w:noWrap/>
            <w:vAlign w:val="bottom"/>
          </w:tcPr>
          <w:p w14:paraId="050486F4"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LIQUIDITY</w:t>
            </w:r>
          </w:p>
        </w:tc>
        <w:tc>
          <w:tcPr>
            <w:tcW w:w="534" w:type="pct"/>
            <w:tcBorders>
              <w:top w:val="nil"/>
              <w:left w:val="nil"/>
              <w:bottom w:val="nil"/>
              <w:right w:val="nil"/>
            </w:tcBorders>
            <w:shd w:val="clear" w:color="auto" w:fill="auto"/>
            <w:noWrap/>
            <w:vAlign w:val="bottom"/>
          </w:tcPr>
          <w:p w14:paraId="19B9E80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0.005</w:t>
            </w:r>
          </w:p>
        </w:tc>
        <w:tc>
          <w:tcPr>
            <w:tcW w:w="534" w:type="pct"/>
            <w:tcBorders>
              <w:top w:val="nil"/>
              <w:left w:val="nil"/>
              <w:bottom w:val="nil"/>
              <w:right w:val="nil"/>
            </w:tcBorders>
            <w:shd w:val="clear" w:color="auto" w:fill="auto"/>
            <w:noWrap/>
            <w:vAlign w:val="bottom"/>
          </w:tcPr>
          <w:p w14:paraId="0C062C0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0.010</w:t>
            </w:r>
          </w:p>
        </w:tc>
        <w:tc>
          <w:tcPr>
            <w:tcW w:w="534" w:type="pct"/>
            <w:tcBorders>
              <w:top w:val="nil"/>
              <w:left w:val="nil"/>
              <w:bottom w:val="nil"/>
              <w:right w:val="nil"/>
            </w:tcBorders>
            <w:shd w:val="clear" w:color="auto" w:fill="auto"/>
            <w:noWrap/>
            <w:vAlign w:val="bottom"/>
          </w:tcPr>
          <w:p w14:paraId="63D3F53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0.044</w:t>
            </w:r>
          </w:p>
        </w:tc>
        <w:tc>
          <w:tcPr>
            <w:tcW w:w="535" w:type="pct"/>
            <w:tcBorders>
              <w:top w:val="nil"/>
              <w:left w:val="nil"/>
              <w:bottom w:val="nil"/>
              <w:right w:val="single" w:sz="4" w:space="0" w:color="auto"/>
            </w:tcBorders>
            <w:shd w:val="clear" w:color="auto" w:fill="auto"/>
            <w:noWrap/>
            <w:vAlign w:val="bottom"/>
          </w:tcPr>
          <w:p w14:paraId="55721AD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0.044</w:t>
            </w:r>
          </w:p>
        </w:tc>
        <w:tc>
          <w:tcPr>
            <w:tcW w:w="533" w:type="pct"/>
            <w:tcBorders>
              <w:top w:val="nil"/>
              <w:left w:val="single" w:sz="4" w:space="0" w:color="auto"/>
              <w:bottom w:val="nil"/>
              <w:right w:val="nil"/>
            </w:tcBorders>
            <w:shd w:val="clear" w:color="auto" w:fill="auto"/>
            <w:noWrap/>
            <w:vAlign w:val="bottom"/>
          </w:tcPr>
          <w:p w14:paraId="157B786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-0.042</w:t>
            </w:r>
          </w:p>
        </w:tc>
        <w:tc>
          <w:tcPr>
            <w:tcW w:w="534" w:type="pct"/>
            <w:tcBorders>
              <w:top w:val="nil"/>
              <w:left w:val="nil"/>
              <w:bottom w:val="nil"/>
              <w:right w:val="nil"/>
            </w:tcBorders>
            <w:shd w:val="clear" w:color="auto" w:fill="auto"/>
            <w:noWrap/>
            <w:vAlign w:val="bottom"/>
          </w:tcPr>
          <w:p w14:paraId="3CC5DA6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-0.018</w:t>
            </w:r>
          </w:p>
        </w:tc>
        <w:tc>
          <w:tcPr>
            <w:tcW w:w="533" w:type="pct"/>
            <w:tcBorders>
              <w:top w:val="nil"/>
              <w:left w:val="nil"/>
              <w:bottom w:val="nil"/>
              <w:right w:val="nil"/>
            </w:tcBorders>
            <w:shd w:val="clear" w:color="auto" w:fill="auto"/>
            <w:noWrap/>
            <w:vAlign w:val="bottom"/>
          </w:tcPr>
          <w:p w14:paraId="0D58B85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-0.000</w:t>
            </w:r>
          </w:p>
        </w:tc>
        <w:tc>
          <w:tcPr>
            <w:tcW w:w="535" w:type="pct"/>
            <w:tcBorders>
              <w:top w:val="nil"/>
              <w:left w:val="nil"/>
              <w:bottom w:val="nil"/>
              <w:right w:val="nil"/>
            </w:tcBorders>
            <w:shd w:val="clear" w:color="auto" w:fill="auto"/>
            <w:noWrap/>
            <w:vAlign w:val="bottom"/>
          </w:tcPr>
          <w:p w14:paraId="1FA41B4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-0.002</w:t>
            </w:r>
          </w:p>
        </w:tc>
      </w:tr>
      <w:tr w:rsidR="003273BD" w:rsidRPr="00245E91" w14:paraId="412356D1" w14:textId="77777777" w:rsidTr="00245E91">
        <w:trPr>
          <w:trHeight w:val="144"/>
        </w:trPr>
        <w:tc>
          <w:tcPr>
            <w:tcW w:w="727" w:type="pct"/>
            <w:tcBorders>
              <w:top w:val="nil"/>
              <w:left w:val="nil"/>
              <w:bottom w:val="nil"/>
              <w:right w:val="nil"/>
            </w:tcBorders>
            <w:shd w:val="clear" w:color="auto" w:fill="auto"/>
            <w:noWrap/>
            <w:vAlign w:val="bottom"/>
          </w:tcPr>
          <w:p w14:paraId="688C8924"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tcPr>
          <w:p w14:paraId="7276236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(0.15)</w:t>
            </w:r>
          </w:p>
        </w:tc>
        <w:tc>
          <w:tcPr>
            <w:tcW w:w="534" w:type="pct"/>
            <w:tcBorders>
              <w:top w:val="nil"/>
              <w:left w:val="nil"/>
              <w:bottom w:val="nil"/>
              <w:right w:val="nil"/>
            </w:tcBorders>
            <w:shd w:val="clear" w:color="auto" w:fill="auto"/>
            <w:noWrap/>
            <w:vAlign w:val="bottom"/>
          </w:tcPr>
          <w:p w14:paraId="393869B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(0.35)</w:t>
            </w:r>
          </w:p>
        </w:tc>
        <w:tc>
          <w:tcPr>
            <w:tcW w:w="534" w:type="pct"/>
            <w:tcBorders>
              <w:top w:val="nil"/>
              <w:left w:val="nil"/>
              <w:bottom w:val="nil"/>
              <w:right w:val="nil"/>
            </w:tcBorders>
            <w:shd w:val="clear" w:color="auto" w:fill="auto"/>
            <w:noWrap/>
            <w:vAlign w:val="bottom"/>
          </w:tcPr>
          <w:p w14:paraId="443CD99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(2.03**)</w:t>
            </w:r>
          </w:p>
        </w:tc>
        <w:tc>
          <w:tcPr>
            <w:tcW w:w="535" w:type="pct"/>
            <w:tcBorders>
              <w:top w:val="nil"/>
              <w:left w:val="nil"/>
              <w:bottom w:val="nil"/>
              <w:right w:val="single" w:sz="4" w:space="0" w:color="auto"/>
            </w:tcBorders>
            <w:shd w:val="clear" w:color="auto" w:fill="auto"/>
            <w:noWrap/>
            <w:vAlign w:val="bottom"/>
          </w:tcPr>
          <w:p w14:paraId="6D753C1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(2.02**)</w:t>
            </w:r>
          </w:p>
        </w:tc>
        <w:tc>
          <w:tcPr>
            <w:tcW w:w="533" w:type="pct"/>
            <w:tcBorders>
              <w:top w:val="nil"/>
              <w:left w:val="single" w:sz="4" w:space="0" w:color="auto"/>
              <w:bottom w:val="nil"/>
              <w:right w:val="nil"/>
            </w:tcBorders>
            <w:shd w:val="clear" w:color="auto" w:fill="auto"/>
            <w:noWrap/>
            <w:vAlign w:val="bottom"/>
          </w:tcPr>
          <w:p w14:paraId="458F395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(-1.53)</w:t>
            </w:r>
          </w:p>
        </w:tc>
        <w:tc>
          <w:tcPr>
            <w:tcW w:w="534" w:type="pct"/>
            <w:tcBorders>
              <w:top w:val="nil"/>
              <w:left w:val="nil"/>
              <w:bottom w:val="nil"/>
              <w:right w:val="nil"/>
            </w:tcBorders>
            <w:shd w:val="clear" w:color="auto" w:fill="auto"/>
            <w:noWrap/>
            <w:vAlign w:val="bottom"/>
          </w:tcPr>
          <w:p w14:paraId="22968EC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(-0.68)</w:t>
            </w:r>
          </w:p>
        </w:tc>
        <w:tc>
          <w:tcPr>
            <w:tcW w:w="533" w:type="pct"/>
            <w:tcBorders>
              <w:top w:val="nil"/>
              <w:left w:val="nil"/>
              <w:bottom w:val="nil"/>
              <w:right w:val="nil"/>
            </w:tcBorders>
            <w:shd w:val="clear" w:color="auto" w:fill="auto"/>
            <w:noWrap/>
            <w:vAlign w:val="bottom"/>
          </w:tcPr>
          <w:p w14:paraId="04EF29A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w:t>
            </w:r>
          </w:p>
        </w:tc>
        <w:tc>
          <w:tcPr>
            <w:tcW w:w="535" w:type="pct"/>
            <w:tcBorders>
              <w:top w:val="nil"/>
              <w:left w:val="nil"/>
              <w:bottom w:val="nil"/>
              <w:right w:val="nil"/>
            </w:tcBorders>
            <w:shd w:val="clear" w:color="auto" w:fill="auto"/>
            <w:noWrap/>
            <w:vAlign w:val="bottom"/>
          </w:tcPr>
          <w:p w14:paraId="661EA81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w:t>
            </w:r>
          </w:p>
        </w:tc>
      </w:tr>
      <w:tr w:rsidR="003273BD" w:rsidRPr="00245E91" w14:paraId="332284EB" w14:textId="77777777" w:rsidTr="00245E91">
        <w:trPr>
          <w:trHeight w:val="144"/>
        </w:trPr>
        <w:tc>
          <w:tcPr>
            <w:tcW w:w="727" w:type="pct"/>
            <w:tcBorders>
              <w:top w:val="nil"/>
              <w:left w:val="nil"/>
              <w:bottom w:val="nil"/>
              <w:right w:val="nil"/>
            </w:tcBorders>
            <w:shd w:val="clear" w:color="auto" w:fill="auto"/>
            <w:noWrap/>
            <w:vAlign w:val="bottom"/>
          </w:tcPr>
          <w:p w14:paraId="03C66F50"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STOCKISSUE</w:t>
            </w:r>
          </w:p>
        </w:tc>
        <w:tc>
          <w:tcPr>
            <w:tcW w:w="534" w:type="pct"/>
            <w:tcBorders>
              <w:top w:val="nil"/>
              <w:left w:val="nil"/>
              <w:bottom w:val="nil"/>
              <w:right w:val="nil"/>
            </w:tcBorders>
            <w:shd w:val="clear" w:color="auto" w:fill="auto"/>
            <w:noWrap/>
            <w:vAlign w:val="bottom"/>
          </w:tcPr>
          <w:p w14:paraId="6EA90C4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0.010</w:t>
            </w:r>
          </w:p>
        </w:tc>
        <w:tc>
          <w:tcPr>
            <w:tcW w:w="534" w:type="pct"/>
            <w:tcBorders>
              <w:top w:val="nil"/>
              <w:left w:val="nil"/>
              <w:bottom w:val="nil"/>
              <w:right w:val="nil"/>
            </w:tcBorders>
            <w:shd w:val="clear" w:color="auto" w:fill="auto"/>
            <w:noWrap/>
            <w:vAlign w:val="bottom"/>
          </w:tcPr>
          <w:p w14:paraId="6649E7A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0.034</w:t>
            </w:r>
          </w:p>
        </w:tc>
        <w:tc>
          <w:tcPr>
            <w:tcW w:w="534" w:type="pct"/>
            <w:tcBorders>
              <w:top w:val="nil"/>
              <w:left w:val="nil"/>
              <w:bottom w:val="nil"/>
              <w:right w:val="nil"/>
            </w:tcBorders>
            <w:shd w:val="clear" w:color="auto" w:fill="auto"/>
            <w:noWrap/>
            <w:vAlign w:val="bottom"/>
          </w:tcPr>
          <w:p w14:paraId="3C499B8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0.021</w:t>
            </w:r>
          </w:p>
        </w:tc>
        <w:tc>
          <w:tcPr>
            <w:tcW w:w="535" w:type="pct"/>
            <w:tcBorders>
              <w:top w:val="nil"/>
              <w:left w:val="nil"/>
              <w:bottom w:val="nil"/>
              <w:right w:val="single" w:sz="4" w:space="0" w:color="auto"/>
            </w:tcBorders>
            <w:shd w:val="clear" w:color="auto" w:fill="auto"/>
            <w:noWrap/>
            <w:vAlign w:val="bottom"/>
          </w:tcPr>
          <w:p w14:paraId="6EDFA4E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0.019</w:t>
            </w:r>
          </w:p>
        </w:tc>
        <w:tc>
          <w:tcPr>
            <w:tcW w:w="533" w:type="pct"/>
            <w:tcBorders>
              <w:top w:val="nil"/>
              <w:left w:val="single" w:sz="4" w:space="0" w:color="auto"/>
              <w:bottom w:val="nil"/>
              <w:right w:val="nil"/>
            </w:tcBorders>
            <w:shd w:val="clear" w:color="auto" w:fill="auto"/>
            <w:noWrap/>
            <w:vAlign w:val="bottom"/>
          </w:tcPr>
          <w:p w14:paraId="14C5906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-0.046</w:t>
            </w:r>
          </w:p>
        </w:tc>
        <w:tc>
          <w:tcPr>
            <w:tcW w:w="534" w:type="pct"/>
            <w:tcBorders>
              <w:top w:val="nil"/>
              <w:left w:val="nil"/>
              <w:bottom w:val="nil"/>
              <w:right w:val="nil"/>
            </w:tcBorders>
            <w:shd w:val="clear" w:color="auto" w:fill="auto"/>
            <w:noWrap/>
            <w:vAlign w:val="bottom"/>
          </w:tcPr>
          <w:p w14:paraId="7A42781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-0.034</w:t>
            </w:r>
          </w:p>
        </w:tc>
        <w:tc>
          <w:tcPr>
            <w:tcW w:w="533" w:type="pct"/>
            <w:tcBorders>
              <w:top w:val="nil"/>
              <w:left w:val="nil"/>
              <w:bottom w:val="nil"/>
              <w:right w:val="nil"/>
            </w:tcBorders>
            <w:shd w:val="clear" w:color="auto" w:fill="auto"/>
            <w:noWrap/>
            <w:vAlign w:val="bottom"/>
          </w:tcPr>
          <w:p w14:paraId="63060A0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0.039</w:t>
            </w:r>
          </w:p>
        </w:tc>
        <w:tc>
          <w:tcPr>
            <w:tcW w:w="535" w:type="pct"/>
            <w:tcBorders>
              <w:top w:val="nil"/>
              <w:left w:val="nil"/>
              <w:bottom w:val="nil"/>
              <w:right w:val="nil"/>
            </w:tcBorders>
            <w:shd w:val="clear" w:color="auto" w:fill="auto"/>
            <w:noWrap/>
            <w:vAlign w:val="bottom"/>
          </w:tcPr>
          <w:p w14:paraId="79BBC28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0.040</w:t>
            </w:r>
          </w:p>
        </w:tc>
      </w:tr>
      <w:tr w:rsidR="003273BD" w:rsidRPr="00245E91" w14:paraId="71AAC6AA" w14:textId="77777777" w:rsidTr="00245E91">
        <w:trPr>
          <w:trHeight w:val="144"/>
        </w:trPr>
        <w:tc>
          <w:tcPr>
            <w:tcW w:w="727" w:type="pct"/>
            <w:tcBorders>
              <w:top w:val="nil"/>
              <w:left w:val="nil"/>
              <w:bottom w:val="nil"/>
              <w:right w:val="nil"/>
            </w:tcBorders>
            <w:shd w:val="clear" w:color="auto" w:fill="auto"/>
            <w:noWrap/>
            <w:vAlign w:val="bottom"/>
          </w:tcPr>
          <w:p w14:paraId="4E51F720"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tcPr>
          <w:p w14:paraId="3982529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(0.50)</w:t>
            </w:r>
          </w:p>
        </w:tc>
        <w:tc>
          <w:tcPr>
            <w:tcW w:w="534" w:type="pct"/>
            <w:tcBorders>
              <w:top w:val="nil"/>
              <w:left w:val="nil"/>
              <w:bottom w:val="nil"/>
              <w:right w:val="nil"/>
            </w:tcBorders>
            <w:shd w:val="clear" w:color="auto" w:fill="auto"/>
            <w:noWrap/>
            <w:vAlign w:val="bottom"/>
          </w:tcPr>
          <w:p w14:paraId="57A7BED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(1.53)</w:t>
            </w:r>
          </w:p>
        </w:tc>
        <w:tc>
          <w:tcPr>
            <w:tcW w:w="534" w:type="pct"/>
            <w:tcBorders>
              <w:top w:val="nil"/>
              <w:left w:val="nil"/>
              <w:bottom w:val="nil"/>
              <w:right w:val="nil"/>
            </w:tcBorders>
            <w:shd w:val="clear" w:color="auto" w:fill="auto"/>
            <w:noWrap/>
            <w:vAlign w:val="bottom"/>
          </w:tcPr>
          <w:p w14:paraId="59509F8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(0.964)</w:t>
            </w:r>
          </w:p>
        </w:tc>
        <w:tc>
          <w:tcPr>
            <w:tcW w:w="535" w:type="pct"/>
            <w:tcBorders>
              <w:top w:val="nil"/>
              <w:left w:val="nil"/>
              <w:bottom w:val="nil"/>
              <w:right w:val="single" w:sz="4" w:space="0" w:color="auto"/>
            </w:tcBorders>
            <w:shd w:val="clear" w:color="auto" w:fill="auto"/>
            <w:noWrap/>
            <w:vAlign w:val="bottom"/>
          </w:tcPr>
          <w:p w14:paraId="0505206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(0.88)</w:t>
            </w:r>
          </w:p>
        </w:tc>
        <w:tc>
          <w:tcPr>
            <w:tcW w:w="533" w:type="pct"/>
            <w:tcBorders>
              <w:top w:val="nil"/>
              <w:left w:val="single" w:sz="4" w:space="0" w:color="auto"/>
              <w:bottom w:val="nil"/>
              <w:right w:val="nil"/>
            </w:tcBorders>
            <w:shd w:val="clear" w:color="auto" w:fill="auto"/>
            <w:noWrap/>
            <w:vAlign w:val="bottom"/>
          </w:tcPr>
          <w:p w14:paraId="30B94D9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(-1.05)</w:t>
            </w:r>
          </w:p>
        </w:tc>
        <w:tc>
          <w:tcPr>
            <w:tcW w:w="534" w:type="pct"/>
            <w:tcBorders>
              <w:top w:val="nil"/>
              <w:left w:val="nil"/>
              <w:bottom w:val="nil"/>
              <w:right w:val="nil"/>
            </w:tcBorders>
            <w:shd w:val="clear" w:color="auto" w:fill="auto"/>
            <w:noWrap/>
            <w:vAlign w:val="bottom"/>
          </w:tcPr>
          <w:p w14:paraId="4FE24D7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(-1.00)</w:t>
            </w:r>
          </w:p>
        </w:tc>
        <w:tc>
          <w:tcPr>
            <w:tcW w:w="533" w:type="pct"/>
            <w:tcBorders>
              <w:top w:val="nil"/>
              <w:left w:val="nil"/>
              <w:bottom w:val="nil"/>
              <w:right w:val="nil"/>
            </w:tcBorders>
            <w:shd w:val="clear" w:color="auto" w:fill="auto"/>
            <w:noWrap/>
            <w:vAlign w:val="bottom"/>
          </w:tcPr>
          <w:p w14:paraId="37C3474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(1.64)</w:t>
            </w:r>
          </w:p>
        </w:tc>
        <w:tc>
          <w:tcPr>
            <w:tcW w:w="535" w:type="pct"/>
            <w:tcBorders>
              <w:top w:val="nil"/>
              <w:left w:val="nil"/>
              <w:bottom w:val="nil"/>
              <w:right w:val="nil"/>
            </w:tcBorders>
            <w:shd w:val="clear" w:color="auto" w:fill="auto"/>
            <w:noWrap/>
            <w:vAlign w:val="bottom"/>
          </w:tcPr>
          <w:p w14:paraId="5992D96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(1.69*)</w:t>
            </w:r>
          </w:p>
        </w:tc>
      </w:tr>
      <w:tr w:rsidR="003273BD" w:rsidRPr="00245E91" w14:paraId="28EB1FBB" w14:textId="77777777" w:rsidTr="00245E91">
        <w:trPr>
          <w:trHeight w:val="144"/>
        </w:trPr>
        <w:tc>
          <w:tcPr>
            <w:tcW w:w="727" w:type="pct"/>
            <w:tcBorders>
              <w:top w:val="nil"/>
              <w:left w:val="nil"/>
              <w:bottom w:val="nil"/>
              <w:right w:val="nil"/>
            </w:tcBorders>
            <w:shd w:val="clear" w:color="auto" w:fill="auto"/>
            <w:noWrap/>
            <w:vAlign w:val="bottom"/>
          </w:tcPr>
          <w:p w14:paraId="3F9452D5"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DEBTISSUE</w:t>
            </w:r>
          </w:p>
        </w:tc>
        <w:tc>
          <w:tcPr>
            <w:tcW w:w="534" w:type="pct"/>
            <w:tcBorders>
              <w:top w:val="nil"/>
              <w:left w:val="nil"/>
              <w:bottom w:val="nil"/>
              <w:right w:val="nil"/>
            </w:tcBorders>
            <w:shd w:val="clear" w:color="auto" w:fill="auto"/>
            <w:noWrap/>
            <w:vAlign w:val="bottom"/>
          </w:tcPr>
          <w:p w14:paraId="383A7E9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-0.043</w:t>
            </w:r>
          </w:p>
        </w:tc>
        <w:tc>
          <w:tcPr>
            <w:tcW w:w="534" w:type="pct"/>
            <w:tcBorders>
              <w:top w:val="nil"/>
              <w:left w:val="nil"/>
              <w:bottom w:val="nil"/>
              <w:right w:val="nil"/>
            </w:tcBorders>
            <w:shd w:val="clear" w:color="auto" w:fill="auto"/>
            <w:noWrap/>
            <w:vAlign w:val="bottom"/>
          </w:tcPr>
          <w:p w14:paraId="371705B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-0.035</w:t>
            </w:r>
          </w:p>
        </w:tc>
        <w:tc>
          <w:tcPr>
            <w:tcW w:w="534" w:type="pct"/>
            <w:tcBorders>
              <w:top w:val="nil"/>
              <w:left w:val="nil"/>
              <w:bottom w:val="nil"/>
              <w:right w:val="nil"/>
            </w:tcBorders>
            <w:shd w:val="clear" w:color="auto" w:fill="auto"/>
            <w:noWrap/>
            <w:vAlign w:val="bottom"/>
          </w:tcPr>
          <w:p w14:paraId="0943841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-0.024</w:t>
            </w:r>
          </w:p>
        </w:tc>
        <w:tc>
          <w:tcPr>
            <w:tcW w:w="535" w:type="pct"/>
            <w:tcBorders>
              <w:top w:val="nil"/>
              <w:left w:val="nil"/>
              <w:bottom w:val="nil"/>
              <w:right w:val="single" w:sz="4" w:space="0" w:color="auto"/>
            </w:tcBorders>
            <w:shd w:val="clear" w:color="auto" w:fill="auto"/>
            <w:noWrap/>
            <w:vAlign w:val="bottom"/>
          </w:tcPr>
          <w:p w14:paraId="7E303AA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-0.026</w:t>
            </w:r>
          </w:p>
        </w:tc>
        <w:tc>
          <w:tcPr>
            <w:tcW w:w="533" w:type="pct"/>
            <w:tcBorders>
              <w:top w:val="nil"/>
              <w:left w:val="single" w:sz="4" w:space="0" w:color="auto"/>
              <w:bottom w:val="nil"/>
              <w:right w:val="nil"/>
            </w:tcBorders>
            <w:shd w:val="clear" w:color="auto" w:fill="auto"/>
            <w:noWrap/>
            <w:vAlign w:val="bottom"/>
          </w:tcPr>
          <w:p w14:paraId="1B47FF8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0.015</w:t>
            </w:r>
          </w:p>
        </w:tc>
        <w:tc>
          <w:tcPr>
            <w:tcW w:w="534" w:type="pct"/>
            <w:tcBorders>
              <w:top w:val="nil"/>
              <w:left w:val="nil"/>
              <w:bottom w:val="nil"/>
              <w:right w:val="nil"/>
            </w:tcBorders>
            <w:shd w:val="clear" w:color="auto" w:fill="auto"/>
            <w:noWrap/>
            <w:vAlign w:val="bottom"/>
          </w:tcPr>
          <w:p w14:paraId="3421A6B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-0.016</w:t>
            </w:r>
          </w:p>
        </w:tc>
        <w:tc>
          <w:tcPr>
            <w:tcW w:w="533" w:type="pct"/>
            <w:tcBorders>
              <w:top w:val="nil"/>
              <w:left w:val="nil"/>
              <w:bottom w:val="nil"/>
              <w:right w:val="nil"/>
            </w:tcBorders>
            <w:shd w:val="clear" w:color="auto" w:fill="auto"/>
            <w:noWrap/>
            <w:vAlign w:val="bottom"/>
          </w:tcPr>
          <w:p w14:paraId="0A04C24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-0.013</w:t>
            </w:r>
          </w:p>
        </w:tc>
        <w:tc>
          <w:tcPr>
            <w:tcW w:w="535" w:type="pct"/>
            <w:tcBorders>
              <w:top w:val="nil"/>
              <w:left w:val="nil"/>
              <w:bottom w:val="nil"/>
              <w:right w:val="nil"/>
            </w:tcBorders>
            <w:shd w:val="clear" w:color="auto" w:fill="auto"/>
            <w:noWrap/>
            <w:vAlign w:val="bottom"/>
          </w:tcPr>
          <w:p w14:paraId="739EA9F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-0.010</w:t>
            </w:r>
          </w:p>
        </w:tc>
      </w:tr>
      <w:tr w:rsidR="003273BD" w:rsidRPr="00245E91" w14:paraId="7415F32E" w14:textId="77777777" w:rsidTr="00245E91">
        <w:trPr>
          <w:trHeight w:val="144"/>
        </w:trPr>
        <w:tc>
          <w:tcPr>
            <w:tcW w:w="727" w:type="pct"/>
            <w:tcBorders>
              <w:top w:val="nil"/>
              <w:left w:val="nil"/>
              <w:bottom w:val="nil"/>
              <w:right w:val="nil"/>
            </w:tcBorders>
            <w:shd w:val="clear" w:color="auto" w:fill="auto"/>
            <w:noWrap/>
            <w:vAlign w:val="bottom"/>
          </w:tcPr>
          <w:p w14:paraId="5F2D08FF"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tcPr>
          <w:p w14:paraId="5DBF041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(-1.25)</w:t>
            </w:r>
          </w:p>
        </w:tc>
        <w:tc>
          <w:tcPr>
            <w:tcW w:w="534" w:type="pct"/>
            <w:tcBorders>
              <w:top w:val="nil"/>
              <w:left w:val="nil"/>
              <w:bottom w:val="nil"/>
              <w:right w:val="nil"/>
            </w:tcBorders>
            <w:shd w:val="clear" w:color="auto" w:fill="auto"/>
            <w:noWrap/>
            <w:vAlign w:val="bottom"/>
          </w:tcPr>
          <w:p w14:paraId="040CBDF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w:t>
            </w:r>
          </w:p>
        </w:tc>
        <w:tc>
          <w:tcPr>
            <w:tcW w:w="534" w:type="pct"/>
            <w:tcBorders>
              <w:top w:val="nil"/>
              <w:left w:val="nil"/>
              <w:bottom w:val="nil"/>
              <w:right w:val="nil"/>
            </w:tcBorders>
            <w:shd w:val="clear" w:color="auto" w:fill="auto"/>
            <w:noWrap/>
            <w:vAlign w:val="bottom"/>
          </w:tcPr>
          <w:p w14:paraId="77DFD3B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(-0.83)</w:t>
            </w:r>
          </w:p>
        </w:tc>
        <w:tc>
          <w:tcPr>
            <w:tcW w:w="535" w:type="pct"/>
            <w:tcBorders>
              <w:top w:val="nil"/>
              <w:left w:val="nil"/>
              <w:bottom w:val="nil"/>
              <w:right w:val="single" w:sz="4" w:space="0" w:color="auto"/>
            </w:tcBorders>
            <w:shd w:val="clear" w:color="auto" w:fill="auto"/>
            <w:noWrap/>
            <w:vAlign w:val="bottom"/>
          </w:tcPr>
          <w:p w14:paraId="60C9F56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(-0.89)</w:t>
            </w:r>
          </w:p>
        </w:tc>
        <w:tc>
          <w:tcPr>
            <w:tcW w:w="533" w:type="pct"/>
            <w:tcBorders>
              <w:top w:val="nil"/>
              <w:left w:val="single" w:sz="4" w:space="0" w:color="auto"/>
              <w:bottom w:val="nil"/>
              <w:right w:val="nil"/>
            </w:tcBorders>
            <w:shd w:val="clear" w:color="auto" w:fill="auto"/>
            <w:noWrap/>
            <w:vAlign w:val="bottom"/>
          </w:tcPr>
          <w:p w14:paraId="3ED8A69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(0.45)</w:t>
            </w:r>
          </w:p>
        </w:tc>
        <w:tc>
          <w:tcPr>
            <w:tcW w:w="534" w:type="pct"/>
            <w:tcBorders>
              <w:top w:val="nil"/>
              <w:left w:val="nil"/>
              <w:bottom w:val="nil"/>
              <w:right w:val="nil"/>
            </w:tcBorders>
            <w:shd w:val="clear" w:color="auto" w:fill="auto"/>
            <w:noWrap/>
            <w:vAlign w:val="bottom"/>
          </w:tcPr>
          <w:p w14:paraId="187AF85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(-0.48)</w:t>
            </w:r>
          </w:p>
        </w:tc>
        <w:tc>
          <w:tcPr>
            <w:tcW w:w="533" w:type="pct"/>
            <w:tcBorders>
              <w:top w:val="nil"/>
              <w:left w:val="nil"/>
              <w:bottom w:val="nil"/>
              <w:right w:val="nil"/>
            </w:tcBorders>
            <w:shd w:val="clear" w:color="auto" w:fill="auto"/>
            <w:noWrap/>
            <w:vAlign w:val="bottom"/>
          </w:tcPr>
          <w:p w14:paraId="40952DF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(-0.68)</w:t>
            </w:r>
          </w:p>
        </w:tc>
        <w:tc>
          <w:tcPr>
            <w:tcW w:w="535" w:type="pct"/>
            <w:tcBorders>
              <w:top w:val="nil"/>
              <w:left w:val="nil"/>
              <w:bottom w:val="nil"/>
              <w:right w:val="nil"/>
            </w:tcBorders>
            <w:shd w:val="clear" w:color="auto" w:fill="auto"/>
            <w:noWrap/>
            <w:vAlign w:val="bottom"/>
          </w:tcPr>
          <w:p w14:paraId="361238B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(-0.48)</w:t>
            </w:r>
          </w:p>
        </w:tc>
      </w:tr>
      <w:tr w:rsidR="003273BD" w:rsidRPr="00245E91" w14:paraId="75107C21" w14:textId="77777777" w:rsidTr="00245E91">
        <w:trPr>
          <w:trHeight w:val="144"/>
        </w:trPr>
        <w:tc>
          <w:tcPr>
            <w:tcW w:w="727" w:type="pct"/>
            <w:tcBorders>
              <w:top w:val="nil"/>
              <w:left w:val="nil"/>
              <w:bottom w:val="nil"/>
              <w:right w:val="nil"/>
            </w:tcBorders>
            <w:shd w:val="clear" w:color="auto" w:fill="auto"/>
            <w:noWrap/>
            <w:vAlign w:val="bottom"/>
            <w:hideMark/>
          </w:tcPr>
          <w:p w14:paraId="091F28D8"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BIG8</w:t>
            </w:r>
          </w:p>
        </w:tc>
        <w:tc>
          <w:tcPr>
            <w:tcW w:w="534" w:type="pct"/>
            <w:tcBorders>
              <w:top w:val="nil"/>
              <w:left w:val="nil"/>
              <w:bottom w:val="nil"/>
              <w:right w:val="nil"/>
            </w:tcBorders>
            <w:shd w:val="clear" w:color="auto" w:fill="auto"/>
            <w:noWrap/>
            <w:vAlign w:val="bottom"/>
            <w:hideMark/>
          </w:tcPr>
          <w:p w14:paraId="0B6EA72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0.016</w:t>
            </w:r>
          </w:p>
        </w:tc>
        <w:tc>
          <w:tcPr>
            <w:tcW w:w="534" w:type="pct"/>
            <w:tcBorders>
              <w:top w:val="nil"/>
              <w:left w:val="nil"/>
              <w:bottom w:val="nil"/>
              <w:right w:val="nil"/>
            </w:tcBorders>
            <w:shd w:val="clear" w:color="auto" w:fill="auto"/>
            <w:noWrap/>
            <w:vAlign w:val="bottom"/>
            <w:hideMark/>
          </w:tcPr>
          <w:p w14:paraId="2F0E93D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0.009</w:t>
            </w:r>
          </w:p>
        </w:tc>
        <w:tc>
          <w:tcPr>
            <w:tcW w:w="534" w:type="pct"/>
            <w:tcBorders>
              <w:top w:val="nil"/>
              <w:left w:val="nil"/>
              <w:bottom w:val="nil"/>
              <w:right w:val="nil"/>
            </w:tcBorders>
            <w:shd w:val="clear" w:color="auto" w:fill="auto"/>
            <w:noWrap/>
            <w:vAlign w:val="bottom"/>
            <w:hideMark/>
          </w:tcPr>
          <w:p w14:paraId="5D49E2A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-0.068</w:t>
            </w:r>
          </w:p>
        </w:tc>
        <w:tc>
          <w:tcPr>
            <w:tcW w:w="535" w:type="pct"/>
            <w:tcBorders>
              <w:top w:val="nil"/>
              <w:left w:val="nil"/>
              <w:bottom w:val="nil"/>
              <w:right w:val="single" w:sz="4" w:space="0" w:color="auto"/>
            </w:tcBorders>
            <w:shd w:val="clear" w:color="auto" w:fill="auto"/>
            <w:noWrap/>
            <w:vAlign w:val="bottom"/>
            <w:hideMark/>
          </w:tcPr>
          <w:p w14:paraId="7688710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-0.068</w:t>
            </w:r>
          </w:p>
        </w:tc>
        <w:tc>
          <w:tcPr>
            <w:tcW w:w="533" w:type="pct"/>
            <w:tcBorders>
              <w:top w:val="nil"/>
              <w:left w:val="single" w:sz="4" w:space="0" w:color="auto"/>
              <w:bottom w:val="nil"/>
              <w:right w:val="nil"/>
            </w:tcBorders>
            <w:shd w:val="clear" w:color="auto" w:fill="auto"/>
            <w:noWrap/>
            <w:vAlign w:val="bottom"/>
            <w:hideMark/>
          </w:tcPr>
          <w:p w14:paraId="6B646C3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-0.009</w:t>
            </w:r>
          </w:p>
        </w:tc>
        <w:tc>
          <w:tcPr>
            <w:tcW w:w="534" w:type="pct"/>
            <w:tcBorders>
              <w:top w:val="nil"/>
              <w:left w:val="nil"/>
              <w:bottom w:val="nil"/>
              <w:right w:val="nil"/>
            </w:tcBorders>
            <w:shd w:val="clear" w:color="auto" w:fill="auto"/>
            <w:noWrap/>
            <w:vAlign w:val="bottom"/>
            <w:hideMark/>
          </w:tcPr>
          <w:p w14:paraId="069831A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-0.021</w:t>
            </w:r>
          </w:p>
        </w:tc>
        <w:tc>
          <w:tcPr>
            <w:tcW w:w="533" w:type="pct"/>
            <w:tcBorders>
              <w:top w:val="nil"/>
              <w:left w:val="nil"/>
              <w:bottom w:val="nil"/>
              <w:right w:val="nil"/>
            </w:tcBorders>
            <w:shd w:val="clear" w:color="auto" w:fill="auto"/>
            <w:noWrap/>
            <w:vAlign w:val="bottom"/>
            <w:hideMark/>
          </w:tcPr>
          <w:p w14:paraId="17B5AC0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-0.045</w:t>
            </w:r>
          </w:p>
        </w:tc>
        <w:tc>
          <w:tcPr>
            <w:tcW w:w="535" w:type="pct"/>
            <w:tcBorders>
              <w:top w:val="nil"/>
              <w:left w:val="nil"/>
              <w:bottom w:val="nil"/>
              <w:right w:val="nil"/>
            </w:tcBorders>
            <w:shd w:val="clear" w:color="auto" w:fill="auto"/>
            <w:noWrap/>
            <w:vAlign w:val="bottom"/>
            <w:hideMark/>
          </w:tcPr>
          <w:p w14:paraId="2F94A87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-0.045</w:t>
            </w:r>
          </w:p>
        </w:tc>
      </w:tr>
      <w:tr w:rsidR="003273BD" w:rsidRPr="00245E91" w14:paraId="150FDD60" w14:textId="77777777" w:rsidTr="00245E91">
        <w:trPr>
          <w:trHeight w:val="144"/>
        </w:trPr>
        <w:tc>
          <w:tcPr>
            <w:tcW w:w="727" w:type="pct"/>
            <w:tcBorders>
              <w:top w:val="nil"/>
              <w:left w:val="nil"/>
              <w:bottom w:val="nil"/>
              <w:right w:val="nil"/>
            </w:tcBorders>
            <w:shd w:val="clear" w:color="auto" w:fill="auto"/>
            <w:noWrap/>
            <w:vAlign w:val="bottom"/>
            <w:hideMark/>
          </w:tcPr>
          <w:p w14:paraId="1476EB16"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3125707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(0.40)</w:t>
            </w:r>
          </w:p>
        </w:tc>
        <w:tc>
          <w:tcPr>
            <w:tcW w:w="534" w:type="pct"/>
            <w:tcBorders>
              <w:top w:val="nil"/>
              <w:left w:val="nil"/>
              <w:bottom w:val="nil"/>
              <w:right w:val="nil"/>
            </w:tcBorders>
            <w:shd w:val="clear" w:color="auto" w:fill="auto"/>
            <w:noWrap/>
            <w:vAlign w:val="bottom"/>
            <w:hideMark/>
          </w:tcPr>
          <w:p w14:paraId="0457D43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(0.22)</w:t>
            </w:r>
          </w:p>
        </w:tc>
        <w:tc>
          <w:tcPr>
            <w:tcW w:w="534" w:type="pct"/>
            <w:tcBorders>
              <w:top w:val="nil"/>
              <w:left w:val="nil"/>
              <w:bottom w:val="nil"/>
              <w:right w:val="nil"/>
            </w:tcBorders>
            <w:shd w:val="clear" w:color="auto" w:fill="auto"/>
            <w:noWrap/>
            <w:vAlign w:val="bottom"/>
            <w:hideMark/>
          </w:tcPr>
          <w:p w14:paraId="387596D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(-2.27**)</w:t>
            </w:r>
          </w:p>
        </w:tc>
        <w:tc>
          <w:tcPr>
            <w:tcW w:w="535" w:type="pct"/>
            <w:tcBorders>
              <w:top w:val="nil"/>
              <w:left w:val="nil"/>
              <w:bottom w:val="nil"/>
              <w:right w:val="single" w:sz="4" w:space="0" w:color="auto"/>
            </w:tcBorders>
            <w:shd w:val="clear" w:color="auto" w:fill="auto"/>
            <w:noWrap/>
            <w:vAlign w:val="bottom"/>
            <w:hideMark/>
          </w:tcPr>
          <w:p w14:paraId="1229049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(-2.28**)</w:t>
            </w:r>
          </w:p>
        </w:tc>
        <w:tc>
          <w:tcPr>
            <w:tcW w:w="533" w:type="pct"/>
            <w:tcBorders>
              <w:top w:val="nil"/>
              <w:left w:val="single" w:sz="4" w:space="0" w:color="auto"/>
              <w:bottom w:val="nil"/>
              <w:right w:val="nil"/>
            </w:tcBorders>
            <w:shd w:val="clear" w:color="auto" w:fill="auto"/>
            <w:noWrap/>
            <w:vAlign w:val="bottom"/>
            <w:hideMark/>
          </w:tcPr>
          <w:p w14:paraId="4AA29F3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(-0.22)</w:t>
            </w:r>
          </w:p>
        </w:tc>
        <w:tc>
          <w:tcPr>
            <w:tcW w:w="534" w:type="pct"/>
            <w:tcBorders>
              <w:top w:val="nil"/>
              <w:left w:val="nil"/>
              <w:bottom w:val="nil"/>
              <w:right w:val="nil"/>
            </w:tcBorders>
            <w:shd w:val="clear" w:color="auto" w:fill="auto"/>
            <w:noWrap/>
            <w:vAlign w:val="bottom"/>
            <w:hideMark/>
          </w:tcPr>
          <w:p w14:paraId="5BC343A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w:t>
            </w:r>
          </w:p>
        </w:tc>
        <w:tc>
          <w:tcPr>
            <w:tcW w:w="533" w:type="pct"/>
            <w:tcBorders>
              <w:top w:val="nil"/>
              <w:left w:val="nil"/>
              <w:bottom w:val="nil"/>
              <w:right w:val="nil"/>
            </w:tcBorders>
            <w:shd w:val="clear" w:color="auto" w:fill="auto"/>
            <w:noWrap/>
            <w:vAlign w:val="bottom"/>
            <w:hideMark/>
          </w:tcPr>
          <w:p w14:paraId="6D06E70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(-1.66*)</w:t>
            </w:r>
          </w:p>
        </w:tc>
        <w:tc>
          <w:tcPr>
            <w:tcW w:w="535" w:type="pct"/>
            <w:tcBorders>
              <w:top w:val="nil"/>
              <w:left w:val="nil"/>
              <w:bottom w:val="nil"/>
              <w:right w:val="nil"/>
            </w:tcBorders>
            <w:shd w:val="clear" w:color="auto" w:fill="auto"/>
            <w:noWrap/>
            <w:vAlign w:val="bottom"/>
            <w:hideMark/>
          </w:tcPr>
          <w:p w14:paraId="3CDA12C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(-1.68*)</w:t>
            </w:r>
          </w:p>
        </w:tc>
      </w:tr>
      <w:tr w:rsidR="003273BD" w:rsidRPr="00245E91" w14:paraId="2A22CA7E" w14:textId="77777777" w:rsidTr="00245E91">
        <w:trPr>
          <w:trHeight w:val="144"/>
        </w:trPr>
        <w:tc>
          <w:tcPr>
            <w:tcW w:w="727" w:type="pct"/>
            <w:tcBorders>
              <w:top w:val="nil"/>
              <w:left w:val="nil"/>
              <w:bottom w:val="nil"/>
              <w:right w:val="nil"/>
            </w:tcBorders>
            <w:shd w:val="clear" w:color="auto" w:fill="auto"/>
            <w:noWrap/>
            <w:vAlign w:val="bottom"/>
            <w:hideMark/>
          </w:tcPr>
          <w:p w14:paraId="1CAC675F"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TENURE</w:t>
            </w:r>
          </w:p>
        </w:tc>
        <w:tc>
          <w:tcPr>
            <w:tcW w:w="534" w:type="pct"/>
            <w:tcBorders>
              <w:top w:val="nil"/>
              <w:left w:val="nil"/>
              <w:bottom w:val="nil"/>
              <w:right w:val="nil"/>
            </w:tcBorders>
            <w:shd w:val="clear" w:color="auto" w:fill="auto"/>
            <w:noWrap/>
            <w:vAlign w:val="bottom"/>
            <w:hideMark/>
          </w:tcPr>
          <w:p w14:paraId="1D06638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0.034</w:t>
            </w:r>
          </w:p>
        </w:tc>
        <w:tc>
          <w:tcPr>
            <w:tcW w:w="534" w:type="pct"/>
            <w:tcBorders>
              <w:top w:val="nil"/>
              <w:left w:val="nil"/>
              <w:bottom w:val="nil"/>
              <w:right w:val="nil"/>
            </w:tcBorders>
            <w:shd w:val="clear" w:color="auto" w:fill="auto"/>
            <w:noWrap/>
            <w:vAlign w:val="bottom"/>
            <w:hideMark/>
          </w:tcPr>
          <w:p w14:paraId="19251ED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0.038</w:t>
            </w:r>
          </w:p>
        </w:tc>
        <w:tc>
          <w:tcPr>
            <w:tcW w:w="534" w:type="pct"/>
            <w:tcBorders>
              <w:top w:val="nil"/>
              <w:left w:val="nil"/>
              <w:bottom w:val="nil"/>
              <w:right w:val="nil"/>
            </w:tcBorders>
            <w:shd w:val="clear" w:color="auto" w:fill="auto"/>
            <w:noWrap/>
            <w:vAlign w:val="bottom"/>
            <w:hideMark/>
          </w:tcPr>
          <w:p w14:paraId="401CEE0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0.016</w:t>
            </w:r>
          </w:p>
        </w:tc>
        <w:tc>
          <w:tcPr>
            <w:tcW w:w="535" w:type="pct"/>
            <w:tcBorders>
              <w:top w:val="nil"/>
              <w:left w:val="nil"/>
              <w:bottom w:val="nil"/>
              <w:right w:val="single" w:sz="4" w:space="0" w:color="auto"/>
            </w:tcBorders>
            <w:shd w:val="clear" w:color="auto" w:fill="auto"/>
            <w:noWrap/>
            <w:vAlign w:val="bottom"/>
            <w:hideMark/>
          </w:tcPr>
          <w:p w14:paraId="30E561A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0.016</w:t>
            </w:r>
          </w:p>
        </w:tc>
        <w:tc>
          <w:tcPr>
            <w:tcW w:w="533" w:type="pct"/>
            <w:tcBorders>
              <w:top w:val="nil"/>
              <w:left w:val="single" w:sz="4" w:space="0" w:color="auto"/>
              <w:bottom w:val="nil"/>
              <w:right w:val="nil"/>
            </w:tcBorders>
            <w:shd w:val="clear" w:color="auto" w:fill="auto"/>
            <w:noWrap/>
            <w:vAlign w:val="bottom"/>
            <w:hideMark/>
          </w:tcPr>
          <w:p w14:paraId="6AE04A5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0.056</w:t>
            </w:r>
          </w:p>
        </w:tc>
        <w:tc>
          <w:tcPr>
            <w:tcW w:w="534" w:type="pct"/>
            <w:tcBorders>
              <w:top w:val="nil"/>
              <w:left w:val="nil"/>
              <w:bottom w:val="nil"/>
              <w:right w:val="nil"/>
            </w:tcBorders>
            <w:shd w:val="clear" w:color="auto" w:fill="auto"/>
            <w:noWrap/>
            <w:vAlign w:val="bottom"/>
            <w:hideMark/>
          </w:tcPr>
          <w:p w14:paraId="398FC89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0.045</w:t>
            </w:r>
          </w:p>
        </w:tc>
        <w:tc>
          <w:tcPr>
            <w:tcW w:w="533" w:type="pct"/>
            <w:tcBorders>
              <w:top w:val="nil"/>
              <w:left w:val="nil"/>
              <w:bottom w:val="nil"/>
              <w:right w:val="nil"/>
            </w:tcBorders>
            <w:shd w:val="clear" w:color="auto" w:fill="auto"/>
            <w:noWrap/>
            <w:vAlign w:val="bottom"/>
            <w:hideMark/>
          </w:tcPr>
          <w:p w14:paraId="5C0E0C8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0.030</w:t>
            </w:r>
          </w:p>
        </w:tc>
        <w:tc>
          <w:tcPr>
            <w:tcW w:w="535" w:type="pct"/>
            <w:tcBorders>
              <w:top w:val="nil"/>
              <w:left w:val="nil"/>
              <w:bottom w:val="nil"/>
              <w:right w:val="nil"/>
            </w:tcBorders>
            <w:shd w:val="clear" w:color="auto" w:fill="auto"/>
            <w:noWrap/>
            <w:vAlign w:val="bottom"/>
            <w:hideMark/>
          </w:tcPr>
          <w:p w14:paraId="2204B86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0.032</w:t>
            </w:r>
          </w:p>
        </w:tc>
      </w:tr>
      <w:tr w:rsidR="003273BD" w:rsidRPr="00245E91" w14:paraId="7515CBB9" w14:textId="77777777" w:rsidTr="00245E91">
        <w:trPr>
          <w:trHeight w:val="144"/>
        </w:trPr>
        <w:tc>
          <w:tcPr>
            <w:tcW w:w="727" w:type="pct"/>
            <w:tcBorders>
              <w:top w:val="nil"/>
              <w:left w:val="nil"/>
              <w:bottom w:val="nil"/>
              <w:right w:val="nil"/>
            </w:tcBorders>
            <w:shd w:val="clear" w:color="auto" w:fill="auto"/>
            <w:noWrap/>
            <w:vAlign w:val="bottom"/>
            <w:hideMark/>
          </w:tcPr>
          <w:p w14:paraId="13BF0869"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22B2664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(1.42)</w:t>
            </w:r>
          </w:p>
        </w:tc>
        <w:tc>
          <w:tcPr>
            <w:tcW w:w="534" w:type="pct"/>
            <w:tcBorders>
              <w:top w:val="nil"/>
              <w:left w:val="nil"/>
              <w:bottom w:val="nil"/>
              <w:right w:val="nil"/>
            </w:tcBorders>
            <w:shd w:val="clear" w:color="auto" w:fill="auto"/>
            <w:noWrap/>
            <w:vAlign w:val="bottom"/>
            <w:hideMark/>
          </w:tcPr>
          <w:p w14:paraId="310BA71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(1.45)</w:t>
            </w:r>
          </w:p>
        </w:tc>
        <w:tc>
          <w:tcPr>
            <w:tcW w:w="534" w:type="pct"/>
            <w:tcBorders>
              <w:top w:val="nil"/>
              <w:left w:val="nil"/>
              <w:bottom w:val="nil"/>
              <w:right w:val="nil"/>
            </w:tcBorders>
            <w:shd w:val="clear" w:color="auto" w:fill="auto"/>
            <w:noWrap/>
            <w:vAlign w:val="bottom"/>
            <w:hideMark/>
          </w:tcPr>
          <w:p w14:paraId="2715CE4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(0.83)</w:t>
            </w:r>
          </w:p>
        </w:tc>
        <w:tc>
          <w:tcPr>
            <w:tcW w:w="535" w:type="pct"/>
            <w:tcBorders>
              <w:top w:val="nil"/>
              <w:left w:val="nil"/>
              <w:bottom w:val="nil"/>
              <w:right w:val="single" w:sz="4" w:space="0" w:color="auto"/>
            </w:tcBorders>
            <w:shd w:val="clear" w:color="auto" w:fill="auto"/>
            <w:noWrap/>
            <w:vAlign w:val="bottom"/>
            <w:hideMark/>
          </w:tcPr>
          <w:p w14:paraId="0A97917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(0.85)</w:t>
            </w:r>
          </w:p>
        </w:tc>
        <w:tc>
          <w:tcPr>
            <w:tcW w:w="533" w:type="pct"/>
            <w:tcBorders>
              <w:top w:val="nil"/>
              <w:left w:val="single" w:sz="4" w:space="0" w:color="auto"/>
              <w:bottom w:val="nil"/>
              <w:right w:val="nil"/>
            </w:tcBorders>
            <w:shd w:val="clear" w:color="auto" w:fill="auto"/>
            <w:noWrap/>
            <w:vAlign w:val="bottom"/>
            <w:hideMark/>
          </w:tcPr>
          <w:p w14:paraId="73B3B4D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(1.28)</w:t>
            </w:r>
          </w:p>
        </w:tc>
        <w:tc>
          <w:tcPr>
            <w:tcW w:w="534" w:type="pct"/>
            <w:tcBorders>
              <w:top w:val="nil"/>
              <w:left w:val="nil"/>
              <w:bottom w:val="nil"/>
              <w:right w:val="nil"/>
            </w:tcBorders>
            <w:shd w:val="clear" w:color="auto" w:fill="auto"/>
            <w:noWrap/>
            <w:vAlign w:val="bottom"/>
            <w:hideMark/>
          </w:tcPr>
          <w:p w14:paraId="502D10D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(1.33)</w:t>
            </w:r>
          </w:p>
        </w:tc>
        <w:tc>
          <w:tcPr>
            <w:tcW w:w="533" w:type="pct"/>
            <w:tcBorders>
              <w:top w:val="nil"/>
              <w:left w:val="nil"/>
              <w:bottom w:val="nil"/>
              <w:right w:val="nil"/>
            </w:tcBorders>
            <w:shd w:val="clear" w:color="auto" w:fill="auto"/>
            <w:noWrap/>
            <w:vAlign w:val="bottom"/>
            <w:hideMark/>
          </w:tcPr>
          <w:p w14:paraId="6BECE53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(1.20)</w:t>
            </w:r>
          </w:p>
        </w:tc>
        <w:tc>
          <w:tcPr>
            <w:tcW w:w="535" w:type="pct"/>
            <w:tcBorders>
              <w:top w:val="nil"/>
              <w:left w:val="nil"/>
              <w:bottom w:val="nil"/>
              <w:right w:val="nil"/>
            </w:tcBorders>
            <w:shd w:val="clear" w:color="auto" w:fill="auto"/>
            <w:noWrap/>
            <w:vAlign w:val="bottom"/>
            <w:hideMark/>
          </w:tcPr>
          <w:p w14:paraId="7A21931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(1.15)</w:t>
            </w:r>
          </w:p>
        </w:tc>
      </w:tr>
      <w:tr w:rsidR="003273BD" w:rsidRPr="00245E91" w14:paraId="25E2B0C5" w14:textId="77777777" w:rsidTr="00245E91">
        <w:trPr>
          <w:trHeight w:val="144"/>
        </w:trPr>
        <w:tc>
          <w:tcPr>
            <w:tcW w:w="727" w:type="pct"/>
            <w:tcBorders>
              <w:top w:val="nil"/>
              <w:left w:val="nil"/>
              <w:bottom w:val="nil"/>
              <w:right w:val="nil"/>
            </w:tcBorders>
            <w:shd w:val="clear" w:color="auto" w:fill="auto"/>
            <w:noWrap/>
            <w:vAlign w:val="bottom"/>
            <w:hideMark/>
          </w:tcPr>
          <w:p w14:paraId="603572B7"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INSTOWN</w:t>
            </w:r>
          </w:p>
        </w:tc>
        <w:tc>
          <w:tcPr>
            <w:tcW w:w="534" w:type="pct"/>
            <w:tcBorders>
              <w:top w:val="nil"/>
              <w:left w:val="nil"/>
              <w:bottom w:val="nil"/>
              <w:right w:val="nil"/>
            </w:tcBorders>
            <w:shd w:val="clear" w:color="auto" w:fill="auto"/>
            <w:noWrap/>
            <w:vAlign w:val="bottom"/>
            <w:hideMark/>
          </w:tcPr>
          <w:p w14:paraId="7D7EAFB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0.005</w:t>
            </w:r>
          </w:p>
        </w:tc>
        <w:tc>
          <w:tcPr>
            <w:tcW w:w="534" w:type="pct"/>
            <w:tcBorders>
              <w:top w:val="nil"/>
              <w:left w:val="nil"/>
              <w:bottom w:val="nil"/>
              <w:right w:val="nil"/>
            </w:tcBorders>
            <w:shd w:val="clear" w:color="auto" w:fill="auto"/>
            <w:noWrap/>
            <w:vAlign w:val="bottom"/>
            <w:hideMark/>
          </w:tcPr>
          <w:p w14:paraId="00280C8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0.020</w:t>
            </w:r>
          </w:p>
        </w:tc>
        <w:tc>
          <w:tcPr>
            <w:tcW w:w="534" w:type="pct"/>
            <w:tcBorders>
              <w:top w:val="nil"/>
              <w:left w:val="nil"/>
              <w:bottom w:val="nil"/>
              <w:right w:val="nil"/>
            </w:tcBorders>
            <w:shd w:val="clear" w:color="auto" w:fill="auto"/>
            <w:noWrap/>
            <w:vAlign w:val="bottom"/>
            <w:hideMark/>
          </w:tcPr>
          <w:p w14:paraId="1B74384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-0.005</w:t>
            </w:r>
          </w:p>
        </w:tc>
        <w:tc>
          <w:tcPr>
            <w:tcW w:w="535" w:type="pct"/>
            <w:tcBorders>
              <w:top w:val="nil"/>
              <w:left w:val="nil"/>
              <w:bottom w:val="nil"/>
              <w:right w:val="single" w:sz="4" w:space="0" w:color="auto"/>
            </w:tcBorders>
            <w:shd w:val="clear" w:color="auto" w:fill="auto"/>
            <w:noWrap/>
            <w:vAlign w:val="bottom"/>
            <w:hideMark/>
          </w:tcPr>
          <w:p w14:paraId="549FFB5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-0.006</w:t>
            </w:r>
          </w:p>
        </w:tc>
        <w:tc>
          <w:tcPr>
            <w:tcW w:w="533" w:type="pct"/>
            <w:tcBorders>
              <w:top w:val="nil"/>
              <w:left w:val="single" w:sz="4" w:space="0" w:color="auto"/>
              <w:bottom w:val="nil"/>
              <w:right w:val="nil"/>
            </w:tcBorders>
            <w:shd w:val="clear" w:color="auto" w:fill="auto"/>
            <w:noWrap/>
            <w:vAlign w:val="bottom"/>
            <w:hideMark/>
          </w:tcPr>
          <w:p w14:paraId="187966D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0.081</w:t>
            </w:r>
          </w:p>
        </w:tc>
        <w:tc>
          <w:tcPr>
            <w:tcW w:w="534" w:type="pct"/>
            <w:tcBorders>
              <w:top w:val="nil"/>
              <w:left w:val="nil"/>
              <w:bottom w:val="nil"/>
              <w:right w:val="nil"/>
            </w:tcBorders>
            <w:shd w:val="clear" w:color="auto" w:fill="auto"/>
            <w:noWrap/>
            <w:vAlign w:val="bottom"/>
            <w:hideMark/>
          </w:tcPr>
          <w:p w14:paraId="046BD93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0.055</w:t>
            </w:r>
          </w:p>
        </w:tc>
        <w:tc>
          <w:tcPr>
            <w:tcW w:w="533" w:type="pct"/>
            <w:tcBorders>
              <w:top w:val="nil"/>
              <w:left w:val="nil"/>
              <w:bottom w:val="nil"/>
              <w:right w:val="nil"/>
            </w:tcBorders>
            <w:shd w:val="clear" w:color="auto" w:fill="auto"/>
            <w:noWrap/>
            <w:vAlign w:val="bottom"/>
            <w:hideMark/>
          </w:tcPr>
          <w:p w14:paraId="3879F8C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-0.028</w:t>
            </w:r>
          </w:p>
        </w:tc>
        <w:tc>
          <w:tcPr>
            <w:tcW w:w="535" w:type="pct"/>
            <w:tcBorders>
              <w:top w:val="nil"/>
              <w:left w:val="nil"/>
              <w:bottom w:val="nil"/>
              <w:right w:val="nil"/>
            </w:tcBorders>
            <w:shd w:val="clear" w:color="auto" w:fill="auto"/>
            <w:noWrap/>
            <w:vAlign w:val="bottom"/>
            <w:hideMark/>
          </w:tcPr>
          <w:p w14:paraId="3A49377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-0.026</w:t>
            </w:r>
          </w:p>
        </w:tc>
      </w:tr>
      <w:tr w:rsidR="003273BD" w:rsidRPr="00245E91" w14:paraId="508A2541" w14:textId="77777777" w:rsidTr="00245E91">
        <w:trPr>
          <w:trHeight w:val="144"/>
        </w:trPr>
        <w:tc>
          <w:tcPr>
            <w:tcW w:w="727" w:type="pct"/>
            <w:tcBorders>
              <w:top w:val="nil"/>
              <w:left w:val="nil"/>
              <w:bottom w:val="nil"/>
              <w:right w:val="nil"/>
            </w:tcBorders>
            <w:shd w:val="clear" w:color="auto" w:fill="auto"/>
            <w:noWrap/>
            <w:vAlign w:val="bottom"/>
            <w:hideMark/>
          </w:tcPr>
          <w:p w14:paraId="04A440CC"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2C5693A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(0.13)</w:t>
            </w:r>
          </w:p>
        </w:tc>
        <w:tc>
          <w:tcPr>
            <w:tcW w:w="534" w:type="pct"/>
            <w:tcBorders>
              <w:top w:val="nil"/>
              <w:left w:val="nil"/>
              <w:bottom w:val="nil"/>
              <w:right w:val="nil"/>
            </w:tcBorders>
            <w:shd w:val="clear" w:color="auto" w:fill="auto"/>
            <w:noWrap/>
            <w:vAlign w:val="bottom"/>
            <w:hideMark/>
          </w:tcPr>
          <w:p w14:paraId="106C04D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(0.55)</w:t>
            </w:r>
          </w:p>
        </w:tc>
        <w:tc>
          <w:tcPr>
            <w:tcW w:w="534" w:type="pct"/>
            <w:tcBorders>
              <w:top w:val="nil"/>
              <w:left w:val="nil"/>
              <w:bottom w:val="nil"/>
              <w:right w:val="nil"/>
            </w:tcBorders>
            <w:shd w:val="clear" w:color="auto" w:fill="auto"/>
            <w:noWrap/>
            <w:vAlign w:val="bottom"/>
            <w:hideMark/>
          </w:tcPr>
          <w:p w14:paraId="1B02F11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(-0.19)</w:t>
            </w:r>
          </w:p>
        </w:tc>
        <w:tc>
          <w:tcPr>
            <w:tcW w:w="535" w:type="pct"/>
            <w:tcBorders>
              <w:top w:val="nil"/>
              <w:left w:val="nil"/>
              <w:bottom w:val="nil"/>
              <w:right w:val="single" w:sz="4" w:space="0" w:color="auto"/>
            </w:tcBorders>
            <w:shd w:val="clear" w:color="auto" w:fill="auto"/>
            <w:noWrap/>
            <w:vAlign w:val="bottom"/>
            <w:hideMark/>
          </w:tcPr>
          <w:p w14:paraId="5AE7EDA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(-0.25)</w:t>
            </w:r>
          </w:p>
        </w:tc>
        <w:tc>
          <w:tcPr>
            <w:tcW w:w="533" w:type="pct"/>
            <w:tcBorders>
              <w:top w:val="nil"/>
              <w:left w:val="single" w:sz="4" w:space="0" w:color="auto"/>
              <w:bottom w:val="nil"/>
              <w:right w:val="nil"/>
            </w:tcBorders>
            <w:shd w:val="clear" w:color="auto" w:fill="auto"/>
            <w:noWrap/>
            <w:vAlign w:val="bottom"/>
            <w:hideMark/>
          </w:tcPr>
          <w:p w14:paraId="0E94E18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(1.69*)</w:t>
            </w:r>
          </w:p>
        </w:tc>
        <w:tc>
          <w:tcPr>
            <w:tcW w:w="534" w:type="pct"/>
            <w:tcBorders>
              <w:top w:val="nil"/>
              <w:left w:val="nil"/>
              <w:bottom w:val="nil"/>
              <w:right w:val="nil"/>
            </w:tcBorders>
            <w:shd w:val="clear" w:color="auto" w:fill="auto"/>
            <w:noWrap/>
            <w:vAlign w:val="bottom"/>
            <w:hideMark/>
          </w:tcPr>
          <w:p w14:paraId="009CEB4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(1.80*)</w:t>
            </w:r>
          </w:p>
        </w:tc>
        <w:tc>
          <w:tcPr>
            <w:tcW w:w="533" w:type="pct"/>
            <w:tcBorders>
              <w:top w:val="nil"/>
              <w:left w:val="nil"/>
              <w:bottom w:val="nil"/>
              <w:right w:val="nil"/>
            </w:tcBorders>
            <w:shd w:val="clear" w:color="auto" w:fill="auto"/>
            <w:noWrap/>
            <w:vAlign w:val="bottom"/>
            <w:hideMark/>
          </w:tcPr>
          <w:p w14:paraId="1EFB10E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(-0.96)</w:t>
            </w:r>
          </w:p>
        </w:tc>
        <w:tc>
          <w:tcPr>
            <w:tcW w:w="535" w:type="pct"/>
            <w:tcBorders>
              <w:top w:val="nil"/>
              <w:left w:val="nil"/>
              <w:bottom w:val="nil"/>
              <w:right w:val="nil"/>
            </w:tcBorders>
            <w:shd w:val="clear" w:color="auto" w:fill="auto"/>
            <w:noWrap/>
            <w:vAlign w:val="bottom"/>
            <w:hideMark/>
          </w:tcPr>
          <w:p w14:paraId="20C56A4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(-0.99)</w:t>
            </w:r>
          </w:p>
        </w:tc>
      </w:tr>
      <w:tr w:rsidR="003273BD" w:rsidRPr="00245E91" w14:paraId="1639A6FC" w14:textId="77777777" w:rsidTr="00245E91">
        <w:trPr>
          <w:trHeight w:val="144"/>
        </w:trPr>
        <w:tc>
          <w:tcPr>
            <w:tcW w:w="727" w:type="pct"/>
            <w:tcBorders>
              <w:top w:val="nil"/>
              <w:left w:val="nil"/>
              <w:bottom w:val="nil"/>
              <w:right w:val="nil"/>
            </w:tcBorders>
            <w:shd w:val="clear" w:color="auto" w:fill="auto"/>
            <w:noWrap/>
            <w:vAlign w:val="bottom"/>
            <w:hideMark/>
          </w:tcPr>
          <w:p w14:paraId="5EC40471"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NUMANALYST</w:t>
            </w:r>
          </w:p>
        </w:tc>
        <w:tc>
          <w:tcPr>
            <w:tcW w:w="534" w:type="pct"/>
            <w:tcBorders>
              <w:top w:val="nil"/>
              <w:left w:val="nil"/>
              <w:bottom w:val="nil"/>
              <w:right w:val="nil"/>
            </w:tcBorders>
            <w:shd w:val="clear" w:color="auto" w:fill="auto"/>
            <w:noWrap/>
            <w:vAlign w:val="bottom"/>
            <w:hideMark/>
          </w:tcPr>
          <w:p w14:paraId="20EB52B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-0.016</w:t>
            </w:r>
          </w:p>
        </w:tc>
        <w:tc>
          <w:tcPr>
            <w:tcW w:w="534" w:type="pct"/>
            <w:tcBorders>
              <w:top w:val="nil"/>
              <w:left w:val="nil"/>
              <w:bottom w:val="nil"/>
              <w:right w:val="nil"/>
            </w:tcBorders>
            <w:shd w:val="clear" w:color="auto" w:fill="auto"/>
            <w:noWrap/>
            <w:vAlign w:val="bottom"/>
            <w:hideMark/>
          </w:tcPr>
          <w:p w14:paraId="7ED042D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-0.007</w:t>
            </w:r>
          </w:p>
        </w:tc>
        <w:tc>
          <w:tcPr>
            <w:tcW w:w="534" w:type="pct"/>
            <w:tcBorders>
              <w:top w:val="nil"/>
              <w:left w:val="nil"/>
              <w:bottom w:val="nil"/>
              <w:right w:val="nil"/>
            </w:tcBorders>
            <w:shd w:val="clear" w:color="auto" w:fill="auto"/>
            <w:noWrap/>
            <w:vAlign w:val="bottom"/>
            <w:hideMark/>
          </w:tcPr>
          <w:p w14:paraId="16A20E1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-0.001</w:t>
            </w:r>
          </w:p>
        </w:tc>
        <w:tc>
          <w:tcPr>
            <w:tcW w:w="535" w:type="pct"/>
            <w:tcBorders>
              <w:top w:val="nil"/>
              <w:left w:val="nil"/>
              <w:bottom w:val="nil"/>
              <w:right w:val="single" w:sz="4" w:space="0" w:color="auto"/>
            </w:tcBorders>
            <w:shd w:val="clear" w:color="auto" w:fill="auto"/>
            <w:noWrap/>
            <w:vAlign w:val="bottom"/>
            <w:hideMark/>
          </w:tcPr>
          <w:p w14:paraId="6202B70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-0.004</w:t>
            </w:r>
          </w:p>
        </w:tc>
        <w:tc>
          <w:tcPr>
            <w:tcW w:w="533" w:type="pct"/>
            <w:tcBorders>
              <w:top w:val="nil"/>
              <w:left w:val="single" w:sz="4" w:space="0" w:color="auto"/>
              <w:bottom w:val="nil"/>
              <w:right w:val="nil"/>
            </w:tcBorders>
            <w:shd w:val="clear" w:color="auto" w:fill="auto"/>
            <w:noWrap/>
            <w:vAlign w:val="bottom"/>
            <w:hideMark/>
          </w:tcPr>
          <w:p w14:paraId="1D35913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-0.123</w:t>
            </w:r>
          </w:p>
        </w:tc>
        <w:tc>
          <w:tcPr>
            <w:tcW w:w="534" w:type="pct"/>
            <w:tcBorders>
              <w:top w:val="nil"/>
              <w:left w:val="nil"/>
              <w:bottom w:val="nil"/>
              <w:right w:val="nil"/>
            </w:tcBorders>
            <w:shd w:val="clear" w:color="auto" w:fill="auto"/>
            <w:noWrap/>
            <w:vAlign w:val="bottom"/>
            <w:hideMark/>
          </w:tcPr>
          <w:p w14:paraId="2B10D1D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-0.142</w:t>
            </w:r>
          </w:p>
        </w:tc>
        <w:tc>
          <w:tcPr>
            <w:tcW w:w="533" w:type="pct"/>
            <w:tcBorders>
              <w:top w:val="nil"/>
              <w:left w:val="nil"/>
              <w:bottom w:val="nil"/>
              <w:right w:val="nil"/>
            </w:tcBorders>
            <w:shd w:val="clear" w:color="auto" w:fill="auto"/>
            <w:noWrap/>
            <w:vAlign w:val="bottom"/>
            <w:hideMark/>
          </w:tcPr>
          <w:p w14:paraId="3F4FA77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0.042</w:t>
            </w:r>
          </w:p>
        </w:tc>
        <w:tc>
          <w:tcPr>
            <w:tcW w:w="535" w:type="pct"/>
            <w:tcBorders>
              <w:top w:val="nil"/>
              <w:left w:val="nil"/>
              <w:bottom w:val="nil"/>
              <w:right w:val="nil"/>
            </w:tcBorders>
            <w:shd w:val="clear" w:color="auto" w:fill="auto"/>
            <w:noWrap/>
            <w:vAlign w:val="bottom"/>
            <w:hideMark/>
          </w:tcPr>
          <w:p w14:paraId="6DD818B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0.044</w:t>
            </w:r>
          </w:p>
        </w:tc>
      </w:tr>
      <w:tr w:rsidR="003273BD" w:rsidRPr="00245E91" w14:paraId="18991423" w14:textId="77777777" w:rsidTr="00245E91">
        <w:trPr>
          <w:trHeight w:val="144"/>
        </w:trPr>
        <w:tc>
          <w:tcPr>
            <w:tcW w:w="727" w:type="pct"/>
            <w:tcBorders>
              <w:top w:val="nil"/>
              <w:left w:val="nil"/>
              <w:bottom w:val="nil"/>
              <w:right w:val="nil"/>
            </w:tcBorders>
            <w:shd w:val="clear" w:color="auto" w:fill="auto"/>
            <w:noWrap/>
            <w:vAlign w:val="bottom"/>
            <w:hideMark/>
          </w:tcPr>
          <w:p w14:paraId="3CC7DE80"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5AAF9CE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(-0.53)</w:t>
            </w:r>
          </w:p>
        </w:tc>
        <w:tc>
          <w:tcPr>
            <w:tcW w:w="534" w:type="pct"/>
            <w:tcBorders>
              <w:top w:val="nil"/>
              <w:left w:val="nil"/>
              <w:bottom w:val="nil"/>
              <w:right w:val="nil"/>
            </w:tcBorders>
            <w:shd w:val="clear" w:color="auto" w:fill="auto"/>
            <w:noWrap/>
            <w:vAlign w:val="bottom"/>
            <w:hideMark/>
          </w:tcPr>
          <w:p w14:paraId="1E224F6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(-0.24)</w:t>
            </w:r>
          </w:p>
        </w:tc>
        <w:tc>
          <w:tcPr>
            <w:tcW w:w="534" w:type="pct"/>
            <w:tcBorders>
              <w:top w:val="nil"/>
              <w:left w:val="nil"/>
              <w:bottom w:val="nil"/>
              <w:right w:val="nil"/>
            </w:tcBorders>
            <w:shd w:val="clear" w:color="auto" w:fill="auto"/>
            <w:noWrap/>
            <w:vAlign w:val="bottom"/>
            <w:hideMark/>
          </w:tcPr>
          <w:p w14:paraId="254D49A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w:t>
            </w:r>
          </w:p>
        </w:tc>
        <w:tc>
          <w:tcPr>
            <w:tcW w:w="535" w:type="pct"/>
            <w:tcBorders>
              <w:top w:val="nil"/>
              <w:left w:val="nil"/>
              <w:bottom w:val="nil"/>
              <w:right w:val="single" w:sz="4" w:space="0" w:color="auto"/>
            </w:tcBorders>
            <w:shd w:val="clear" w:color="auto" w:fill="auto"/>
            <w:noWrap/>
            <w:vAlign w:val="bottom"/>
            <w:hideMark/>
          </w:tcPr>
          <w:p w14:paraId="210F9C0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(-0.18)</w:t>
            </w:r>
          </w:p>
        </w:tc>
        <w:tc>
          <w:tcPr>
            <w:tcW w:w="533" w:type="pct"/>
            <w:tcBorders>
              <w:top w:val="nil"/>
              <w:left w:val="single" w:sz="4" w:space="0" w:color="auto"/>
              <w:bottom w:val="nil"/>
              <w:right w:val="nil"/>
            </w:tcBorders>
            <w:shd w:val="clear" w:color="auto" w:fill="auto"/>
            <w:noWrap/>
            <w:vAlign w:val="bottom"/>
            <w:hideMark/>
          </w:tcPr>
          <w:p w14:paraId="6EE29FB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(-2.90***)</w:t>
            </w:r>
          </w:p>
        </w:tc>
        <w:tc>
          <w:tcPr>
            <w:tcW w:w="534" w:type="pct"/>
            <w:tcBorders>
              <w:top w:val="nil"/>
              <w:left w:val="nil"/>
              <w:bottom w:val="nil"/>
              <w:right w:val="nil"/>
            </w:tcBorders>
            <w:shd w:val="clear" w:color="auto" w:fill="auto"/>
            <w:noWrap/>
            <w:vAlign w:val="bottom"/>
            <w:hideMark/>
          </w:tcPr>
          <w:p w14:paraId="07175A5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(-3.86***)</w:t>
            </w:r>
          </w:p>
        </w:tc>
        <w:tc>
          <w:tcPr>
            <w:tcW w:w="533" w:type="pct"/>
            <w:tcBorders>
              <w:top w:val="nil"/>
              <w:left w:val="nil"/>
              <w:bottom w:val="nil"/>
              <w:right w:val="nil"/>
            </w:tcBorders>
            <w:shd w:val="clear" w:color="auto" w:fill="auto"/>
            <w:noWrap/>
            <w:vAlign w:val="bottom"/>
            <w:hideMark/>
          </w:tcPr>
          <w:p w14:paraId="25F1DAD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(1.72*)</w:t>
            </w:r>
          </w:p>
        </w:tc>
        <w:tc>
          <w:tcPr>
            <w:tcW w:w="535" w:type="pct"/>
            <w:tcBorders>
              <w:top w:val="nil"/>
              <w:left w:val="nil"/>
              <w:bottom w:val="nil"/>
              <w:right w:val="nil"/>
            </w:tcBorders>
            <w:shd w:val="clear" w:color="auto" w:fill="auto"/>
            <w:noWrap/>
            <w:vAlign w:val="bottom"/>
            <w:hideMark/>
          </w:tcPr>
          <w:p w14:paraId="4A64D05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(1.82*)</w:t>
            </w:r>
          </w:p>
        </w:tc>
      </w:tr>
      <w:tr w:rsidR="003273BD" w:rsidRPr="00245E91" w14:paraId="770B9856" w14:textId="77777777" w:rsidTr="00245E91">
        <w:trPr>
          <w:trHeight w:val="144"/>
        </w:trPr>
        <w:tc>
          <w:tcPr>
            <w:tcW w:w="727" w:type="pct"/>
            <w:tcBorders>
              <w:top w:val="nil"/>
              <w:left w:val="nil"/>
              <w:bottom w:val="nil"/>
              <w:right w:val="nil"/>
            </w:tcBorders>
            <w:shd w:val="clear" w:color="auto" w:fill="auto"/>
            <w:noWrap/>
            <w:vAlign w:val="bottom"/>
            <w:hideMark/>
          </w:tcPr>
          <w:p w14:paraId="43A65297"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SOX</w:t>
            </w:r>
          </w:p>
        </w:tc>
        <w:tc>
          <w:tcPr>
            <w:tcW w:w="534" w:type="pct"/>
            <w:tcBorders>
              <w:top w:val="nil"/>
              <w:left w:val="nil"/>
              <w:bottom w:val="nil"/>
              <w:right w:val="nil"/>
            </w:tcBorders>
            <w:shd w:val="clear" w:color="auto" w:fill="auto"/>
            <w:noWrap/>
            <w:vAlign w:val="bottom"/>
            <w:hideMark/>
          </w:tcPr>
          <w:p w14:paraId="5EBB367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-0.506</w:t>
            </w:r>
          </w:p>
        </w:tc>
        <w:tc>
          <w:tcPr>
            <w:tcW w:w="534" w:type="pct"/>
            <w:tcBorders>
              <w:top w:val="nil"/>
              <w:left w:val="nil"/>
              <w:bottom w:val="nil"/>
              <w:right w:val="nil"/>
            </w:tcBorders>
            <w:shd w:val="clear" w:color="auto" w:fill="auto"/>
            <w:noWrap/>
            <w:vAlign w:val="bottom"/>
            <w:hideMark/>
          </w:tcPr>
          <w:p w14:paraId="4F250AE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-0.612</w:t>
            </w:r>
          </w:p>
        </w:tc>
        <w:tc>
          <w:tcPr>
            <w:tcW w:w="534" w:type="pct"/>
            <w:tcBorders>
              <w:top w:val="nil"/>
              <w:left w:val="nil"/>
              <w:bottom w:val="nil"/>
              <w:right w:val="nil"/>
            </w:tcBorders>
            <w:shd w:val="clear" w:color="auto" w:fill="auto"/>
            <w:noWrap/>
            <w:vAlign w:val="bottom"/>
            <w:hideMark/>
          </w:tcPr>
          <w:p w14:paraId="5B204F6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0.034</w:t>
            </w:r>
          </w:p>
        </w:tc>
        <w:tc>
          <w:tcPr>
            <w:tcW w:w="535" w:type="pct"/>
            <w:tcBorders>
              <w:top w:val="nil"/>
              <w:left w:val="nil"/>
              <w:bottom w:val="nil"/>
              <w:right w:val="single" w:sz="4" w:space="0" w:color="auto"/>
            </w:tcBorders>
            <w:shd w:val="clear" w:color="auto" w:fill="auto"/>
            <w:noWrap/>
            <w:vAlign w:val="bottom"/>
            <w:hideMark/>
          </w:tcPr>
          <w:p w14:paraId="01931C8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0.029</w:t>
            </w:r>
          </w:p>
        </w:tc>
        <w:tc>
          <w:tcPr>
            <w:tcW w:w="533" w:type="pct"/>
            <w:tcBorders>
              <w:top w:val="nil"/>
              <w:left w:val="single" w:sz="4" w:space="0" w:color="auto"/>
              <w:bottom w:val="nil"/>
              <w:right w:val="nil"/>
            </w:tcBorders>
            <w:shd w:val="clear" w:color="auto" w:fill="auto"/>
            <w:noWrap/>
            <w:vAlign w:val="bottom"/>
            <w:hideMark/>
          </w:tcPr>
          <w:p w14:paraId="03BB29E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0.468</w:t>
            </w:r>
          </w:p>
        </w:tc>
        <w:tc>
          <w:tcPr>
            <w:tcW w:w="534" w:type="pct"/>
            <w:tcBorders>
              <w:top w:val="nil"/>
              <w:left w:val="nil"/>
              <w:bottom w:val="nil"/>
              <w:right w:val="nil"/>
            </w:tcBorders>
            <w:shd w:val="clear" w:color="auto" w:fill="auto"/>
            <w:noWrap/>
            <w:vAlign w:val="bottom"/>
            <w:hideMark/>
          </w:tcPr>
          <w:p w14:paraId="3E439D9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0.061</w:t>
            </w:r>
          </w:p>
        </w:tc>
        <w:tc>
          <w:tcPr>
            <w:tcW w:w="533" w:type="pct"/>
            <w:tcBorders>
              <w:top w:val="nil"/>
              <w:left w:val="nil"/>
              <w:bottom w:val="nil"/>
              <w:right w:val="nil"/>
            </w:tcBorders>
            <w:shd w:val="clear" w:color="auto" w:fill="auto"/>
            <w:noWrap/>
            <w:vAlign w:val="bottom"/>
            <w:hideMark/>
          </w:tcPr>
          <w:p w14:paraId="4300CBC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0.411</w:t>
            </w:r>
          </w:p>
        </w:tc>
        <w:tc>
          <w:tcPr>
            <w:tcW w:w="535" w:type="pct"/>
            <w:tcBorders>
              <w:top w:val="nil"/>
              <w:left w:val="nil"/>
              <w:bottom w:val="nil"/>
              <w:right w:val="nil"/>
            </w:tcBorders>
            <w:shd w:val="clear" w:color="auto" w:fill="auto"/>
            <w:noWrap/>
            <w:vAlign w:val="bottom"/>
            <w:hideMark/>
          </w:tcPr>
          <w:p w14:paraId="109674C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0.439</w:t>
            </w:r>
          </w:p>
        </w:tc>
      </w:tr>
      <w:tr w:rsidR="003273BD" w:rsidRPr="00245E91" w14:paraId="2E809AA9" w14:textId="77777777" w:rsidTr="00245E91">
        <w:trPr>
          <w:trHeight w:val="144"/>
        </w:trPr>
        <w:tc>
          <w:tcPr>
            <w:tcW w:w="727" w:type="pct"/>
            <w:tcBorders>
              <w:top w:val="nil"/>
              <w:left w:val="nil"/>
              <w:bottom w:val="nil"/>
              <w:right w:val="nil"/>
            </w:tcBorders>
            <w:shd w:val="clear" w:color="auto" w:fill="auto"/>
            <w:noWrap/>
            <w:vAlign w:val="bottom"/>
            <w:hideMark/>
          </w:tcPr>
          <w:p w14:paraId="12E02078"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3B4A4D9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(-3.90***)</w:t>
            </w:r>
          </w:p>
        </w:tc>
        <w:tc>
          <w:tcPr>
            <w:tcW w:w="534" w:type="pct"/>
            <w:tcBorders>
              <w:top w:val="nil"/>
              <w:left w:val="nil"/>
              <w:bottom w:val="nil"/>
              <w:right w:val="nil"/>
            </w:tcBorders>
            <w:shd w:val="clear" w:color="auto" w:fill="auto"/>
            <w:noWrap/>
            <w:vAlign w:val="bottom"/>
            <w:hideMark/>
          </w:tcPr>
          <w:p w14:paraId="2C8EB9C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(-5.07***)</w:t>
            </w:r>
          </w:p>
        </w:tc>
        <w:tc>
          <w:tcPr>
            <w:tcW w:w="534" w:type="pct"/>
            <w:tcBorders>
              <w:top w:val="nil"/>
              <w:left w:val="nil"/>
              <w:bottom w:val="nil"/>
              <w:right w:val="nil"/>
            </w:tcBorders>
            <w:shd w:val="clear" w:color="auto" w:fill="auto"/>
            <w:noWrap/>
            <w:vAlign w:val="bottom"/>
            <w:hideMark/>
          </w:tcPr>
          <w:p w14:paraId="7A7AA63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(0.25)</w:t>
            </w:r>
          </w:p>
        </w:tc>
        <w:tc>
          <w:tcPr>
            <w:tcW w:w="535" w:type="pct"/>
            <w:tcBorders>
              <w:top w:val="nil"/>
              <w:left w:val="nil"/>
              <w:bottom w:val="nil"/>
              <w:right w:val="single" w:sz="4" w:space="0" w:color="auto"/>
            </w:tcBorders>
            <w:shd w:val="clear" w:color="auto" w:fill="auto"/>
            <w:noWrap/>
            <w:vAlign w:val="bottom"/>
            <w:hideMark/>
          </w:tcPr>
          <w:p w14:paraId="4E4692E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(0.21)</w:t>
            </w:r>
          </w:p>
        </w:tc>
        <w:tc>
          <w:tcPr>
            <w:tcW w:w="533" w:type="pct"/>
            <w:tcBorders>
              <w:top w:val="nil"/>
              <w:left w:val="single" w:sz="4" w:space="0" w:color="auto"/>
              <w:bottom w:val="nil"/>
              <w:right w:val="nil"/>
            </w:tcBorders>
            <w:shd w:val="clear" w:color="auto" w:fill="auto"/>
            <w:noWrap/>
            <w:vAlign w:val="bottom"/>
            <w:hideMark/>
          </w:tcPr>
          <w:p w14:paraId="047E470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(2.86***)</w:t>
            </w:r>
          </w:p>
        </w:tc>
        <w:tc>
          <w:tcPr>
            <w:tcW w:w="534" w:type="pct"/>
            <w:tcBorders>
              <w:top w:val="nil"/>
              <w:left w:val="nil"/>
              <w:bottom w:val="nil"/>
              <w:right w:val="nil"/>
            </w:tcBorders>
            <w:shd w:val="clear" w:color="auto" w:fill="auto"/>
            <w:noWrap/>
            <w:vAlign w:val="bottom"/>
            <w:hideMark/>
          </w:tcPr>
          <w:p w14:paraId="7B77268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(0.35)</w:t>
            </w:r>
          </w:p>
        </w:tc>
        <w:tc>
          <w:tcPr>
            <w:tcW w:w="533" w:type="pct"/>
            <w:tcBorders>
              <w:top w:val="nil"/>
              <w:left w:val="nil"/>
              <w:bottom w:val="nil"/>
              <w:right w:val="nil"/>
            </w:tcBorders>
            <w:shd w:val="clear" w:color="auto" w:fill="auto"/>
            <w:noWrap/>
            <w:vAlign w:val="bottom"/>
            <w:hideMark/>
          </w:tcPr>
          <w:p w14:paraId="250E5DE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(2.32**)</w:t>
            </w:r>
          </w:p>
        </w:tc>
        <w:tc>
          <w:tcPr>
            <w:tcW w:w="535" w:type="pct"/>
            <w:tcBorders>
              <w:top w:val="nil"/>
              <w:left w:val="nil"/>
              <w:bottom w:val="nil"/>
              <w:right w:val="nil"/>
            </w:tcBorders>
            <w:shd w:val="clear" w:color="auto" w:fill="auto"/>
            <w:noWrap/>
            <w:vAlign w:val="bottom"/>
            <w:hideMark/>
          </w:tcPr>
          <w:p w14:paraId="3335B57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(2.81***)</w:t>
            </w:r>
          </w:p>
        </w:tc>
      </w:tr>
      <w:tr w:rsidR="003273BD" w:rsidRPr="00245E91" w14:paraId="005A99DA" w14:textId="77777777" w:rsidTr="00245E91">
        <w:trPr>
          <w:trHeight w:val="144"/>
        </w:trPr>
        <w:tc>
          <w:tcPr>
            <w:tcW w:w="727" w:type="pct"/>
            <w:tcBorders>
              <w:top w:val="nil"/>
              <w:left w:val="nil"/>
              <w:bottom w:val="nil"/>
              <w:right w:val="nil"/>
            </w:tcBorders>
            <w:shd w:val="clear" w:color="auto" w:fill="auto"/>
            <w:noWrap/>
            <w:vAlign w:val="bottom"/>
            <w:hideMark/>
          </w:tcPr>
          <w:p w14:paraId="16BA10DA"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RESID_RM1</w:t>
            </w:r>
          </w:p>
        </w:tc>
        <w:tc>
          <w:tcPr>
            <w:tcW w:w="534" w:type="pct"/>
            <w:tcBorders>
              <w:top w:val="nil"/>
              <w:left w:val="nil"/>
              <w:bottom w:val="nil"/>
              <w:right w:val="nil"/>
            </w:tcBorders>
            <w:shd w:val="clear" w:color="auto" w:fill="auto"/>
            <w:noWrap/>
            <w:vAlign w:val="bottom"/>
            <w:hideMark/>
          </w:tcPr>
          <w:p w14:paraId="7B252B4C" w14:textId="77777777" w:rsidR="003273BD" w:rsidRPr="00245E91" w:rsidRDefault="003273BD" w:rsidP="003273BD">
            <w:pPr>
              <w:spacing w:line="240" w:lineRule="auto"/>
              <w:contextualSpacing/>
              <w:rPr>
                <w:rFonts w:ascii="Times New Roman" w:hAnsi="Times New Roman"/>
                <w:color w:val="000000"/>
                <w:sz w:val="15"/>
                <w:szCs w:val="15"/>
              </w:rPr>
            </w:pPr>
          </w:p>
        </w:tc>
        <w:tc>
          <w:tcPr>
            <w:tcW w:w="534" w:type="pct"/>
            <w:tcBorders>
              <w:top w:val="nil"/>
              <w:left w:val="nil"/>
              <w:bottom w:val="nil"/>
              <w:right w:val="nil"/>
            </w:tcBorders>
            <w:shd w:val="clear" w:color="auto" w:fill="auto"/>
            <w:noWrap/>
            <w:vAlign w:val="bottom"/>
            <w:hideMark/>
          </w:tcPr>
          <w:p w14:paraId="5BFAF3F9" w14:textId="77777777" w:rsidR="003273BD" w:rsidRPr="00245E91" w:rsidRDefault="003273BD" w:rsidP="003273BD">
            <w:pPr>
              <w:spacing w:line="240" w:lineRule="auto"/>
              <w:contextualSpacing/>
              <w:rPr>
                <w:rFonts w:ascii="Times New Roman" w:hAnsi="Times New Roman"/>
                <w:sz w:val="15"/>
                <w:szCs w:val="15"/>
              </w:rPr>
            </w:pPr>
          </w:p>
        </w:tc>
        <w:tc>
          <w:tcPr>
            <w:tcW w:w="534" w:type="pct"/>
            <w:tcBorders>
              <w:top w:val="nil"/>
              <w:left w:val="nil"/>
              <w:bottom w:val="nil"/>
              <w:right w:val="nil"/>
            </w:tcBorders>
            <w:shd w:val="clear" w:color="auto" w:fill="auto"/>
            <w:noWrap/>
            <w:vAlign w:val="bottom"/>
            <w:hideMark/>
          </w:tcPr>
          <w:p w14:paraId="456E90E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0.0986</w:t>
            </w:r>
          </w:p>
        </w:tc>
        <w:tc>
          <w:tcPr>
            <w:tcW w:w="535" w:type="pct"/>
            <w:tcBorders>
              <w:top w:val="nil"/>
              <w:left w:val="nil"/>
              <w:bottom w:val="nil"/>
              <w:right w:val="single" w:sz="4" w:space="0" w:color="auto"/>
            </w:tcBorders>
            <w:shd w:val="clear" w:color="auto" w:fill="auto"/>
            <w:noWrap/>
            <w:vAlign w:val="bottom"/>
            <w:hideMark/>
          </w:tcPr>
          <w:p w14:paraId="3DBA4BB5" w14:textId="77777777" w:rsidR="003273BD" w:rsidRPr="00245E91" w:rsidRDefault="003273BD" w:rsidP="003273BD">
            <w:pPr>
              <w:spacing w:line="240" w:lineRule="auto"/>
              <w:contextualSpacing/>
              <w:rPr>
                <w:rFonts w:ascii="Times New Roman" w:hAnsi="Times New Roman"/>
                <w:color w:val="000000"/>
                <w:sz w:val="15"/>
                <w:szCs w:val="15"/>
              </w:rPr>
            </w:pPr>
          </w:p>
        </w:tc>
        <w:tc>
          <w:tcPr>
            <w:tcW w:w="533" w:type="pct"/>
            <w:tcBorders>
              <w:top w:val="nil"/>
              <w:left w:val="single" w:sz="4" w:space="0" w:color="auto"/>
              <w:bottom w:val="nil"/>
              <w:right w:val="nil"/>
            </w:tcBorders>
            <w:shd w:val="clear" w:color="auto" w:fill="auto"/>
            <w:noWrap/>
            <w:vAlign w:val="bottom"/>
            <w:hideMark/>
          </w:tcPr>
          <w:p w14:paraId="2EF72B68" w14:textId="77777777" w:rsidR="003273BD" w:rsidRPr="00245E91" w:rsidRDefault="003273BD" w:rsidP="003273BD">
            <w:pPr>
              <w:spacing w:line="240" w:lineRule="auto"/>
              <w:contextualSpacing/>
              <w:rPr>
                <w:rFonts w:ascii="Times New Roman" w:hAnsi="Times New Roman"/>
                <w:sz w:val="15"/>
                <w:szCs w:val="15"/>
              </w:rPr>
            </w:pPr>
          </w:p>
        </w:tc>
        <w:tc>
          <w:tcPr>
            <w:tcW w:w="534" w:type="pct"/>
            <w:tcBorders>
              <w:top w:val="nil"/>
              <w:left w:val="nil"/>
              <w:bottom w:val="nil"/>
              <w:right w:val="nil"/>
            </w:tcBorders>
            <w:shd w:val="clear" w:color="auto" w:fill="auto"/>
            <w:noWrap/>
            <w:vAlign w:val="bottom"/>
            <w:hideMark/>
          </w:tcPr>
          <w:p w14:paraId="5B4907A7" w14:textId="77777777" w:rsidR="003273BD" w:rsidRPr="00245E91" w:rsidRDefault="003273BD" w:rsidP="003273BD">
            <w:pPr>
              <w:spacing w:line="240" w:lineRule="auto"/>
              <w:contextualSpacing/>
              <w:rPr>
                <w:rFonts w:ascii="Times New Roman" w:hAnsi="Times New Roman"/>
                <w:sz w:val="15"/>
                <w:szCs w:val="15"/>
              </w:rPr>
            </w:pPr>
          </w:p>
        </w:tc>
        <w:tc>
          <w:tcPr>
            <w:tcW w:w="533" w:type="pct"/>
            <w:tcBorders>
              <w:top w:val="nil"/>
              <w:left w:val="nil"/>
              <w:bottom w:val="nil"/>
              <w:right w:val="nil"/>
            </w:tcBorders>
            <w:shd w:val="clear" w:color="auto" w:fill="auto"/>
            <w:noWrap/>
            <w:vAlign w:val="bottom"/>
            <w:hideMark/>
          </w:tcPr>
          <w:p w14:paraId="1BB7677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0.159</w:t>
            </w:r>
          </w:p>
        </w:tc>
        <w:tc>
          <w:tcPr>
            <w:tcW w:w="535" w:type="pct"/>
            <w:tcBorders>
              <w:top w:val="nil"/>
              <w:left w:val="nil"/>
              <w:bottom w:val="nil"/>
              <w:right w:val="nil"/>
            </w:tcBorders>
            <w:shd w:val="clear" w:color="auto" w:fill="auto"/>
            <w:noWrap/>
            <w:vAlign w:val="bottom"/>
            <w:hideMark/>
          </w:tcPr>
          <w:p w14:paraId="6608F2E1" w14:textId="77777777" w:rsidR="003273BD" w:rsidRPr="00245E91" w:rsidRDefault="003273BD" w:rsidP="003273BD">
            <w:pPr>
              <w:spacing w:line="240" w:lineRule="auto"/>
              <w:contextualSpacing/>
              <w:rPr>
                <w:rFonts w:ascii="Times New Roman" w:hAnsi="Times New Roman"/>
                <w:color w:val="000000"/>
                <w:sz w:val="15"/>
                <w:szCs w:val="15"/>
              </w:rPr>
            </w:pPr>
          </w:p>
        </w:tc>
      </w:tr>
      <w:tr w:rsidR="003273BD" w:rsidRPr="00245E91" w14:paraId="39B79E42" w14:textId="77777777" w:rsidTr="00245E91">
        <w:trPr>
          <w:trHeight w:val="144"/>
        </w:trPr>
        <w:tc>
          <w:tcPr>
            <w:tcW w:w="727" w:type="pct"/>
            <w:tcBorders>
              <w:top w:val="nil"/>
              <w:left w:val="nil"/>
              <w:bottom w:val="nil"/>
              <w:right w:val="nil"/>
            </w:tcBorders>
            <w:shd w:val="clear" w:color="auto" w:fill="auto"/>
            <w:noWrap/>
            <w:vAlign w:val="bottom"/>
            <w:hideMark/>
          </w:tcPr>
          <w:p w14:paraId="2ECCFA31" w14:textId="77777777" w:rsidR="003273BD" w:rsidRPr="00245E91" w:rsidRDefault="003273BD" w:rsidP="003273BD">
            <w:pPr>
              <w:spacing w:after="0" w:line="240" w:lineRule="auto"/>
              <w:contextualSpacing/>
              <w:rPr>
                <w:rFonts w:ascii="Times New Roman" w:eastAsia="Times New Roman" w:hAnsi="Times New Roman"/>
                <w:i/>
                <w:sz w:val="15"/>
                <w:szCs w:val="15"/>
              </w:rPr>
            </w:pPr>
          </w:p>
        </w:tc>
        <w:tc>
          <w:tcPr>
            <w:tcW w:w="534" w:type="pct"/>
            <w:tcBorders>
              <w:top w:val="nil"/>
              <w:left w:val="nil"/>
              <w:bottom w:val="nil"/>
              <w:right w:val="nil"/>
            </w:tcBorders>
            <w:shd w:val="clear" w:color="auto" w:fill="auto"/>
            <w:noWrap/>
            <w:vAlign w:val="bottom"/>
            <w:hideMark/>
          </w:tcPr>
          <w:p w14:paraId="08A6F3E9" w14:textId="77777777" w:rsidR="003273BD" w:rsidRPr="00245E91" w:rsidRDefault="003273BD" w:rsidP="003273BD">
            <w:pPr>
              <w:spacing w:line="240" w:lineRule="auto"/>
              <w:contextualSpacing/>
              <w:rPr>
                <w:rFonts w:ascii="Times New Roman" w:hAnsi="Times New Roman"/>
                <w:sz w:val="15"/>
                <w:szCs w:val="15"/>
              </w:rPr>
            </w:pPr>
          </w:p>
        </w:tc>
        <w:tc>
          <w:tcPr>
            <w:tcW w:w="534" w:type="pct"/>
            <w:tcBorders>
              <w:top w:val="nil"/>
              <w:left w:val="nil"/>
              <w:bottom w:val="nil"/>
              <w:right w:val="nil"/>
            </w:tcBorders>
            <w:shd w:val="clear" w:color="auto" w:fill="auto"/>
            <w:noWrap/>
            <w:vAlign w:val="bottom"/>
            <w:hideMark/>
          </w:tcPr>
          <w:p w14:paraId="07E7E5CC" w14:textId="77777777" w:rsidR="003273BD" w:rsidRPr="00245E91" w:rsidRDefault="003273BD" w:rsidP="003273BD">
            <w:pPr>
              <w:spacing w:line="240" w:lineRule="auto"/>
              <w:contextualSpacing/>
              <w:rPr>
                <w:rFonts w:ascii="Times New Roman" w:hAnsi="Times New Roman"/>
                <w:sz w:val="15"/>
                <w:szCs w:val="15"/>
              </w:rPr>
            </w:pPr>
          </w:p>
        </w:tc>
        <w:tc>
          <w:tcPr>
            <w:tcW w:w="534" w:type="pct"/>
            <w:tcBorders>
              <w:top w:val="nil"/>
              <w:left w:val="nil"/>
              <w:bottom w:val="nil"/>
              <w:right w:val="nil"/>
            </w:tcBorders>
            <w:shd w:val="clear" w:color="auto" w:fill="auto"/>
            <w:noWrap/>
            <w:vAlign w:val="bottom"/>
            <w:hideMark/>
          </w:tcPr>
          <w:p w14:paraId="666786C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(2.25**)</w:t>
            </w:r>
          </w:p>
        </w:tc>
        <w:tc>
          <w:tcPr>
            <w:tcW w:w="535" w:type="pct"/>
            <w:tcBorders>
              <w:top w:val="nil"/>
              <w:left w:val="nil"/>
              <w:bottom w:val="nil"/>
              <w:right w:val="single" w:sz="4" w:space="0" w:color="auto"/>
            </w:tcBorders>
            <w:shd w:val="clear" w:color="auto" w:fill="auto"/>
            <w:noWrap/>
            <w:vAlign w:val="bottom"/>
            <w:hideMark/>
          </w:tcPr>
          <w:p w14:paraId="2CAA0E3B" w14:textId="77777777" w:rsidR="003273BD" w:rsidRPr="00245E91" w:rsidRDefault="003273BD" w:rsidP="003273BD">
            <w:pPr>
              <w:spacing w:line="240" w:lineRule="auto"/>
              <w:contextualSpacing/>
              <w:rPr>
                <w:rFonts w:ascii="Times New Roman" w:hAnsi="Times New Roman"/>
                <w:color w:val="000000"/>
                <w:sz w:val="15"/>
                <w:szCs w:val="15"/>
              </w:rPr>
            </w:pPr>
          </w:p>
        </w:tc>
        <w:tc>
          <w:tcPr>
            <w:tcW w:w="533" w:type="pct"/>
            <w:tcBorders>
              <w:top w:val="nil"/>
              <w:left w:val="single" w:sz="4" w:space="0" w:color="auto"/>
              <w:bottom w:val="nil"/>
              <w:right w:val="nil"/>
            </w:tcBorders>
            <w:shd w:val="clear" w:color="auto" w:fill="auto"/>
            <w:noWrap/>
            <w:vAlign w:val="bottom"/>
            <w:hideMark/>
          </w:tcPr>
          <w:p w14:paraId="12F0BF09" w14:textId="77777777" w:rsidR="003273BD" w:rsidRPr="00245E91" w:rsidRDefault="003273BD" w:rsidP="003273BD">
            <w:pPr>
              <w:spacing w:line="240" w:lineRule="auto"/>
              <w:contextualSpacing/>
              <w:rPr>
                <w:rFonts w:ascii="Times New Roman" w:hAnsi="Times New Roman"/>
                <w:sz w:val="15"/>
                <w:szCs w:val="15"/>
              </w:rPr>
            </w:pPr>
          </w:p>
        </w:tc>
        <w:tc>
          <w:tcPr>
            <w:tcW w:w="534" w:type="pct"/>
            <w:tcBorders>
              <w:top w:val="nil"/>
              <w:left w:val="nil"/>
              <w:bottom w:val="nil"/>
              <w:right w:val="nil"/>
            </w:tcBorders>
            <w:shd w:val="clear" w:color="auto" w:fill="auto"/>
            <w:noWrap/>
            <w:vAlign w:val="bottom"/>
            <w:hideMark/>
          </w:tcPr>
          <w:p w14:paraId="38DD6854" w14:textId="77777777" w:rsidR="003273BD" w:rsidRPr="00245E91" w:rsidRDefault="003273BD" w:rsidP="003273BD">
            <w:pPr>
              <w:spacing w:line="240" w:lineRule="auto"/>
              <w:contextualSpacing/>
              <w:rPr>
                <w:rFonts w:ascii="Times New Roman" w:hAnsi="Times New Roman"/>
                <w:sz w:val="15"/>
                <w:szCs w:val="15"/>
              </w:rPr>
            </w:pPr>
          </w:p>
        </w:tc>
        <w:tc>
          <w:tcPr>
            <w:tcW w:w="533" w:type="pct"/>
            <w:tcBorders>
              <w:top w:val="nil"/>
              <w:left w:val="nil"/>
              <w:bottom w:val="nil"/>
              <w:right w:val="nil"/>
            </w:tcBorders>
            <w:shd w:val="clear" w:color="auto" w:fill="auto"/>
            <w:noWrap/>
            <w:vAlign w:val="bottom"/>
            <w:hideMark/>
          </w:tcPr>
          <w:p w14:paraId="20F830D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(4.07***)</w:t>
            </w:r>
          </w:p>
        </w:tc>
        <w:tc>
          <w:tcPr>
            <w:tcW w:w="535" w:type="pct"/>
            <w:tcBorders>
              <w:top w:val="nil"/>
              <w:left w:val="nil"/>
              <w:bottom w:val="nil"/>
              <w:right w:val="nil"/>
            </w:tcBorders>
            <w:shd w:val="clear" w:color="auto" w:fill="auto"/>
            <w:noWrap/>
            <w:vAlign w:val="bottom"/>
            <w:hideMark/>
          </w:tcPr>
          <w:p w14:paraId="6C7759A9" w14:textId="77777777" w:rsidR="003273BD" w:rsidRPr="00245E91" w:rsidRDefault="003273BD" w:rsidP="003273BD">
            <w:pPr>
              <w:spacing w:line="240" w:lineRule="auto"/>
              <w:contextualSpacing/>
              <w:rPr>
                <w:rFonts w:ascii="Times New Roman" w:hAnsi="Times New Roman"/>
                <w:color w:val="000000"/>
                <w:sz w:val="15"/>
                <w:szCs w:val="15"/>
              </w:rPr>
            </w:pPr>
          </w:p>
        </w:tc>
      </w:tr>
      <w:tr w:rsidR="003273BD" w:rsidRPr="00245E91" w14:paraId="484CE842" w14:textId="77777777" w:rsidTr="00245E91">
        <w:trPr>
          <w:trHeight w:val="144"/>
        </w:trPr>
        <w:tc>
          <w:tcPr>
            <w:tcW w:w="727" w:type="pct"/>
            <w:tcBorders>
              <w:top w:val="nil"/>
              <w:left w:val="nil"/>
              <w:bottom w:val="nil"/>
              <w:right w:val="nil"/>
            </w:tcBorders>
            <w:shd w:val="clear" w:color="auto" w:fill="auto"/>
            <w:noWrap/>
            <w:vAlign w:val="bottom"/>
            <w:hideMark/>
          </w:tcPr>
          <w:p w14:paraId="543F192D"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RESID_RM2</w:t>
            </w:r>
          </w:p>
        </w:tc>
        <w:tc>
          <w:tcPr>
            <w:tcW w:w="534" w:type="pct"/>
            <w:tcBorders>
              <w:top w:val="nil"/>
              <w:left w:val="nil"/>
              <w:bottom w:val="nil"/>
              <w:right w:val="nil"/>
            </w:tcBorders>
            <w:shd w:val="clear" w:color="auto" w:fill="auto"/>
            <w:noWrap/>
            <w:vAlign w:val="bottom"/>
            <w:hideMark/>
          </w:tcPr>
          <w:p w14:paraId="13B5ACF7" w14:textId="77777777" w:rsidR="003273BD" w:rsidRPr="00245E91" w:rsidRDefault="003273BD" w:rsidP="003273BD">
            <w:pPr>
              <w:spacing w:line="240" w:lineRule="auto"/>
              <w:contextualSpacing/>
              <w:rPr>
                <w:rFonts w:ascii="Times New Roman" w:hAnsi="Times New Roman"/>
                <w:sz w:val="15"/>
                <w:szCs w:val="15"/>
              </w:rPr>
            </w:pPr>
          </w:p>
        </w:tc>
        <w:tc>
          <w:tcPr>
            <w:tcW w:w="534" w:type="pct"/>
            <w:tcBorders>
              <w:top w:val="nil"/>
              <w:left w:val="nil"/>
              <w:bottom w:val="nil"/>
              <w:right w:val="nil"/>
            </w:tcBorders>
            <w:shd w:val="clear" w:color="auto" w:fill="auto"/>
            <w:noWrap/>
            <w:vAlign w:val="bottom"/>
            <w:hideMark/>
          </w:tcPr>
          <w:p w14:paraId="3BB93C7F" w14:textId="77777777" w:rsidR="003273BD" w:rsidRPr="00245E91" w:rsidRDefault="003273BD" w:rsidP="003273BD">
            <w:pPr>
              <w:spacing w:line="240" w:lineRule="auto"/>
              <w:contextualSpacing/>
              <w:rPr>
                <w:rFonts w:ascii="Times New Roman" w:hAnsi="Times New Roman"/>
                <w:sz w:val="15"/>
                <w:szCs w:val="15"/>
              </w:rPr>
            </w:pPr>
          </w:p>
        </w:tc>
        <w:tc>
          <w:tcPr>
            <w:tcW w:w="534" w:type="pct"/>
            <w:tcBorders>
              <w:top w:val="nil"/>
              <w:left w:val="nil"/>
              <w:bottom w:val="nil"/>
              <w:right w:val="nil"/>
            </w:tcBorders>
            <w:shd w:val="clear" w:color="auto" w:fill="auto"/>
            <w:noWrap/>
            <w:vAlign w:val="bottom"/>
            <w:hideMark/>
          </w:tcPr>
          <w:p w14:paraId="4C52B9E4" w14:textId="77777777" w:rsidR="003273BD" w:rsidRPr="00245E91" w:rsidRDefault="003273BD" w:rsidP="003273BD">
            <w:pPr>
              <w:spacing w:line="240" w:lineRule="auto"/>
              <w:contextualSpacing/>
              <w:rPr>
                <w:rFonts w:ascii="Times New Roman" w:hAnsi="Times New Roman"/>
                <w:sz w:val="15"/>
                <w:szCs w:val="15"/>
              </w:rPr>
            </w:pPr>
          </w:p>
        </w:tc>
        <w:tc>
          <w:tcPr>
            <w:tcW w:w="535" w:type="pct"/>
            <w:tcBorders>
              <w:top w:val="nil"/>
              <w:left w:val="nil"/>
              <w:bottom w:val="nil"/>
              <w:right w:val="single" w:sz="4" w:space="0" w:color="auto"/>
            </w:tcBorders>
            <w:shd w:val="clear" w:color="auto" w:fill="auto"/>
            <w:noWrap/>
            <w:vAlign w:val="bottom"/>
            <w:hideMark/>
          </w:tcPr>
          <w:p w14:paraId="1CB22CE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0.116</w:t>
            </w:r>
          </w:p>
        </w:tc>
        <w:tc>
          <w:tcPr>
            <w:tcW w:w="533" w:type="pct"/>
            <w:tcBorders>
              <w:top w:val="nil"/>
              <w:left w:val="single" w:sz="4" w:space="0" w:color="auto"/>
              <w:bottom w:val="nil"/>
              <w:right w:val="nil"/>
            </w:tcBorders>
            <w:shd w:val="clear" w:color="auto" w:fill="auto"/>
            <w:noWrap/>
            <w:vAlign w:val="bottom"/>
            <w:hideMark/>
          </w:tcPr>
          <w:p w14:paraId="7A727CC6" w14:textId="77777777" w:rsidR="003273BD" w:rsidRPr="00245E91" w:rsidRDefault="003273BD" w:rsidP="003273BD">
            <w:pPr>
              <w:spacing w:line="240" w:lineRule="auto"/>
              <w:contextualSpacing/>
              <w:rPr>
                <w:rFonts w:ascii="Times New Roman" w:hAnsi="Times New Roman"/>
                <w:color w:val="000000"/>
                <w:sz w:val="15"/>
                <w:szCs w:val="15"/>
              </w:rPr>
            </w:pPr>
          </w:p>
        </w:tc>
        <w:tc>
          <w:tcPr>
            <w:tcW w:w="534" w:type="pct"/>
            <w:tcBorders>
              <w:top w:val="nil"/>
              <w:left w:val="nil"/>
              <w:bottom w:val="nil"/>
              <w:right w:val="nil"/>
            </w:tcBorders>
            <w:shd w:val="clear" w:color="auto" w:fill="auto"/>
            <w:noWrap/>
            <w:vAlign w:val="bottom"/>
            <w:hideMark/>
          </w:tcPr>
          <w:p w14:paraId="1529C1BA" w14:textId="77777777" w:rsidR="003273BD" w:rsidRPr="00245E91" w:rsidRDefault="003273BD" w:rsidP="003273BD">
            <w:pPr>
              <w:spacing w:line="240" w:lineRule="auto"/>
              <w:contextualSpacing/>
              <w:rPr>
                <w:rFonts w:ascii="Times New Roman" w:hAnsi="Times New Roman"/>
                <w:sz w:val="15"/>
                <w:szCs w:val="15"/>
              </w:rPr>
            </w:pPr>
          </w:p>
        </w:tc>
        <w:tc>
          <w:tcPr>
            <w:tcW w:w="533" w:type="pct"/>
            <w:tcBorders>
              <w:top w:val="nil"/>
              <w:left w:val="nil"/>
              <w:bottom w:val="nil"/>
              <w:right w:val="nil"/>
            </w:tcBorders>
            <w:shd w:val="clear" w:color="auto" w:fill="auto"/>
            <w:noWrap/>
            <w:vAlign w:val="bottom"/>
            <w:hideMark/>
          </w:tcPr>
          <w:p w14:paraId="7DF9B18B" w14:textId="77777777" w:rsidR="003273BD" w:rsidRPr="00245E91" w:rsidRDefault="003273BD" w:rsidP="003273BD">
            <w:pPr>
              <w:spacing w:line="240" w:lineRule="auto"/>
              <w:contextualSpacing/>
              <w:rPr>
                <w:rFonts w:ascii="Times New Roman" w:hAnsi="Times New Roman"/>
                <w:sz w:val="15"/>
                <w:szCs w:val="15"/>
              </w:rPr>
            </w:pPr>
          </w:p>
        </w:tc>
        <w:tc>
          <w:tcPr>
            <w:tcW w:w="535" w:type="pct"/>
            <w:tcBorders>
              <w:top w:val="nil"/>
              <w:left w:val="nil"/>
              <w:bottom w:val="nil"/>
              <w:right w:val="nil"/>
            </w:tcBorders>
            <w:shd w:val="clear" w:color="auto" w:fill="auto"/>
            <w:noWrap/>
            <w:vAlign w:val="bottom"/>
            <w:hideMark/>
          </w:tcPr>
          <w:p w14:paraId="6F1D0B7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0.157</w:t>
            </w:r>
          </w:p>
        </w:tc>
      </w:tr>
      <w:tr w:rsidR="003273BD" w:rsidRPr="00245E91" w14:paraId="56D572A2" w14:textId="77777777" w:rsidTr="00245E91">
        <w:trPr>
          <w:trHeight w:val="144"/>
        </w:trPr>
        <w:tc>
          <w:tcPr>
            <w:tcW w:w="727" w:type="pct"/>
            <w:tcBorders>
              <w:top w:val="nil"/>
              <w:left w:val="nil"/>
              <w:bottom w:val="nil"/>
              <w:right w:val="nil"/>
            </w:tcBorders>
            <w:shd w:val="clear" w:color="auto" w:fill="auto"/>
            <w:noWrap/>
            <w:vAlign w:val="bottom"/>
            <w:hideMark/>
          </w:tcPr>
          <w:p w14:paraId="49770FB5" w14:textId="77777777" w:rsidR="003273BD" w:rsidRPr="00245E91" w:rsidRDefault="003273BD" w:rsidP="003273BD">
            <w:pPr>
              <w:spacing w:after="0" w:line="240" w:lineRule="auto"/>
              <w:contextualSpacing/>
              <w:rPr>
                <w:rFonts w:ascii="Times New Roman" w:eastAsia="Times New Roman" w:hAnsi="Times New Roman"/>
                <w:color w:val="000000"/>
                <w:sz w:val="15"/>
                <w:szCs w:val="15"/>
              </w:rPr>
            </w:pPr>
          </w:p>
        </w:tc>
        <w:tc>
          <w:tcPr>
            <w:tcW w:w="534" w:type="pct"/>
            <w:tcBorders>
              <w:top w:val="nil"/>
              <w:left w:val="nil"/>
              <w:bottom w:val="nil"/>
              <w:right w:val="nil"/>
            </w:tcBorders>
            <w:shd w:val="clear" w:color="auto" w:fill="auto"/>
            <w:noWrap/>
            <w:vAlign w:val="bottom"/>
            <w:hideMark/>
          </w:tcPr>
          <w:p w14:paraId="77A26386" w14:textId="77777777" w:rsidR="003273BD" w:rsidRPr="00245E91" w:rsidRDefault="003273BD" w:rsidP="003273BD">
            <w:pPr>
              <w:spacing w:line="240" w:lineRule="auto"/>
              <w:contextualSpacing/>
              <w:rPr>
                <w:rFonts w:ascii="Times New Roman" w:hAnsi="Times New Roman"/>
                <w:color w:val="000000"/>
                <w:sz w:val="15"/>
                <w:szCs w:val="15"/>
              </w:rPr>
            </w:pPr>
          </w:p>
        </w:tc>
        <w:tc>
          <w:tcPr>
            <w:tcW w:w="534" w:type="pct"/>
            <w:tcBorders>
              <w:top w:val="nil"/>
              <w:left w:val="nil"/>
              <w:bottom w:val="nil"/>
              <w:right w:val="nil"/>
            </w:tcBorders>
            <w:shd w:val="clear" w:color="auto" w:fill="auto"/>
            <w:noWrap/>
            <w:vAlign w:val="bottom"/>
            <w:hideMark/>
          </w:tcPr>
          <w:p w14:paraId="2BD1048A" w14:textId="77777777" w:rsidR="003273BD" w:rsidRPr="00245E91" w:rsidRDefault="003273BD" w:rsidP="003273BD">
            <w:pPr>
              <w:spacing w:line="240" w:lineRule="auto"/>
              <w:contextualSpacing/>
              <w:rPr>
                <w:rFonts w:ascii="Times New Roman" w:hAnsi="Times New Roman"/>
                <w:sz w:val="15"/>
                <w:szCs w:val="15"/>
              </w:rPr>
            </w:pPr>
          </w:p>
        </w:tc>
        <w:tc>
          <w:tcPr>
            <w:tcW w:w="534" w:type="pct"/>
            <w:tcBorders>
              <w:top w:val="nil"/>
              <w:left w:val="nil"/>
              <w:bottom w:val="nil"/>
              <w:right w:val="nil"/>
            </w:tcBorders>
            <w:shd w:val="clear" w:color="auto" w:fill="auto"/>
            <w:noWrap/>
            <w:vAlign w:val="bottom"/>
            <w:hideMark/>
          </w:tcPr>
          <w:p w14:paraId="0CA7FB87" w14:textId="77777777" w:rsidR="003273BD" w:rsidRPr="00245E91" w:rsidRDefault="003273BD" w:rsidP="003273BD">
            <w:pPr>
              <w:spacing w:line="240" w:lineRule="auto"/>
              <w:contextualSpacing/>
              <w:rPr>
                <w:rFonts w:ascii="Times New Roman" w:hAnsi="Times New Roman"/>
                <w:sz w:val="15"/>
                <w:szCs w:val="15"/>
              </w:rPr>
            </w:pPr>
          </w:p>
        </w:tc>
        <w:tc>
          <w:tcPr>
            <w:tcW w:w="535" w:type="pct"/>
            <w:tcBorders>
              <w:top w:val="nil"/>
              <w:left w:val="nil"/>
              <w:bottom w:val="nil"/>
              <w:right w:val="single" w:sz="4" w:space="0" w:color="auto"/>
            </w:tcBorders>
            <w:shd w:val="clear" w:color="auto" w:fill="auto"/>
            <w:noWrap/>
            <w:vAlign w:val="bottom"/>
            <w:hideMark/>
          </w:tcPr>
          <w:p w14:paraId="236911E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(3.44***)</w:t>
            </w:r>
          </w:p>
        </w:tc>
        <w:tc>
          <w:tcPr>
            <w:tcW w:w="533" w:type="pct"/>
            <w:tcBorders>
              <w:top w:val="nil"/>
              <w:left w:val="single" w:sz="4" w:space="0" w:color="auto"/>
              <w:bottom w:val="nil"/>
              <w:right w:val="nil"/>
            </w:tcBorders>
            <w:shd w:val="clear" w:color="auto" w:fill="auto"/>
            <w:noWrap/>
            <w:vAlign w:val="bottom"/>
            <w:hideMark/>
          </w:tcPr>
          <w:p w14:paraId="10E0BD09" w14:textId="77777777" w:rsidR="003273BD" w:rsidRPr="00245E91" w:rsidRDefault="003273BD" w:rsidP="003273BD">
            <w:pPr>
              <w:spacing w:line="240" w:lineRule="auto"/>
              <w:contextualSpacing/>
              <w:rPr>
                <w:rFonts w:ascii="Times New Roman" w:hAnsi="Times New Roman"/>
                <w:color w:val="000000"/>
                <w:sz w:val="15"/>
                <w:szCs w:val="15"/>
              </w:rPr>
            </w:pPr>
          </w:p>
        </w:tc>
        <w:tc>
          <w:tcPr>
            <w:tcW w:w="534" w:type="pct"/>
            <w:tcBorders>
              <w:top w:val="nil"/>
              <w:left w:val="nil"/>
              <w:bottom w:val="nil"/>
              <w:right w:val="nil"/>
            </w:tcBorders>
            <w:shd w:val="clear" w:color="auto" w:fill="auto"/>
            <w:noWrap/>
            <w:vAlign w:val="bottom"/>
            <w:hideMark/>
          </w:tcPr>
          <w:p w14:paraId="18C0CE40" w14:textId="77777777" w:rsidR="003273BD" w:rsidRPr="00245E91" w:rsidRDefault="003273BD" w:rsidP="003273BD">
            <w:pPr>
              <w:spacing w:line="240" w:lineRule="auto"/>
              <w:contextualSpacing/>
              <w:rPr>
                <w:rFonts w:ascii="Times New Roman" w:hAnsi="Times New Roman"/>
                <w:sz w:val="15"/>
                <w:szCs w:val="15"/>
              </w:rPr>
            </w:pPr>
          </w:p>
        </w:tc>
        <w:tc>
          <w:tcPr>
            <w:tcW w:w="533" w:type="pct"/>
            <w:tcBorders>
              <w:top w:val="nil"/>
              <w:left w:val="nil"/>
              <w:bottom w:val="nil"/>
              <w:right w:val="nil"/>
            </w:tcBorders>
            <w:shd w:val="clear" w:color="auto" w:fill="auto"/>
            <w:noWrap/>
            <w:vAlign w:val="bottom"/>
            <w:hideMark/>
          </w:tcPr>
          <w:p w14:paraId="37B527C5" w14:textId="77777777" w:rsidR="003273BD" w:rsidRPr="00245E91" w:rsidRDefault="003273BD" w:rsidP="003273BD">
            <w:pPr>
              <w:spacing w:line="240" w:lineRule="auto"/>
              <w:contextualSpacing/>
              <w:rPr>
                <w:rFonts w:ascii="Times New Roman" w:hAnsi="Times New Roman"/>
                <w:sz w:val="15"/>
                <w:szCs w:val="15"/>
              </w:rPr>
            </w:pPr>
          </w:p>
        </w:tc>
        <w:tc>
          <w:tcPr>
            <w:tcW w:w="535" w:type="pct"/>
            <w:tcBorders>
              <w:top w:val="nil"/>
              <w:left w:val="nil"/>
              <w:bottom w:val="nil"/>
              <w:right w:val="nil"/>
            </w:tcBorders>
            <w:shd w:val="clear" w:color="auto" w:fill="auto"/>
            <w:noWrap/>
            <w:vAlign w:val="bottom"/>
            <w:hideMark/>
          </w:tcPr>
          <w:p w14:paraId="3BC3851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(5.51***)</w:t>
            </w:r>
          </w:p>
        </w:tc>
      </w:tr>
      <w:tr w:rsidR="003273BD" w:rsidRPr="00245E91" w14:paraId="74D514FD" w14:textId="77777777" w:rsidTr="00245E91">
        <w:trPr>
          <w:trHeight w:val="144"/>
        </w:trPr>
        <w:tc>
          <w:tcPr>
            <w:tcW w:w="727" w:type="pct"/>
            <w:tcBorders>
              <w:top w:val="nil"/>
              <w:left w:val="nil"/>
              <w:bottom w:val="nil"/>
              <w:right w:val="nil"/>
            </w:tcBorders>
            <w:shd w:val="clear" w:color="auto" w:fill="auto"/>
            <w:noWrap/>
            <w:vAlign w:val="bottom"/>
          </w:tcPr>
          <w:p w14:paraId="698AC56D" w14:textId="77777777" w:rsidR="003273BD" w:rsidRPr="00245E91" w:rsidRDefault="003273BD" w:rsidP="003273BD">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Adj. R-squared</w:t>
            </w:r>
          </w:p>
        </w:tc>
        <w:tc>
          <w:tcPr>
            <w:tcW w:w="534" w:type="pct"/>
            <w:tcBorders>
              <w:top w:val="nil"/>
              <w:left w:val="nil"/>
              <w:bottom w:val="nil"/>
              <w:right w:val="nil"/>
            </w:tcBorders>
            <w:shd w:val="clear" w:color="auto" w:fill="auto"/>
            <w:noWrap/>
            <w:vAlign w:val="bottom"/>
          </w:tcPr>
          <w:p w14:paraId="0BC4D0B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0.13</w:t>
            </w:r>
          </w:p>
        </w:tc>
        <w:tc>
          <w:tcPr>
            <w:tcW w:w="534" w:type="pct"/>
            <w:tcBorders>
              <w:top w:val="nil"/>
              <w:left w:val="nil"/>
              <w:bottom w:val="nil"/>
              <w:right w:val="nil"/>
            </w:tcBorders>
            <w:shd w:val="clear" w:color="auto" w:fill="auto"/>
            <w:noWrap/>
            <w:vAlign w:val="bottom"/>
          </w:tcPr>
          <w:p w14:paraId="18871E4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0.16</w:t>
            </w:r>
          </w:p>
        </w:tc>
        <w:tc>
          <w:tcPr>
            <w:tcW w:w="534" w:type="pct"/>
            <w:tcBorders>
              <w:top w:val="nil"/>
              <w:left w:val="nil"/>
              <w:bottom w:val="nil"/>
              <w:right w:val="nil"/>
            </w:tcBorders>
            <w:shd w:val="clear" w:color="auto" w:fill="auto"/>
            <w:noWrap/>
            <w:vAlign w:val="bottom"/>
          </w:tcPr>
          <w:p w14:paraId="12A2171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0.17</w:t>
            </w:r>
          </w:p>
        </w:tc>
        <w:tc>
          <w:tcPr>
            <w:tcW w:w="535" w:type="pct"/>
            <w:tcBorders>
              <w:top w:val="nil"/>
              <w:left w:val="nil"/>
              <w:bottom w:val="nil"/>
              <w:right w:val="single" w:sz="4" w:space="0" w:color="auto"/>
            </w:tcBorders>
            <w:shd w:val="clear" w:color="auto" w:fill="auto"/>
            <w:noWrap/>
            <w:vAlign w:val="bottom"/>
          </w:tcPr>
          <w:p w14:paraId="6F5C79C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0.18</w:t>
            </w:r>
          </w:p>
        </w:tc>
        <w:tc>
          <w:tcPr>
            <w:tcW w:w="533" w:type="pct"/>
            <w:tcBorders>
              <w:top w:val="nil"/>
              <w:left w:val="single" w:sz="4" w:space="0" w:color="auto"/>
              <w:bottom w:val="nil"/>
              <w:right w:val="nil"/>
            </w:tcBorders>
            <w:shd w:val="clear" w:color="auto" w:fill="auto"/>
            <w:noWrap/>
            <w:vAlign w:val="bottom"/>
          </w:tcPr>
          <w:p w14:paraId="49B9093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w:t>
            </w:r>
          </w:p>
        </w:tc>
        <w:tc>
          <w:tcPr>
            <w:tcW w:w="534" w:type="pct"/>
            <w:tcBorders>
              <w:top w:val="nil"/>
              <w:left w:val="nil"/>
              <w:bottom w:val="nil"/>
              <w:right w:val="nil"/>
            </w:tcBorders>
            <w:shd w:val="clear" w:color="auto" w:fill="auto"/>
            <w:noWrap/>
            <w:vAlign w:val="bottom"/>
          </w:tcPr>
          <w:p w14:paraId="5AA3136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0.13</w:t>
            </w:r>
          </w:p>
        </w:tc>
        <w:tc>
          <w:tcPr>
            <w:tcW w:w="533" w:type="pct"/>
            <w:tcBorders>
              <w:top w:val="nil"/>
              <w:left w:val="nil"/>
              <w:bottom w:val="nil"/>
              <w:right w:val="nil"/>
            </w:tcBorders>
            <w:shd w:val="clear" w:color="auto" w:fill="auto"/>
            <w:noWrap/>
            <w:vAlign w:val="bottom"/>
          </w:tcPr>
          <w:p w14:paraId="3D2BB4B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0.24</w:t>
            </w:r>
          </w:p>
        </w:tc>
        <w:tc>
          <w:tcPr>
            <w:tcW w:w="535" w:type="pct"/>
            <w:tcBorders>
              <w:top w:val="nil"/>
              <w:left w:val="nil"/>
              <w:bottom w:val="nil"/>
              <w:right w:val="nil"/>
            </w:tcBorders>
            <w:shd w:val="clear" w:color="auto" w:fill="auto"/>
            <w:noWrap/>
            <w:vAlign w:val="bottom"/>
          </w:tcPr>
          <w:p w14:paraId="50C01AE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0.24</w:t>
            </w:r>
          </w:p>
        </w:tc>
      </w:tr>
      <w:tr w:rsidR="003273BD" w:rsidRPr="00245E91" w14:paraId="46D94497" w14:textId="77777777" w:rsidTr="00245E91">
        <w:trPr>
          <w:trHeight w:val="144"/>
        </w:trPr>
        <w:tc>
          <w:tcPr>
            <w:tcW w:w="727" w:type="pct"/>
            <w:tcBorders>
              <w:top w:val="nil"/>
              <w:left w:val="nil"/>
              <w:bottom w:val="nil"/>
              <w:right w:val="nil"/>
            </w:tcBorders>
            <w:shd w:val="clear" w:color="auto" w:fill="auto"/>
            <w:noWrap/>
            <w:vAlign w:val="bottom"/>
            <w:hideMark/>
          </w:tcPr>
          <w:p w14:paraId="2D931E87" w14:textId="77777777" w:rsidR="003273BD" w:rsidRPr="00245E91" w:rsidRDefault="003273BD" w:rsidP="003273BD">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Year fixed effect</w:t>
            </w:r>
          </w:p>
        </w:tc>
        <w:tc>
          <w:tcPr>
            <w:tcW w:w="534" w:type="pct"/>
            <w:tcBorders>
              <w:top w:val="nil"/>
              <w:left w:val="nil"/>
              <w:bottom w:val="nil"/>
              <w:right w:val="nil"/>
            </w:tcBorders>
            <w:shd w:val="clear" w:color="auto" w:fill="auto"/>
            <w:noWrap/>
            <w:vAlign w:val="bottom"/>
            <w:hideMark/>
          </w:tcPr>
          <w:p w14:paraId="0006FB3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4" w:type="pct"/>
            <w:tcBorders>
              <w:top w:val="nil"/>
              <w:left w:val="nil"/>
              <w:bottom w:val="nil"/>
              <w:right w:val="nil"/>
            </w:tcBorders>
            <w:shd w:val="clear" w:color="auto" w:fill="auto"/>
            <w:noWrap/>
            <w:vAlign w:val="bottom"/>
            <w:hideMark/>
          </w:tcPr>
          <w:p w14:paraId="26DF014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4" w:type="pct"/>
            <w:tcBorders>
              <w:top w:val="nil"/>
              <w:left w:val="nil"/>
              <w:bottom w:val="nil"/>
              <w:right w:val="nil"/>
            </w:tcBorders>
            <w:shd w:val="clear" w:color="auto" w:fill="auto"/>
            <w:noWrap/>
            <w:vAlign w:val="bottom"/>
            <w:hideMark/>
          </w:tcPr>
          <w:p w14:paraId="544009E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5" w:type="pct"/>
            <w:tcBorders>
              <w:top w:val="nil"/>
              <w:left w:val="nil"/>
              <w:bottom w:val="nil"/>
              <w:right w:val="single" w:sz="4" w:space="0" w:color="auto"/>
            </w:tcBorders>
            <w:shd w:val="clear" w:color="auto" w:fill="auto"/>
            <w:noWrap/>
            <w:vAlign w:val="bottom"/>
            <w:hideMark/>
          </w:tcPr>
          <w:p w14:paraId="37C8007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3" w:type="pct"/>
            <w:tcBorders>
              <w:top w:val="nil"/>
              <w:left w:val="single" w:sz="4" w:space="0" w:color="auto"/>
              <w:bottom w:val="nil"/>
              <w:right w:val="nil"/>
            </w:tcBorders>
            <w:shd w:val="clear" w:color="auto" w:fill="auto"/>
            <w:noWrap/>
            <w:vAlign w:val="bottom"/>
            <w:hideMark/>
          </w:tcPr>
          <w:p w14:paraId="0EC6952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4" w:type="pct"/>
            <w:tcBorders>
              <w:top w:val="nil"/>
              <w:left w:val="nil"/>
              <w:bottom w:val="nil"/>
              <w:right w:val="nil"/>
            </w:tcBorders>
            <w:shd w:val="clear" w:color="auto" w:fill="auto"/>
            <w:noWrap/>
            <w:vAlign w:val="bottom"/>
            <w:hideMark/>
          </w:tcPr>
          <w:p w14:paraId="735483F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3" w:type="pct"/>
            <w:tcBorders>
              <w:top w:val="nil"/>
              <w:left w:val="nil"/>
              <w:bottom w:val="nil"/>
              <w:right w:val="nil"/>
            </w:tcBorders>
            <w:shd w:val="clear" w:color="auto" w:fill="auto"/>
            <w:noWrap/>
            <w:vAlign w:val="bottom"/>
            <w:hideMark/>
          </w:tcPr>
          <w:p w14:paraId="0C572DD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5" w:type="pct"/>
            <w:tcBorders>
              <w:top w:val="nil"/>
              <w:left w:val="nil"/>
              <w:bottom w:val="nil"/>
              <w:right w:val="nil"/>
            </w:tcBorders>
            <w:shd w:val="clear" w:color="auto" w:fill="auto"/>
            <w:noWrap/>
            <w:vAlign w:val="bottom"/>
            <w:hideMark/>
          </w:tcPr>
          <w:p w14:paraId="078650E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r>
      <w:tr w:rsidR="003273BD" w:rsidRPr="00245E91" w14:paraId="7959909A" w14:textId="77777777" w:rsidTr="00245E91">
        <w:trPr>
          <w:trHeight w:val="171"/>
        </w:trPr>
        <w:tc>
          <w:tcPr>
            <w:tcW w:w="727" w:type="pct"/>
            <w:tcBorders>
              <w:top w:val="nil"/>
              <w:left w:val="nil"/>
              <w:right w:val="nil"/>
            </w:tcBorders>
            <w:shd w:val="clear" w:color="auto" w:fill="auto"/>
            <w:noWrap/>
            <w:vAlign w:val="bottom"/>
          </w:tcPr>
          <w:p w14:paraId="18293CEF" w14:textId="77777777" w:rsidR="003273BD" w:rsidRPr="00245E91" w:rsidRDefault="003273BD" w:rsidP="003273BD">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Clustered by firm</w:t>
            </w:r>
          </w:p>
        </w:tc>
        <w:tc>
          <w:tcPr>
            <w:tcW w:w="534" w:type="pct"/>
            <w:tcBorders>
              <w:top w:val="nil"/>
              <w:left w:val="nil"/>
              <w:bottom w:val="nil"/>
              <w:right w:val="nil"/>
            </w:tcBorders>
            <w:shd w:val="clear" w:color="auto" w:fill="auto"/>
            <w:noWrap/>
            <w:vAlign w:val="bottom"/>
          </w:tcPr>
          <w:p w14:paraId="01135BC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4" w:type="pct"/>
            <w:tcBorders>
              <w:top w:val="nil"/>
              <w:left w:val="nil"/>
              <w:bottom w:val="nil"/>
              <w:right w:val="nil"/>
            </w:tcBorders>
            <w:shd w:val="clear" w:color="auto" w:fill="auto"/>
            <w:noWrap/>
            <w:vAlign w:val="bottom"/>
          </w:tcPr>
          <w:p w14:paraId="5EB437D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4" w:type="pct"/>
            <w:tcBorders>
              <w:top w:val="nil"/>
              <w:left w:val="nil"/>
              <w:bottom w:val="nil"/>
              <w:right w:val="nil"/>
            </w:tcBorders>
            <w:shd w:val="clear" w:color="auto" w:fill="auto"/>
            <w:noWrap/>
            <w:vAlign w:val="bottom"/>
          </w:tcPr>
          <w:p w14:paraId="42CFBB9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5" w:type="pct"/>
            <w:tcBorders>
              <w:top w:val="nil"/>
              <w:left w:val="nil"/>
              <w:bottom w:val="nil"/>
              <w:right w:val="single" w:sz="4" w:space="0" w:color="auto"/>
            </w:tcBorders>
            <w:shd w:val="clear" w:color="auto" w:fill="auto"/>
            <w:noWrap/>
            <w:vAlign w:val="bottom"/>
          </w:tcPr>
          <w:p w14:paraId="365CEF9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3" w:type="pct"/>
            <w:tcBorders>
              <w:top w:val="nil"/>
              <w:left w:val="single" w:sz="4" w:space="0" w:color="auto"/>
              <w:bottom w:val="nil"/>
              <w:right w:val="nil"/>
            </w:tcBorders>
            <w:shd w:val="clear" w:color="auto" w:fill="auto"/>
            <w:noWrap/>
            <w:vAlign w:val="bottom"/>
          </w:tcPr>
          <w:p w14:paraId="26605C3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4" w:type="pct"/>
            <w:tcBorders>
              <w:top w:val="nil"/>
              <w:left w:val="nil"/>
              <w:bottom w:val="nil"/>
              <w:right w:val="nil"/>
            </w:tcBorders>
            <w:shd w:val="clear" w:color="auto" w:fill="auto"/>
            <w:noWrap/>
            <w:vAlign w:val="bottom"/>
          </w:tcPr>
          <w:p w14:paraId="59BF1E3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3" w:type="pct"/>
            <w:tcBorders>
              <w:top w:val="nil"/>
              <w:left w:val="nil"/>
              <w:bottom w:val="nil"/>
              <w:right w:val="nil"/>
            </w:tcBorders>
            <w:shd w:val="clear" w:color="auto" w:fill="auto"/>
            <w:noWrap/>
            <w:vAlign w:val="bottom"/>
          </w:tcPr>
          <w:p w14:paraId="13F8366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5" w:type="pct"/>
            <w:tcBorders>
              <w:top w:val="nil"/>
              <w:left w:val="nil"/>
              <w:bottom w:val="nil"/>
              <w:right w:val="nil"/>
            </w:tcBorders>
            <w:shd w:val="clear" w:color="auto" w:fill="auto"/>
            <w:noWrap/>
            <w:vAlign w:val="bottom"/>
          </w:tcPr>
          <w:p w14:paraId="344C976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r>
      <w:tr w:rsidR="003273BD" w:rsidRPr="00245E91" w14:paraId="434B6201" w14:textId="77777777" w:rsidTr="00245E91">
        <w:trPr>
          <w:trHeight w:val="144"/>
        </w:trPr>
        <w:tc>
          <w:tcPr>
            <w:tcW w:w="727" w:type="pct"/>
            <w:tcBorders>
              <w:top w:val="nil"/>
              <w:left w:val="nil"/>
              <w:bottom w:val="single" w:sz="4" w:space="0" w:color="auto"/>
              <w:right w:val="nil"/>
            </w:tcBorders>
            <w:shd w:val="clear" w:color="auto" w:fill="auto"/>
            <w:noWrap/>
            <w:vAlign w:val="bottom"/>
          </w:tcPr>
          <w:p w14:paraId="7C0D4EA4" w14:textId="77777777" w:rsidR="003273BD" w:rsidRPr="00245E91" w:rsidRDefault="003273BD" w:rsidP="003273BD">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Observations</w:t>
            </w:r>
          </w:p>
        </w:tc>
        <w:tc>
          <w:tcPr>
            <w:tcW w:w="534" w:type="pct"/>
            <w:tcBorders>
              <w:top w:val="nil"/>
              <w:left w:val="nil"/>
              <w:bottom w:val="single" w:sz="4" w:space="0" w:color="auto"/>
              <w:right w:val="nil"/>
            </w:tcBorders>
            <w:shd w:val="clear" w:color="auto" w:fill="auto"/>
            <w:noWrap/>
            <w:vAlign w:val="bottom"/>
          </w:tcPr>
          <w:p w14:paraId="258EDC9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2,861</w:t>
            </w:r>
          </w:p>
        </w:tc>
        <w:tc>
          <w:tcPr>
            <w:tcW w:w="534" w:type="pct"/>
            <w:tcBorders>
              <w:top w:val="nil"/>
              <w:left w:val="nil"/>
              <w:bottom w:val="single" w:sz="4" w:space="0" w:color="auto"/>
              <w:right w:val="nil"/>
            </w:tcBorders>
            <w:shd w:val="clear" w:color="auto" w:fill="auto"/>
            <w:noWrap/>
            <w:vAlign w:val="bottom"/>
          </w:tcPr>
          <w:p w14:paraId="74B1862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2,820</w:t>
            </w:r>
          </w:p>
        </w:tc>
        <w:tc>
          <w:tcPr>
            <w:tcW w:w="534" w:type="pct"/>
            <w:tcBorders>
              <w:top w:val="nil"/>
              <w:left w:val="nil"/>
              <w:bottom w:val="single" w:sz="4" w:space="0" w:color="auto"/>
              <w:right w:val="nil"/>
            </w:tcBorders>
            <w:shd w:val="clear" w:color="auto" w:fill="auto"/>
            <w:noWrap/>
            <w:vAlign w:val="bottom"/>
          </w:tcPr>
          <w:p w14:paraId="5974D60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2,809</w:t>
            </w:r>
          </w:p>
        </w:tc>
        <w:tc>
          <w:tcPr>
            <w:tcW w:w="535" w:type="pct"/>
            <w:tcBorders>
              <w:top w:val="nil"/>
              <w:left w:val="nil"/>
              <w:bottom w:val="single" w:sz="4" w:space="0" w:color="auto"/>
              <w:right w:val="single" w:sz="4" w:space="0" w:color="auto"/>
            </w:tcBorders>
            <w:shd w:val="clear" w:color="auto" w:fill="auto"/>
            <w:noWrap/>
            <w:vAlign w:val="bottom"/>
          </w:tcPr>
          <w:p w14:paraId="724352D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2,809</w:t>
            </w:r>
          </w:p>
        </w:tc>
        <w:tc>
          <w:tcPr>
            <w:tcW w:w="533" w:type="pct"/>
            <w:tcBorders>
              <w:top w:val="nil"/>
              <w:left w:val="single" w:sz="4" w:space="0" w:color="auto"/>
              <w:bottom w:val="single" w:sz="4" w:space="0" w:color="auto"/>
              <w:right w:val="nil"/>
            </w:tcBorders>
            <w:shd w:val="clear" w:color="auto" w:fill="auto"/>
            <w:noWrap/>
            <w:vAlign w:val="bottom"/>
          </w:tcPr>
          <w:p w14:paraId="1BCEA1F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3,116</w:t>
            </w:r>
          </w:p>
        </w:tc>
        <w:tc>
          <w:tcPr>
            <w:tcW w:w="534" w:type="pct"/>
            <w:tcBorders>
              <w:top w:val="nil"/>
              <w:left w:val="nil"/>
              <w:bottom w:val="single" w:sz="4" w:space="0" w:color="auto"/>
              <w:right w:val="nil"/>
            </w:tcBorders>
            <w:shd w:val="clear" w:color="auto" w:fill="auto"/>
            <w:noWrap/>
            <w:vAlign w:val="bottom"/>
          </w:tcPr>
          <w:p w14:paraId="6128EEE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3,111</w:t>
            </w:r>
          </w:p>
        </w:tc>
        <w:tc>
          <w:tcPr>
            <w:tcW w:w="533" w:type="pct"/>
            <w:tcBorders>
              <w:top w:val="nil"/>
              <w:left w:val="nil"/>
              <w:bottom w:val="single" w:sz="4" w:space="0" w:color="auto"/>
              <w:right w:val="nil"/>
            </w:tcBorders>
            <w:shd w:val="clear" w:color="auto" w:fill="auto"/>
            <w:noWrap/>
            <w:vAlign w:val="bottom"/>
          </w:tcPr>
          <w:p w14:paraId="7A62E4A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3,104</w:t>
            </w:r>
          </w:p>
        </w:tc>
        <w:tc>
          <w:tcPr>
            <w:tcW w:w="535" w:type="pct"/>
            <w:tcBorders>
              <w:top w:val="nil"/>
              <w:left w:val="nil"/>
              <w:bottom w:val="single" w:sz="4" w:space="0" w:color="auto"/>
              <w:right w:val="nil"/>
            </w:tcBorders>
            <w:shd w:val="clear" w:color="auto" w:fill="auto"/>
            <w:noWrap/>
            <w:vAlign w:val="bottom"/>
          </w:tcPr>
          <w:p w14:paraId="3EEA730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3,104</w:t>
            </w:r>
          </w:p>
        </w:tc>
      </w:tr>
    </w:tbl>
    <w:p w14:paraId="6A3F6D35" w14:textId="77777777" w:rsidR="003273BD" w:rsidRPr="00245E91" w:rsidRDefault="003273BD">
      <w:pPr>
        <w:spacing w:after="0" w:line="240" w:lineRule="auto"/>
        <w:rPr>
          <w:rFonts w:ascii="Times New Roman" w:hAnsi="Times New Roman"/>
          <w:sz w:val="15"/>
          <w:szCs w:val="15"/>
        </w:rPr>
      </w:pPr>
      <w:r w:rsidRPr="00245E91">
        <w:rPr>
          <w:rFonts w:ascii="Times New Roman" w:hAnsi="Times New Roman"/>
          <w:sz w:val="15"/>
          <w:szCs w:val="15"/>
        </w:rPr>
        <w:br w:type="page"/>
      </w:r>
    </w:p>
    <w:p w14:paraId="32AF46A2" w14:textId="77777777" w:rsidR="003273BD" w:rsidRPr="00245E91" w:rsidRDefault="003273BD" w:rsidP="003273BD">
      <w:pPr>
        <w:spacing w:after="0" w:line="240" w:lineRule="auto"/>
        <w:rPr>
          <w:rFonts w:ascii="Times New Roman" w:hAnsi="Times New Roman"/>
          <w:b/>
          <w:sz w:val="15"/>
          <w:szCs w:val="15"/>
        </w:rPr>
      </w:pPr>
      <w:r w:rsidRPr="00245E91">
        <w:rPr>
          <w:rFonts w:ascii="Times New Roman" w:hAnsi="Times New Roman"/>
          <w:b/>
          <w:sz w:val="15"/>
          <w:szCs w:val="15"/>
        </w:rPr>
        <w:t>Table 11 - Cross-sectional Analyses of Earnings Management – Small Stock Issue vs. Large Stock Issue</w:t>
      </w:r>
    </w:p>
    <w:p w14:paraId="66B267A9" w14:textId="7A449722" w:rsidR="003273BD" w:rsidRPr="00245E91" w:rsidRDefault="00EE4A1C" w:rsidP="003273BD">
      <w:pPr>
        <w:spacing w:after="0" w:line="240" w:lineRule="auto"/>
        <w:rPr>
          <w:rFonts w:ascii="Times New Roman" w:hAnsi="Times New Roman"/>
          <w:sz w:val="15"/>
          <w:szCs w:val="15"/>
        </w:rPr>
      </w:pPr>
      <w:r w:rsidRPr="00245E91">
        <w:rPr>
          <w:rFonts w:ascii="Times New Roman" w:hAnsi="Times New Roman"/>
          <w:sz w:val="15"/>
          <w:szCs w:val="15"/>
        </w:rPr>
        <w:t xml:space="preserve">The sample includes MLPs and all Non-MLP firms in the same industry in the same year. </w:t>
      </w:r>
      <w:r w:rsidR="003273BD" w:rsidRPr="00245E91">
        <w:rPr>
          <w:rFonts w:ascii="Times New Roman" w:hAnsi="Times New Roman"/>
          <w:sz w:val="15"/>
          <w:szCs w:val="15"/>
        </w:rPr>
        <w:t>The dependent variables are RM1, RM2 and DA, alternatively. RM1 is the sum of RDISX and RPROD. RM2 is the sum of RDISX, RPROD and RCFO. RDISX is the abnormal discretionary expenditure. RPROD is the abnormal production costs. RCFO is the abnormal cash flow. DA is the discretionary accrual. MLP is the dummy variable for MLP firms. LN(Assets) is the natural log of total assets. MKTSHARE is the ratio of firm sales to total sales of all firms in the same industry. DEBT is the ratio of debt-to-assets. NOA is net operating assets and is calculated as total assets minus cash and short-term investment scaled by total assets. OPERCYCLE is the days of receivable plus the days of inventory less the days of payable at the beginning of the year. ROA is net income to total assets ratio. MKBK is the market-to-book ratio of equity. LIQUIDITY is the average of the ratio of monthly trading volume to shares outstanding in the year. STOCKISSUE is the ratio of the amount of sales of common stock and preferred stock in the year to the market capitalization of the firm. DEBISSUE is the ratio of the amount of long-term debt issuance to the firm’s assets. BIG8 is the dummy variable for firms with auditors in the top 8. TENURE is the number of years the auditor has audited the client. INSTOWN is the percentage of institutional ownership at the beginning of year. NUMANALYST is the number of analysts following the firm. RESID_RM1 and RESID_RM2 are the residuals from Models 4 and 5. *, **, and *** indicate the significance levels of 10%, 5% and 1%, respectively.</w:t>
      </w:r>
    </w:p>
    <w:tbl>
      <w:tblPr>
        <w:tblW w:w="5000" w:type="pct"/>
        <w:tblLook w:val="04A0" w:firstRow="1" w:lastRow="0" w:firstColumn="1" w:lastColumn="0" w:noHBand="0" w:noVBand="1"/>
      </w:tblPr>
      <w:tblGrid>
        <w:gridCol w:w="1885"/>
        <w:gridCol w:w="1385"/>
        <w:gridCol w:w="1384"/>
        <w:gridCol w:w="1384"/>
        <w:gridCol w:w="1387"/>
        <w:gridCol w:w="1382"/>
        <w:gridCol w:w="1384"/>
        <w:gridCol w:w="1382"/>
        <w:gridCol w:w="1387"/>
      </w:tblGrid>
      <w:tr w:rsidR="003273BD" w:rsidRPr="00245E91" w14:paraId="4562F5F4" w14:textId="77777777" w:rsidTr="00D83DD8">
        <w:trPr>
          <w:trHeight w:val="144"/>
        </w:trPr>
        <w:tc>
          <w:tcPr>
            <w:tcW w:w="727" w:type="pct"/>
            <w:tcBorders>
              <w:top w:val="single" w:sz="4" w:space="0" w:color="auto"/>
              <w:left w:val="nil"/>
              <w:right w:val="nil"/>
            </w:tcBorders>
            <w:shd w:val="clear" w:color="auto" w:fill="auto"/>
            <w:noWrap/>
            <w:vAlign w:val="bottom"/>
            <w:hideMark/>
          </w:tcPr>
          <w:p w14:paraId="247E3382" w14:textId="77777777" w:rsidR="003273BD" w:rsidRPr="00245E91" w:rsidRDefault="003273BD" w:rsidP="003273BD">
            <w:pPr>
              <w:spacing w:after="0" w:line="240" w:lineRule="auto"/>
              <w:contextualSpacing/>
              <w:rPr>
                <w:rFonts w:ascii="Times New Roman" w:eastAsia="Times New Roman" w:hAnsi="Times New Roman"/>
                <w:b/>
                <w:i/>
                <w:sz w:val="15"/>
                <w:szCs w:val="15"/>
              </w:rPr>
            </w:pPr>
          </w:p>
        </w:tc>
        <w:tc>
          <w:tcPr>
            <w:tcW w:w="2137" w:type="pct"/>
            <w:gridSpan w:val="4"/>
            <w:tcBorders>
              <w:top w:val="single" w:sz="4" w:space="0" w:color="auto"/>
              <w:left w:val="nil"/>
              <w:right w:val="single" w:sz="4" w:space="0" w:color="auto"/>
            </w:tcBorders>
            <w:shd w:val="clear" w:color="auto" w:fill="auto"/>
            <w:noWrap/>
            <w:vAlign w:val="bottom"/>
            <w:hideMark/>
          </w:tcPr>
          <w:p w14:paraId="188AB94D" w14:textId="77777777" w:rsidR="003273BD" w:rsidRPr="00245E91" w:rsidRDefault="003273BD" w:rsidP="00F7612D">
            <w:pPr>
              <w:spacing w:after="0" w:line="240" w:lineRule="auto"/>
              <w:contextualSpacing/>
              <w:jc w:val="center"/>
              <w:rPr>
                <w:rFonts w:ascii="Times New Roman" w:eastAsia="Times New Roman" w:hAnsi="Times New Roman"/>
                <w:color w:val="000000"/>
                <w:sz w:val="15"/>
                <w:szCs w:val="15"/>
              </w:rPr>
            </w:pPr>
            <w:r w:rsidRPr="00245E91">
              <w:rPr>
                <w:rFonts w:ascii="Times New Roman" w:eastAsia="Times New Roman" w:hAnsi="Times New Roman"/>
                <w:b/>
                <w:i/>
                <w:color w:val="000000"/>
                <w:sz w:val="15"/>
                <w:szCs w:val="15"/>
              </w:rPr>
              <w:t>Panel A – Small Stock Issue</w:t>
            </w:r>
          </w:p>
        </w:tc>
        <w:tc>
          <w:tcPr>
            <w:tcW w:w="2135" w:type="pct"/>
            <w:gridSpan w:val="4"/>
            <w:tcBorders>
              <w:top w:val="single" w:sz="4" w:space="0" w:color="auto"/>
              <w:left w:val="single" w:sz="4" w:space="0" w:color="auto"/>
              <w:bottom w:val="nil"/>
              <w:right w:val="nil"/>
            </w:tcBorders>
            <w:shd w:val="clear" w:color="auto" w:fill="auto"/>
            <w:noWrap/>
            <w:vAlign w:val="bottom"/>
            <w:hideMark/>
          </w:tcPr>
          <w:p w14:paraId="1CF385DB" w14:textId="77777777" w:rsidR="003273BD" w:rsidRPr="00245E91" w:rsidRDefault="003273BD" w:rsidP="00F7612D">
            <w:pPr>
              <w:spacing w:after="0" w:line="240" w:lineRule="auto"/>
              <w:contextualSpacing/>
              <w:jc w:val="center"/>
              <w:rPr>
                <w:rFonts w:ascii="Times New Roman" w:eastAsia="Times New Roman" w:hAnsi="Times New Roman"/>
                <w:color w:val="000000"/>
                <w:sz w:val="15"/>
                <w:szCs w:val="15"/>
              </w:rPr>
            </w:pPr>
            <w:r w:rsidRPr="00245E91">
              <w:rPr>
                <w:rFonts w:ascii="Times New Roman" w:eastAsia="Times New Roman" w:hAnsi="Times New Roman"/>
                <w:b/>
                <w:i/>
                <w:color w:val="000000"/>
                <w:sz w:val="15"/>
                <w:szCs w:val="15"/>
              </w:rPr>
              <w:t>Panel B – Large Stock Issue</w:t>
            </w:r>
          </w:p>
        </w:tc>
      </w:tr>
      <w:tr w:rsidR="003273BD" w:rsidRPr="00245E91" w14:paraId="57926582" w14:textId="77777777" w:rsidTr="00245E91">
        <w:trPr>
          <w:trHeight w:val="144"/>
        </w:trPr>
        <w:tc>
          <w:tcPr>
            <w:tcW w:w="727" w:type="pct"/>
            <w:tcBorders>
              <w:top w:val="nil"/>
              <w:left w:val="nil"/>
              <w:bottom w:val="single" w:sz="4" w:space="0" w:color="auto"/>
              <w:right w:val="nil"/>
            </w:tcBorders>
            <w:shd w:val="clear" w:color="auto" w:fill="auto"/>
            <w:noWrap/>
            <w:vAlign w:val="bottom"/>
            <w:hideMark/>
          </w:tcPr>
          <w:p w14:paraId="008271DA"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Variables</w:t>
            </w:r>
          </w:p>
        </w:tc>
        <w:tc>
          <w:tcPr>
            <w:tcW w:w="534" w:type="pct"/>
            <w:tcBorders>
              <w:top w:val="nil"/>
              <w:left w:val="nil"/>
              <w:bottom w:val="single" w:sz="4" w:space="0" w:color="auto"/>
              <w:right w:val="nil"/>
            </w:tcBorders>
            <w:shd w:val="clear" w:color="auto" w:fill="auto"/>
            <w:noWrap/>
            <w:vAlign w:val="bottom"/>
            <w:hideMark/>
          </w:tcPr>
          <w:p w14:paraId="2756745D"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1 – RM1</w:t>
            </w:r>
          </w:p>
        </w:tc>
        <w:tc>
          <w:tcPr>
            <w:tcW w:w="534" w:type="pct"/>
            <w:tcBorders>
              <w:top w:val="nil"/>
              <w:left w:val="nil"/>
              <w:bottom w:val="single" w:sz="4" w:space="0" w:color="auto"/>
              <w:right w:val="nil"/>
            </w:tcBorders>
            <w:shd w:val="clear" w:color="auto" w:fill="auto"/>
            <w:noWrap/>
            <w:vAlign w:val="bottom"/>
            <w:hideMark/>
          </w:tcPr>
          <w:p w14:paraId="3ABAE828"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2 – RM2</w:t>
            </w:r>
          </w:p>
        </w:tc>
        <w:tc>
          <w:tcPr>
            <w:tcW w:w="534" w:type="pct"/>
            <w:tcBorders>
              <w:top w:val="nil"/>
              <w:left w:val="nil"/>
              <w:bottom w:val="single" w:sz="4" w:space="0" w:color="auto"/>
              <w:right w:val="nil"/>
            </w:tcBorders>
            <w:shd w:val="clear" w:color="auto" w:fill="auto"/>
            <w:noWrap/>
            <w:vAlign w:val="bottom"/>
            <w:hideMark/>
          </w:tcPr>
          <w:p w14:paraId="2F6919BE"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3 – DA</w:t>
            </w:r>
          </w:p>
        </w:tc>
        <w:tc>
          <w:tcPr>
            <w:tcW w:w="535" w:type="pct"/>
            <w:tcBorders>
              <w:top w:val="nil"/>
              <w:left w:val="nil"/>
              <w:bottom w:val="single" w:sz="4" w:space="0" w:color="auto"/>
              <w:right w:val="single" w:sz="4" w:space="0" w:color="auto"/>
            </w:tcBorders>
            <w:shd w:val="clear" w:color="auto" w:fill="auto"/>
            <w:noWrap/>
            <w:vAlign w:val="bottom"/>
            <w:hideMark/>
          </w:tcPr>
          <w:p w14:paraId="6E0D49AA"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4 – DA</w:t>
            </w:r>
          </w:p>
        </w:tc>
        <w:tc>
          <w:tcPr>
            <w:tcW w:w="533" w:type="pct"/>
            <w:tcBorders>
              <w:top w:val="nil"/>
              <w:left w:val="single" w:sz="4" w:space="0" w:color="auto"/>
              <w:bottom w:val="single" w:sz="4" w:space="0" w:color="auto"/>
              <w:right w:val="nil"/>
            </w:tcBorders>
            <w:shd w:val="clear" w:color="auto" w:fill="auto"/>
            <w:noWrap/>
            <w:vAlign w:val="bottom"/>
            <w:hideMark/>
          </w:tcPr>
          <w:p w14:paraId="0ECFEF14"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1 – RM1</w:t>
            </w:r>
          </w:p>
        </w:tc>
        <w:tc>
          <w:tcPr>
            <w:tcW w:w="534" w:type="pct"/>
            <w:tcBorders>
              <w:top w:val="nil"/>
              <w:left w:val="nil"/>
              <w:bottom w:val="single" w:sz="4" w:space="0" w:color="auto"/>
              <w:right w:val="nil"/>
            </w:tcBorders>
            <w:shd w:val="clear" w:color="auto" w:fill="auto"/>
            <w:noWrap/>
            <w:vAlign w:val="bottom"/>
            <w:hideMark/>
          </w:tcPr>
          <w:p w14:paraId="5A139088"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2 – RM2</w:t>
            </w:r>
          </w:p>
        </w:tc>
        <w:tc>
          <w:tcPr>
            <w:tcW w:w="533" w:type="pct"/>
            <w:tcBorders>
              <w:top w:val="nil"/>
              <w:left w:val="nil"/>
              <w:bottom w:val="single" w:sz="4" w:space="0" w:color="auto"/>
              <w:right w:val="nil"/>
            </w:tcBorders>
            <w:shd w:val="clear" w:color="auto" w:fill="auto"/>
            <w:noWrap/>
            <w:vAlign w:val="bottom"/>
            <w:hideMark/>
          </w:tcPr>
          <w:p w14:paraId="3B9C8913"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3 – DA</w:t>
            </w:r>
          </w:p>
        </w:tc>
        <w:tc>
          <w:tcPr>
            <w:tcW w:w="535" w:type="pct"/>
            <w:tcBorders>
              <w:top w:val="nil"/>
              <w:left w:val="nil"/>
              <w:bottom w:val="single" w:sz="4" w:space="0" w:color="auto"/>
              <w:right w:val="nil"/>
            </w:tcBorders>
            <w:shd w:val="clear" w:color="auto" w:fill="auto"/>
            <w:noWrap/>
            <w:vAlign w:val="bottom"/>
            <w:hideMark/>
          </w:tcPr>
          <w:p w14:paraId="7F43654E"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4 – DA</w:t>
            </w:r>
          </w:p>
        </w:tc>
      </w:tr>
      <w:tr w:rsidR="003273BD" w:rsidRPr="00245E91" w14:paraId="2B4FBAD3" w14:textId="77777777" w:rsidTr="00245E91">
        <w:trPr>
          <w:trHeight w:val="144"/>
        </w:trPr>
        <w:tc>
          <w:tcPr>
            <w:tcW w:w="727" w:type="pct"/>
            <w:tcBorders>
              <w:top w:val="single" w:sz="4" w:space="0" w:color="auto"/>
              <w:left w:val="nil"/>
              <w:bottom w:val="nil"/>
              <w:right w:val="nil"/>
            </w:tcBorders>
            <w:shd w:val="clear" w:color="auto" w:fill="auto"/>
            <w:noWrap/>
            <w:vAlign w:val="bottom"/>
            <w:hideMark/>
          </w:tcPr>
          <w:p w14:paraId="264D15F4" w14:textId="77777777" w:rsidR="003273BD" w:rsidRPr="00245E91" w:rsidRDefault="003273BD" w:rsidP="003273BD">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Constant</w:t>
            </w:r>
          </w:p>
        </w:tc>
        <w:tc>
          <w:tcPr>
            <w:tcW w:w="534" w:type="pct"/>
            <w:tcBorders>
              <w:top w:val="single" w:sz="4" w:space="0" w:color="auto"/>
              <w:left w:val="nil"/>
              <w:bottom w:val="nil"/>
              <w:right w:val="nil"/>
            </w:tcBorders>
            <w:shd w:val="clear" w:color="auto" w:fill="auto"/>
            <w:noWrap/>
            <w:vAlign w:val="bottom"/>
            <w:hideMark/>
          </w:tcPr>
          <w:p w14:paraId="764FF06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-0.045</w:t>
            </w:r>
          </w:p>
        </w:tc>
        <w:tc>
          <w:tcPr>
            <w:tcW w:w="534" w:type="pct"/>
            <w:tcBorders>
              <w:top w:val="single" w:sz="4" w:space="0" w:color="auto"/>
              <w:left w:val="nil"/>
              <w:bottom w:val="nil"/>
              <w:right w:val="nil"/>
            </w:tcBorders>
            <w:shd w:val="clear" w:color="auto" w:fill="auto"/>
            <w:noWrap/>
            <w:vAlign w:val="bottom"/>
            <w:hideMark/>
          </w:tcPr>
          <w:p w14:paraId="73C78E0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0.078</w:t>
            </w:r>
          </w:p>
        </w:tc>
        <w:tc>
          <w:tcPr>
            <w:tcW w:w="534" w:type="pct"/>
            <w:tcBorders>
              <w:top w:val="single" w:sz="4" w:space="0" w:color="auto"/>
              <w:left w:val="nil"/>
              <w:bottom w:val="nil"/>
              <w:right w:val="nil"/>
            </w:tcBorders>
            <w:shd w:val="clear" w:color="auto" w:fill="auto"/>
            <w:noWrap/>
            <w:vAlign w:val="bottom"/>
            <w:hideMark/>
          </w:tcPr>
          <w:p w14:paraId="49A10CF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0.098</w:t>
            </w:r>
          </w:p>
        </w:tc>
        <w:tc>
          <w:tcPr>
            <w:tcW w:w="535" w:type="pct"/>
            <w:tcBorders>
              <w:top w:val="single" w:sz="4" w:space="0" w:color="auto"/>
              <w:left w:val="nil"/>
              <w:bottom w:val="nil"/>
              <w:right w:val="single" w:sz="4" w:space="0" w:color="auto"/>
            </w:tcBorders>
            <w:shd w:val="clear" w:color="auto" w:fill="auto"/>
            <w:noWrap/>
            <w:vAlign w:val="bottom"/>
            <w:hideMark/>
          </w:tcPr>
          <w:p w14:paraId="427C53C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0.099</w:t>
            </w:r>
          </w:p>
        </w:tc>
        <w:tc>
          <w:tcPr>
            <w:tcW w:w="533" w:type="pct"/>
            <w:tcBorders>
              <w:top w:val="single" w:sz="4" w:space="0" w:color="auto"/>
              <w:left w:val="single" w:sz="4" w:space="0" w:color="auto"/>
              <w:bottom w:val="nil"/>
              <w:right w:val="nil"/>
            </w:tcBorders>
            <w:shd w:val="clear" w:color="auto" w:fill="auto"/>
            <w:noWrap/>
            <w:vAlign w:val="bottom"/>
            <w:hideMark/>
          </w:tcPr>
          <w:p w14:paraId="36A5C0A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-0.243</w:t>
            </w:r>
          </w:p>
        </w:tc>
        <w:tc>
          <w:tcPr>
            <w:tcW w:w="534" w:type="pct"/>
            <w:tcBorders>
              <w:top w:val="single" w:sz="4" w:space="0" w:color="auto"/>
              <w:left w:val="nil"/>
              <w:bottom w:val="nil"/>
              <w:right w:val="nil"/>
            </w:tcBorders>
            <w:shd w:val="clear" w:color="auto" w:fill="auto"/>
            <w:noWrap/>
            <w:vAlign w:val="bottom"/>
            <w:hideMark/>
          </w:tcPr>
          <w:p w14:paraId="0FDD4AB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-0.137</w:t>
            </w:r>
          </w:p>
        </w:tc>
        <w:tc>
          <w:tcPr>
            <w:tcW w:w="533" w:type="pct"/>
            <w:tcBorders>
              <w:top w:val="single" w:sz="4" w:space="0" w:color="auto"/>
              <w:left w:val="nil"/>
              <w:bottom w:val="nil"/>
              <w:right w:val="nil"/>
            </w:tcBorders>
            <w:shd w:val="clear" w:color="auto" w:fill="auto"/>
            <w:noWrap/>
            <w:vAlign w:val="bottom"/>
            <w:hideMark/>
          </w:tcPr>
          <w:p w14:paraId="3789471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0.135</w:t>
            </w:r>
          </w:p>
        </w:tc>
        <w:tc>
          <w:tcPr>
            <w:tcW w:w="535" w:type="pct"/>
            <w:tcBorders>
              <w:top w:val="single" w:sz="4" w:space="0" w:color="auto"/>
              <w:left w:val="nil"/>
              <w:bottom w:val="nil"/>
              <w:right w:val="nil"/>
            </w:tcBorders>
            <w:shd w:val="clear" w:color="auto" w:fill="auto"/>
            <w:noWrap/>
            <w:vAlign w:val="bottom"/>
            <w:hideMark/>
          </w:tcPr>
          <w:p w14:paraId="2878548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0.135</w:t>
            </w:r>
          </w:p>
        </w:tc>
      </w:tr>
      <w:tr w:rsidR="003273BD" w:rsidRPr="00245E91" w14:paraId="6717BC8D" w14:textId="77777777" w:rsidTr="00245E91">
        <w:trPr>
          <w:trHeight w:val="144"/>
        </w:trPr>
        <w:tc>
          <w:tcPr>
            <w:tcW w:w="727" w:type="pct"/>
            <w:tcBorders>
              <w:top w:val="nil"/>
              <w:left w:val="nil"/>
              <w:bottom w:val="nil"/>
              <w:right w:val="nil"/>
            </w:tcBorders>
            <w:shd w:val="clear" w:color="auto" w:fill="auto"/>
            <w:noWrap/>
            <w:vAlign w:val="bottom"/>
            <w:hideMark/>
          </w:tcPr>
          <w:p w14:paraId="2CBF0D31" w14:textId="77777777" w:rsidR="003273BD" w:rsidRPr="00245E91" w:rsidRDefault="003273BD" w:rsidP="003273BD">
            <w:pPr>
              <w:spacing w:after="0" w:line="240" w:lineRule="auto"/>
              <w:contextualSpacing/>
              <w:rPr>
                <w:rFonts w:ascii="Times New Roman" w:eastAsia="Times New Roman" w:hAnsi="Times New Roman"/>
                <w:color w:val="000000"/>
                <w:sz w:val="15"/>
                <w:szCs w:val="15"/>
              </w:rPr>
            </w:pPr>
          </w:p>
        </w:tc>
        <w:tc>
          <w:tcPr>
            <w:tcW w:w="534" w:type="pct"/>
            <w:tcBorders>
              <w:top w:val="nil"/>
              <w:left w:val="nil"/>
              <w:bottom w:val="nil"/>
              <w:right w:val="nil"/>
            </w:tcBorders>
            <w:shd w:val="clear" w:color="auto" w:fill="auto"/>
            <w:noWrap/>
            <w:vAlign w:val="bottom"/>
            <w:hideMark/>
          </w:tcPr>
          <w:p w14:paraId="3869D0C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(-0.69)</w:t>
            </w:r>
          </w:p>
        </w:tc>
        <w:tc>
          <w:tcPr>
            <w:tcW w:w="534" w:type="pct"/>
            <w:tcBorders>
              <w:top w:val="nil"/>
              <w:left w:val="nil"/>
              <w:bottom w:val="nil"/>
              <w:right w:val="nil"/>
            </w:tcBorders>
            <w:shd w:val="clear" w:color="auto" w:fill="auto"/>
            <w:noWrap/>
            <w:vAlign w:val="bottom"/>
            <w:hideMark/>
          </w:tcPr>
          <w:p w14:paraId="4E7BB3D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(1.10)</w:t>
            </w:r>
          </w:p>
        </w:tc>
        <w:tc>
          <w:tcPr>
            <w:tcW w:w="534" w:type="pct"/>
            <w:tcBorders>
              <w:top w:val="nil"/>
              <w:left w:val="nil"/>
              <w:bottom w:val="nil"/>
              <w:right w:val="nil"/>
            </w:tcBorders>
            <w:shd w:val="clear" w:color="auto" w:fill="auto"/>
            <w:noWrap/>
            <w:vAlign w:val="bottom"/>
            <w:hideMark/>
          </w:tcPr>
          <w:p w14:paraId="7AB0275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(2.82***)</w:t>
            </w:r>
          </w:p>
        </w:tc>
        <w:tc>
          <w:tcPr>
            <w:tcW w:w="535" w:type="pct"/>
            <w:tcBorders>
              <w:top w:val="nil"/>
              <w:left w:val="nil"/>
              <w:bottom w:val="nil"/>
              <w:right w:val="single" w:sz="4" w:space="0" w:color="auto"/>
            </w:tcBorders>
            <w:shd w:val="clear" w:color="auto" w:fill="auto"/>
            <w:noWrap/>
            <w:vAlign w:val="bottom"/>
            <w:hideMark/>
          </w:tcPr>
          <w:p w14:paraId="52E2DAD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(2.94***)</w:t>
            </w:r>
          </w:p>
        </w:tc>
        <w:tc>
          <w:tcPr>
            <w:tcW w:w="533" w:type="pct"/>
            <w:tcBorders>
              <w:top w:val="nil"/>
              <w:left w:val="single" w:sz="4" w:space="0" w:color="auto"/>
              <w:bottom w:val="nil"/>
              <w:right w:val="nil"/>
            </w:tcBorders>
            <w:shd w:val="clear" w:color="auto" w:fill="auto"/>
            <w:noWrap/>
            <w:vAlign w:val="bottom"/>
            <w:hideMark/>
          </w:tcPr>
          <w:p w14:paraId="63F29C5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(-3.10***)</w:t>
            </w:r>
          </w:p>
        </w:tc>
        <w:tc>
          <w:tcPr>
            <w:tcW w:w="534" w:type="pct"/>
            <w:tcBorders>
              <w:top w:val="nil"/>
              <w:left w:val="nil"/>
              <w:bottom w:val="nil"/>
              <w:right w:val="nil"/>
            </w:tcBorders>
            <w:shd w:val="clear" w:color="auto" w:fill="auto"/>
            <w:noWrap/>
            <w:vAlign w:val="bottom"/>
            <w:hideMark/>
          </w:tcPr>
          <w:p w14:paraId="6D6553F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(-1.63)</w:t>
            </w:r>
          </w:p>
        </w:tc>
        <w:tc>
          <w:tcPr>
            <w:tcW w:w="533" w:type="pct"/>
            <w:tcBorders>
              <w:top w:val="nil"/>
              <w:left w:val="nil"/>
              <w:bottom w:val="nil"/>
              <w:right w:val="nil"/>
            </w:tcBorders>
            <w:shd w:val="clear" w:color="auto" w:fill="auto"/>
            <w:noWrap/>
            <w:vAlign w:val="bottom"/>
            <w:hideMark/>
          </w:tcPr>
          <w:p w14:paraId="6353A6D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(2.81***)</w:t>
            </w:r>
          </w:p>
        </w:tc>
        <w:tc>
          <w:tcPr>
            <w:tcW w:w="535" w:type="pct"/>
            <w:tcBorders>
              <w:top w:val="nil"/>
              <w:left w:val="nil"/>
              <w:bottom w:val="nil"/>
              <w:right w:val="nil"/>
            </w:tcBorders>
            <w:shd w:val="clear" w:color="auto" w:fill="auto"/>
            <w:noWrap/>
            <w:vAlign w:val="bottom"/>
            <w:hideMark/>
          </w:tcPr>
          <w:p w14:paraId="1B354EA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(2.91***)</w:t>
            </w:r>
          </w:p>
        </w:tc>
      </w:tr>
      <w:tr w:rsidR="003273BD" w:rsidRPr="00245E91" w14:paraId="6AEB0C24" w14:textId="77777777" w:rsidTr="00245E91">
        <w:trPr>
          <w:trHeight w:val="144"/>
        </w:trPr>
        <w:tc>
          <w:tcPr>
            <w:tcW w:w="727" w:type="pct"/>
            <w:tcBorders>
              <w:top w:val="nil"/>
              <w:left w:val="nil"/>
              <w:bottom w:val="nil"/>
              <w:right w:val="nil"/>
            </w:tcBorders>
            <w:shd w:val="clear" w:color="auto" w:fill="auto"/>
            <w:noWrap/>
            <w:vAlign w:val="bottom"/>
            <w:hideMark/>
          </w:tcPr>
          <w:p w14:paraId="14A9638A"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MLP</w:t>
            </w:r>
          </w:p>
        </w:tc>
        <w:tc>
          <w:tcPr>
            <w:tcW w:w="534" w:type="pct"/>
            <w:tcBorders>
              <w:top w:val="nil"/>
              <w:left w:val="nil"/>
              <w:bottom w:val="nil"/>
              <w:right w:val="nil"/>
            </w:tcBorders>
            <w:shd w:val="clear" w:color="auto" w:fill="auto"/>
            <w:noWrap/>
            <w:vAlign w:val="bottom"/>
            <w:hideMark/>
          </w:tcPr>
          <w:p w14:paraId="415C515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0.186</w:t>
            </w:r>
          </w:p>
        </w:tc>
        <w:tc>
          <w:tcPr>
            <w:tcW w:w="534" w:type="pct"/>
            <w:tcBorders>
              <w:top w:val="nil"/>
              <w:left w:val="nil"/>
              <w:bottom w:val="nil"/>
              <w:right w:val="nil"/>
            </w:tcBorders>
            <w:shd w:val="clear" w:color="auto" w:fill="auto"/>
            <w:noWrap/>
            <w:vAlign w:val="bottom"/>
            <w:hideMark/>
          </w:tcPr>
          <w:p w14:paraId="0DA956E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0.189</w:t>
            </w:r>
          </w:p>
        </w:tc>
        <w:tc>
          <w:tcPr>
            <w:tcW w:w="534" w:type="pct"/>
            <w:tcBorders>
              <w:top w:val="nil"/>
              <w:left w:val="nil"/>
              <w:bottom w:val="nil"/>
              <w:right w:val="nil"/>
            </w:tcBorders>
            <w:shd w:val="clear" w:color="auto" w:fill="auto"/>
            <w:noWrap/>
            <w:vAlign w:val="bottom"/>
            <w:hideMark/>
          </w:tcPr>
          <w:p w14:paraId="34772BF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-0.045</w:t>
            </w:r>
          </w:p>
        </w:tc>
        <w:tc>
          <w:tcPr>
            <w:tcW w:w="535" w:type="pct"/>
            <w:tcBorders>
              <w:top w:val="nil"/>
              <w:left w:val="nil"/>
              <w:bottom w:val="nil"/>
              <w:right w:val="single" w:sz="4" w:space="0" w:color="auto"/>
            </w:tcBorders>
            <w:shd w:val="clear" w:color="auto" w:fill="auto"/>
            <w:noWrap/>
            <w:vAlign w:val="bottom"/>
            <w:hideMark/>
          </w:tcPr>
          <w:p w14:paraId="5ADE72F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-0.046</w:t>
            </w:r>
          </w:p>
        </w:tc>
        <w:tc>
          <w:tcPr>
            <w:tcW w:w="533" w:type="pct"/>
            <w:tcBorders>
              <w:top w:val="nil"/>
              <w:left w:val="single" w:sz="4" w:space="0" w:color="auto"/>
              <w:bottom w:val="nil"/>
              <w:right w:val="nil"/>
            </w:tcBorders>
            <w:shd w:val="clear" w:color="auto" w:fill="auto"/>
            <w:noWrap/>
            <w:vAlign w:val="bottom"/>
            <w:hideMark/>
          </w:tcPr>
          <w:p w14:paraId="22EDCF4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0.176</w:t>
            </w:r>
          </w:p>
        </w:tc>
        <w:tc>
          <w:tcPr>
            <w:tcW w:w="534" w:type="pct"/>
            <w:tcBorders>
              <w:top w:val="nil"/>
              <w:left w:val="nil"/>
              <w:bottom w:val="nil"/>
              <w:right w:val="nil"/>
            </w:tcBorders>
            <w:shd w:val="clear" w:color="auto" w:fill="auto"/>
            <w:noWrap/>
            <w:vAlign w:val="bottom"/>
            <w:hideMark/>
          </w:tcPr>
          <w:p w14:paraId="1835338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0.160</w:t>
            </w:r>
          </w:p>
        </w:tc>
        <w:tc>
          <w:tcPr>
            <w:tcW w:w="533" w:type="pct"/>
            <w:tcBorders>
              <w:top w:val="nil"/>
              <w:left w:val="nil"/>
              <w:bottom w:val="nil"/>
              <w:right w:val="nil"/>
            </w:tcBorders>
            <w:shd w:val="clear" w:color="auto" w:fill="auto"/>
            <w:noWrap/>
            <w:vAlign w:val="bottom"/>
            <w:hideMark/>
          </w:tcPr>
          <w:p w14:paraId="4C05A07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0.001</w:t>
            </w:r>
          </w:p>
        </w:tc>
        <w:tc>
          <w:tcPr>
            <w:tcW w:w="535" w:type="pct"/>
            <w:tcBorders>
              <w:top w:val="nil"/>
              <w:left w:val="nil"/>
              <w:bottom w:val="nil"/>
              <w:right w:val="nil"/>
            </w:tcBorders>
            <w:shd w:val="clear" w:color="auto" w:fill="auto"/>
            <w:noWrap/>
            <w:vAlign w:val="bottom"/>
            <w:hideMark/>
          </w:tcPr>
          <w:p w14:paraId="0EEB10A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0.002</w:t>
            </w:r>
          </w:p>
        </w:tc>
      </w:tr>
      <w:tr w:rsidR="003273BD" w:rsidRPr="00245E91" w14:paraId="2390C114" w14:textId="77777777" w:rsidTr="00245E91">
        <w:trPr>
          <w:trHeight w:val="144"/>
        </w:trPr>
        <w:tc>
          <w:tcPr>
            <w:tcW w:w="727" w:type="pct"/>
            <w:tcBorders>
              <w:top w:val="nil"/>
              <w:left w:val="nil"/>
              <w:bottom w:val="nil"/>
              <w:right w:val="nil"/>
            </w:tcBorders>
            <w:shd w:val="clear" w:color="auto" w:fill="auto"/>
            <w:noWrap/>
            <w:vAlign w:val="bottom"/>
            <w:hideMark/>
          </w:tcPr>
          <w:p w14:paraId="563DBEBB"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19CAFD4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(3.44***)</w:t>
            </w:r>
          </w:p>
        </w:tc>
        <w:tc>
          <w:tcPr>
            <w:tcW w:w="534" w:type="pct"/>
            <w:tcBorders>
              <w:top w:val="nil"/>
              <w:left w:val="nil"/>
              <w:bottom w:val="nil"/>
              <w:right w:val="nil"/>
            </w:tcBorders>
            <w:shd w:val="clear" w:color="auto" w:fill="auto"/>
            <w:noWrap/>
            <w:vAlign w:val="bottom"/>
            <w:hideMark/>
          </w:tcPr>
          <w:p w14:paraId="1B6445F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(4.05***)</w:t>
            </w:r>
          </w:p>
        </w:tc>
        <w:tc>
          <w:tcPr>
            <w:tcW w:w="534" w:type="pct"/>
            <w:tcBorders>
              <w:top w:val="nil"/>
              <w:left w:val="nil"/>
              <w:bottom w:val="nil"/>
              <w:right w:val="nil"/>
            </w:tcBorders>
            <w:shd w:val="clear" w:color="auto" w:fill="auto"/>
            <w:noWrap/>
            <w:vAlign w:val="bottom"/>
            <w:hideMark/>
          </w:tcPr>
          <w:p w14:paraId="70DE050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(-2.02**)</w:t>
            </w:r>
          </w:p>
        </w:tc>
        <w:tc>
          <w:tcPr>
            <w:tcW w:w="535" w:type="pct"/>
            <w:tcBorders>
              <w:top w:val="nil"/>
              <w:left w:val="nil"/>
              <w:bottom w:val="nil"/>
              <w:right w:val="single" w:sz="4" w:space="0" w:color="auto"/>
            </w:tcBorders>
            <w:shd w:val="clear" w:color="auto" w:fill="auto"/>
            <w:noWrap/>
            <w:vAlign w:val="bottom"/>
            <w:hideMark/>
          </w:tcPr>
          <w:p w14:paraId="1072C82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(-2.08**)</w:t>
            </w:r>
          </w:p>
        </w:tc>
        <w:tc>
          <w:tcPr>
            <w:tcW w:w="533" w:type="pct"/>
            <w:tcBorders>
              <w:top w:val="nil"/>
              <w:left w:val="single" w:sz="4" w:space="0" w:color="auto"/>
              <w:bottom w:val="nil"/>
              <w:right w:val="nil"/>
            </w:tcBorders>
            <w:shd w:val="clear" w:color="auto" w:fill="auto"/>
            <w:noWrap/>
            <w:vAlign w:val="bottom"/>
            <w:hideMark/>
          </w:tcPr>
          <w:p w14:paraId="1E74B95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(3.85***)</w:t>
            </w:r>
          </w:p>
        </w:tc>
        <w:tc>
          <w:tcPr>
            <w:tcW w:w="534" w:type="pct"/>
            <w:tcBorders>
              <w:top w:val="nil"/>
              <w:left w:val="nil"/>
              <w:bottom w:val="nil"/>
              <w:right w:val="nil"/>
            </w:tcBorders>
            <w:shd w:val="clear" w:color="auto" w:fill="auto"/>
            <w:noWrap/>
            <w:vAlign w:val="bottom"/>
            <w:hideMark/>
          </w:tcPr>
          <w:p w14:paraId="7EF7E5A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(3.55***)</w:t>
            </w:r>
          </w:p>
        </w:tc>
        <w:tc>
          <w:tcPr>
            <w:tcW w:w="533" w:type="pct"/>
            <w:tcBorders>
              <w:top w:val="nil"/>
              <w:left w:val="nil"/>
              <w:bottom w:val="nil"/>
              <w:right w:val="nil"/>
            </w:tcBorders>
            <w:shd w:val="clear" w:color="auto" w:fill="auto"/>
            <w:noWrap/>
            <w:vAlign w:val="bottom"/>
            <w:hideMark/>
          </w:tcPr>
          <w:p w14:paraId="0732DCD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w:t>
            </w:r>
          </w:p>
        </w:tc>
        <w:tc>
          <w:tcPr>
            <w:tcW w:w="535" w:type="pct"/>
            <w:tcBorders>
              <w:top w:val="nil"/>
              <w:left w:val="nil"/>
              <w:bottom w:val="nil"/>
              <w:right w:val="nil"/>
            </w:tcBorders>
            <w:shd w:val="clear" w:color="auto" w:fill="auto"/>
            <w:noWrap/>
            <w:vAlign w:val="bottom"/>
            <w:hideMark/>
          </w:tcPr>
          <w:p w14:paraId="454FDAF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w:t>
            </w:r>
          </w:p>
        </w:tc>
      </w:tr>
      <w:tr w:rsidR="003273BD" w:rsidRPr="00245E91" w14:paraId="2A413A8F" w14:textId="77777777" w:rsidTr="00245E91">
        <w:trPr>
          <w:trHeight w:val="144"/>
        </w:trPr>
        <w:tc>
          <w:tcPr>
            <w:tcW w:w="727" w:type="pct"/>
            <w:tcBorders>
              <w:top w:val="nil"/>
              <w:left w:val="nil"/>
              <w:bottom w:val="nil"/>
              <w:right w:val="nil"/>
            </w:tcBorders>
            <w:shd w:val="clear" w:color="auto" w:fill="auto"/>
            <w:noWrap/>
            <w:vAlign w:val="bottom"/>
            <w:hideMark/>
          </w:tcPr>
          <w:p w14:paraId="034BD358"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LN(Assets)</w:t>
            </w:r>
          </w:p>
        </w:tc>
        <w:tc>
          <w:tcPr>
            <w:tcW w:w="534" w:type="pct"/>
            <w:tcBorders>
              <w:top w:val="nil"/>
              <w:left w:val="nil"/>
              <w:bottom w:val="nil"/>
              <w:right w:val="nil"/>
            </w:tcBorders>
            <w:shd w:val="clear" w:color="auto" w:fill="auto"/>
            <w:noWrap/>
            <w:vAlign w:val="bottom"/>
            <w:hideMark/>
          </w:tcPr>
          <w:p w14:paraId="0EF7777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0.062</w:t>
            </w:r>
          </w:p>
        </w:tc>
        <w:tc>
          <w:tcPr>
            <w:tcW w:w="534" w:type="pct"/>
            <w:tcBorders>
              <w:top w:val="nil"/>
              <w:left w:val="nil"/>
              <w:bottom w:val="nil"/>
              <w:right w:val="nil"/>
            </w:tcBorders>
            <w:shd w:val="clear" w:color="auto" w:fill="auto"/>
            <w:noWrap/>
            <w:vAlign w:val="bottom"/>
            <w:hideMark/>
          </w:tcPr>
          <w:p w14:paraId="46AFC9C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0.063</w:t>
            </w:r>
          </w:p>
        </w:tc>
        <w:tc>
          <w:tcPr>
            <w:tcW w:w="534" w:type="pct"/>
            <w:tcBorders>
              <w:top w:val="nil"/>
              <w:left w:val="nil"/>
              <w:bottom w:val="nil"/>
              <w:right w:val="nil"/>
            </w:tcBorders>
            <w:shd w:val="clear" w:color="auto" w:fill="auto"/>
            <w:noWrap/>
            <w:vAlign w:val="bottom"/>
            <w:hideMark/>
          </w:tcPr>
          <w:p w14:paraId="60DDDB0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-0.083</w:t>
            </w:r>
          </w:p>
        </w:tc>
        <w:tc>
          <w:tcPr>
            <w:tcW w:w="535" w:type="pct"/>
            <w:tcBorders>
              <w:top w:val="nil"/>
              <w:left w:val="nil"/>
              <w:bottom w:val="nil"/>
              <w:right w:val="single" w:sz="4" w:space="0" w:color="auto"/>
            </w:tcBorders>
            <w:shd w:val="clear" w:color="auto" w:fill="auto"/>
            <w:noWrap/>
            <w:vAlign w:val="bottom"/>
            <w:hideMark/>
          </w:tcPr>
          <w:p w14:paraId="3A2934D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-0.086</w:t>
            </w:r>
          </w:p>
        </w:tc>
        <w:tc>
          <w:tcPr>
            <w:tcW w:w="533" w:type="pct"/>
            <w:tcBorders>
              <w:top w:val="nil"/>
              <w:left w:val="single" w:sz="4" w:space="0" w:color="auto"/>
              <w:bottom w:val="nil"/>
              <w:right w:val="nil"/>
            </w:tcBorders>
            <w:shd w:val="clear" w:color="auto" w:fill="auto"/>
            <w:noWrap/>
            <w:vAlign w:val="bottom"/>
            <w:hideMark/>
          </w:tcPr>
          <w:p w14:paraId="59DC57D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0.091</w:t>
            </w:r>
          </w:p>
        </w:tc>
        <w:tc>
          <w:tcPr>
            <w:tcW w:w="534" w:type="pct"/>
            <w:tcBorders>
              <w:top w:val="nil"/>
              <w:left w:val="nil"/>
              <w:bottom w:val="nil"/>
              <w:right w:val="nil"/>
            </w:tcBorders>
            <w:shd w:val="clear" w:color="auto" w:fill="auto"/>
            <w:noWrap/>
            <w:vAlign w:val="bottom"/>
            <w:hideMark/>
          </w:tcPr>
          <w:p w14:paraId="7522E77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0.046</w:t>
            </w:r>
          </w:p>
        </w:tc>
        <w:tc>
          <w:tcPr>
            <w:tcW w:w="533" w:type="pct"/>
            <w:tcBorders>
              <w:top w:val="nil"/>
              <w:left w:val="nil"/>
              <w:bottom w:val="nil"/>
              <w:right w:val="nil"/>
            </w:tcBorders>
            <w:shd w:val="clear" w:color="auto" w:fill="auto"/>
            <w:noWrap/>
            <w:vAlign w:val="bottom"/>
            <w:hideMark/>
          </w:tcPr>
          <w:p w14:paraId="57168C9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-0.065</w:t>
            </w:r>
          </w:p>
        </w:tc>
        <w:tc>
          <w:tcPr>
            <w:tcW w:w="535" w:type="pct"/>
            <w:tcBorders>
              <w:top w:val="nil"/>
              <w:left w:val="nil"/>
              <w:bottom w:val="nil"/>
              <w:right w:val="nil"/>
            </w:tcBorders>
            <w:shd w:val="clear" w:color="auto" w:fill="auto"/>
            <w:noWrap/>
            <w:vAlign w:val="bottom"/>
            <w:hideMark/>
          </w:tcPr>
          <w:p w14:paraId="171C0D9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-0.062</w:t>
            </w:r>
          </w:p>
        </w:tc>
      </w:tr>
      <w:tr w:rsidR="003273BD" w:rsidRPr="00245E91" w14:paraId="636DF14F" w14:textId="77777777" w:rsidTr="00245E91">
        <w:trPr>
          <w:trHeight w:val="144"/>
        </w:trPr>
        <w:tc>
          <w:tcPr>
            <w:tcW w:w="727" w:type="pct"/>
            <w:tcBorders>
              <w:top w:val="nil"/>
              <w:left w:val="nil"/>
              <w:bottom w:val="nil"/>
              <w:right w:val="nil"/>
            </w:tcBorders>
            <w:shd w:val="clear" w:color="auto" w:fill="auto"/>
            <w:noWrap/>
            <w:vAlign w:val="bottom"/>
            <w:hideMark/>
          </w:tcPr>
          <w:p w14:paraId="23705359"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273A372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(1.18)</w:t>
            </w:r>
          </w:p>
        </w:tc>
        <w:tc>
          <w:tcPr>
            <w:tcW w:w="534" w:type="pct"/>
            <w:tcBorders>
              <w:top w:val="nil"/>
              <w:left w:val="nil"/>
              <w:bottom w:val="nil"/>
              <w:right w:val="nil"/>
            </w:tcBorders>
            <w:shd w:val="clear" w:color="auto" w:fill="auto"/>
            <w:noWrap/>
            <w:vAlign w:val="bottom"/>
            <w:hideMark/>
          </w:tcPr>
          <w:p w14:paraId="7F639BE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(1.19)</w:t>
            </w:r>
          </w:p>
        </w:tc>
        <w:tc>
          <w:tcPr>
            <w:tcW w:w="534" w:type="pct"/>
            <w:tcBorders>
              <w:top w:val="nil"/>
              <w:left w:val="nil"/>
              <w:bottom w:val="nil"/>
              <w:right w:val="nil"/>
            </w:tcBorders>
            <w:shd w:val="clear" w:color="auto" w:fill="auto"/>
            <w:noWrap/>
            <w:vAlign w:val="bottom"/>
            <w:hideMark/>
          </w:tcPr>
          <w:p w14:paraId="2B5FDB1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(-2.55**)</w:t>
            </w:r>
          </w:p>
        </w:tc>
        <w:tc>
          <w:tcPr>
            <w:tcW w:w="535" w:type="pct"/>
            <w:tcBorders>
              <w:top w:val="nil"/>
              <w:left w:val="nil"/>
              <w:bottom w:val="nil"/>
              <w:right w:val="single" w:sz="4" w:space="0" w:color="auto"/>
            </w:tcBorders>
            <w:shd w:val="clear" w:color="auto" w:fill="auto"/>
            <w:noWrap/>
            <w:vAlign w:val="bottom"/>
            <w:hideMark/>
          </w:tcPr>
          <w:p w14:paraId="1765890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(-2.68***)</w:t>
            </w:r>
          </w:p>
        </w:tc>
        <w:tc>
          <w:tcPr>
            <w:tcW w:w="533" w:type="pct"/>
            <w:tcBorders>
              <w:top w:val="nil"/>
              <w:left w:val="single" w:sz="4" w:space="0" w:color="auto"/>
              <w:bottom w:val="nil"/>
              <w:right w:val="nil"/>
            </w:tcBorders>
            <w:shd w:val="clear" w:color="auto" w:fill="auto"/>
            <w:noWrap/>
            <w:vAlign w:val="bottom"/>
            <w:hideMark/>
          </w:tcPr>
          <w:p w14:paraId="2D46B2C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(1.92*)</w:t>
            </w:r>
          </w:p>
        </w:tc>
        <w:tc>
          <w:tcPr>
            <w:tcW w:w="534" w:type="pct"/>
            <w:tcBorders>
              <w:top w:val="nil"/>
              <w:left w:val="nil"/>
              <w:bottom w:val="nil"/>
              <w:right w:val="nil"/>
            </w:tcBorders>
            <w:shd w:val="clear" w:color="auto" w:fill="auto"/>
            <w:noWrap/>
            <w:vAlign w:val="bottom"/>
            <w:hideMark/>
          </w:tcPr>
          <w:p w14:paraId="0C46337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(0.97)</w:t>
            </w:r>
          </w:p>
        </w:tc>
        <w:tc>
          <w:tcPr>
            <w:tcW w:w="533" w:type="pct"/>
            <w:tcBorders>
              <w:top w:val="nil"/>
              <w:left w:val="nil"/>
              <w:bottom w:val="nil"/>
              <w:right w:val="nil"/>
            </w:tcBorders>
            <w:shd w:val="clear" w:color="auto" w:fill="auto"/>
            <w:noWrap/>
            <w:vAlign w:val="bottom"/>
            <w:hideMark/>
          </w:tcPr>
          <w:p w14:paraId="7C3169F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(-1.71*)</w:t>
            </w:r>
          </w:p>
        </w:tc>
        <w:tc>
          <w:tcPr>
            <w:tcW w:w="535" w:type="pct"/>
            <w:tcBorders>
              <w:top w:val="nil"/>
              <w:left w:val="nil"/>
              <w:bottom w:val="nil"/>
              <w:right w:val="nil"/>
            </w:tcBorders>
            <w:shd w:val="clear" w:color="auto" w:fill="auto"/>
            <w:noWrap/>
            <w:vAlign w:val="bottom"/>
            <w:hideMark/>
          </w:tcPr>
          <w:p w14:paraId="0EBC289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(-1.64)</w:t>
            </w:r>
          </w:p>
        </w:tc>
      </w:tr>
      <w:tr w:rsidR="003273BD" w:rsidRPr="00245E91" w14:paraId="4C4734F0" w14:textId="77777777" w:rsidTr="00245E91">
        <w:trPr>
          <w:trHeight w:val="144"/>
        </w:trPr>
        <w:tc>
          <w:tcPr>
            <w:tcW w:w="727" w:type="pct"/>
            <w:tcBorders>
              <w:top w:val="nil"/>
              <w:left w:val="nil"/>
              <w:bottom w:val="nil"/>
              <w:right w:val="nil"/>
            </w:tcBorders>
            <w:shd w:val="clear" w:color="auto" w:fill="auto"/>
            <w:noWrap/>
            <w:vAlign w:val="bottom"/>
            <w:hideMark/>
          </w:tcPr>
          <w:p w14:paraId="0BCF5658"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MKTSHARE</w:t>
            </w:r>
          </w:p>
        </w:tc>
        <w:tc>
          <w:tcPr>
            <w:tcW w:w="534" w:type="pct"/>
            <w:tcBorders>
              <w:top w:val="nil"/>
              <w:left w:val="nil"/>
              <w:bottom w:val="nil"/>
              <w:right w:val="nil"/>
            </w:tcBorders>
            <w:shd w:val="clear" w:color="auto" w:fill="auto"/>
            <w:noWrap/>
            <w:vAlign w:val="bottom"/>
            <w:hideMark/>
          </w:tcPr>
          <w:p w14:paraId="2C301E0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0.074</w:t>
            </w:r>
          </w:p>
        </w:tc>
        <w:tc>
          <w:tcPr>
            <w:tcW w:w="534" w:type="pct"/>
            <w:tcBorders>
              <w:top w:val="nil"/>
              <w:left w:val="nil"/>
              <w:bottom w:val="nil"/>
              <w:right w:val="nil"/>
            </w:tcBorders>
            <w:shd w:val="clear" w:color="auto" w:fill="auto"/>
            <w:noWrap/>
            <w:vAlign w:val="bottom"/>
            <w:hideMark/>
          </w:tcPr>
          <w:p w14:paraId="4CFBAA0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0.094</w:t>
            </w:r>
          </w:p>
        </w:tc>
        <w:tc>
          <w:tcPr>
            <w:tcW w:w="534" w:type="pct"/>
            <w:tcBorders>
              <w:top w:val="nil"/>
              <w:left w:val="nil"/>
              <w:bottom w:val="nil"/>
              <w:right w:val="nil"/>
            </w:tcBorders>
            <w:shd w:val="clear" w:color="auto" w:fill="auto"/>
            <w:noWrap/>
            <w:vAlign w:val="bottom"/>
            <w:hideMark/>
          </w:tcPr>
          <w:p w14:paraId="6DB6F26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0.020</w:t>
            </w:r>
          </w:p>
        </w:tc>
        <w:tc>
          <w:tcPr>
            <w:tcW w:w="535" w:type="pct"/>
            <w:tcBorders>
              <w:top w:val="nil"/>
              <w:left w:val="nil"/>
              <w:bottom w:val="nil"/>
              <w:right w:val="single" w:sz="4" w:space="0" w:color="auto"/>
            </w:tcBorders>
            <w:shd w:val="clear" w:color="auto" w:fill="auto"/>
            <w:noWrap/>
            <w:vAlign w:val="bottom"/>
            <w:hideMark/>
          </w:tcPr>
          <w:p w14:paraId="1E7E898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0.020</w:t>
            </w:r>
          </w:p>
        </w:tc>
        <w:tc>
          <w:tcPr>
            <w:tcW w:w="533" w:type="pct"/>
            <w:tcBorders>
              <w:top w:val="nil"/>
              <w:left w:val="single" w:sz="4" w:space="0" w:color="auto"/>
              <w:bottom w:val="nil"/>
              <w:right w:val="nil"/>
            </w:tcBorders>
            <w:shd w:val="clear" w:color="auto" w:fill="auto"/>
            <w:noWrap/>
            <w:vAlign w:val="bottom"/>
            <w:hideMark/>
          </w:tcPr>
          <w:p w14:paraId="776DC7F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0.063</w:t>
            </w:r>
          </w:p>
        </w:tc>
        <w:tc>
          <w:tcPr>
            <w:tcW w:w="534" w:type="pct"/>
            <w:tcBorders>
              <w:top w:val="nil"/>
              <w:left w:val="nil"/>
              <w:bottom w:val="nil"/>
              <w:right w:val="nil"/>
            </w:tcBorders>
            <w:shd w:val="clear" w:color="auto" w:fill="auto"/>
            <w:noWrap/>
            <w:vAlign w:val="bottom"/>
            <w:hideMark/>
          </w:tcPr>
          <w:p w14:paraId="499C5D9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0.061</w:t>
            </w:r>
          </w:p>
        </w:tc>
        <w:tc>
          <w:tcPr>
            <w:tcW w:w="533" w:type="pct"/>
            <w:tcBorders>
              <w:top w:val="nil"/>
              <w:left w:val="nil"/>
              <w:bottom w:val="nil"/>
              <w:right w:val="nil"/>
            </w:tcBorders>
            <w:shd w:val="clear" w:color="auto" w:fill="auto"/>
            <w:noWrap/>
            <w:vAlign w:val="bottom"/>
            <w:hideMark/>
          </w:tcPr>
          <w:p w14:paraId="0EBF393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0.014</w:t>
            </w:r>
          </w:p>
        </w:tc>
        <w:tc>
          <w:tcPr>
            <w:tcW w:w="535" w:type="pct"/>
            <w:tcBorders>
              <w:top w:val="nil"/>
              <w:left w:val="nil"/>
              <w:bottom w:val="nil"/>
              <w:right w:val="nil"/>
            </w:tcBorders>
            <w:shd w:val="clear" w:color="auto" w:fill="auto"/>
            <w:noWrap/>
            <w:vAlign w:val="bottom"/>
            <w:hideMark/>
          </w:tcPr>
          <w:p w14:paraId="5902677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0.016</w:t>
            </w:r>
          </w:p>
        </w:tc>
      </w:tr>
      <w:tr w:rsidR="003273BD" w:rsidRPr="00245E91" w14:paraId="22715DC0" w14:textId="77777777" w:rsidTr="00245E91">
        <w:trPr>
          <w:trHeight w:val="144"/>
        </w:trPr>
        <w:tc>
          <w:tcPr>
            <w:tcW w:w="727" w:type="pct"/>
            <w:tcBorders>
              <w:top w:val="nil"/>
              <w:left w:val="nil"/>
              <w:bottom w:val="nil"/>
              <w:right w:val="nil"/>
            </w:tcBorders>
            <w:shd w:val="clear" w:color="auto" w:fill="auto"/>
            <w:noWrap/>
            <w:vAlign w:val="bottom"/>
            <w:hideMark/>
          </w:tcPr>
          <w:p w14:paraId="62C6C1B0"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7E01695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(1.71*)</w:t>
            </w:r>
          </w:p>
        </w:tc>
        <w:tc>
          <w:tcPr>
            <w:tcW w:w="534" w:type="pct"/>
            <w:tcBorders>
              <w:top w:val="nil"/>
              <w:left w:val="nil"/>
              <w:bottom w:val="nil"/>
              <w:right w:val="nil"/>
            </w:tcBorders>
            <w:shd w:val="clear" w:color="auto" w:fill="auto"/>
            <w:noWrap/>
            <w:vAlign w:val="bottom"/>
            <w:hideMark/>
          </w:tcPr>
          <w:p w14:paraId="1733C1E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(2.14**)</w:t>
            </w:r>
          </w:p>
        </w:tc>
        <w:tc>
          <w:tcPr>
            <w:tcW w:w="534" w:type="pct"/>
            <w:tcBorders>
              <w:top w:val="nil"/>
              <w:left w:val="nil"/>
              <w:bottom w:val="nil"/>
              <w:right w:val="nil"/>
            </w:tcBorders>
            <w:shd w:val="clear" w:color="auto" w:fill="auto"/>
            <w:noWrap/>
            <w:vAlign w:val="bottom"/>
            <w:hideMark/>
          </w:tcPr>
          <w:p w14:paraId="37A22F2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(1.36)</w:t>
            </w:r>
          </w:p>
        </w:tc>
        <w:tc>
          <w:tcPr>
            <w:tcW w:w="535" w:type="pct"/>
            <w:tcBorders>
              <w:top w:val="nil"/>
              <w:left w:val="nil"/>
              <w:bottom w:val="nil"/>
              <w:right w:val="single" w:sz="4" w:space="0" w:color="auto"/>
            </w:tcBorders>
            <w:shd w:val="clear" w:color="auto" w:fill="auto"/>
            <w:noWrap/>
            <w:vAlign w:val="bottom"/>
            <w:hideMark/>
          </w:tcPr>
          <w:p w14:paraId="63F7D78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(1.353)</w:t>
            </w:r>
          </w:p>
        </w:tc>
        <w:tc>
          <w:tcPr>
            <w:tcW w:w="533" w:type="pct"/>
            <w:tcBorders>
              <w:top w:val="nil"/>
              <w:left w:val="single" w:sz="4" w:space="0" w:color="auto"/>
              <w:bottom w:val="nil"/>
              <w:right w:val="nil"/>
            </w:tcBorders>
            <w:shd w:val="clear" w:color="auto" w:fill="auto"/>
            <w:noWrap/>
            <w:vAlign w:val="bottom"/>
            <w:hideMark/>
          </w:tcPr>
          <w:p w14:paraId="3613AF7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(1.59)</w:t>
            </w:r>
          </w:p>
        </w:tc>
        <w:tc>
          <w:tcPr>
            <w:tcW w:w="534" w:type="pct"/>
            <w:tcBorders>
              <w:top w:val="nil"/>
              <w:left w:val="nil"/>
              <w:bottom w:val="nil"/>
              <w:right w:val="nil"/>
            </w:tcBorders>
            <w:shd w:val="clear" w:color="auto" w:fill="auto"/>
            <w:noWrap/>
            <w:vAlign w:val="bottom"/>
            <w:hideMark/>
          </w:tcPr>
          <w:p w14:paraId="2C3EE07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(1.79*)</w:t>
            </w:r>
          </w:p>
        </w:tc>
        <w:tc>
          <w:tcPr>
            <w:tcW w:w="533" w:type="pct"/>
            <w:tcBorders>
              <w:top w:val="nil"/>
              <w:left w:val="nil"/>
              <w:bottom w:val="nil"/>
              <w:right w:val="nil"/>
            </w:tcBorders>
            <w:shd w:val="clear" w:color="auto" w:fill="auto"/>
            <w:noWrap/>
            <w:vAlign w:val="bottom"/>
            <w:hideMark/>
          </w:tcPr>
          <w:p w14:paraId="033506B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(0.35)</w:t>
            </w:r>
          </w:p>
        </w:tc>
        <w:tc>
          <w:tcPr>
            <w:tcW w:w="535" w:type="pct"/>
            <w:tcBorders>
              <w:top w:val="nil"/>
              <w:left w:val="nil"/>
              <w:bottom w:val="nil"/>
              <w:right w:val="nil"/>
            </w:tcBorders>
            <w:shd w:val="clear" w:color="auto" w:fill="auto"/>
            <w:noWrap/>
            <w:vAlign w:val="bottom"/>
            <w:hideMark/>
          </w:tcPr>
          <w:p w14:paraId="244FBF7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(0.41)</w:t>
            </w:r>
          </w:p>
        </w:tc>
      </w:tr>
      <w:tr w:rsidR="003273BD" w:rsidRPr="00245E91" w14:paraId="29258239" w14:textId="77777777" w:rsidTr="00245E91">
        <w:trPr>
          <w:trHeight w:val="144"/>
        </w:trPr>
        <w:tc>
          <w:tcPr>
            <w:tcW w:w="727" w:type="pct"/>
            <w:tcBorders>
              <w:top w:val="nil"/>
              <w:left w:val="nil"/>
              <w:bottom w:val="nil"/>
              <w:right w:val="nil"/>
            </w:tcBorders>
            <w:shd w:val="clear" w:color="auto" w:fill="auto"/>
            <w:noWrap/>
            <w:vAlign w:val="bottom"/>
            <w:hideMark/>
          </w:tcPr>
          <w:p w14:paraId="72266298"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DEBT</w:t>
            </w:r>
          </w:p>
        </w:tc>
        <w:tc>
          <w:tcPr>
            <w:tcW w:w="534" w:type="pct"/>
            <w:tcBorders>
              <w:top w:val="nil"/>
              <w:left w:val="nil"/>
              <w:bottom w:val="nil"/>
              <w:right w:val="nil"/>
            </w:tcBorders>
            <w:shd w:val="clear" w:color="auto" w:fill="auto"/>
            <w:noWrap/>
            <w:vAlign w:val="bottom"/>
            <w:hideMark/>
          </w:tcPr>
          <w:p w14:paraId="45A144E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0.114</w:t>
            </w:r>
          </w:p>
        </w:tc>
        <w:tc>
          <w:tcPr>
            <w:tcW w:w="534" w:type="pct"/>
            <w:tcBorders>
              <w:top w:val="nil"/>
              <w:left w:val="nil"/>
              <w:bottom w:val="nil"/>
              <w:right w:val="nil"/>
            </w:tcBorders>
            <w:shd w:val="clear" w:color="auto" w:fill="auto"/>
            <w:noWrap/>
            <w:vAlign w:val="bottom"/>
            <w:hideMark/>
          </w:tcPr>
          <w:p w14:paraId="56DC0F5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0.129</w:t>
            </w:r>
          </w:p>
        </w:tc>
        <w:tc>
          <w:tcPr>
            <w:tcW w:w="534" w:type="pct"/>
            <w:tcBorders>
              <w:top w:val="nil"/>
              <w:left w:val="nil"/>
              <w:bottom w:val="nil"/>
              <w:right w:val="nil"/>
            </w:tcBorders>
            <w:shd w:val="clear" w:color="auto" w:fill="auto"/>
            <w:noWrap/>
            <w:vAlign w:val="bottom"/>
            <w:hideMark/>
          </w:tcPr>
          <w:p w14:paraId="5344EE1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-0.020</w:t>
            </w:r>
          </w:p>
        </w:tc>
        <w:tc>
          <w:tcPr>
            <w:tcW w:w="535" w:type="pct"/>
            <w:tcBorders>
              <w:top w:val="nil"/>
              <w:left w:val="nil"/>
              <w:bottom w:val="nil"/>
              <w:right w:val="single" w:sz="4" w:space="0" w:color="auto"/>
            </w:tcBorders>
            <w:shd w:val="clear" w:color="auto" w:fill="auto"/>
            <w:noWrap/>
            <w:vAlign w:val="bottom"/>
            <w:hideMark/>
          </w:tcPr>
          <w:p w14:paraId="166DF93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-0.020</w:t>
            </w:r>
          </w:p>
        </w:tc>
        <w:tc>
          <w:tcPr>
            <w:tcW w:w="533" w:type="pct"/>
            <w:tcBorders>
              <w:top w:val="nil"/>
              <w:left w:val="single" w:sz="4" w:space="0" w:color="auto"/>
              <w:bottom w:val="nil"/>
              <w:right w:val="nil"/>
            </w:tcBorders>
            <w:shd w:val="clear" w:color="auto" w:fill="auto"/>
            <w:noWrap/>
            <w:vAlign w:val="bottom"/>
            <w:hideMark/>
          </w:tcPr>
          <w:p w14:paraId="13FF64B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0.110</w:t>
            </w:r>
          </w:p>
        </w:tc>
        <w:tc>
          <w:tcPr>
            <w:tcW w:w="534" w:type="pct"/>
            <w:tcBorders>
              <w:top w:val="nil"/>
              <w:left w:val="nil"/>
              <w:bottom w:val="nil"/>
              <w:right w:val="nil"/>
            </w:tcBorders>
            <w:shd w:val="clear" w:color="auto" w:fill="auto"/>
            <w:noWrap/>
            <w:vAlign w:val="bottom"/>
            <w:hideMark/>
          </w:tcPr>
          <w:p w14:paraId="47C6915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0.118</w:t>
            </w:r>
          </w:p>
        </w:tc>
        <w:tc>
          <w:tcPr>
            <w:tcW w:w="533" w:type="pct"/>
            <w:tcBorders>
              <w:top w:val="nil"/>
              <w:left w:val="nil"/>
              <w:bottom w:val="nil"/>
              <w:right w:val="nil"/>
            </w:tcBorders>
            <w:shd w:val="clear" w:color="auto" w:fill="auto"/>
            <w:noWrap/>
            <w:vAlign w:val="bottom"/>
            <w:hideMark/>
          </w:tcPr>
          <w:p w14:paraId="27C3D6C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0.060</w:t>
            </w:r>
          </w:p>
        </w:tc>
        <w:tc>
          <w:tcPr>
            <w:tcW w:w="535" w:type="pct"/>
            <w:tcBorders>
              <w:top w:val="nil"/>
              <w:left w:val="nil"/>
              <w:bottom w:val="nil"/>
              <w:right w:val="nil"/>
            </w:tcBorders>
            <w:shd w:val="clear" w:color="auto" w:fill="auto"/>
            <w:noWrap/>
            <w:vAlign w:val="bottom"/>
            <w:hideMark/>
          </w:tcPr>
          <w:p w14:paraId="1F12A3E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0.060</w:t>
            </w:r>
          </w:p>
        </w:tc>
      </w:tr>
      <w:tr w:rsidR="003273BD" w:rsidRPr="00245E91" w14:paraId="350F92D9" w14:textId="77777777" w:rsidTr="00245E91">
        <w:trPr>
          <w:trHeight w:val="144"/>
        </w:trPr>
        <w:tc>
          <w:tcPr>
            <w:tcW w:w="727" w:type="pct"/>
            <w:tcBorders>
              <w:top w:val="nil"/>
              <w:left w:val="nil"/>
              <w:bottom w:val="nil"/>
              <w:right w:val="nil"/>
            </w:tcBorders>
            <w:shd w:val="clear" w:color="auto" w:fill="auto"/>
            <w:noWrap/>
            <w:vAlign w:val="bottom"/>
            <w:hideMark/>
          </w:tcPr>
          <w:p w14:paraId="1F0180E0"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17B9E5B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(2.52**)</w:t>
            </w:r>
          </w:p>
        </w:tc>
        <w:tc>
          <w:tcPr>
            <w:tcW w:w="534" w:type="pct"/>
            <w:tcBorders>
              <w:top w:val="nil"/>
              <w:left w:val="nil"/>
              <w:bottom w:val="nil"/>
              <w:right w:val="nil"/>
            </w:tcBorders>
            <w:shd w:val="clear" w:color="auto" w:fill="auto"/>
            <w:noWrap/>
            <w:vAlign w:val="bottom"/>
            <w:hideMark/>
          </w:tcPr>
          <w:p w14:paraId="51AF981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(3.11***)</w:t>
            </w:r>
          </w:p>
        </w:tc>
        <w:tc>
          <w:tcPr>
            <w:tcW w:w="534" w:type="pct"/>
            <w:tcBorders>
              <w:top w:val="nil"/>
              <w:left w:val="nil"/>
              <w:bottom w:val="nil"/>
              <w:right w:val="nil"/>
            </w:tcBorders>
            <w:shd w:val="clear" w:color="auto" w:fill="auto"/>
            <w:noWrap/>
            <w:vAlign w:val="bottom"/>
            <w:hideMark/>
          </w:tcPr>
          <w:p w14:paraId="586AA40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(-0.76)</w:t>
            </w:r>
          </w:p>
        </w:tc>
        <w:tc>
          <w:tcPr>
            <w:tcW w:w="535" w:type="pct"/>
            <w:tcBorders>
              <w:top w:val="nil"/>
              <w:left w:val="nil"/>
              <w:bottom w:val="nil"/>
              <w:right w:val="single" w:sz="4" w:space="0" w:color="auto"/>
            </w:tcBorders>
            <w:shd w:val="clear" w:color="auto" w:fill="auto"/>
            <w:noWrap/>
            <w:vAlign w:val="bottom"/>
            <w:hideMark/>
          </w:tcPr>
          <w:p w14:paraId="0E23ECE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(-0.80)</w:t>
            </w:r>
          </w:p>
        </w:tc>
        <w:tc>
          <w:tcPr>
            <w:tcW w:w="533" w:type="pct"/>
            <w:tcBorders>
              <w:top w:val="nil"/>
              <w:left w:val="single" w:sz="4" w:space="0" w:color="auto"/>
              <w:bottom w:val="nil"/>
              <w:right w:val="nil"/>
            </w:tcBorders>
            <w:shd w:val="clear" w:color="auto" w:fill="auto"/>
            <w:noWrap/>
            <w:vAlign w:val="bottom"/>
            <w:hideMark/>
          </w:tcPr>
          <w:p w14:paraId="13430DA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(2.74***)</w:t>
            </w:r>
          </w:p>
        </w:tc>
        <w:tc>
          <w:tcPr>
            <w:tcW w:w="534" w:type="pct"/>
            <w:tcBorders>
              <w:top w:val="nil"/>
              <w:left w:val="nil"/>
              <w:bottom w:val="nil"/>
              <w:right w:val="nil"/>
            </w:tcBorders>
            <w:shd w:val="clear" w:color="auto" w:fill="auto"/>
            <w:noWrap/>
            <w:vAlign w:val="bottom"/>
            <w:hideMark/>
          </w:tcPr>
          <w:p w14:paraId="0E7006C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(3.42***)</w:t>
            </w:r>
          </w:p>
        </w:tc>
        <w:tc>
          <w:tcPr>
            <w:tcW w:w="533" w:type="pct"/>
            <w:tcBorders>
              <w:top w:val="nil"/>
              <w:left w:val="nil"/>
              <w:bottom w:val="nil"/>
              <w:right w:val="nil"/>
            </w:tcBorders>
            <w:shd w:val="clear" w:color="auto" w:fill="auto"/>
            <w:noWrap/>
            <w:vAlign w:val="bottom"/>
            <w:hideMark/>
          </w:tcPr>
          <w:p w14:paraId="7ABFE55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(1.69*)</w:t>
            </w:r>
          </w:p>
        </w:tc>
        <w:tc>
          <w:tcPr>
            <w:tcW w:w="535" w:type="pct"/>
            <w:tcBorders>
              <w:top w:val="nil"/>
              <w:left w:val="nil"/>
              <w:bottom w:val="nil"/>
              <w:right w:val="nil"/>
            </w:tcBorders>
            <w:shd w:val="clear" w:color="auto" w:fill="auto"/>
            <w:noWrap/>
            <w:vAlign w:val="bottom"/>
            <w:hideMark/>
          </w:tcPr>
          <w:p w14:paraId="2ECE228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(1.68*)</w:t>
            </w:r>
          </w:p>
        </w:tc>
      </w:tr>
      <w:tr w:rsidR="003273BD" w:rsidRPr="00245E91" w14:paraId="2AAF2EA2" w14:textId="77777777" w:rsidTr="00245E91">
        <w:trPr>
          <w:trHeight w:val="144"/>
        </w:trPr>
        <w:tc>
          <w:tcPr>
            <w:tcW w:w="727" w:type="pct"/>
            <w:tcBorders>
              <w:top w:val="nil"/>
              <w:left w:val="nil"/>
              <w:bottom w:val="nil"/>
              <w:right w:val="nil"/>
            </w:tcBorders>
            <w:shd w:val="clear" w:color="auto" w:fill="auto"/>
            <w:noWrap/>
            <w:vAlign w:val="bottom"/>
            <w:hideMark/>
          </w:tcPr>
          <w:p w14:paraId="318167B3"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NOA</w:t>
            </w:r>
          </w:p>
        </w:tc>
        <w:tc>
          <w:tcPr>
            <w:tcW w:w="534" w:type="pct"/>
            <w:tcBorders>
              <w:top w:val="nil"/>
              <w:left w:val="nil"/>
              <w:bottom w:val="nil"/>
              <w:right w:val="nil"/>
            </w:tcBorders>
            <w:shd w:val="clear" w:color="auto" w:fill="auto"/>
            <w:noWrap/>
            <w:vAlign w:val="bottom"/>
            <w:hideMark/>
          </w:tcPr>
          <w:p w14:paraId="4C7401D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-0.023</w:t>
            </w:r>
          </w:p>
        </w:tc>
        <w:tc>
          <w:tcPr>
            <w:tcW w:w="534" w:type="pct"/>
            <w:tcBorders>
              <w:top w:val="nil"/>
              <w:left w:val="nil"/>
              <w:bottom w:val="nil"/>
              <w:right w:val="nil"/>
            </w:tcBorders>
            <w:shd w:val="clear" w:color="auto" w:fill="auto"/>
            <w:noWrap/>
            <w:vAlign w:val="bottom"/>
            <w:hideMark/>
          </w:tcPr>
          <w:p w14:paraId="1977575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-0.076</w:t>
            </w:r>
          </w:p>
        </w:tc>
        <w:tc>
          <w:tcPr>
            <w:tcW w:w="534" w:type="pct"/>
            <w:tcBorders>
              <w:top w:val="nil"/>
              <w:left w:val="nil"/>
              <w:bottom w:val="nil"/>
              <w:right w:val="nil"/>
            </w:tcBorders>
            <w:shd w:val="clear" w:color="auto" w:fill="auto"/>
            <w:noWrap/>
            <w:vAlign w:val="bottom"/>
            <w:hideMark/>
          </w:tcPr>
          <w:p w14:paraId="125E945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-0.033</w:t>
            </w:r>
          </w:p>
        </w:tc>
        <w:tc>
          <w:tcPr>
            <w:tcW w:w="535" w:type="pct"/>
            <w:tcBorders>
              <w:top w:val="nil"/>
              <w:left w:val="nil"/>
              <w:bottom w:val="nil"/>
              <w:right w:val="single" w:sz="4" w:space="0" w:color="auto"/>
            </w:tcBorders>
            <w:shd w:val="clear" w:color="auto" w:fill="auto"/>
            <w:noWrap/>
            <w:vAlign w:val="bottom"/>
            <w:hideMark/>
          </w:tcPr>
          <w:p w14:paraId="516D075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-0.032</w:t>
            </w:r>
          </w:p>
        </w:tc>
        <w:tc>
          <w:tcPr>
            <w:tcW w:w="533" w:type="pct"/>
            <w:tcBorders>
              <w:top w:val="nil"/>
              <w:left w:val="single" w:sz="4" w:space="0" w:color="auto"/>
              <w:bottom w:val="nil"/>
              <w:right w:val="nil"/>
            </w:tcBorders>
            <w:shd w:val="clear" w:color="auto" w:fill="auto"/>
            <w:noWrap/>
            <w:vAlign w:val="bottom"/>
            <w:hideMark/>
          </w:tcPr>
          <w:p w14:paraId="5EBEC67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0.072</w:t>
            </w:r>
          </w:p>
        </w:tc>
        <w:tc>
          <w:tcPr>
            <w:tcW w:w="534" w:type="pct"/>
            <w:tcBorders>
              <w:top w:val="nil"/>
              <w:left w:val="nil"/>
              <w:bottom w:val="nil"/>
              <w:right w:val="nil"/>
            </w:tcBorders>
            <w:shd w:val="clear" w:color="auto" w:fill="auto"/>
            <w:noWrap/>
            <w:vAlign w:val="bottom"/>
            <w:hideMark/>
          </w:tcPr>
          <w:p w14:paraId="57D03F0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0.030</w:t>
            </w:r>
          </w:p>
        </w:tc>
        <w:tc>
          <w:tcPr>
            <w:tcW w:w="533" w:type="pct"/>
            <w:tcBorders>
              <w:top w:val="nil"/>
              <w:left w:val="nil"/>
              <w:bottom w:val="nil"/>
              <w:right w:val="nil"/>
            </w:tcBorders>
            <w:shd w:val="clear" w:color="auto" w:fill="auto"/>
            <w:noWrap/>
            <w:vAlign w:val="bottom"/>
            <w:hideMark/>
          </w:tcPr>
          <w:p w14:paraId="6B0F0F8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-0.049</w:t>
            </w:r>
          </w:p>
        </w:tc>
        <w:tc>
          <w:tcPr>
            <w:tcW w:w="535" w:type="pct"/>
            <w:tcBorders>
              <w:top w:val="nil"/>
              <w:left w:val="nil"/>
              <w:bottom w:val="nil"/>
              <w:right w:val="nil"/>
            </w:tcBorders>
            <w:shd w:val="clear" w:color="auto" w:fill="auto"/>
            <w:noWrap/>
            <w:vAlign w:val="bottom"/>
            <w:hideMark/>
          </w:tcPr>
          <w:p w14:paraId="3BD30D3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-0.050</w:t>
            </w:r>
          </w:p>
        </w:tc>
      </w:tr>
      <w:tr w:rsidR="003273BD" w:rsidRPr="00245E91" w14:paraId="2DA22145" w14:textId="77777777" w:rsidTr="00245E91">
        <w:trPr>
          <w:trHeight w:val="144"/>
        </w:trPr>
        <w:tc>
          <w:tcPr>
            <w:tcW w:w="727" w:type="pct"/>
            <w:tcBorders>
              <w:top w:val="nil"/>
              <w:left w:val="nil"/>
              <w:bottom w:val="nil"/>
              <w:right w:val="nil"/>
            </w:tcBorders>
            <w:shd w:val="clear" w:color="auto" w:fill="auto"/>
            <w:noWrap/>
            <w:vAlign w:val="bottom"/>
            <w:hideMark/>
          </w:tcPr>
          <w:p w14:paraId="1D9CB80C"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204D6AD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(-0.72)</w:t>
            </w:r>
          </w:p>
        </w:tc>
        <w:tc>
          <w:tcPr>
            <w:tcW w:w="534" w:type="pct"/>
            <w:tcBorders>
              <w:top w:val="nil"/>
              <w:left w:val="nil"/>
              <w:bottom w:val="nil"/>
              <w:right w:val="nil"/>
            </w:tcBorders>
            <w:shd w:val="clear" w:color="auto" w:fill="auto"/>
            <w:noWrap/>
            <w:vAlign w:val="bottom"/>
            <w:hideMark/>
          </w:tcPr>
          <w:p w14:paraId="55099D9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(-2.41**)</w:t>
            </w:r>
          </w:p>
        </w:tc>
        <w:tc>
          <w:tcPr>
            <w:tcW w:w="534" w:type="pct"/>
            <w:tcBorders>
              <w:top w:val="nil"/>
              <w:left w:val="nil"/>
              <w:bottom w:val="nil"/>
              <w:right w:val="nil"/>
            </w:tcBorders>
            <w:shd w:val="clear" w:color="auto" w:fill="auto"/>
            <w:noWrap/>
            <w:vAlign w:val="bottom"/>
            <w:hideMark/>
          </w:tcPr>
          <w:p w14:paraId="6CEE922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(-1.41)</w:t>
            </w:r>
          </w:p>
        </w:tc>
        <w:tc>
          <w:tcPr>
            <w:tcW w:w="535" w:type="pct"/>
            <w:tcBorders>
              <w:top w:val="nil"/>
              <w:left w:val="nil"/>
              <w:bottom w:val="nil"/>
              <w:right w:val="single" w:sz="4" w:space="0" w:color="auto"/>
            </w:tcBorders>
            <w:shd w:val="clear" w:color="auto" w:fill="auto"/>
            <w:noWrap/>
            <w:vAlign w:val="bottom"/>
            <w:hideMark/>
          </w:tcPr>
          <w:p w14:paraId="1768B64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(-1.42)</w:t>
            </w:r>
          </w:p>
        </w:tc>
        <w:tc>
          <w:tcPr>
            <w:tcW w:w="533" w:type="pct"/>
            <w:tcBorders>
              <w:top w:val="nil"/>
              <w:left w:val="single" w:sz="4" w:space="0" w:color="auto"/>
              <w:bottom w:val="nil"/>
              <w:right w:val="nil"/>
            </w:tcBorders>
            <w:shd w:val="clear" w:color="auto" w:fill="auto"/>
            <w:noWrap/>
            <w:vAlign w:val="bottom"/>
            <w:hideMark/>
          </w:tcPr>
          <w:p w14:paraId="2725CE4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(1.87*)</w:t>
            </w:r>
          </w:p>
        </w:tc>
        <w:tc>
          <w:tcPr>
            <w:tcW w:w="534" w:type="pct"/>
            <w:tcBorders>
              <w:top w:val="nil"/>
              <w:left w:val="nil"/>
              <w:bottom w:val="nil"/>
              <w:right w:val="nil"/>
            </w:tcBorders>
            <w:shd w:val="clear" w:color="auto" w:fill="auto"/>
            <w:noWrap/>
            <w:vAlign w:val="bottom"/>
            <w:hideMark/>
          </w:tcPr>
          <w:p w14:paraId="7067901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(0.86)</w:t>
            </w:r>
          </w:p>
        </w:tc>
        <w:tc>
          <w:tcPr>
            <w:tcW w:w="533" w:type="pct"/>
            <w:tcBorders>
              <w:top w:val="nil"/>
              <w:left w:val="nil"/>
              <w:bottom w:val="nil"/>
              <w:right w:val="nil"/>
            </w:tcBorders>
            <w:shd w:val="clear" w:color="auto" w:fill="auto"/>
            <w:noWrap/>
            <w:vAlign w:val="bottom"/>
            <w:hideMark/>
          </w:tcPr>
          <w:p w14:paraId="500FF72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(-1.94*)</w:t>
            </w:r>
          </w:p>
        </w:tc>
        <w:tc>
          <w:tcPr>
            <w:tcW w:w="535" w:type="pct"/>
            <w:tcBorders>
              <w:top w:val="nil"/>
              <w:left w:val="nil"/>
              <w:bottom w:val="nil"/>
              <w:right w:val="nil"/>
            </w:tcBorders>
            <w:shd w:val="clear" w:color="auto" w:fill="auto"/>
            <w:noWrap/>
            <w:vAlign w:val="bottom"/>
            <w:hideMark/>
          </w:tcPr>
          <w:p w14:paraId="0F899EE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(-2.04**)</w:t>
            </w:r>
          </w:p>
        </w:tc>
      </w:tr>
      <w:tr w:rsidR="003273BD" w:rsidRPr="00245E91" w14:paraId="0A6EA7F2" w14:textId="77777777" w:rsidTr="00245E91">
        <w:trPr>
          <w:trHeight w:val="144"/>
        </w:trPr>
        <w:tc>
          <w:tcPr>
            <w:tcW w:w="727" w:type="pct"/>
            <w:tcBorders>
              <w:top w:val="nil"/>
              <w:left w:val="nil"/>
              <w:bottom w:val="nil"/>
              <w:right w:val="nil"/>
            </w:tcBorders>
            <w:shd w:val="clear" w:color="auto" w:fill="auto"/>
            <w:noWrap/>
            <w:vAlign w:val="bottom"/>
            <w:hideMark/>
          </w:tcPr>
          <w:p w14:paraId="3FE318A0"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OPERCYCLE</w:t>
            </w:r>
          </w:p>
        </w:tc>
        <w:tc>
          <w:tcPr>
            <w:tcW w:w="534" w:type="pct"/>
            <w:tcBorders>
              <w:top w:val="nil"/>
              <w:left w:val="nil"/>
              <w:bottom w:val="nil"/>
              <w:right w:val="nil"/>
            </w:tcBorders>
            <w:shd w:val="clear" w:color="auto" w:fill="auto"/>
            <w:noWrap/>
            <w:vAlign w:val="bottom"/>
            <w:hideMark/>
          </w:tcPr>
          <w:p w14:paraId="063493A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0.066</w:t>
            </w:r>
          </w:p>
        </w:tc>
        <w:tc>
          <w:tcPr>
            <w:tcW w:w="534" w:type="pct"/>
            <w:tcBorders>
              <w:top w:val="nil"/>
              <w:left w:val="nil"/>
              <w:bottom w:val="nil"/>
              <w:right w:val="nil"/>
            </w:tcBorders>
            <w:shd w:val="clear" w:color="auto" w:fill="auto"/>
            <w:noWrap/>
            <w:vAlign w:val="bottom"/>
            <w:hideMark/>
          </w:tcPr>
          <w:p w14:paraId="2A12671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0.063</w:t>
            </w:r>
          </w:p>
        </w:tc>
        <w:tc>
          <w:tcPr>
            <w:tcW w:w="534" w:type="pct"/>
            <w:tcBorders>
              <w:top w:val="nil"/>
              <w:left w:val="nil"/>
              <w:bottom w:val="nil"/>
              <w:right w:val="nil"/>
            </w:tcBorders>
            <w:shd w:val="clear" w:color="auto" w:fill="auto"/>
            <w:noWrap/>
            <w:vAlign w:val="bottom"/>
            <w:hideMark/>
          </w:tcPr>
          <w:p w14:paraId="1F09678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0.008</w:t>
            </w:r>
          </w:p>
        </w:tc>
        <w:tc>
          <w:tcPr>
            <w:tcW w:w="535" w:type="pct"/>
            <w:tcBorders>
              <w:top w:val="nil"/>
              <w:left w:val="nil"/>
              <w:bottom w:val="nil"/>
              <w:right w:val="single" w:sz="4" w:space="0" w:color="auto"/>
            </w:tcBorders>
            <w:shd w:val="clear" w:color="auto" w:fill="auto"/>
            <w:noWrap/>
            <w:vAlign w:val="bottom"/>
            <w:hideMark/>
          </w:tcPr>
          <w:p w14:paraId="46D6344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0.012</w:t>
            </w:r>
          </w:p>
        </w:tc>
        <w:tc>
          <w:tcPr>
            <w:tcW w:w="533" w:type="pct"/>
            <w:tcBorders>
              <w:top w:val="nil"/>
              <w:left w:val="single" w:sz="4" w:space="0" w:color="auto"/>
              <w:bottom w:val="nil"/>
              <w:right w:val="nil"/>
            </w:tcBorders>
            <w:shd w:val="clear" w:color="auto" w:fill="auto"/>
            <w:noWrap/>
            <w:vAlign w:val="bottom"/>
            <w:hideMark/>
          </w:tcPr>
          <w:p w14:paraId="22A19B5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0.041</w:t>
            </w:r>
          </w:p>
        </w:tc>
        <w:tc>
          <w:tcPr>
            <w:tcW w:w="534" w:type="pct"/>
            <w:tcBorders>
              <w:top w:val="nil"/>
              <w:left w:val="nil"/>
              <w:bottom w:val="nil"/>
              <w:right w:val="nil"/>
            </w:tcBorders>
            <w:shd w:val="clear" w:color="auto" w:fill="auto"/>
            <w:noWrap/>
            <w:vAlign w:val="bottom"/>
            <w:hideMark/>
          </w:tcPr>
          <w:p w14:paraId="2CD1D80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0.091</w:t>
            </w:r>
          </w:p>
        </w:tc>
        <w:tc>
          <w:tcPr>
            <w:tcW w:w="533" w:type="pct"/>
            <w:tcBorders>
              <w:top w:val="nil"/>
              <w:left w:val="nil"/>
              <w:bottom w:val="nil"/>
              <w:right w:val="nil"/>
            </w:tcBorders>
            <w:shd w:val="clear" w:color="auto" w:fill="auto"/>
            <w:noWrap/>
            <w:vAlign w:val="bottom"/>
            <w:hideMark/>
          </w:tcPr>
          <w:p w14:paraId="0959B34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0.023</w:t>
            </w:r>
          </w:p>
        </w:tc>
        <w:tc>
          <w:tcPr>
            <w:tcW w:w="535" w:type="pct"/>
            <w:tcBorders>
              <w:top w:val="nil"/>
              <w:left w:val="nil"/>
              <w:bottom w:val="nil"/>
              <w:right w:val="nil"/>
            </w:tcBorders>
            <w:shd w:val="clear" w:color="auto" w:fill="auto"/>
            <w:noWrap/>
            <w:vAlign w:val="bottom"/>
            <w:hideMark/>
          </w:tcPr>
          <w:p w14:paraId="513F74B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0.020</w:t>
            </w:r>
          </w:p>
        </w:tc>
      </w:tr>
      <w:tr w:rsidR="003273BD" w:rsidRPr="00245E91" w14:paraId="595E8D81" w14:textId="77777777" w:rsidTr="00245E91">
        <w:trPr>
          <w:trHeight w:val="144"/>
        </w:trPr>
        <w:tc>
          <w:tcPr>
            <w:tcW w:w="727" w:type="pct"/>
            <w:tcBorders>
              <w:top w:val="nil"/>
              <w:left w:val="nil"/>
              <w:bottom w:val="nil"/>
              <w:right w:val="nil"/>
            </w:tcBorders>
            <w:shd w:val="clear" w:color="auto" w:fill="auto"/>
            <w:noWrap/>
            <w:vAlign w:val="bottom"/>
            <w:hideMark/>
          </w:tcPr>
          <w:p w14:paraId="522D993F"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3A5CF7C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(2.23**)</w:t>
            </w:r>
          </w:p>
        </w:tc>
        <w:tc>
          <w:tcPr>
            <w:tcW w:w="534" w:type="pct"/>
            <w:tcBorders>
              <w:top w:val="nil"/>
              <w:left w:val="nil"/>
              <w:bottom w:val="nil"/>
              <w:right w:val="nil"/>
            </w:tcBorders>
            <w:shd w:val="clear" w:color="auto" w:fill="auto"/>
            <w:noWrap/>
            <w:vAlign w:val="bottom"/>
            <w:hideMark/>
          </w:tcPr>
          <w:p w14:paraId="1B9A6AB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(2.167**)</w:t>
            </w:r>
          </w:p>
        </w:tc>
        <w:tc>
          <w:tcPr>
            <w:tcW w:w="534" w:type="pct"/>
            <w:tcBorders>
              <w:top w:val="nil"/>
              <w:left w:val="nil"/>
              <w:bottom w:val="nil"/>
              <w:right w:val="nil"/>
            </w:tcBorders>
            <w:shd w:val="clear" w:color="auto" w:fill="auto"/>
            <w:noWrap/>
            <w:vAlign w:val="bottom"/>
            <w:hideMark/>
          </w:tcPr>
          <w:p w14:paraId="0DFD4ED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(0.33)</w:t>
            </w:r>
          </w:p>
        </w:tc>
        <w:tc>
          <w:tcPr>
            <w:tcW w:w="535" w:type="pct"/>
            <w:tcBorders>
              <w:top w:val="nil"/>
              <w:left w:val="nil"/>
              <w:bottom w:val="nil"/>
              <w:right w:val="single" w:sz="4" w:space="0" w:color="auto"/>
            </w:tcBorders>
            <w:shd w:val="clear" w:color="auto" w:fill="auto"/>
            <w:noWrap/>
            <w:vAlign w:val="bottom"/>
            <w:hideMark/>
          </w:tcPr>
          <w:p w14:paraId="49C57B5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(0.50)</w:t>
            </w:r>
          </w:p>
        </w:tc>
        <w:tc>
          <w:tcPr>
            <w:tcW w:w="533" w:type="pct"/>
            <w:tcBorders>
              <w:top w:val="nil"/>
              <w:left w:val="single" w:sz="4" w:space="0" w:color="auto"/>
              <w:bottom w:val="nil"/>
              <w:right w:val="nil"/>
            </w:tcBorders>
            <w:shd w:val="clear" w:color="auto" w:fill="auto"/>
            <w:noWrap/>
            <w:vAlign w:val="bottom"/>
            <w:hideMark/>
          </w:tcPr>
          <w:p w14:paraId="3818D8F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(1.24)</w:t>
            </w:r>
          </w:p>
        </w:tc>
        <w:tc>
          <w:tcPr>
            <w:tcW w:w="534" w:type="pct"/>
            <w:tcBorders>
              <w:top w:val="nil"/>
              <w:left w:val="nil"/>
              <w:bottom w:val="nil"/>
              <w:right w:val="nil"/>
            </w:tcBorders>
            <w:shd w:val="clear" w:color="auto" w:fill="auto"/>
            <w:noWrap/>
            <w:vAlign w:val="bottom"/>
            <w:hideMark/>
          </w:tcPr>
          <w:p w14:paraId="2C49912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(3.11***)</w:t>
            </w:r>
          </w:p>
        </w:tc>
        <w:tc>
          <w:tcPr>
            <w:tcW w:w="533" w:type="pct"/>
            <w:tcBorders>
              <w:top w:val="nil"/>
              <w:left w:val="nil"/>
              <w:bottom w:val="nil"/>
              <w:right w:val="nil"/>
            </w:tcBorders>
            <w:shd w:val="clear" w:color="auto" w:fill="auto"/>
            <w:noWrap/>
            <w:vAlign w:val="bottom"/>
            <w:hideMark/>
          </w:tcPr>
          <w:p w14:paraId="1D52F2F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(1.04)</w:t>
            </w:r>
          </w:p>
        </w:tc>
        <w:tc>
          <w:tcPr>
            <w:tcW w:w="535" w:type="pct"/>
            <w:tcBorders>
              <w:top w:val="nil"/>
              <w:left w:val="nil"/>
              <w:bottom w:val="nil"/>
              <w:right w:val="nil"/>
            </w:tcBorders>
            <w:shd w:val="clear" w:color="auto" w:fill="auto"/>
            <w:noWrap/>
            <w:vAlign w:val="bottom"/>
            <w:hideMark/>
          </w:tcPr>
          <w:p w14:paraId="1240C1F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(0.91)</w:t>
            </w:r>
          </w:p>
        </w:tc>
      </w:tr>
      <w:tr w:rsidR="003273BD" w:rsidRPr="00245E91" w14:paraId="2CAD4B22" w14:textId="77777777" w:rsidTr="00245E91">
        <w:trPr>
          <w:trHeight w:val="144"/>
        </w:trPr>
        <w:tc>
          <w:tcPr>
            <w:tcW w:w="727" w:type="pct"/>
            <w:tcBorders>
              <w:top w:val="nil"/>
              <w:left w:val="nil"/>
              <w:bottom w:val="nil"/>
              <w:right w:val="nil"/>
            </w:tcBorders>
            <w:shd w:val="clear" w:color="auto" w:fill="auto"/>
            <w:noWrap/>
            <w:vAlign w:val="bottom"/>
            <w:hideMark/>
          </w:tcPr>
          <w:p w14:paraId="1B67671B"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ROA</w:t>
            </w:r>
          </w:p>
        </w:tc>
        <w:tc>
          <w:tcPr>
            <w:tcW w:w="534" w:type="pct"/>
            <w:tcBorders>
              <w:top w:val="nil"/>
              <w:left w:val="nil"/>
              <w:bottom w:val="nil"/>
              <w:right w:val="nil"/>
            </w:tcBorders>
            <w:shd w:val="clear" w:color="auto" w:fill="auto"/>
            <w:noWrap/>
            <w:vAlign w:val="bottom"/>
            <w:hideMark/>
          </w:tcPr>
          <w:p w14:paraId="68EB371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-0.140</w:t>
            </w:r>
          </w:p>
        </w:tc>
        <w:tc>
          <w:tcPr>
            <w:tcW w:w="534" w:type="pct"/>
            <w:tcBorders>
              <w:top w:val="nil"/>
              <w:left w:val="nil"/>
              <w:bottom w:val="nil"/>
              <w:right w:val="nil"/>
            </w:tcBorders>
            <w:shd w:val="clear" w:color="auto" w:fill="auto"/>
            <w:noWrap/>
            <w:vAlign w:val="bottom"/>
            <w:hideMark/>
          </w:tcPr>
          <w:p w14:paraId="22AD8E1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-0.258</w:t>
            </w:r>
          </w:p>
        </w:tc>
        <w:tc>
          <w:tcPr>
            <w:tcW w:w="534" w:type="pct"/>
            <w:tcBorders>
              <w:top w:val="nil"/>
              <w:left w:val="nil"/>
              <w:bottom w:val="nil"/>
              <w:right w:val="nil"/>
            </w:tcBorders>
            <w:shd w:val="clear" w:color="auto" w:fill="auto"/>
            <w:noWrap/>
            <w:vAlign w:val="bottom"/>
            <w:hideMark/>
          </w:tcPr>
          <w:p w14:paraId="7730607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0.425</w:t>
            </w:r>
          </w:p>
        </w:tc>
        <w:tc>
          <w:tcPr>
            <w:tcW w:w="535" w:type="pct"/>
            <w:tcBorders>
              <w:top w:val="nil"/>
              <w:left w:val="nil"/>
              <w:bottom w:val="nil"/>
              <w:right w:val="single" w:sz="4" w:space="0" w:color="auto"/>
            </w:tcBorders>
            <w:shd w:val="clear" w:color="auto" w:fill="auto"/>
            <w:noWrap/>
            <w:vAlign w:val="bottom"/>
            <w:hideMark/>
          </w:tcPr>
          <w:p w14:paraId="15F2A9B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0.424</w:t>
            </w:r>
          </w:p>
        </w:tc>
        <w:tc>
          <w:tcPr>
            <w:tcW w:w="533" w:type="pct"/>
            <w:tcBorders>
              <w:top w:val="nil"/>
              <w:left w:val="single" w:sz="4" w:space="0" w:color="auto"/>
              <w:bottom w:val="nil"/>
              <w:right w:val="nil"/>
            </w:tcBorders>
            <w:shd w:val="clear" w:color="auto" w:fill="auto"/>
            <w:noWrap/>
            <w:vAlign w:val="bottom"/>
            <w:hideMark/>
          </w:tcPr>
          <w:p w14:paraId="19650F7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-0.163</w:t>
            </w:r>
          </w:p>
        </w:tc>
        <w:tc>
          <w:tcPr>
            <w:tcW w:w="534" w:type="pct"/>
            <w:tcBorders>
              <w:top w:val="nil"/>
              <w:left w:val="nil"/>
              <w:bottom w:val="nil"/>
              <w:right w:val="nil"/>
            </w:tcBorders>
            <w:shd w:val="clear" w:color="auto" w:fill="auto"/>
            <w:noWrap/>
            <w:vAlign w:val="bottom"/>
            <w:hideMark/>
          </w:tcPr>
          <w:p w14:paraId="550F477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-0.285</w:t>
            </w:r>
          </w:p>
        </w:tc>
        <w:tc>
          <w:tcPr>
            <w:tcW w:w="533" w:type="pct"/>
            <w:tcBorders>
              <w:top w:val="nil"/>
              <w:left w:val="nil"/>
              <w:bottom w:val="nil"/>
              <w:right w:val="nil"/>
            </w:tcBorders>
            <w:shd w:val="clear" w:color="auto" w:fill="auto"/>
            <w:noWrap/>
            <w:vAlign w:val="bottom"/>
            <w:hideMark/>
          </w:tcPr>
          <w:p w14:paraId="46353DA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0.495</w:t>
            </w:r>
          </w:p>
        </w:tc>
        <w:tc>
          <w:tcPr>
            <w:tcW w:w="535" w:type="pct"/>
            <w:tcBorders>
              <w:top w:val="nil"/>
              <w:left w:val="nil"/>
              <w:bottom w:val="nil"/>
              <w:right w:val="nil"/>
            </w:tcBorders>
            <w:shd w:val="clear" w:color="auto" w:fill="auto"/>
            <w:noWrap/>
            <w:vAlign w:val="bottom"/>
            <w:hideMark/>
          </w:tcPr>
          <w:p w14:paraId="038BFE7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0.494</w:t>
            </w:r>
          </w:p>
        </w:tc>
      </w:tr>
      <w:tr w:rsidR="003273BD" w:rsidRPr="00245E91" w14:paraId="65645B4A" w14:textId="77777777" w:rsidTr="00245E91">
        <w:trPr>
          <w:trHeight w:val="144"/>
        </w:trPr>
        <w:tc>
          <w:tcPr>
            <w:tcW w:w="727" w:type="pct"/>
            <w:tcBorders>
              <w:top w:val="nil"/>
              <w:left w:val="nil"/>
              <w:bottom w:val="nil"/>
              <w:right w:val="nil"/>
            </w:tcBorders>
            <w:shd w:val="clear" w:color="auto" w:fill="auto"/>
            <w:noWrap/>
            <w:vAlign w:val="bottom"/>
            <w:hideMark/>
          </w:tcPr>
          <w:p w14:paraId="0F282A86"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12F421F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(-3.60***)</w:t>
            </w:r>
          </w:p>
        </w:tc>
        <w:tc>
          <w:tcPr>
            <w:tcW w:w="534" w:type="pct"/>
            <w:tcBorders>
              <w:top w:val="nil"/>
              <w:left w:val="nil"/>
              <w:bottom w:val="nil"/>
              <w:right w:val="nil"/>
            </w:tcBorders>
            <w:shd w:val="clear" w:color="auto" w:fill="auto"/>
            <w:noWrap/>
            <w:vAlign w:val="bottom"/>
            <w:hideMark/>
          </w:tcPr>
          <w:p w14:paraId="3AC8891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(-7.36***)</w:t>
            </w:r>
          </w:p>
        </w:tc>
        <w:tc>
          <w:tcPr>
            <w:tcW w:w="534" w:type="pct"/>
            <w:tcBorders>
              <w:top w:val="nil"/>
              <w:left w:val="nil"/>
              <w:bottom w:val="nil"/>
              <w:right w:val="nil"/>
            </w:tcBorders>
            <w:shd w:val="clear" w:color="auto" w:fill="auto"/>
            <w:noWrap/>
            <w:vAlign w:val="bottom"/>
            <w:hideMark/>
          </w:tcPr>
          <w:p w14:paraId="3A3F978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(14.60***)</w:t>
            </w:r>
          </w:p>
        </w:tc>
        <w:tc>
          <w:tcPr>
            <w:tcW w:w="535" w:type="pct"/>
            <w:tcBorders>
              <w:top w:val="nil"/>
              <w:left w:val="nil"/>
              <w:bottom w:val="nil"/>
              <w:right w:val="single" w:sz="4" w:space="0" w:color="auto"/>
            </w:tcBorders>
            <w:shd w:val="clear" w:color="auto" w:fill="auto"/>
            <w:noWrap/>
            <w:vAlign w:val="bottom"/>
            <w:hideMark/>
          </w:tcPr>
          <w:p w14:paraId="34A44ED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(15.08***)</w:t>
            </w:r>
          </w:p>
        </w:tc>
        <w:tc>
          <w:tcPr>
            <w:tcW w:w="533" w:type="pct"/>
            <w:tcBorders>
              <w:top w:val="nil"/>
              <w:left w:val="single" w:sz="4" w:space="0" w:color="auto"/>
              <w:bottom w:val="nil"/>
              <w:right w:val="nil"/>
            </w:tcBorders>
            <w:shd w:val="clear" w:color="auto" w:fill="auto"/>
            <w:noWrap/>
            <w:vAlign w:val="bottom"/>
            <w:hideMark/>
          </w:tcPr>
          <w:p w14:paraId="1E7238B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(-3.86***)</w:t>
            </w:r>
          </w:p>
        </w:tc>
        <w:tc>
          <w:tcPr>
            <w:tcW w:w="534" w:type="pct"/>
            <w:tcBorders>
              <w:top w:val="nil"/>
              <w:left w:val="nil"/>
              <w:bottom w:val="nil"/>
              <w:right w:val="nil"/>
            </w:tcBorders>
            <w:shd w:val="clear" w:color="auto" w:fill="auto"/>
            <w:noWrap/>
            <w:vAlign w:val="bottom"/>
            <w:hideMark/>
          </w:tcPr>
          <w:p w14:paraId="1EF5D84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(-8.33***)</w:t>
            </w:r>
          </w:p>
        </w:tc>
        <w:tc>
          <w:tcPr>
            <w:tcW w:w="533" w:type="pct"/>
            <w:tcBorders>
              <w:top w:val="nil"/>
              <w:left w:val="nil"/>
              <w:bottom w:val="nil"/>
              <w:right w:val="nil"/>
            </w:tcBorders>
            <w:shd w:val="clear" w:color="auto" w:fill="auto"/>
            <w:noWrap/>
            <w:vAlign w:val="bottom"/>
            <w:hideMark/>
          </w:tcPr>
          <w:p w14:paraId="5877374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(11.33***)</w:t>
            </w:r>
          </w:p>
        </w:tc>
        <w:tc>
          <w:tcPr>
            <w:tcW w:w="535" w:type="pct"/>
            <w:tcBorders>
              <w:top w:val="nil"/>
              <w:left w:val="nil"/>
              <w:bottom w:val="nil"/>
              <w:right w:val="nil"/>
            </w:tcBorders>
            <w:shd w:val="clear" w:color="auto" w:fill="auto"/>
            <w:noWrap/>
            <w:vAlign w:val="bottom"/>
            <w:hideMark/>
          </w:tcPr>
          <w:p w14:paraId="7090283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(11.35***)</w:t>
            </w:r>
          </w:p>
        </w:tc>
      </w:tr>
      <w:tr w:rsidR="003273BD" w:rsidRPr="00245E91" w14:paraId="4997DFD0" w14:textId="77777777" w:rsidTr="00245E91">
        <w:trPr>
          <w:trHeight w:val="144"/>
        </w:trPr>
        <w:tc>
          <w:tcPr>
            <w:tcW w:w="727" w:type="pct"/>
            <w:tcBorders>
              <w:top w:val="nil"/>
              <w:left w:val="nil"/>
              <w:bottom w:val="nil"/>
              <w:right w:val="nil"/>
            </w:tcBorders>
            <w:shd w:val="clear" w:color="auto" w:fill="auto"/>
            <w:noWrap/>
            <w:vAlign w:val="bottom"/>
            <w:hideMark/>
          </w:tcPr>
          <w:p w14:paraId="560F0976"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MKBK</w:t>
            </w:r>
          </w:p>
        </w:tc>
        <w:tc>
          <w:tcPr>
            <w:tcW w:w="534" w:type="pct"/>
            <w:tcBorders>
              <w:top w:val="nil"/>
              <w:left w:val="nil"/>
              <w:bottom w:val="nil"/>
              <w:right w:val="nil"/>
            </w:tcBorders>
            <w:shd w:val="clear" w:color="auto" w:fill="auto"/>
            <w:noWrap/>
            <w:vAlign w:val="bottom"/>
            <w:hideMark/>
          </w:tcPr>
          <w:p w14:paraId="19EADD1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0.034</w:t>
            </w:r>
          </w:p>
        </w:tc>
        <w:tc>
          <w:tcPr>
            <w:tcW w:w="534" w:type="pct"/>
            <w:tcBorders>
              <w:top w:val="nil"/>
              <w:left w:val="nil"/>
              <w:bottom w:val="nil"/>
              <w:right w:val="nil"/>
            </w:tcBorders>
            <w:shd w:val="clear" w:color="auto" w:fill="auto"/>
            <w:noWrap/>
            <w:vAlign w:val="bottom"/>
            <w:hideMark/>
          </w:tcPr>
          <w:p w14:paraId="622FAFE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-0.027</w:t>
            </w:r>
          </w:p>
        </w:tc>
        <w:tc>
          <w:tcPr>
            <w:tcW w:w="534" w:type="pct"/>
            <w:tcBorders>
              <w:top w:val="nil"/>
              <w:left w:val="nil"/>
              <w:bottom w:val="nil"/>
              <w:right w:val="nil"/>
            </w:tcBorders>
            <w:shd w:val="clear" w:color="auto" w:fill="auto"/>
            <w:noWrap/>
            <w:vAlign w:val="bottom"/>
            <w:hideMark/>
          </w:tcPr>
          <w:p w14:paraId="5A7C7C9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0.007</w:t>
            </w:r>
          </w:p>
        </w:tc>
        <w:tc>
          <w:tcPr>
            <w:tcW w:w="535" w:type="pct"/>
            <w:tcBorders>
              <w:top w:val="nil"/>
              <w:left w:val="nil"/>
              <w:bottom w:val="nil"/>
              <w:right w:val="single" w:sz="4" w:space="0" w:color="auto"/>
            </w:tcBorders>
            <w:shd w:val="clear" w:color="auto" w:fill="auto"/>
            <w:noWrap/>
            <w:vAlign w:val="bottom"/>
            <w:hideMark/>
          </w:tcPr>
          <w:p w14:paraId="74C3E1B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0.013</w:t>
            </w:r>
          </w:p>
        </w:tc>
        <w:tc>
          <w:tcPr>
            <w:tcW w:w="533" w:type="pct"/>
            <w:tcBorders>
              <w:top w:val="nil"/>
              <w:left w:val="single" w:sz="4" w:space="0" w:color="auto"/>
              <w:bottom w:val="nil"/>
              <w:right w:val="nil"/>
            </w:tcBorders>
            <w:shd w:val="clear" w:color="auto" w:fill="auto"/>
            <w:noWrap/>
            <w:vAlign w:val="bottom"/>
            <w:hideMark/>
          </w:tcPr>
          <w:p w14:paraId="19B6891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-0.059</w:t>
            </w:r>
          </w:p>
        </w:tc>
        <w:tc>
          <w:tcPr>
            <w:tcW w:w="534" w:type="pct"/>
            <w:tcBorders>
              <w:top w:val="nil"/>
              <w:left w:val="nil"/>
              <w:bottom w:val="nil"/>
              <w:right w:val="nil"/>
            </w:tcBorders>
            <w:shd w:val="clear" w:color="auto" w:fill="auto"/>
            <w:noWrap/>
            <w:vAlign w:val="bottom"/>
            <w:hideMark/>
          </w:tcPr>
          <w:p w14:paraId="0AB6E56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-0.029</w:t>
            </w:r>
          </w:p>
        </w:tc>
        <w:tc>
          <w:tcPr>
            <w:tcW w:w="533" w:type="pct"/>
            <w:tcBorders>
              <w:top w:val="nil"/>
              <w:left w:val="nil"/>
              <w:bottom w:val="nil"/>
              <w:right w:val="nil"/>
            </w:tcBorders>
            <w:shd w:val="clear" w:color="auto" w:fill="auto"/>
            <w:noWrap/>
            <w:vAlign w:val="bottom"/>
            <w:hideMark/>
          </w:tcPr>
          <w:p w14:paraId="258B0E9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0.030</w:t>
            </w:r>
          </w:p>
        </w:tc>
        <w:tc>
          <w:tcPr>
            <w:tcW w:w="535" w:type="pct"/>
            <w:tcBorders>
              <w:top w:val="nil"/>
              <w:left w:val="nil"/>
              <w:bottom w:val="nil"/>
              <w:right w:val="nil"/>
            </w:tcBorders>
            <w:shd w:val="clear" w:color="auto" w:fill="auto"/>
            <w:noWrap/>
            <w:vAlign w:val="bottom"/>
            <w:hideMark/>
          </w:tcPr>
          <w:p w14:paraId="62BB617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0.025</w:t>
            </w:r>
          </w:p>
        </w:tc>
      </w:tr>
      <w:tr w:rsidR="003273BD" w:rsidRPr="00245E91" w14:paraId="68AB7B7A" w14:textId="77777777" w:rsidTr="00245E91">
        <w:trPr>
          <w:trHeight w:val="144"/>
        </w:trPr>
        <w:tc>
          <w:tcPr>
            <w:tcW w:w="727" w:type="pct"/>
            <w:tcBorders>
              <w:top w:val="nil"/>
              <w:left w:val="nil"/>
              <w:bottom w:val="nil"/>
              <w:right w:val="nil"/>
            </w:tcBorders>
            <w:shd w:val="clear" w:color="auto" w:fill="auto"/>
            <w:noWrap/>
            <w:vAlign w:val="bottom"/>
            <w:hideMark/>
          </w:tcPr>
          <w:p w14:paraId="6271FB83"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49CABF5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(1.03)</w:t>
            </w:r>
          </w:p>
        </w:tc>
        <w:tc>
          <w:tcPr>
            <w:tcW w:w="534" w:type="pct"/>
            <w:tcBorders>
              <w:top w:val="nil"/>
              <w:left w:val="nil"/>
              <w:bottom w:val="nil"/>
              <w:right w:val="nil"/>
            </w:tcBorders>
            <w:shd w:val="clear" w:color="auto" w:fill="auto"/>
            <w:noWrap/>
            <w:vAlign w:val="bottom"/>
            <w:hideMark/>
          </w:tcPr>
          <w:p w14:paraId="021B0B8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(-0.93)</w:t>
            </w:r>
          </w:p>
        </w:tc>
        <w:tc>
          <w:tcPr>
            <w:tcW w:w="534" w:type="pct"/>
            <w:tcBorders>
              <w:top w:val="nil"/>
              <w:left w:val="nil"/>
              <w:bottom w:val="nil"/>
              <w:right w:val="nil"/>
            </w:tcBorders>
            <w:shd w:val="clear" w:color="auto" w:fill="auto"/>
            <w:noWrap/>
            <w:vAlign w:val="bottom"/>
            <w:hideMark/>
          </w:tcPr>
          <w:p w14:paraId="6296FAB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(0.35)</w:t>
            </w:r>
          </w:p>
        </w:tc>
        <w:tc>
          <w:tcPr>
            <w:tcW w:w="535" w:type="pct"/>
            <w:tcBorders>
              <w:top w:val="nil"/>
              <w:left w:val="nil"/>
              <w:bottom w:val="nil"/>
              <w:right w:val="single" w:sz="4" w:space="0" w:color="auto"/>
            </w:tcBorders>
            <w:shd w:val="clear" w:color="auto" w:fill="auto"/>
            <w:noWrap/>
            <w:vAlign w:val="bottom"/>
            <w:hideMark/>
          </w:tcPr>
          <w:p w14:paraId="551DE85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(0.71)</w:t>
            </w:r>
          </w:p>
        </w:tc>
        <w:tc>
          <w:tcPr>
            <w:tcW w:w="533" w:type="pct"/>
            <w:tcBorders>
              <w:top w:val="nil"/>
              <w:left w:val="single" w:sz="4" w:space="0" w:color="auto"/>
              <w:bottom w:val="nil"/>
              <w:right w:val="nil"/>
            </w:tcBorders>
            <w:shd w:val="clear" w:color="auto" w:fill="auto"/>
            <w:noWrap/>
            <w:vAlign w:val="bottom"/>
            <w:hideMark/>
          </w:tcPr>
          <w:p w14:paraId="7766837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(-1.51)</w:t>
            </w:r>
          </w:p>
        </w:tc>
        <w:tc>
          <w:tcPr>
            <w:tcW w:w="534" w:type="pct"/>
            <w:tcBorders>
              <w:top w:val="nil"/>
              <w:left w:val="nil"/>
              <w:bottom w:val="nil"/>
              <w:right w:val="nil"/>
            </w:tcBorders>
            <w:shd w:val="clear" w:color="auto" w:fill="auto"/>
            <w:noWrap/>
            <w:vAlign w:val="bottom"/>
            <w:hideMark/>
          </w:tcPr>
          <w:p w14:paraId="32CDE80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(-0.93)</w:t>
            </w:r>
          </w:p>
        </w:tc>
        <w:tc>
          <w:tcPr>
            <w:tcW w:w="533" w:type="pct"/>
            <w:tcBorders>
              <w:top w:val="nil"/>
              <w:left w:val="nil"/>
              <w:bottom w:val="nil"/>
              <w:right w:val="nil"/>
            </w:tcBorders>
            <w:shd w:val="clear" w:color="auto" w:fill="auto"/>
            <w:noWrap/>
            <w:vAlign w:val="bottom"/>
            <w:hideMark/>
          </w:tcPr>
          <w:p w14:paraId="204B748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(0.80)</w:t>
            </w:r>
          </w:p>
        </w:tc>
        <w:tc>
          <w:tcPr>
            <w:tcW w:w="535" w:type="pct"/>
            <w:tcBorders>
              <w:top w:val="nil"/>
              <w:left w:val="nil"/>
              <w:bottom w:val="nil"/>
              <w:right w:val="nil"/>
            </w:tcBorders>
            <w:shd w:val="clear" w:color="auto" w:fill="auto"/>
            <w:noWrap/>
            <w:vAlign w:val="bottom"/>
            <w:hideMark/>
          </w:tcPr>
          <w:p w14:paraId="09C1BE3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(0.64)</w:t>
            </w:r>
          </w:p>
        </w:tc>
      </w:tr>
      <w:tr w:rsidR="003273BD" w:rsidRPr="00245E91" w14:paraId="738975A5" w14:textId="77777777" w:rsidTr="00245E91">
        <w:trPr>
          <w:trHeight w:val="144"/>
        </w:trPr>
        <w:tc>
          <w:tcPr>
            <w:tcW w:w="727" w:type="pct"/>
            <w:tcBorders>
              <w:top w:val="nil"/>
              <w:left w:val="nil"/>
              <w:bottom w:val="nil"/>
              <w:right w:val="nil"/>
            </w:tcBorders>
            <w:shd w:val="clear" w:color="auto" w:fill="auto"/>
            <w:noWrap/>
            <w:vAlign w:val="bottom"/>
          </w:tcPr>
          <w:p w14:paraId="15ACF14E"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LIQUIDITY</w:t>
            </w:r>
          </w:p>
        </w:tc>
        <w:tc>
          <w:tcPr>
            <w:tcW w:w="534" w:type="pct"/>
            <w:tcBorders>
              <w:top w:val="nil"/>
              <w:left w:val="nil"/>
              <w:bottom w:val="nil"/>
              <w:right w:val="nil"/>
            </w:tcBorders>
            <w:shd w:val="clear" w:color="auto" w:fill="auto"/>
            <w:noWrap/>
            <w:vAlign w:val="bottom"/>
          </w:tcPr>
          <w:p w14:paraId="26B20C1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0.013</w:t>
            </w:r>
          </w:p>
        </w:tc>
        <w:tc>
          <w:tcPr>
            <w:tcW w:w="534" w:type="pct"/>
            <w:tcBorders>
              <w:top w:val="nil"/>
              <w:left w:val="nil"/>
              <w:bottom w:val="nil"/>
              <w:right w:val="nil"/>
            </w:tcBorders>
            <w:shd w:val="clear" w:color="auto" w:fill="auto"/>
            <w:noWrap/>
            <w:vAlign w:val="bottom"/>
          </w:tcPr>
          <w:p w14:paraId="17867E2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0.024</w:t>
            </w:r>
          </w:p>
        </w:tc>
        <w:tc>
          <w:tcPr>
            <w:tcW w:w="534" w:type="pct"/>
            <w:tcBorders>
              <w:top w:val="nil"/>
              <w:left w:val="nil"/>
              <w:bottom w:val="nil"/>
              <w:right w:val="nil"/>
            </w:tcBorders>
            <w:shd w:val="clear" w:color="auto" w:fill="auto"/>
            <w:noWrap/>
            <w:vAlign w:val="bottom"/>
          </w:tcPr>
          <w:p w14:paraId="1DA2C06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-0.023</w:t>
            </w:r>
          </w:p>
        </w:tc>
        <w:tc>
          <w:tcPr>
            <w:tcW w:w="535" w:type="pct"/>
            <w:tcBorders>
              <w:top w:val="nil"/>
              <w:left w:val="nil"/>
              <w:bottom w:val="nil"/>
              <w:right w:val="single" w:sz="4" w:space="0" w:color="auto"/>
            </w:tcBorders>
            <w:shd w:val="clear" w:color="auto" w:fill="auto"/>
            <w:noWrap/>
            <w:vAlign w:val="bottom"/>
          </w:tcPr>
          <w:p w14:paraId="07BB797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-0.023</w:t>
            </w:r>
          </w:p>
        </w:tc>
        <w:tc>
          <w:tcPr>
            <w:tcW w:w="533" w:type="pct"/>
            <w:tcBorders>
              <w:top w:val="nil"/>
              <w:left w:val="single" w:sz="4" w:space="0" w:color="auto"/>
              <w:bottom w:val="nil"/>
              <w:right w:val="nil"/>
            </w:tcBorders>
            <w:shd w:val="clear" w:color="auto" w:fill="auto"/>
            <w:noWrap/>
            <w:vAlign w:val="bottom"/>
          </w:tcPr>
          <w:p w14:paraId="3E2FD2D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-0.058</w:t>
            </w:r>
          </w:p>
        </w:tc>
        <w:tc>
          <w:tcPr>
            <w:tcW w:w="534" w:type="pct"/>
            <w:tcBorders>
              <w:top w:val="nil"/>
              <w:left w:val="nil"/>
              <w:bottom w:val="nil"/>
              <w:right w:val="nil"/>
            </w:tcBorders>
            <w:shd w:val="clear" w:color="auto" w:fill="auto"/>
            <w:noWrap/>
            <w:vAlign w:val="bottom"/>
          </w:tcPr>
          <w:p w14:paraId="4BB7C78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-0.050</w:t>
            </w:r>
          </w:p>
        </w:tc>
        <w:tc>
          <w:tcPr>
            <w:tcW w:w="533" w:type="pct"/>
            <w:tcBorders>
              <w:top w:val="nil"/>
              <w:left w:val="nil"/>
              <w:bottom w:val="nil"/>
              <w:right w:val="nil"/>
            </w:tcBorders>
            <w:shd w:val="clear" w:color="auto" w:fill="auto"/>
            <w:noWrap/>
            <w:vAlign w:val="bottom"/>
          </w:tcPr>
          <w:p w14:paraId="646DC4C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0.028</w:t>
            </w:r>
          </w:p>
        </w:tc>
        <w:tc>
          <w:tcPr>
            <w:tcW w:w="535" w:type="pct"/>
            <w:tcBorders>
              <w:top w:val="nil"/>
              <w:left w:val="nil"/>
              <w:bottom w:val="nil"/>
              <w:right w:val="nil"/>
            </w:tcBorders>
            <w:shd w:val="clear" w:color="auto" w:fill="auto"/>
            <w:noWrap/>
            <w:vAlign w:val="bottom"/>
          </w:tcPr>
          <w:p w14:paraId="6222FE7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0.030</w:t>
            </w:r>
          </w:p>
        </w:tc>
      </w:tr>
      <w:tr w:rsidR="003273BD" w:rsidRPr="00245E91" w14:paraId="4F60662B" w14:textId="77777777" w:rsidTr="00245E91">
        <w:trPr>
          <w:trHeight w:val="144"/>
        </w:trPr>
        <w:tc>
          <w:tcPr>
            <w:tcW w:w="727" w:type="pct"/>
            <w:tcBorders>
              <w:top w:val="nil"/>
              <w:left w:val="nil"/>
              <w:bottom w:val="nil"/>
              <w:right w:val="nil"/>
            </w:tcBorders>
            <w:shd w:val="clear" w:color="auto" w:fill="auto"/>
            <w:noWrap/>
            <w:vAlign w:val="bottom"/>
          </w:tcPr>
          <w:p w14:paraId="7B732749"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tcPr>
          <w:p w14:paraId="0BB70E8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(0.47)</w:t>
            </w:r>
          </w:p>
        </w:tc>
        <w:tc>
          <w:tcPr>
            <w:tcW w:w="534" w:type="pct"/>
            <w:tcBorders>
              <w:top w:val="nil"/>
              <w:left w:val="nil"/>
              <w:bottom w:val="nil"/>
              <w:right w:val="nil"/>
            </w:tcBorders>
            <w:shd w:val="clear" w:color="auto" w:fill="auto"/>
            <w:noWrap/>
            <w:vAlign w:val="bottom"/>
          </w:tcPr>
          <w:p w14:paraId="08B570B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(0.86)</w:t>
            </w:r>
          </w:p>
        </w:tc>
        <w:tc>
          <w:tcPr>
            <w:tcW w:w="534" w:type="pct"/>
            <w:tcBorders>
              <w:top w:val="nil"/>
              <w:left w:val="nil"/>
              <w:bottom w:val="nil"/>
              <w:right w:val="nil"/>
            </w:tcBorders>
            <w:shd w:val="clear" w:color="auto" w:fill="auto"/>
            <w:noWrap/>
            <w:vAlign w:val="bottom"/>
          </w:tcPr>
          <w:p w14:paraId="33B1F93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(-0.79)</w:t>
            </w:r>
          </w:p>
        </w:tc>
        <w:tc>
          <w:tcPr>
            <w:tcW w:w="535" w:type="pct"/>
            <w:tcBorders>
              <w:top w:val="nil"/>
              <w:left w:val="nil"/>
              <w:bottom w:val="nil"/>
              <w:right w:val="single" w:sz="4" w:space="0" w:color="auto"/>
            </w:tcBorders>
            <w:shd w:val="clear" w:color="auto" w:fill="auto"/>
            <w:noWrap/>
            <w:vAlign w:val="bottom"/>
          </w:tcPr>
          <w:p w14:paraId="4DB3946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(-0.78)</w:t>
            </w:r>
          </w:p>
        </w:tc>
        <w:tc>
          <w:tcPr>
            <w:tcW w:w="533" w:type="pct"/>
            <w:tcBorders>
              <w:top w:val="nil"/>
              <w:left w:val="single" w:sz="4" w:space="0" w:color="auto"/>
              <w:bottom w:val="nil"/>
              <w:right w:val="nil"/>
            </w:tcBorders>
            <w:shd w:val="clear" w:color="auto" w:fill="auto"/>
            <w:noWrap/>
            <w:vAlign w:val="bottom"/>
          </w:tcPr>
          <w:p w14:paraId="7D519EF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(-2.0**)</w:t>
            </w:r>
          </w:p>
        </w:tc>
        <w:tc>
          <w:tcPr>
            <w:tcW w:w="534" w:type="pct"/>
            <w:tcBorders>
              <w:top w:val="nil"/>
              <w:left w:val="nil"/>
              <w:bottom w:val="nil"/>
              <w:right w:val="nil"/>
            </w:tcBorders>
            <w:shd w:val="clear" w:color="auto" w:fill="auto"/>
            <w:noWrap/>
            <w:vAlign w:val="bottom"/>
          </w:tcPr>
          <w:p w14:paraId="3F4D531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(-1.80*)</w:t>
            </w:r>
          </w:p>
        </w:tc>
        <w:tc>
          <w:tcPr>
            <w:tcW w:w="533" w:type="pct"/>
            <w:tcBorders>
              <w:top w:val="nil"/>
              <w:left w:val="nil"/>
              <w:bottom w:val="nil"/>
              <w:right w:val="nil"/>
            </w:tcBorders>
            <w:shd w:val="clear" w:color="auto" w:fill="auto"/>
            <w:noWrap/>
            <w:vAlign w:val="bottom"/>
          </w:tcPr>
          <w:p w14:paraId="147A351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(0.89)</w:t>
            </w:r>
          </w:p>
        </w:tc>
        <w:tc>
          <w:tcPr>
            <w:tcW w:w="535" w:type="pct"/>
            <w:tcBorders>
              <w:top w:val="nil"/>
              <w:left w:val="nil"/>
              <w:bottom w:val="nil"/>
              <w:right w:val="nil"/>
            </w:tcBorders>
            <w:shd w:val="clear" w:color="auto" w:fill="auto"/>
            <w:noWrap/>
            <w:vAlign w:val="bottom"/>
          </w:tcPr>
          <w:p w14:paraId="2F54482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(0.94)</w:t>
            </w:r>
          </w:p>
        </w:tc>
      </w:tr>
      <w:tr w:rsidR="003273BD" w:rsidRPr="00245E91" w14:paraId="00B16872" w14:textId="77777777" w:rsidTr="00245E91">
        <w:trPr>
          <w:trHeight w:val="144"/>
        </w:trPr>
        <w:tc>
          <w:tcPr>
            <w:tcW w:w="727" w:type="pct"/>
            <w:tcBorders>
              <w:top w:val="nil"/>
              <w:left w:val="nil"/>
              <w:bottom w:val="nil"/>
              <w:right w:val="nil"/>
            </w:tcBorders>
            <w:shd w:val="clear" w:color="auto" w:fill="auto"/>
            <w:noWrap/>
            <w:vAlign w:val="bottom"/>
          </w:tcPr>
          <w:p w14:paraId="403C5856"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STOCKISSUE</w:t>
            </w:r>
          </w:p>
        </w:tc>
        <w:tc>
          <w:tcPr>
            <w:tcW w:w="534" w:type="pct"/>
            <w:tcBorders>
              <w:top w:val="nil"/>
              <w:left w:val="nil"/>
              <w:bottom w:val="nil"/>
              <w:right w:val="nil"/>
            </w:tcBorders>
            <w:shd w:val="clear" w:color="auto" w:fill="auto"/>
            <w:noWrap/>
            <w:vAlign w:val="bottom"/>
          </w:tcPr>
          <w:p w14:paraId="6615B77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-0.034</w:t>
            </w:r>
          </w:p>
        </w:tc>
        <w:tc>
          <w:tcPr>
            <w:tcW w:w="534" w:type="pct"/>
            <w:tcBorders>
              <w:top w:val="nil"/>
              <w:left w:val="nil"/>
              <w:bottom w:val="nil"/>
              <w:right w:val="nil"/>
            </w:tcBorders>
            <w:shd w:val="clear" w:color="auto" w:fill="auto"/>
            <w:noWrap/>
            <w:vAlign w:val="bottom"/>
          </w:tcPr>
          <w:p w14:paraId="6A2CB42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-0.035</w:t>
            </w:r>
          </w:p>
        </w:tc>
        <w:tc>
          <w:tcPr>
            <w:tcW w:w="534" w:type="pct"/>
            <w:tcBorders>
              <w:top w:val="nil"/>
              <w:left w:val="nil"/>
              <w:bottom w:val="nil"/>
              <w:right w:val="nil"/>
            </w:tcBorders>
            <w:shd w:val="clear" w:color="auto" w:fill="auto"/>
            <w:noWrap/>
            <w:vAlign w:val="bottom"/>
          </w:tcPr>
          <w:p w14:paraId="500877D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0.030</w:t>
            </w:r>
          </w:p>
        </w:tc>
        <w:tc>
          <w:tcPr>
            <w:tcW w:w="535" w:type="pct"/>
            <w:tcBorders>
              <w:top w:val="nil"/>
              <w:left w:val="nil"/>
              <w:bottom w:val="nil"/>
              <w:right w:val="single" w:sz="4" w:space="0" w:color="auto"/>
            </w:tcBorders>
            <w:shd w:val="clear" w:color="auto" w:fill="auto"/>
            <w:noWrap/>
            <w:vAlign w:val="bottom"/>
          </w:tcPr>
          <w:p w14:paraId="6FEB337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0.031</w:t>
            </w:r>
          </w:p>
        </w:tc>
        <w:tc>
          <w:tcPr>
            <w:tcW w:w="533" w:type="pct"/>
            <w:tcBorders>
              <w:top w:val="nil"/>
              <w:left w:val="single" w:sz="4" w:space="0" w:color="auto"/>
              <w:bottom w:val="nil"/>
              <w:right w:val="nil"/>
            </w:tcBorders>
            <w:shd w:val="clear" w:color="auto" w:fill="auto"/>
            <w:noWrap/>
            <w:vAlign w:val="bottom"/>
          </w:tcPr>
          <w:p w14:paraId="2D2383A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-0.043</w:t>
            </w:r>
          </w:p>
        </w:tc>
        <w:tc>
          <w:tcPr>
            <w:tcW w:w="534" w:type="pct"/>
            <w:tcBorders>
              <w:top w:val="nil"/>
              <w:left w:val="nil"/>
              <w:bottom w:val="nil"/>
              <w:right w:val="nil"/>
            </w:tcBorders>
            <w:shd w:val="clear" w:color="auto" w:fill="auto"/>
            <w:noWrap/>
            <w:vAlign w:val="bottom"/>
          </w:tcPr>
          <w:p w14:paraId="467E628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-0.012</w:t>
            </w:r>
          </w:p>
        </w:tc>
        <w:tc>
          <w:tcPr>
            <w:tcW w:w="533" w:type="pct"/>
            <w:tcBorders>
              <w:top w:val="nil"/>
              <w:left w:val="nil"/>
              <w:bottom w:val="nil"/>
              <w:right w:val="nil"/>
            </w:tcBorders>
            <w:shd w:val="clear" w:color="auto" w:fill="auto"/>
            <w:noWrap/>
            <w:vAlign w:val="bottom"/>
          </w:tcPr>
          <w:p w14:paraId="7996AC1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0.032</w:t>
            </w:r>
          </w:p>
        </w:tc>
        <w:tc>
          <w:tcPr>
            <w:tcW w:w="535" w:type="pct"/>
            <w:tcBorders>
              <w:top w:val="nil"/>
              <w:left w:val="nil"/>
              <w:bottom w:val="nil"/>
              <w:right w:val="nil"/>
            </w:tcBorders>
            <w:shd w:val="clear" w:color="auto" w:fill="auto"/>
            <w:noWrap/>
            <w:vAlign w:val="bottom"/>
          </w:tcPr>
          <w:p w14:paraId="24558A8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0.032</w:t>
            </w:r>
          </w:p>
        </w:tc>
      </w:tr>
      <w:tr w:rsidR="003273BD" w:rsidRPr="00245E91" w14:paraId="0096BA5C" w14:textId="77777777" w:rsidTr="00245E91">
        <w:trPr>
          <w:trHeight w:val="144"/>
        </w:trPr>
        <w:tc>
          <w:tcPr>
            <w:tcW w:w="727" w:type="pct"/>
            <w:tcBorders>
              <w:top w:val="nil"/>
              <w:left w:val="nil"/>
              <w:bottom w:val="nil"/>
              <w:right w:val="nil"/>
            </w:tcBorders>
            <w:shd w:val="clear" w:color="auto" w:fill="auto"/>
            <w:noWrap/>
            <w:vAlign w:val="bottom"/>
          </w:tcPr>
          <w:p w14:paraId="31007E62"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tcPr>
          <w:p w14:paraId="7AFD4C7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(-1.21)</w:t>
            </w:r>
          </w:p>
        </w:tc>
        <w:tc>
          <w:tcPr>
            <w:tcW w:w="534" w:type="pct"/>
            <w:tcBorders>
              <w:top w:val="nil"/>
              <w:left w:val="nil"/>
              <w:bottom w:val="nil"/>
              <w:right w:val="nil"/>
            </w:tcBorders>
            <w:shd w:val="clear" w:color="auto" w:fill="auto"/>
            <w:noWrap/>
            <w:vAlign w:val="bottom"/>
          </w:tcPr>
          <w:p w14:paraId="626A846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(-1.49)</w:t>
            </w:r>
          </w:p>
        </w:tc>
        <w:tc>
          <w:tcPr>
            <w:tcW w:w="534" w:type="pct"/>
            <w:tcBorders>
              <w:top w:val="nil"/>
              <w:left w:val="nil"/>
              <w:bottom w:val="nil"/>
              <w:right w:val="nil"/>
            </w:tcBorders>
            <w:shd w:val="clear" w:color="auto" w:fill="auto"/>
            <w:noWrap/>
            <w:vAlign w:val="bottom"/>
          </w:tcPr>
          <w:p w14:paraId="2B660A2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(1.59)</w:t>
            </w:r>
          </w:p>
        </w:tc>
        <w:tc>
          <w:tcPr>
            <w:tcW w:w="535" w:type="pct"/>
            <w:tcBorders>
              <w:top w:val="nil"/>
              <w:left w:val="nil"/>
              <w:bottom w:val="nil"/>
              <w:right w:val="single" w:sz="4" w:space="0" w:color="auto"/>
            </w:tcBorders>
            <w:shd w:val="clear" w:color="auto" w:fill="auto"/>
            <w:noWrap/>
            <w:vAlign w:val="bottom"/>
          </w:tcPr>
          <w:p w14:paraId="04A076D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(1.61)</w:t>
            </w:r>
          </w:p>
        </w:tc>
        <w:tc>
          <w:tcPr>
            <w:tcW w:w="533" w:type="pct"/>
            <w:tcBorders>
              <w:top w:val="nil"/>
              <w:left w:val="single" w:sz="4" w:space="0" w:color="auto"/>
              <w:bottom w:val="nil"/>
              <w:right w:val="nil"/>
            </w:tcBorders>
            <w:shd w:val="clear" w:color="auto" w:fill="auto"/>
            <w:noWrap/>
            <w:vAlign w:val="bottom"/>
          </w:tcPr>
          <w:p w14:paraId="1AFC464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(-1.03)</w:t>
            </w:r>
          </w:p>
        </w:tc>
        <w:tc>
          <w:tcPr>
            <w:tcW w:w="534" w:type="pct"/>
            <w:tcBorders>
              <w:top w:val="nil"/>
              <w:left w:val="nil"/>
              <w:bottom w:val="nil"/>
              <w:right w:val="nil"/>
            </w:tcBorders>
            <w:shd w:val="clear" w:color="auto" w:fill="auto"/>
            <w:noWrap/>
            <w:vAlign w:val="bottom"/>
          </w:tcPr>
          <w:p w14:paraId="5B20539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(-0.34)</w:t>
            </w:r>
          </w:p>
        </w:tc>
        <w:tc>
          <w:tcPr>
            <w:tcW w:w="533" w:type="pct"/>
            <w:tcBorders>
              <w:top w:val="nil"/>
              <w:left w:val="nil"/>
              <w:bottom w:val="nil"/>
              <w:right w:val="nil"/>
            </w:tcBorders>
            <w:shd w:val="clear" w:color="auto" w:fill="auto"/>
            <w:noWrap/>
            <w:vAlign w:val="bottom"/>
          </w:tcPr>
          <w:p w14:paraId="02341DE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(1.39)</w:t>
            </w:r>
          </w:p>
        </w:tc>
        <w:tc>
          <w:tcPr>
            <w:tcW w:w="535" w:type="pct"/>
            <w:tcBorders>
              <w:top w:val="nil"/>
              <w:left w:val="nil"/>
              <w:bottom w:val="nil"/>
              <w:right w:val="nil"/>
            </w:tcBorders>
            <w:shd w:val="clear" w:color="auto" w:fill="auto"/>
            <w:noWrap/>
            <w:vAlign w:val="bottom"/>
          </w:tcPr>
          <w:p w14:paraId="246CE4E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(1.35)</w:t>
            </w:r>
          </w:p>
        </w:tc>
      </w:tr>
      <w:tr w:rsidR="003273BD" w:rsidRPr="00245E91" w14:paraId="71757632" w14:textId="77777777" w:rsidTr="00245E91">
        <w:trPr>
          <w:trHeight w:val="144"/>
        </w:trPr>
        <w:tc>
          <w:tcPr>
            <w:tcW w:w="727" w:type="pct"/>
            <w:tcBorders>
              <w:top w:val="nil"/>
              <w:left w:val="nil"/>
              <w:bottom w:val="nil"/>
              <w:right w:val="nil"/>
            </w:tcBorders>
            <w:shd w:val="clear" w:color="auto" w:fill="auto"/>
            <w:noWrap/>
            <w:vAlign w:val="bottom"/>
          </w:tcPr>
          <w:p w14:paraId="3177FB45"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DEBTISSUE</w:t>
            </w:r>
          </w:p>
        </w:tc>
        <w:tc>
          <w:tcPr>
            <w:tcW w:w="534" w:type="pct"/>
            <w:tcBorders>
              <w:top w:val="nil"/>
              <w:left w:val="nil"/>
              <w:bottom w:val="nil"/>
              <w:right w:val="nil"/>
            </w:tcBorders>
            <w:shd w:val="clear" w:color="auto" w:fill="auto"/>
            <w:noWrap/>
            <w:vAlign w:val="bottom"/>
          </w:tcPr>
          <w:p w14:paraId="62EF411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-0.023</w:t>
            </w:r>
          </w:p>
        </w:tc>
        <w:tc>
          <w:tcPr>
            <w:tcW w:w="534" w:type="pct"/>
            <w:tcBorders>
              <w:top w:val="nil"/>
              <w:left w:val="nil"/>
              <w:bottom w:val="nil"/>
              <w:right w:val="nil"/>
            </w:tcBorders>
            <w:shd w:val="clear" w:color="auto" w:fill="auto"/>
            <w:noWrap/>
            <w:vAlign w:val="bottom"/>
          </w:tcPr>
          <w:p w14:paraId="0FA1B99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-0.021</w:t>
            </w:r>
          </w:p>
        </w:tc>
        <w:tc>
          <w:tcPr>
            <w:tcW w:w="534" w:type="pct"/>
            <w:tcBorders>
              <w:top w:val="nil"/>
              <w:left w:val="nil"/>
              <w:bottom w:val="nil"/>
              <w:right w:val="nil"/>
            </w:tcBorders>
            <w:shd w:val="clear" w:color="auto" w:fill="auto"/>
            <w:noWrap/>
            <w:vAlign w:val="bottom"/>
          </w:tcPr>
          <w:p w14:paraId="4A5A5D2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0.009</w:t>
            </w:r>
          </w:p>
        </w:tc>
        <w:tc>
          <w:tcPr>
            <w:tcW w:w="535" w:type="pct"/>
            <w:tcBorders>
              <w:top w:val="nil"/>
              <w:left w:val="nil"/>
              <w:bottom w:val="nil"/>
              <w:right w:val="single" w:sz="4" w:space="0" w:color="auto"/>
            </w:tcBorders>
            <w:shd w:val="clear" w:color="auto" w:fill="auto"/>
            <w:noWrap/>
            <w:vAlign w:val="bottom"/>
          </w:tcPr>
          <w:p w14:paraId="07B485F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0.008</w:t>
            </w:r>
          </w:p>
        </w:tc>
        <w:tc>
          <w:tcPr>
            <w:tcW w:w="533" w:type="pct"/>
            <w:tcBorders>
              <w:top w:val="nil"/>
              <w:left w:val="single" w:sz="4" w:space="0" w:color="auto"/>
              <w:bottom w:val="nil"/>
              <w:right w:val="nil"/>
            </w:tcBorders>
            <w:shd w:val="clear" w:color="auto" w:fill="auto"/>
            <w:noWrap/>
            <w:vAlign w:val="bottom"/>
          </w:tcPr>
          <w:p w14:paraId="33837A8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-0.014</w:t>
            </w:r>
          </w:p>
        </w:tc>
        <w:tc>
          <w:tcPr>
            <w:tcW w:w="534" w:type="pct"/>
            <w:tcBorders>
              <w:top w:val="nil"/>
              <w:left w:val="nil"/>
              <w:bottom w:val="nil"/>
              <w:right w:val="nil"/>
            </w:tcBorders>
            <w:shd w:val="clear" w:color="auto" w:fill="auto"/>
            <w:noWrap/>
            <w:vAlign w:val="bottom"/>
          </w:tcPr>
          <w:p w14:paraId="55FFFF7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-0.041</w:t>
            </w:r>
          </w:p>
        </w:tc>
        <w:tc>
          <w:tcPr>
            <w:tcW w:w="533" w:type="pct"/>
            <w:tcBorders>
              <w:top w:val="nil"/>
              <w:left w:val="nil"/>
              <w:bottom w:val="nil"/>
              <w:right w:val="nil"/>
            </w:tcBorders>
            <w:shd w:val="clear" w:color="auto" w:fill="auto"/>
            <w:noWrap/>
            <w:vAlign w:val="bottom"/>
          </w:tcPr>
          <w:p w14:paraId="58F8F03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-0.050</w:t>
            </w:r>
          </w:p>
        </w:tc>
        <w:tc>
          <w:tcPr>
            <w:tcW w:w="535" w:type="pct"/>
            <w:tcBorders>
              <w:top w:val="nil"/>
              <w:left w:val="nil"/>
              <w:bottom w:val="nil"/>
              <w:right w:val="nil"/>
            </w:tcBorders>
            <w:shd w:val="clear" w:color="auto" w:fill="auto"/>
            <w:noWrap/>
            <w:vAlign w:val="bottom"/>
          </w:tcPr>
          <w:p w14:paraId="61255D3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-0.047</w:t>
            </w:r>
          </w:p>
        </w:tc>
      </w:tr>
      <w:tr w:rsidR="003273BD" w:rsidRPr="00245E91" w14:paraId="660C174D" w14:textId="77777777" w:rsidTr="00245E91">
        <w:trPr>
          <w:trHeight w:val="144"/>
        </w:trPr>
        <w:tc>
          <w:tcPr>
            <w:tcW w:w="727" w:type="pct"/>
            <w:tcBorders>
              <w:top w:val="nil"/>
              <w:left w:val="nil"/>
              <w:bottom w:val="nil"/>
              <w:right w:val="nil"/>
            </w:tcBorders>
            <w:shd w:val="clear" w:color="auto" w:fill="auto"/>
            <w:noWrap/>
            <w:vAlign w:val="bottom"/>
          </w:tcPr>
          <w:p w14:paraId="424441FE"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tcPr>
          <w:p w14:paraId="4FA4816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(-0.67)</w:t>
            </w:r>
          </w:p>
        </w:tc>
        <w:tc>
          <w:tcPr>
            <w:tcW w:w="534" w:type="pct"/>
            <w:tcBorders>
              <w:top w:val="nil"/>
              <w:left w:val="nil"/>
              <w:bottom w:val="nil"/>
              <w:right w:val="nil"/>
            </w:tcBorders>
            <w:shd w:val="clear" w:color="auto" w:fill="auto"/>
            <w:noWrap/>
            <w:vAlign w:val="bottom"/>
          </w:tcPr>
          <w:p w14:paraId="7505BF0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(-0.62)</w:t>
            </w:r>
          </w:p>
        </w:tc>
        <w:tc>
          <w:tcPr>
            <w:tcW w:w="534" w:type="pct"/>
            <w:tcBorders>
              <w:top w:val="nil"/>
              <w:left w:val="nil"/>
              <w:bottom w:val="nil"/>
              <w:right w:val="nil"/>
            </w:tcBorders>
            <w:shd w:val="clear" w:color="auto" w:fill="auto"/>
            <w:noWrap/>
            <w:vAlign w:val="bottom"/>
          </w:tcPr>
          <w:p w14:paraId="787E9BF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(0.43)</w:t>
            </w:r>
          </w:p>
        </w:tc>
        <w:tc>
          <w:tcPr>
            <w:tcW w:w="535" w:type="pct"/>
            <w:tcBorders>
              <w:top w:val="nil"/>
              <w:left w:val="nil"/>
              <w:bottom w:val="nil"/>
              <w:right w:val="single" w:sz="4" w:space="0" w:color="auto"/>
            </w:tcBorders>
            <w:shd w:val="clear" w:color="auto" w:fill="auto"/>
            <w:noWrap/>
            <w:vAlign w:val="bottom"/>
          </w:tcPr>
          <w:p w14:paraId="2C31B7D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(0.36)</w:t>
            </w:r>
          </w:p>
        </w:tc>
        <w:tc>
          <w:tcPr>
            <w:tcW w:w="533" w:type="pct"/>
            <w:tcBorders>
              <w:top w:val="nil"/>
              <w:left w:val="single" w:sz="4" w:space="0" w:color="auto"/>
              <w:bottom w:val="nil"/>
              <w:right w:val="nil"/>
            </w:tcBorders>
            <w:shd w:val="clear" w:color="auto" w:fill="auto"/>
            <w:noWrap/>
            <w:vAlign w:val="bottom"/>
          </w:tcPr>
          <w:p w14:paraId="0A66384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(-0.42)</w:t>
            </w:r>
          </w:p>
        </w:tc>
        <w:tc>
          <w:tcPr>
            <w:tcW w:w="534" w:type="pct"/>
            <w:tcBorders>
              <w:top w:val="nil"/>
              <w:left w:val="nil"/>
              <w:bottom w:val="nil"/>
              <w:right w:val="nil"/>
            </w:tcBorders>
            <w:shd w:val="clear" w:color="auto" w:fill="auto"/>
            <w:noWrap/>
            <w:vAlign w:val="bottom"/>
          </w:tcPr>
          <w:p w14:paraId="0E89C3B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(-1.30)</w:t>
            </w:r>
          </w:p>
        </w:tc>
        <w:tc>
          <w:tcPr>
            <w:tcW w:w="533" w:type="pct"/>
            <w:tcBorders>
              <w:top w:val="nil"/>
              <w:left w:val="nil"/>
              <w:bottom w:val="nil"/>
              <w:right w:val="nil"/>
            </w:tcBorders>
            <w:shd w:val="clear" w:color="auto" w:fill="auto"/>
            <w:noWrap/>
            <w:vAlign w:val="bottom"/>
          </w:tcPr>
          <w:p w14:paraId="5626786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(-1.67*)</w:t>
            </w:r>
          </w:p>
        </w:tc>
        <w:tc>
          <w:tcPr>
            <w:tcW w:w="535" w:type="pct"/>
            <w:tcBorders>
              <w:top w:val="nil"/>
              <w:left w:val="nil"/>
              <w:bottom w:val="nil"/>
              <w:right w:val="nil"/>
            </w:tcBorders>
            <w:shd w:val="clear" w:color="auto" w:fill="auto"/>
            <w:noWrap/>
            <w:vAlign w:val="bottom"/>
          </w:tcPr>
          <w:p w14:paraId="1CE7073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(-1.57)</w:t>
            </w:r>
          </w:p>
        </w:tc>
      </w:tr>
      <w:tr w:rsidR="003273BD" w:rsidRPr="00245E91" w14:paraId="2CA5B475" w14:textId="77777777" w:rsidTr="00245E91">
        <w:trPr>
          <w:trHeight w:val="144"/>
        </w:trPr>
        <w:tc>
          <w:tcPr>
            <w:tcW w:w="727" w:type="pct"/>
            <w:tcBorders>
              <w:top w:val="nil"/>
              <w:left w:val="nil"/>
              <w:bottom w:val="nil"/>
              <w:right w:val="nil"/>
            </w:tcBorders>
            <w:shd w:val="clear" w:color="auto" w:fill="auto"/>
            <w:noWrap/>
            <w:vAlign w:val="bottom"/>
            <w:hideMark/>
          </w:tcPr>
          <w:p w14:paraId="78E6D4C3"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BIG8</w:t>
            </w:r>
          </w:p>
        </w:tc>
        <w:tc>
          <w:tcPr>
            <w:tcW w:w="534" w:type="pct"/>
            <w:tcBorders>
              <w:top w:val="nil"/>
              <w:left w:val="nil"/>
              <w:bottom w:val="nil"/>
              <w:right w:val="nil"/>
            </w:tcBorders>
            <w:shd w:val="clear" w:color="auto" w:fill="auto"/>
            <w:noWrap/>
            <w:vAlign w:val="bottom"/>
            <w:hideMark/>
          </w:tcPr>
          <w:p w14:paraId="4A7D3D5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0.019</w:t>
            </w:r>
          </w:p>
        </w:tc>
        <w:tc>
          <w:tcPr>
            <w:tcW w:w="534" w:type="pct"/>
            <w:tcBorders>
              <w:top w:val="nil"/>
              <w:left w:val="nil"/>
              <w:bottom w:val="nil"/>
              <w:right w:val="nil"/>
            </w:tcBorders>
            <w:shd w:val="clear" w:color="auto" w:fill="auto"/>
            <w:noWrap/>
            <w:vAlign w:val="bottom"/>
            <w:hideMark/>
          </w:tcPr>
          <w:p w14:paraId="41A7203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-0.005</w:t>
            </w:r>
          </w:p>
        </w:tc>
        <w:tc>
          <w:tcPr>
            <w:tcW w:w="534" w:type="pct"/>
            <w:tcBorders>
              <w:top w:val="nil"/>
              <w:left w:val="nil"/>
              <w:bottom w:val="nil"/>
              <w:right w:val="nil"/>
            </w:tcBorders>
            <w:shd w:val="clear" w:color="auto" w:fill="auto"/>
            <w:noWrap/>
            <w:vAlign w:val="bottom"/>
            <w:hideMark/>
          </w:tcPr>
          <w:p w14:paraId="438C20F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-0.015</w:t>
            </w:r>
          </w:p>
        </w:tc>
        <w:tc>
          <w:tcPr>
            <w:tcW w:w="535" w:type="pct"/>
            <w:tcBorders>
              <w:top w:val="nil"/>
              <w:left w:val="nil"/>
              <w:bottom w:val="nil"/>
              <w:right w:val="single" w:sz="4" w:space="0" w:color="auto"/>
            </w:tcBorders>
            <w:shd w:val="clear" w:color="auto" w:fill="auto"/>
            <w:noWrap/>
            <w:vAlign w:val="bottom"/>
            <w:hideMark/>
          </w:tcPr>
          <w:p w14:paraId="71D8AF8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-0.013</w:t>
            </w:r>
          </w:p>
        </w:tc>
        <w:tc>
          <w:tcPr>
            <w:tcW w:w="533" w:type="pct"/>
            <w:tcBorders>
              <w:top w:val="nil"/>
              <w:left w:val="single" w:sz="4" w:space="0" w:color="auto"/>
              <w:bottom w:val="nil"/>
              <w:right w:val="nil"/>
            </w:tcBorders>
            <w:shd w:val="clear" w:color="auto" w:fill="auto"/>
            <w:noWrap/>
            <w:vAlign w:val="bottom"/>
            <w:hideMark/>
          </w:tcPr>
          <w:p w14:paraId="20D23F5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0.003</w:t>
            </w:r>
          </w:p>
        </w:tc>
        <w:tc>
          <w:tcPr>
            <w:tcW w:w="534" w:type="pct"/>
            <w:tcBorders>
              <w:top w:val="nil"/>
              <w:left w:val="nil"/>
              <w:bottom w:val="nil"/>
              <w:right w:val="nil"/>
            </w:tcBorders>
            <w:shd w:val="clear" w:color="auto" w:fill="auto"/>
            <w:noWrap/>
            <w:vAlign w:val="bottom"/>
            <w:hideMark/>
          </w:tcPr>
          <w:p w14:paraId="3CD56F2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0.011</w:t>
            </w:r>
          </w:p>
        </w:tc>
        <w:tc>
          <w:tcPr>
            <w:tcW w:w="533" w:type="pct"/>
            <w:tcBorders>
              <w:top w:val="nil"/>
              <w:left w:val="nil"/>
              <w:bottom w:val="nil"/>
              <w:right w:val="nil"/>
            </w:tcBorders>
            <w:shd w:val="clear" w:color="auto" w:fill="auto"/>
            <w:noWrap/>
            <w:vAlign w:val="bottom"/>
            <w:hideMark/>
          </w:tcPr>
          <w:p w14:paraId="631731D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-0.075</w:t>
            </w:r>
          </w:p>
        </w:tc>
        <w:tc>
          <w:tcPr>
            <w:tcW w:w="535" w:type="pct"/>
            <w:tcBorders>
              <w:top w:val="nil"/>
              <w:left w:val="nil"/>
              <w:bottom w:val="nil"/>
              <w:right w:val="nil"/>
            </w:tcBorders>
            <w:shd w:val="clear" w:color="auto" w:fill="auto"/>
            <w:noWrap/>
            <w:vAlign w:val="bottom"/>
            <w:hideMark/>
          </w:tcPr>
          <w:p w14:paraId="0BE0082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-0.077</w:t>
            </w:r>
          </w:p>
        </w:tc>
      </w:tr>
      <w:tr w:rsidR="003273BD" w:rsidRPr="00245E91" w14:paraId="4F25BA6F" w14:textId="77777777" w:rsidTr="00245E91">
        <w:trPr>
          <w:trHeight w:val="144"/>
        </w:trPr>
        <w:tc>
          <w:tcPr>
            <w:tcW w:w="727" w:type="pct"/>
            <w:tcBorders>
              <w:top w:val="nil"/>
              <w:left w:val="nil"/>
              <w:bottom w:val="nil"/>
              <w:right w:val="nil"/>
            </w:tcBorders>
            <w:shd w:val="clear" w:color="auto" w:fill="auto"/>
            <w:noWrap/>
            <w:vAlign w:val="bottom"/>
            <w:hideMark/>
          </w:tcPr>
          <w:p w14:paraId="6C08C2BE"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2723F5D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(0.48)</w:t>
            </w:r>
          </w:p>
        </w:tc>
        <w:tc>
          <w:tcPr>
            <w:tcW w:w="534" w:type="pct"/>
            <w:tcBorders>
              <w:top w:val="nil"/>
              <w:left w:val="nil"/>
              <w:bottom w:val="nil"/>
              <w:right w:val="nil"/>
            </w:tcBorders>
            <w:shd w:val="clear" w:color="auto" w:fill="auto"/>
            <w:noWrap/>
            <w:vAlign w:val="bottom"/>
            <w:hideMark/>
          </w:tcPr>
          <w:p w14:paraId="299B655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(-0.13)</w:t>
            </w:r>
          </w:p>
        </w:tc>
        <w:tc>
          <w:tcPr>
            <w:tcW w:w="534" w:type="pct"/>
            <w:tcBorders>
              <w:top w:val="nil"/>
              <w:left w:val="nil"/>
              <w:bottom w:val="nil"/>
              <w:right w:val="nil"/>
            </w:tcBorders>
            <w:shd w:val="clear" w:color="auto" w:fill="auto"/>
            <w:noWrap/>
            <w:vAlign w:val="bottom"/>
            <w:hideMark/>
          </w:tcPr>
          <w:p w14:paraId="498C915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(-0.63)</w:t>
            </w:r>
          </w:p>
        </w:tc>
        <w:tc>
          <w:tcPr>
            <w:tcW w:w="535" w:type="pct"/>
            <w:tcBorders>
              <w:top w:val="nil"/>
              <w:left w:val="nil"/>
              <w:bottom w:val="nil"/>
              <w:right w:val="single" w:sz="4" w:space="0" w:color="auto"/>
            </w:tcBorders>
            <w:shd w:val="clear" w:color="auto" w:fill="auto"/>
            <w:noWrap/>
            <w:vAlign w:val="bottom"/>
            <w:hideMark/>
          </w:tcPr>
          <w:p w14:paraId="30B0169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(-0.54)</w:t>
            </w:r>
          </w:p>
        </w:tc>
        <w:tc>
          <w:tcPr>
            <w:tcW w:w="533" w:type="pct"/>
            <w:tcBorders>
              <w:top w:val="nil"/>
              <w:left w:val="single" w:sz="4" w:space="0" w:color="auto"/>
              <w:bottom w:val="nil"/>
              <w:right w:val="nil"/>
            </w:tcBorders>
            <w:shd w:val="clear" w:color="auto" w:fill="auto"/>
            <w:noWrap/>
            <w:vAlign w:val="bottom"/>
            <w:hideMark/>
          </w:tcPr>
          <w:p w14:paraId="6E60495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w:t>
            </w:r>
          </w:p>
        </w:tc>
        <w:tc>
          <w:tcPr>
            <w:tcW w:w="534" w:type="pct"/>
            <w:tcBorders>
              <w:top w:val="nil"/>
              <w:left w:val="nil"/>
              <w:bottom w:val="nil"/>
              <w:right w:val="nil"/>
            </w:tcBorders>
            <w:shd w:val="clear" w:color="auto" w:fill="auto"/>
            <w:noWrap/>
            <w:vAlign w:val="bottom"/>
            <w:hideMark/>
          </w:tcPr>
          <w:p w14:paraId="7EEB8E2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(0.31)</w:t>
            </w:r>
          </w:p>
        </w:tc>
        <w:tc>
          <w:tcPr>
            <w:tcW w:w="533" w:type="pct"/>
            <w:tcBorders>
              <w:top w:val="nil"/>
              <w:left w:val="nil"/>
              <w:bottom w:val="nil"/>
              <w:right w:val="nil"/>
            </w:tcBorders>
            <w:shd w:val="clear" w:color="auto" w:fill="auto"/>
            <w:noWrap/>
            <w:vAlign w:val="bottom"/>
            <w:hideMark/>
          </w:tcPr>
          <w:p w14:paraId="2DB9B43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(-2.32**)</w:t>
            </w:r>
          </w:p>
        </w:tc>
        <w:tc>
          <w:tcPr>
            <w:tcW w:w="535" w:type="pct"/>
            <w:tcBorders>
              <w:top w:val="nil"/>
              <w:left w:val="nil"/>
              <w:bottom w:val="nil"/>
              <w:right w:val="nil"/>
            </w:tcBorders>
            <w:shd w:val="clear" w:color="auto" w:fill="auto"/>
            <w:noWrap/>
            <w:vAlign w:val="bottom"/>
            <w:hideMark/>
          </w:tcPr>
          <w:p w14:paraId="48430BB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(-2.38**)</w:t>
            </w:r>
          </w:p>
        </w:tc>
      </w:tr>
      <w:tr w:rsidR="003273BD" w:rsidRPr="00245E91" w14:paraId="545F544F" w14:textId="77777777" w:rsidTr="00245E91">
        <w:trPr>
          <w:trHeight w:val="144"/>
        </w:trPr>
        <w:tc>
          <w:tcPr>
            <w:tcW w:w="727" w:type="pct"/>
            <w:tcBorders>
              <w:top w:val="nil"/>
              <w:left w:val="nil"/>
              <w:bottom w:val="nil"/>
              <w:right w:val="nil"/>
            </w:tcBorders>
            <w:shd w:val="clear" w:color="auto" w:fill="auto"/>
            <w:noWrap/>
            <w:vAlign w:val="bottom"/>
            <w:hideMark/>
          </w:tcPr>
          <w:p w14:paraId="756E0252"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TENURE</w:t>
            </w:r>
          </w:p>
        </w:tc>
        <w:tc>
          <w:tcPr>
            <w:tcW w:w="534" w:type="pct"/>
            <w:tcBorders>
              <w:top w:val="nil"/>
              <w:left w:val="nil"/>
              <w:bottom w:val="nil"/>
              <w:right w:val="nil"/>
            </w:tcBorders>
            <w:shd w:val="clear" w:color="auto" w:fill="auto"/>
            <w:noWrap/>
            <w:vAlign w:val="bottom"/>
            <w:hideMark/>
          </w:tcPr>
          <w:p w14:paraId="185C075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0.063</w:t>
            </w:r>
          </w:p>
        </w:tc>
        <w:tc>
          <w:tcPr>
            <w:tcW w:w="534" w:type="pct"/>
            <w:tcBorders>
              <w:top w:val="nil"/>
              <w:left w:val="nil"/>
              <w:bottom w:val="nil"/>
              <w:right w:val="nil"/>
            </w:tcBorders>
            <w:shd w:val="clear" w:color="auto" w:fill="auto"/>
            <w:noWrap/>
            <w:vAlign w:val="bottom"/>
            <w:hideMark/>
          </w:tcPr>
          <w:p w14:paraId="1D93532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0.065</w:t>
            </w:r>
          </w:p>
        </w:tc>
        <w:tc>
          <w:tcPr>
            <w:tcW w:w="534" w:type="pct"/>
            <w:tcBorders>
              <w:top w:val="nil"/>
              <w:left w:val="nil"/>
              <w:bottom w:val="nil"/>
              <w:right w:val="nil"/>
            </w:tcBorders>
            <w:shd w:val="clear" w:color="auto" w:fill="auto"/>
            <w:noWrap/>
            <w:vAlign w:val="bottom"/>
            <w:hideMark/>
          </w:tcPr>
          <w:p w14:paraId="37E8D26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0.033</w:t>
            </w:r>
          </w:p>
        </w:tc>
        <w:tc>
          <w:tcPr>
            <w:tcW w:w="535" w:type="pct"/>
            <w:tcBorders>
              <w:top w:val="nil"/>
              <w:left w:val="nil"/>
              <w:bottom w:val="nil"/>
              <w:right w:val="single" w:sz="4" w:space="0" w:color="auto"/>
            </w:tcBorders>
            <w:shd w:val="clear" w:color="auto" w:fill="auto"/>
            <w:noWrap/>
            <w:vAlign w:val="bottom"/>
            <w:hideMark/>
          </w:tcPr>
          <w:p w14:paraId="79DBD8A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0.033</w:t>
            </w:r>
          </w:p>
        </w:tc>
        <w:tc>
          <w:tcPr>
            <w:tcW w:w="533" w:type="pct"/>
            <w:tcBorders>
              <w:top w:val="nil"/>
              <w:left w:val="single" w:sz="4" w:space="0" w:color="auto"/>
              <w:bottom w:val="nil"/>
              <w:right w:val="nil"/>
            </w:tcBorders>
            <w:shd w:val="clear" w:color="auto" w:fill="auto"/>
            <w:noWrap/>
            <w:vAlign w:val="bottom"/>
            <w:hideMark/>
          </w:tcPr>
          <w:p w14:paraId="02149EA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0.044</w:t>
            </w:r>
          </w:p>
        </w:tc>
        <w:tc>
          <w:tcPr>
            <w:tcW w:w="534" w:type="pct"/>
            <w:tcBorders>
              <w:top w:val="nil"/>
              <w:left w:val="nil"/>
              <w:bottom w:val="nil"/>
              <w:right w:val="nil"/>
            </w:tcBorders>
            <w:shd w:val="clear" w:color="auto" w:fill="auto"/>
            <w:noWrap/>
            <w:vAlign w:val="bottom"/>
            <w:hideMark/>
          </w:tcPr>
          <w:p w14:paraId="6C17F1F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0.039</w:t>
            </w:r>
          </w:p>
        </w:tc>
        <w:tc>
          <w:tcPr>
            <w:tcW w:w="533" w:type="pct"/>
            <w:tcBorders>
              <w:top w:val="nil"/>
              <w:left w:val="nil"/>
              <w:bottom w:val="nil"/>
              <w:right w:val="nil"/>
            </w:tcBorders>
            <w:shd w:val="clear" w:color="auto" w:fill="auto"/>
            <w:noWrap/>
            <w:vAlign w:val="bottom"/>
            <w:hideMark/>
          </w:tcPr>
          <w:p w14:paraId="6DA9930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0.013</w:t>
            </w:r>
          </w:p>
        </w:tc>
        <w:tc>
          <w:tcPr>
            <w:tcW w:w="535" w:type="pct"/>
            <w:tcBorders>
              <w:top w:val="nil"/>
              <w:left w:val="nil"/>
              <w:bottom w:val="nil"/>
              <w:right w:val="nil"/>
            </w:tcBorders>
            <w:shd w:val="clear" w:color="auto" w:fill="auto"/>
            <w:noWrap/>
            <w:vAlign w:val="bottom"/>
            <w:hideMark/>
          </w:tcPr>
          <w:p w14:paraId="1D795FD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0.014</w:t>
            </w:r>
          </w:p>
        </w:tc>
      </w:tr>
      <w:tr w:rsidR="003273BD" w:rsidRPr="00245E91" w14:paraId="463140D4" w14:textId="77777777" w:rsidTr="00245E91">
        <w:trPr>
          <w:trHeight w:val="144"/>
        </w:trPr>
        <w:tc>
          <w:tcPr>
            <w:tcW w:w="727" w:type="pct"/>
            <w:tcBorders>
              <w:top w:val="nil"/>
              <w:left w:val="nil"/>
              <w:bottom w:val="nil"/>
              <w:right w:val="nil"/>
            </w:tcBorders>
            <w:shd w:val="clear" w:color="auto" w:fill="auto"/>
            <w:noWrap/>
            <w:vAlign w:val="bottom"/>
            <w:hideMark/>
          </w:tcPr>
          <w:p w14:paraId="68324F49"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6D1895A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(2.09**)</w:t>
            </w:r>
          </w:p>
        </w:tc>
        <w:tc>
          <w:tcPr>
            <w:tcW w:w="534" w:type="pct"/>
            <w:tcBorders>
              <w:top w:val="nil"/>
              <w:left w:val="nil"/>
              <w:bottom w:val="nil"/>
              <w:right w:val="nil"/>
            </w:tcBorders>
            <w:shd w:val="clear" w:color="auto" w:fill="auto"/>
            <w:noWrap/>
            <w:vAlign w:val="bottom"/>
            <w:hideMark/>
          </w:tcPr>
          <w:p w14:paraId="63315A3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(2.27**)</w:t>
            </w:r>
          </w:p>
        </w:tc>
        <w:tc>
          <w:tcPr>
            <w:tcW w:w="534" w:type="pct"/>
            <w:tcBorders>
              <w:top w:val="nil"/>
              <w:left w:val="nil"/>
              <w:bottom w:val="nil"/>
              <w:right w:val="nil"/>
            </w:tcBorders>
            <w:shd w:val="clear" w:color="auto" w:fill="auto"/>
            <w:noWrap/>
            <w:vAlign w:val="bottom"/>
            <w:hideMark/>
          </w:tcPr>
          <w:p w14:paraId="775DEAD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(1.55)</w:t>
            </w:r>
          </w:p>
        </w:tc>
        <w:tc>
          <w:tcPr>
            <w:tcW w:w="535" w:type="pct"/>
            <w:tcBorders>
              <w:top w:val="nil"/>
              <w:left w:val="nil"/>
              <w:bottom w:val="nil"/>
              <w:right w:val="single" w:sz="4" w:space="0" w:color="auto"/>
            </w:tcBorders>
            <w:shd w:val="clear" w:color="auto" w:fill="auto"/>
            <w:noWrap/>
            <w:vAlign w:val="bottom"/>
            <w:hideMark/>
          </w:tcPr>
          <w:p w14:paraId="6906CFD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(1.48)</w:t>
            </w:r>
          </w:p>
        </w:tc>
        <w:tc>
          <w:tcPr>
            <w:tcW w:w="533" w:type="pct"/>
            <w:tcBorders>
              <w:top w:val="nil"/>
              <w:left w:val="single" w:sz="4" w:space="0" w:color="auto"/>
              <w:bottom w:val="nil"/>
              <w:right w:val="nil"/>
            </w:tcBorders>
            <w:shd w:val="clear" w:color="auto" w:fill="auto"/>
            <w:noWrap/>
            <w:vAlign w:val="bottom"/>
            <w:hideMark/>
          </w:tcPr>
          <w:p w14:paraId="4560124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(1.34)</w:t>
            </w:r>
          </w:p>
        </w:tc>
        <w:tc>
          <w:tcPr>
            <w:tcW w:w="534" w:type="pct"/>
            <w:tcBorders>
              <w:top w:val="nil"/>
              <w:left w:val="nil"/>
              <w:bottom w:val="nil"/>
              <w:right w:val="nil"/>
            </w:tcBorders>
            <w:shd w:val="clear" w:color="auto" w:fill="auto"/>
            <w:noWrap/>
            <w:vAlign w:val="bottom"/>
            <w:hideMark/>
          </w:tcPr>
          <w:p w14:paraId="11AAA10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(1.46)</w:t>
            </w:r>
          </w:p>
        </w:tc>
        <w:tc>
          <w:tcPr>
            <w:tcW w:w="533" w:type="pct"/>
            <w:tcBorders>
              <w:top w:val="nil"/>
              <w:left w:val="nil"/>
              <w:bottom w:val="nil"/>
              <w:right w:val="nil"/>
            </w:tcBorders>
            <w:shd w:val="clear" w:color="auto" w:fill="auto"/>
            <w:noWrap/>
            <w:vAlign w:val="bottom"/>
            <w:hideMark/>
          </w:tcPr>
          <w:p w14:paraId="59EFBAC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(0.63)</w:t>
            </w:r>
          </w:p>
        </w:tc>
        <w:tc>
          <w:tcPr>
            <w:tcW w:w="535" w:type="pct"/>
            <w:tcBorders>
              <w:top w:val="nil"/>
              <w:left w:val="nil"/>
              <w:bottom w:val="nil"/>
              <w:right w:val="nil"/>
            </w:tcBorders>
            <w:shd w:val="clear" w:color="auto" w:fill="auto"/>
            <w:noWrap/>
            <w:vAlign w:val="bottom"/>
            <w:hideMark/>
          </w:tcPr>
          <w:p w14:paraId="5CDDDB4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(0.66)</w:t>
            </w:r>
          </w:p>
        </w:tc>
      </w:tr>
      <w:tr w:rsidR="003273BD" w:rsidRPr="00245E91" w14:paraId="75C68EB9" w14:textId="77777777" w:rsidTr="00245E91">
        <w:trPr>
          <w:trHeight w:val="144"/>
        </w:trPr>
        <w:tc>
          <w:tcPr>
            <w:tcW w:w="727" w:type="pct"/>
            <w:tcBorders>
              <w:top w:val="nil"/>
              <w:left w:val="nil"/>
              <w:bottom w:val="nil"/>
              <w:right w:val="nil"/>
            </w:tcBorders>
            <w:shd w:val="clear" w:color="auto" w:fill="auto"/>
            <w:noWrap/>
            <w:vAlign w:val="bottom"/>
            <w:hideMark/>
          </w:tcPr>
          <w:p w14:paraId="6A90D44A"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INSTOWN</w:t>
            </w:r>
          </w:p>
        </w:tc>
        <w:tc>
          <w:tcPr>
            <w:tcW w:w="534" w:type="pct"/>
            <w:tcBorders>
              <w:top w:val="nil"/>
              <w:left w:val="nil"/>
              <w:bottom w:val="nil"/>
              <w:right w:val="nil"/>
            </w:tcBorders>
            <w:shd w:val="clear" w:color="auto" w:fill="auto"/>
            <w:noWrap/>
            <w:vAlign w:val="bottom"/>
            <w:hideMark/>
          </w:tcPr>
          <w:p w14:paraId="512CFB7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0.127</w:t>
            </w:r>
          </w:p>
        </w:tc>
        <w:tc>
          <w:tcPr>
            <w:tcW w:w="534" w:type="pct"/>
            <w:tcBorders>
              <w:top w:val="nil"/>
              <w:left w:val="nil"/>
              <w:bottom w:val="nil"/>
              <w:right w:val="nil"/>
            </w:tcBorders>
            <w:shd w:val="clear" w:color="auto" w:fill="auto"/>
            <w:noWrap/>
            <w:vAlign w:val="bottom"/>
            <w:hideMark/>
          </w:tcPr>
          <w:p w14:paraId="45B7E33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0.128</w:t>
            </w:r>
          </w:p>
        </w:tc>
        <w:tc>
          <w:tcPr>
            <w:tcW w:w="534" w:type="pct"/>
            <w:tcBorders>
              <w:top w:val="nil"/>
              <w:left w:val="nil"/>
              <w:bottom w:val="nil"/>
              <w:right w:val="nil"/>
            </w:tcBorders>
            <w:shd w:val="clear" w:color="auto" w:fill="auto"/>
            <w:noWrap/>
            <w:vAlign w:val="bottom"/>
            <w:hideMark/>
          </w:tcPr>
          <w:p w14:paraId="3A95814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-0.022</w:t>
            </w:r>
          </w:p>
        </w:tc>
        <w:tc>
          <w:tcPr>
            <w:tcW w:w="535" w:type="pct"/>
            <w:tcBorders>
              <w:top w:val="nil"/>
              <w:left w:val="nil"/>
              <w:bottom w:val="nil"/>
              <w:right w:val="single" w:sz="4" w:space="0" w:color="auto"/>
            </w:tcBorders>
            <w:shd w:val="clear" w:color="auto" w:fill="auto"/>
            <w:noWrap/>
            <w:vAlign w:val="bottom"/>
            <w:hideMark/>
          </w:tcPr>
          <w:p w14:paraId="148DBD7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-0.024</w:t>
            </w:r>
          </w:p>
        </w:tc>
        <w:tc>
          <w:tcPr>
            <w:tcW w:w="533" w:type="pct"/>
            <w:tcBorders>
              <w:top w:val="nil"/>
              <w:left w:val="single" w:sz="4" w:space="0" w:color="auto"/>
              <w:bottom w:val="nil"/>
              <w:right w:val="nil"/>
            </w:tcBorders>
            <w:shd w:val="clear" w:color="auto" w:fill="auto"/>
            <w:noWrap/>
            <w:vAlign w:val="bottom"/>
            <w:hideMark/>
          </w:tcPr>
          <w:p w14:paraId="1CAA3FF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0.023</w:t>
            </w:r>
          </w:p>
        </w:tc>
        <w:tc>
          <w:tcPr>
            <w:tcW w:w="534" w:type="pct"/>
            <w:tcBorders>
              <w:top w:val="nil"/>
              <w:left w:val="nil"/>
              <w:bottom w:val="nil"/>
              <w:right w:val="nil"/>
            </w:tcBorders>
            <w:shd w:val="clear" w:color="auto" w:fill="auto"/>
            <w:noWrap/>
            <w:vAlign w:val="bottom"/>
            <w:hideMark/>
          </w:tcPr>
          <w:p w14:paraId="4A63E5D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0.002</w:t>
            </w:r>
          </w:p>
        </w:tc>
        <w:tc>
          <w:tcPr>
            <w:tcW w:w="533" w:type="pct"/>
            <w:tcBorders>
              <w:top w:val="nil"/>
              <w:left w:val="nil"/>
              <w:bottom w:val="nil"/>
              <w:right w:val="nil"/>
            </w:tcBorders>
            <w:shd w:val="clear" w:color="auto" w:fill="auto"/>
            <w:noWrap/>
            <w:vAlign w:val="bottom"/>
            <w:hideMark/>
          </w:tcPr>
          <w:p w14:paraId="7575CC3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-0.014</w:t>
            </w:r>
          </w:p>
        </w:tc>
        <w:tc>
          <w:tcPr>
            <w:tcW w:w="535" w:type="pct"/>
            <w:tcBorders>
              <w:top w:val="nil"/>
              <w:left w:val="nil"/>
              <w:bottom w:val="nil"/>
              <w:right w:val="nil"/>
            </w:tcBorders>
            <w:shd w:val="clear" w:color="auto" w:fill="auto"/>
            <w:noWrap/>
            <w:vAlign w:val="bottom"/>
            <w:hideMark/>
          </w:tcPr>
          <w:p w14:paraId="432822A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-0.012</w:t>
            </w:r>
          </w:p>
        </w:tc>
      </w:tr>
      <w:tr w:rsidR="003273BD" w:rsidRPr="00245E91" w14:paraId="4DD746A8" w14:textId="77777777" w:rsidTr="00245E91">
        <w:trPr>
          <w:trHeight w:val="144"/>
        </w:trPr>
        <w:tc>
          <w:tcPr>
            <w:tcW w:w="727" w:type="pct"/>
            <w:tcBorders>
              <w:top w:val="nil"/>
              <w:left w:val="nil"/>
              <w:bottom w:val="nil"/>
              <w:right w:val="nil"/>
            </w:tcBorders>
            <w:shd w:val="clear" w:color="auto" w:fill="auto"/>
            <w:noWrap/>
            <w:vAlign w:val="bottom"/>
            <w:hideMark/>
          </w:tcPr>
          <w:p w14:paraId="5D5E4D89"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05D1643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(2.55**)</w:t>
            </w:r>
          </w:p>
        </w:tc>
        <w:tc>
          <w:tcPr>
            <w:tcW w:w="534" w:type="pct"/>
            <w:tcBorders>
              <w:top w:val="nil"/>
              <w:left w:val="nil"/>
              <w:bottom w:val="nil"/>
              <w:right w:val="nil"/>
            </w:tcBorders>
            <w:shd w:val="clear" w:color="auto" w:fill="auto"/>
            <w:noWrap/>
            <w:vAlign w:val="bottom"/>
            <w:hideMark/>
          </w:tcPr>
          <w:p w14:paraId="4CFDD3C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(2.82***)</w:t>
            </w:r>
          </w:p>
        </w:tc>
        <w:tc>
          <w:tcPr>
            <w:tcW w:w="534" w:type="pct"/>
            <w:tcBorders>
              <w:top w:val="nil"/>
              <w:left w:val="nil"/>
              <w:bottom w:val="nil"/>
              <w:right w:val="nil"/>
            </w:tcBorders>
            <w:shd w:val="clear" w:color="auto" w:fill="auto"/>
            <w:noWrap/>
            <w:vAlign w:val="bottom"/>
            <w:hideMark/>
          </w:tcPr>
          <w:p w14:paraId="40B2CF5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(-0.70)</w:t>
            </w:r>
          </w:p>
        </w:tc>
        <w:tc>
          <w:tcPr>
            <w:tcW w:w="535" w:type="pct"/>
            <w:tcBorders>
              <w:top w:val="nil"/>
              <w:left w:val="nil"/>
              <w:bottom w:val="nil"/>
              <w:right w:val="single" w:sz="4" w:space="0" w:color="auto"/>
            </w:tcBorders>
            <w:shd w:val="clear" w:color="auto" w:fill="auto"/>
            <w:noWrap/>
            <w:vAlign w:val="bottom"/>
            <w:hideMark/>
          </w:tcPr>
          <w:p w14:paraId="26C9FA9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(-0.78)</w:t>
            </w:r>
          </w:p>
        </w:tc>
        <w:tc>
          <w:tcPr>
            <w:tcW w:w="533" w:type="pct"/>
            <w:tcBorders>
              <w:top w:val="nil"/>
              <w:left w:val="single" w:sz="4" w:space="0" w:color="auto"/>
              <w:bottom w:val="nil"/>
              <w:right w:val="nil"/>
            </w:tcBorders>
            <w:shd w:val="clear" w:color="auto" w:fill="auto"/>
            <w:noWrap/>
            <w:vAlign w:val="bottom"/>
            <w:hideMark/>
          </w:tcPr>
          <w:p w14:paraId="2D9FBB4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(0.91)</w:t>
            </w:r>
          </w:p>
        </w:tc>
        <w:tc>
          <w:tcPr>
            <w:tcW w:w="534" w:type="pct"/>
            <w:tcBorders>
              <w:top w:val="nil"/>
              <w:left w:val="nil"/>
              <w:bottom w:val="nil"/>
              <w:right w:val="nil"/>
            </w:tcBorders>
            <w:shd w:val="clear" w:color="auto" w:fill="auto"/>
            <w:noWrap/>
            <w:vAlign w:val="bottom"/>
            <w:hideMark/>
          </w:tcPr>
          <w:p w14:paraId="63E0DB7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w:t>
            </w:r>
          </w:p>
        </w:tc>
        <w:tc>
          <w:tcPr>
            <w:tcW w:w="533" w:type="pct"/>
            <w:tcBorders>
              <w:top w:val="nil"/>
              <w:left w:val="nil"/>
              <w:bottom w:val="nil"/>
              <w:right w:val="nil"/>
            </w:tcBorders>
            <w:shd w:val="clear" w:color="auto" w:fill="auto"/>
            <w:noWrap/>
            <w:vAlign w:val="bottom"/>
            <w:hideMark/>
          </w:tcPr>
          <w:p w14:paraId="444FB54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(-0.58)</w:t>
            </w:r>
          </w:p>
        </w:tc>
        <w:tc>
          <w:tcPr>
            <w:tcW w:w="535" w:type="pct"/>
            <w:tcBorders>
              <w:top w:val="nil"/>
              <w:left w:val="nil"/>
              <w:bottom w:val="nil"/>
              <w:right w:val="nil"/>
            </w:tcBorders>
            <w:shd w:val="clear" w:color="auto" w:fill="auto"/>
            <w:noWrap/>
            <w:vAlign w:val="bottom"/>
            <w:hideMark/>
          </w:tcPr>
          <w:p w14:paraId="40E9365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(-0.52)</w:t>
            </w:r>
          </w:p>
        </w:tc>
      </w:tr>
      <w:tr w:rsidR="003273BD" w:rsidRPr="00245E91" w14:paraId="4818B0C2" w14:textId="77777777" w:rsidTr="00245E91">
        <w:trPr>
          <w:trHeight w:val="144"/>
        </w:trPr>
        <w:tc>
          <w:tcPr>
            <w:tcW w:w="727" w:type="pct"/>
            <w:tcBorders>
              <w:top w:val="nil"/>
              <w:left w:val="nil"/>
              <w:bottom w:val="nil"/>
              <w:right w:val="nil"/>
            </w:tcBorders>
            <w:shd w:val="clear" w:color="auto" w:fill="auto"/>
            <w:noWrap/>
            <w:vAlign w:val="bottom"/>
            <w:hideMark/>
          </w:tcPr>
          <w:p w14:paraId="56BE6FB3"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NUMANALYST</w:t>
            </w:r>
          </w:p>
        </w:tc>
        <w:tc>
          <w:tcPr>
            <w:tcW w:w="534" w:type="pct"/>
            <w:tcBorders>
              <w:top w:val="nil"/>
              <w:left w:val="nil"/>
              <w:bottom w:val="nil"/>
              <w:right w:val="nil"/>
            </w:tcBorders>
            <w:shd w:val="clear" w:color="auto" w:fill="auto"/>
            <w:noWrap/>
            <w:vAlign w:val="bottom"/>
            <w:hideMark/>
          </w:tcPr>
          <w:p w14:paraId="62D0099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-0.107</w:t>
            </w:r>
          </w:p>
        </w:tc>
        <w:tc>
          <w:tcPr>
            <w:tcW w:w="534" w:type="pct"/>
            <w:tcBorders>
              <w:top w:val="nil"/>
              <w:left w:val="nil"/>
              <w:bottom w:val="nil"/>
              <w:right w:val="nil"/>
            </w:tcBorders>
            <w:shd w:val="clear" w:color="auto" w:fill="auto"/>
            <w:noWrap/>
            <w:vAlign w:val="bottom"/>
            <w:hideMark/>
          </w:tcPr>
          <w:p w14:paraId="620D688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-0.133</w:t>
            </w:r>
          </w:p>
        </w:tc>
        <w:tc>
          <w:tcPr>
            <w:tcW w:w="534" w:type="pct"/>
            <w:tcBorders>
              <w:top w:val="nil"/>
              <w:left w:val="nil"/>
              <w:bottom w:val="nil"/>
              <w:right w:val="nil"/>
            </w:tcBorders>
            <w:shd w:val="clear" w:color="auto" w:fill="auto"/>
            <w:noWrap/>
            <w:vAlign w:val="bottom"/>
            <w:hideMark/>
          </w:tcPr>
          <w:p w14:paraId="376F1DF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0.068</w:t>
            </w:r>
          </w:p>
        </w:tc>
        <w:tc>
          <w:tcPr>
            <w:tcW w:w="535" w:type="pct"/>
            <w:tcBorders>
              <w:top w:val="nil"/>
              <w:left w:val="nil"/>
              <w:bottom w:val="nil"/>
              <w:right w:val="single" w:sz="4" w:space="0" w:color="auto"/>
            </w:tcBorders>
            <w:shd w:val="clear" w:color="auto" w:fill="auto"/>
            <w:noWrap/>
            <w:vAlign w:val="bottom"/>
            <w:hideMark/>
          </w:tcPr>
          <w:p w14:paraId="3CDD654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0.071</w:t>
            </w:r>
          </w:p>
        </w:tc>
        <w:tc>
          <w:tcPr>
            <w:tcW w:w="533" w:type="pct"/>
            <w:tcBorders>
              <w:top w:val="nil"/>
              <w:left w:val="single" w:sz="4" w:space="0" w:color="auto"/>
              <w:bottom w:val="nil"/>
              <w:right w:val="nil"/>
            </w:tcBorders>
            <w:shd w:val="clear" w:color="auto" w:fill="auto"/>
            <w:noWrap/>
            <w:vAlign w:val="bottom"/>
            <w:hideMark/>
          </w:tcPr>
          <w:p w14:paraId="1483E2E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-0.043</w:t>
            </w:r>
          </w:p>
        </w:tc>
        <w:tc>
          <w:tcPr>
            <w:tcW w:w="534" w:type="pct"/>
            <w:tcBorders>
              <w:top w:val="nil"/>
              <w:left w:val="nil"/>
              <w:bottom w:val="nil"/>
              <w:right w:val="nil"/>
            </w:tcBorders>
            <w:shd w:val="clear" w:color="auto" w:fill="auto"/>
            <w:noWrap/>
            <w:vAlign w:val="bottom"/>
            <w:hideMark/>
          </w:tcPr>
          <w:p w14:paraId="22A4D75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-0.032</w:t>
            </w:r>
          </w:p>
        </w:tc>
        <w:tc>
          <w:tcPr>
            <w:tcW w:w="533" w:type="pct"/>
            <w:tcBorders>
              <w:top w:val="nil"/>
              <w:left w:val="nil"/>
              <w:bottom w:val="nil"/>
              <w:right w:val="nil"/>
            </w:tcBorders>
            <w:shd w:val="clear" w:color="auto" w:fill="auto"/>
            <w:noWrap/>
            <w:vAlign w:val="bottom"/>
            <w:hideMark/>
          </w:tcPr>
          <w:p w14:paraId="28E6F90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0.008</w:t>
            </w:r>
          </w:p>
        </w:tc>
        <w:tc>
          <w:tcPr>
            <w:tcW w:w="535" w:type="pct"/>
            <w:tcBorders>
              <w:top w:val="nil"/>
              <w:left w:val="nil"/>
              <w:bottom w:val="nil"/>
              <w:right w:val="nil"/>
            </w:tcBorders>
            <w:shd w:val="clear" w:color="auto" w:fill="auto"/>
            <w:noWrap/>
            <w:vAlign w:val="bottom"/>
            <w:hideMark/>
          </w:tcPr>
          <w:p w14:paraId="3FEB7C9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0.004</w:t>
            </w:r>
          </w:p>
        </w:tc>
      </w:tr>
      <w:tr w:rsidR="003273BD" w:rsidRPr="00245E91" w14:paraId="69C93F32" w14:textId="77777777" w:rsidTr="00245E91">
        <w:trPr>
          <w:trHeight w:val="144"/>
        </w:trPr>
        <w:tc>
          <w:tcPr>
            <w:tcW w:w="727" w:type="pct"/>
            <w:tcBorders>
              <w:top w:val="nil"/>
              <w:left w:val="nil"/>
              <w:bottom w:val="nil"/>
              <w:right w:val="nil"/>
            </w:tcBorders>
            <w:shd w:val="clear" w:color="auto" w:fill="auto"/>
            <w:noWrap/>
            <w:vAlign w:val="bottom"/>
            <w:hideMark/>
          </w:tcPr>
          <w:p w14:paraId="7641E9E0"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59B629B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(-2.51**)</w:t>
            </w:r>
          </w:p>
        </w:tc>
        <w:tc>
          <w:tcPr>
            <w:tcW w:w="534" w:type="pct"/>
            <w:tcBorders>
              <w:top w:val="nil"/>
              <w:left w:val="nil"/>
              <w:bottom w:val="nil"/>
              <w:right w:val="nil"/>
            </w:tcBorders>
            <w:shd w:val="clear" w:color="auto" w:fill="auto"/>
            <w:noWrap/>
            <w:vAlign w:val="bottom"/>
            <w:hideMark/>
          </w:tcPr>
          <w:p w14:paraId="3C6A33C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(-3.69***)</w:t>
            </w:r>
          </w:p>
        </w:tc>
        <w:tc>
          <w:tcPr>
            <w:tcW w:w="534" w:type="pct"/>
            <w:tcBorders>
              <w:top w:val="nil"/>
              <w:left w:val="nil"/>
              <w:bottom w:val="nil"/>
              <w:right w:val="nil"/>
            </w:tcBorders>
            <w:shd w:val="clear" w:color="auto" w:fill="auto"/>
            <w:noWrap/>
            <w:vAlign w:val="bottom"/>
            <w:hideMark/>
          </w:tcPr>
          <w:p w14:paraId="515065C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(2.63***)</w:t>
            </w:r>
          </w:p>
        </w:tc>
        <w:tc>
          <w:tcPr>
            <w:tcW w:w="535" w:type="pct"/>
            <w:tcBorders>
              <w:top w:val="nil"/>
              <w:left w:val="nil"/>
              <w:bottom w:val="nil"/>
              <w:right w:val="single" w:sz="4" w:space="0" w:color="auto"/>
            </w:tcBorders>
            <w:shd w:val="clear" w:color="auto" w:fill="auto"/>
            <w:noWrap/>
            <w:vAlign w:val="bottom"/>
            <w:hideMark/>
          </w:tcPr>
          <w:p w14:paraId="145C738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(2.68***)</w:t>
            </w:r>
          </w:p>
        </w:tc>
        <w:tc>
          <w:tcPr>
            <w:tcW w:w="533" w:type="pct"/>
            <w:tcBorders>
              <w:top w:val="nil"/>
              <w:left w:val="single" w:sz="4" w:space="0" w:color="auto"/>
              <w:bottom w:val="nil"/>
              <w:right w:val="nil"/>
            </w:tcBorders>
            <w:shd w:val="clear" w:color="auto" w:fill="auto"/>
            <w:noWrap/>
            <w:vAlign w:val="bottom"/>
            <w:hideMark/>
          </w:tcPr>
          <w:p w14:paraId="39C8064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(-1.25)</w:t>
            </w:r>
          </w:p>
        </w:tc>
        <w:tc>
          <w:tcPr>
            <w:tcW w:w="534" w:type="pct"/>
            <w:tcBorders>
              <w:top w:val="nil"/>
              <w:left w:val="nil"/>
              <w:bottom w:val="nil"/>
              <w:right w:val="nil"/>
            </w:tcBorders>
            <w:shd w:val="clear" w:color="auto" w:fill="auto"/>
            <w:noWrap/>
            <w:vAlign w:val="bottom"/>
            <w:hideMark/>
          </w:tcPr>
          <w:p w14:paraId="49A50F7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(-0.94)</w:t>
            </w:r>
          </w:p>
        </w:tc>
        <w:tc>
          <w:tcPr>
            <w:tcW w:w="533" w:type="pct"/>
            <w:tcBorders>
              <w:top w:val="nil"/>
              <w:left w:val="nil"/>
              <w:bottom w:val="nil"/>
              <w:right w:val="nil"/>
            </w:tcBorders>
            <w:shd w:val="clear" w:color="auto" w:fill="auto"/>
            <w:noWrap/>
            <w:vAlign w:val="bottom"/>
            <w:hideMark/>
          </w:tcPr>
          <w:p w14:paraId="5C4FC50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(0.33)</w:t>
            </w:r>
          </w:p>
        </w:tc>
        <w:tc>
          <w:tcPr>
            <w:tcW w:w="535" w:type="pct"/>
            <w:tcBorders>
              <w:top w:val="nil"/>
              <w:left w:val="nil"/>
              <w:bottom w:val="nil"/>
              <w:right w:val="nil"/>
            </w:tcBorders>
            <w:shd w:val="clear" w:color="auto" w:fill="auto"/>
            <w:noWrap/>
            <w:vAlign w:val="bottom"/>
            <w:hideMark/>
          </w:tcPr>
          <w:p w14:paraId="7B46E4E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(0.19)</w:t>
            </w:r>
          </w:p>
        </w:tc>
      </w:tr>
      <w:tr w:rsidR="003273BD" w:rsidRPr="00245E91" w14:paraId="122E8096" w14:textId="77777777" w:rsidTr="00245E91">
        <w:trPr>
          <w:trHeight w:val="144"/>
        </w:trPr>
        <w:tc>
          <w:tcPr>
            <w:tcW w:w="727" w:type="pct"/>
            <w:tcBorders>
              <w:top w:val="nil"/>
              <w:left w:val="nil"/>
              <w:bottom w:val="nil"/>
              <w:right w:val="nil"/>
            </w:tcBorders>
            <w:shd w:val="clear" w:color="auto" w:fill="auto"/>
            <w:noWrap/>
            <w:vAlign w:val="bottom"/>
            <w:hideMark/>
          </w:tcPr>
          <w:p w14:paraId="688A5EF7"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SOX</w:t>
            </w:r>
          </w:p>
        </w:tc>
        <w:tc>
          <w:tcPr>
            <w:tcW w:w="534" w:type="pct"/>
            <w:tcBorders>
              <w:top w:val="nil"/>
              <w:left w:val="nil"/>
              <w:bottom w:val="nil"/>
              <w:right w:val="nil"/>
            </w:tcBorders>
            <w:shd w:val="clear" w:color="auto" w:fill="auto"/>
            <w:noWrap/>
            <w:vAlign w:val="bottom"/>
            <w:hideMark/>
          </w:tcPr>
          <w:p w14:paraId="1F6A28F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-0.180</w:t>
            </w:r>
          </w:p>
        </w:tc>
        <w:tc>
          <w:tcPr>
            <w:tcW w:w="534" w:type="pct"/>
            <w:tcBorders>
              <w:top w:val="nil"/>
              <w:left w:val="nil"/>
              <w:bottom w:val="nil"/>
              <w:right w:val="nil"/>
            </w:tcBorders>
            <w:shd w:val="clear" w:color="auto" w:fill="auto"/>
            <w:noWrap/>
            <w:vAlign w:val="bottom"/>
            <w:hideMark/>
          </w:tcPr>
          <w:p w14:paraId="46B2292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-0.440</w:t>
            </w:r>
          </w:p>
        </w:tc>
        <w:tc>
          <w:tcPr>
            <w:tcW w:w="534" w:type="pct"/>
            <w:tcBorders>
              <w:top w:val="nil"/>
              <w:left w:val="nil"/>
              <w:bottom w:val="nil"/>
              <w:right w:val="nil"/>
            </w:tcBorders>
            <w:shd w:val="clear" w:color="auto" w:fill="auto"/>
            <w:noWrap/>
            <w:vAlign w:val="bottom"/>
            <w:hideMark/>
          </w:tcPr>
          <w:p w14:paraId="3BE28BF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0.248</w:t>
            </w:r>
          </w:p>
        </w:tc>
        <w:tc>
          <w:tcPr>
            <w:tcW w:w="535" w:type="pct"/>
            <w:tcBorders>
              <w:top w:val="nil"/>
              <w:left w:val="nil"/>
              <w:bottom w:val="nil"/>
              <w:right w:val="single" w:sz="4" w:space="0" w:color="auto"/>
            </w:tcBorders>
            <w:shd w:val="clear" w:color="auto" w:fill="auto"/>
            <w:noWrap/>
            <w:vAlign w:val="bottom"/>
            <w:hideMark/>
          </w:tcPr>
          <w:p w14:paraId="7D1FB2A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0.246</w:t>
            </w:r>
          </w:p>
        </w:tc>
        <w:tc>
          <w:tcPr>
            <w:tcW w:w="533" w:type="pct"/>
            <w:tcBorders>
              <w:top w:val="nil"/>
              <w:left w:val="single" w:sz="4" w:space="0" w:color="auto"/>
              <w:bottom w:val="nil"/>
              <w:right w:val="nil"/>
            </w:tcBorders>
            <w:shd w:val="clear" w:color="auto" w:fill="auto"/>
            <w:noWrap/>
            <w:vAlign w:val="bottom"/>
            <w:hideMark/>
          </w:tcPr>
          <w:p w14:paraId="4414C40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0.753</w:t>
            </w:r>
          </w:p>
        </w:tc>
        <w:tc>
          <w:tcPr>
            <w:tcW w:w="534" w:type="pct"/>
            <w:tcBorders>
              <w:top w:val="nil"/>
              <w:left w:val="nil"/>
              <w:bottom w:val="nil"/>
              <w:right w:val="nil"/>
            </w:tcBorders>
            <w:shd w:val="clear" w:color="auto" w:fill="auto"/>
            <w:noWrap/>
            <w:vAlign w:val="bottom"/>
            <w:hideMark/>
          </w:tcPr>
          <w:p w14:paraId="6BB0E5A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0.373</w:t>
            </w:r>
          </w:p>
        </w:tc>
        <w:tc>
          <w:tcPr>
            <w:tcW w:w="533" w:type="pct"/>
            <w:tcBorders>
              <w:top w:val="nil"/>
              <w:left w:val="nil"/>
              <w:bottom w:val="nil"/>
              <w:right w:val="nil"/>
            </w:tcBorders>
            <w:shd w:val="clear" w:color="auto" w:fill="auto"/>
            <w:noWrap/>
            <w:vAlign w:val="bottom"/>
            <w:hideMark/>
          </w:tcPr>
          <w:p w14:paraId="7C664E5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0.317</w:t>
            </w:r>
          </w:p>
        </w:tc>
        <w:tc>
          <w:tcPr>
            <w:tcW w:w="535" w:type="pct"/>
            <w:tcBorders>
              <w:top w:val="nil"/>
              <w:left w:val="nil"/>
              <w:bottom w:val="nil"/>
              <w:right w:val="nil"/>
            </w:tcBorders>
            <w:shd w:val="clear" w:color="auto" w:fill="auto"/>
            <w:noWrap/>
            <w:vAlign w:val="bottom"/>
            <w:hideMark/>
          </w:tcPr>
          <w:p w14:paraId="7BD76AF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0.316</w:t>
            </w:r>
          </w:p>
        </w:tc>
      </w:tr>
      <w:tr w:rsidR="003273BD" w:rsidRPr="00245E91" w14:paraId="556A2DEB" w14:textId="77777777" w:rsidTr="00245E91">
        <w:trPr>
          <w:trHeight w:val="144"/>
        </w:trPr>
        <w:tc>
          <w:tcPr>
            <w:tcW w:w="727" w:type="pct"/>
            <w:tcBorders>
              <w:top w:val="nil"/>
              <w:left w:val="nil"/>
              <w:bottom w:val="nil"/>
              <w:right w:val="nil"/>
            </w:tcBorders>
            <w:shd w:val="clear" w:color="auto" w:fill="auto"/>
            <w:noWrap/>
            <w:vAlign w:val="bottom"/>
            <w:hideMark/>
          </w:tcPr>
          <w:p w14:paraId="1D07B6A9"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34" w:type="pct"/>
            <w:tcBorders>
              <w:top w:val="nil"/>
              <w:left w:val="nil"/>
              <w:bottom w:val="nil"/>
              <w:right w:val="nil"/>
            </w:tcBorders>
            <w:shd w:val="clear" w:color="auto" w:fill="auto"/>
            <w:noWrap/>
            <w:vAlign w:val="bottom"/>
            <w:hideMark/>
          </w:tcPr>
          <w:p w14:paraId="4BF745C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(-0.94)</w:t>
            </w:r>
          </w:p>
        </w:tc>
        <w:tc>
          <w:tcPr>
            <w:tcW w:w="534" w:type="pct"/>
            <w:tcBorders>
              <w:top w:val="nil"/>
              <w:left w:val="nil"/>
              <w:bottom w:val="nil"/>
              <w:right w:val="nil"/>
            </w:tcBorders>
            <w:shd w:val="clear" w:color="auto" w:fill="auto"/>
            <w:noWrap/>
            <w:vAlign w:val="bottom"/>
            <w:hideMark/>
          </w:tcPr>
          <w:p w14:paraId="683C37E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(-3.28***)</w:t>
            </w:r>
          </w:p>
        </w:tc>
        <w:tc>
          <w:tcPr>
            <w:tcW w:w="534" w:type="pct"/>
            <w:tcBorders>
              <w:top w:val="nil"/>
              <w:left w:val="nil"/>
              <w:bottom w:val="nil"/>
              <w:right w:val="nil"/>
            </w:tcBorders>
            <w:shd w:val="clear" w:color="auto" w:fill="auto"/>
            <w:noWrap/>
            <w:vAlign w:val="bottom"/>
            <w:hideMark/>
          </w:tcPr>
          <w:p w14:paraId="6939B8F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(1.51)</w:t>
            </w:r>
          </w:p>
        </w:tc>
        <w:tc>
          <w:tcPr>
            <w:tcW w:w="535" w:type="pct"/>
            <w:tcBorders>
              <w:top w:val="nil"/>
              <w:left w:val="nil"/>
              <w:bottom w:val="nil"/>
              <w:right w:val="single" w:sz="4" w:space="0" w:color="auto"/>
            </w:tcBorders>
            <w:shd w:val="clear" w:color="auto" w:fill="auto"/>
            <w:noWrap/>
            <w:vAlign w:val="bottom"/>
            <w:hideMark/>
          </w:tcPr>
          <w:p w14:paraId="6679B4F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(1.52)</w:t>
            </w:r>
          </w:p>
        </w:tc>
        <w:tc>
          <w:tcPr>
            <w:tcW w:w="533" w:type="pct"/>
            <w:tcBorders>
              <w:top w:val="nil"/>
              <w:left w:val="single" w:sz="4" w:space="0" w:color="auto"/>
              <w:bottom w:val="nil"/>
              <w:right w:val="nil"/>
            </w:tcBorders>
            <w:shd w:val="clear" w:color="auto" w:fill="auto"/>
            <w:noWrap/>
            <w:vAlign w:val="bottom"/>
            <w:hideMark/>
          </w:tcPr>
          <w:p w14:paraId="662074B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(5.87***)</w:t>
            </w:r>
          </w:p>
        </w:tc>
        <w:tc>
          <w:tcPr>
            <w:tcW w:w="534" w:type="pct"/>
            <w:tcBorders>
              <w:top w:val="nil"/>
              <w:left w:val="nil"/>
              <w:bottom w:val="nil"/>
              <w:right w:val="nil"/>
            </w:tcBorders>
            <w:shd w:val="clear" w:color="auto" w:fill="auto"/>
            <w:noWrap/>
            <w:vAlign w:val="bottom"/>
            <w:hideMark/>
          </w:tcPr>
          <w:p w14:paraId="062B976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(3.35***)</w:t>
            </w:r>
          </w:p>
        </w:tc>
        <w:tc>
          <w:tcPr>
            <w:tcW w:w="533" w:type="pct"/>
            <w:tcBorders>
              <w:top w:val="nil"/>
              <w:left w:val="nil"/>
              <w:bottom w:val="nil"/>
              <w:right w:val="nil"/>
            </w:tcBorders>
            <w:shd w:val="clear" w:color="auto" w:fill="auto"/>
            <w:noWrap/>
            <w:vAlign w:val="bottom"/>
            <w:hideMark/>
          </w:tcPr>
          <w:p w14:paraId="515B55D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(2.71***)</w:t>
            </w:r>
          </w:p>
        </w:tc>
        <w:tc>
          <w:tcPr>
            <w:tcW w:w="535" w:type="pct"/>
            <w:tcBorders>
              <w:top w:val="nil"/>
              <w:left w:val="nil"/>
              <w:bottom w:val="nil"/>
              <w:right w:val="nil"/>
            </w:tcBorders>
            <w:shd w:val="clear" w:color="auto" w:fill="auto"/>
            <w:noWrap/>
            <w:vAlign w:val="bottom"/>
            <w:hideMark/>
          </w:tcPr>
          <w:p w14:paraId="37F88DF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(2.76***)</w:t>
            </w:r>
          </w:p>
        </w:tc>
      </w:tr>
      <w:tr w:rsidR="003273BD" w:rsidRPr="00245E91" w14:paraId="5AE196A6" w14:textId="77777777" w:rsidTr="00245E91">
        <w:trPr>
          <w:trHeight w:val="144"/>
        </w:trPr>
        <w:tc>
          <w:tcPr>
            <w:tcW w:w="727" w:type="pct"/>
            <w:tcBorders>
              <w:top w:val="nil"/>
              <w:left w:val="nil"/>
              <w:bottom w:val="nil"/>
              <w:right w:val="nil"/>
            </w:tcBorders>
            <w:shd w:val="clear" w:color="auto" w:fill="auto"/>
            <w:noWrap/>
            <w:vAlign w:val="bottom"/>
            <w:hideMark/>
          </w:tcPr>
          <w:p w14:paraId="65706244"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RESID_RM1</w:t>
            </w:r>
          </w:p>
        </w:tc>
        <w:tc>
          <w:tcPr>
            <w:tcW w:w="534" w:type="pct"/>
            <w:tcBorders>
              <w:top w:val="nil"/>
              <w:left w:val="nil"/>
              <w:bottom w:val="nil"/>
              <w:right w:val="nil"/>
            </w:tcBorders>
            <w:shd w:val="clear" w:color="auto" w:fill="auto"/>
            <w:noWrap/>
            <w:vAlign w:val="bottom"/>
            <w:hideMark/>
          </w:tcPr>
          <w:p w14:paraId="2376B900" w14:textId="77777777" w:rsidR="003273BD" w:rsidRPr="00245E91" w:rsidRDefault="003273BD" w:rsidP="003273BD">
            <w:pPr>
              <w:spacing w:line="240" w:lineRule="auto"/>
              <w:contextualSpacing/>
              <w:rPr>
                <w:rFonts w:ascii="Times New Roman" w:hAnsi="Times New Roman"/>
                <w:color w:val="000000"/>
                <w:sz w:val="15"/>
                <w:szCs w:val="15"/>
              </w:rPr>
            </w:pPr>
          </w:p>
        </w:tc>
        <w:tc>
          <w:tcPr>
            <w:tcW w:w="534" w:type="pct"/>
            <w:tcBorders>
              <w:top w:val="nil"/>
              <w:left w:val="nil"/>
              <w:bottom w:val="nil"/>
              <w:right w:val="nil"/>
            </w:tcBorders>
            <w:shd w:val="clear" w:color="auto" w:fill="auto"/>
            <w:noWrap/>
            <w:vAlign w:val="bottom"/>
            <w:hideMark/>
          </w:tcPr>
          <w:p w14:paraId="1CA3F6DD" w14:textId="77777777" w:rsidR="003273BD" w:rsidRPr="00245E91" w:rsidRDefault="003273BD" w:rsidP="003273BD">
            <w:pPr>
              <w:spacing w:line="240" w:lineRule="auto"/>
              <w:contextualSpacing/>
              <w:rPr>
                <w:rFonts w:ascii="Times New Roman" w:hAnsi="Times New Roman"/>
                <w:sz w:val="15"/>
                <w:szCs w:val="15"/>
              </w:rPr>
            </w:pPr>
          </w:p>
        </w:tc>
        <w:tc>
          <w:tcPr>
            <w:tcW w:w="534" w:type="pct"/>
            <w:tcBorders>
              <w:top w:val="nil"/>
              <w:left w:val="nil"/>
              <w:bottom w:val="nil"/>
              <w:right w:val="nil"/>
            </w:tcBorders>
            <w:shd w:val="clear" w:color="auto" w:fill="auto"/>
            <w:noWrap/>
            <w:vAlign w:val="bottom"/>
            <w:hideMark/>
          </w:tcPr>
          <w:p w14:paraId="5942492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0.139</w:t>
            </w:r>
          </w:p>
        </w:tc>
        <w:tc>
          <w:tcPr>
            <w:tcW w:w="535" w:type="pct"/>
            <w:tcBorders>
              <w:top w:val="nil"/>
              <w:left w:val="nil"/>
              <w:bottom w:val="nil"/>
              <w:right w:val="single" w:sz="4" w:space="0" w:color="auto"/>
            </w:tcBorders>
            <w:shd w:val="clear" w:color="auto" w:fill="auto"/>
            <w:noWrap/>
            <w:vAlign w:val="bottom"/>
            <w:hideMark/>
          </w:tcPr>
          <w:p w14:paraId="5EFD91AB" w14:textId="77777777" w:rsidR="003273BD" w:rsidRPr="00245E91" w:rsidRDefault="003273BD" w:rsidP="003273BD">
            <w:pPr>
              <w:spacing w:line="240" w:lineRule="auto"/>
              <w:contextualSpacing/>
              <w:rPr>
                <w:rFonts w:ascii="Times New Roman" w:hAnsi="Times New Roman"/>
                <w:color w:val="000000"/>
                <w:sz w:val="15"/>
                <w:szCs w:val="15"/>
              </w:rPr>
            </w:pPr>
          </w:p>
        </w:tc>
        <w:tc>
          <w:tcPr>
            <w:tcW w:w="533" w:type="pct"/>
            <w:tcBorders>
              <w:top w:val="nil"/>
              <w:left w:val="single" w:sz="4" w:space="0" w:color="auto"/>
              <w:bottom w:val="nil"/>
              <w:right w:val="nil"/>
            </w:tcBorders>
            <w:shd w:val="clear" w:color="auto" w:fill="auto"/>
            <w:noWrap/>
            <w:vAlign w:val="bottom"/>
            <w:hideMark/>
          </w:tcPr>
          <w:p w14:paraId="40CA3CEA" w14:textId="77777777" w:rsidR="003273BD" w:rsidRPr="00245E91" w:rsidRDefault="003273BD" w:rsidP="003273BD">
            <w:pPr>
              <w:spacing w:line="240" w:lineRule="auto"/>
              <w:contextualSpacing/>
              <w:rPr>
                <w:rFonts w:ascii="Times New Roman" w:hAnsi="Times New Roman"/>
                <w:sz w:val="15"/>
                <w:szCs w:val="15"/>
              </w:rPr>
            </w:pPr>
          </w:p>
        </w:tc>
        <w:tc>
          <w:tcPr>
            <w:tcW w:w="534" w:type="pct"/>
            <w:tcBorders>
              <w:top w:val="nil"/>
              <w:left w:val="nil"/>
              <w:bottom w:val="nil"/>
              <w:right w:val="nil"/>
            </w:tcBorders>
            <w:shd w:val="clear" w:color="auto" w:fill="auto"/>
            <w:noWrap/>
            <w:vAlign w:val="bottom"/>
            <w:hideMark/>
          </w:tcPr>
          <w:p w14:paraId="298FB726" w14:textId="77777777" w:rsidR="003273BD" w:rsidRPr="00245E91" w:rsidRDefault="003273BD" w:rsidP="003273BD">
            <w:pPr>
              <w:spacing w:line="240" w:lineRule="auto"/>
              <w:contextualSpacing/>
              <w:rPr>
                <w:rFonts w:ascii="Times New Roman" w:hAnsi="Times New Roman"/>
                <w:sz w:val="15"/>
                <w:szCs w:val="15"/>
              </w:rPr>
            </w:pPr>
          </w:p>
        </w:tc>
        <w:tc>
          <w:tcPr>
            <w:tcW w:w="533" w:type="pct"/>
            <w:tcBorders>
              <w:top w:val="nil"/>
              <w:left w:val="nil"/>
              <w:bottom w:val="nil"/>
              <w:right w:val="nil"/>
            </w:tcBorders>
            <w:shd w:val="clear" w:color="auto" w:fill="auto"/>
            <w:noWrap/>
            <w:vAlign w:val="bottom"/>
            <w:hideMark/>
          </w:tcPr>
          <w:p w14:paraId="0971F3F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0.120</w:t>
            </w:r>
          </w:p>
        </w:tc>
        <w:tc>
          <w:tcPr>
            <w:tcW w:w="535" w:type="pct"/>
            <w:tcBorders>
              <w:top w:val="nil"/>
              <w:left w:val="nil"/>
              <w:bottom w:val="nil"/>
              <w:right w:val="nil"/>
            </w:tcBorders>
            <w:shd w:val="clear" w:color="auto" w:fill="auto"/>
            <w:noWrap/>
            <w:vAlign w:val="bottom"/>
            <w:hideMark/>
          </w:tcPr>
          <w:p w14:paraId="73A9F9D0" w14:textId="77777777" w:rsidR="003273BD" w:rsidRPr="00245E91" w:rsidRDefault="003273BD" w:rsidP="003273BD">
            <w:pPr>
              <w:spacing w:line="240" w:lineRule="auto"/>
              <w:contextualSpacing/>
              <w:rPr>
                <w:rFonts w:ascii="Times New Roman" w:hAnsi="Times New Roman"/>
                <w:color w:val="000000"/>
                <w:sz w:val="15"/>
                <w:szCs w:val="15"/>
              </w:rPr>
            </w:pPr>
          </w:p>
        </w:tc>
      </w:tr>
      <w:tr w:rsidR="003273BD" w:rsidRPr="00245E91" w14:paraId="39B52EC5" w14:textId="77777777" w:rsidTr="00245E91">
        <w:trPr>
          <w:trHeight w:val="144"/>
        </w:trPr>
        <w:tc>
          <w:tcPr>
            <w:tcW w:w="727" w:type="pct"/>
            <w:tcBorders>
              <w:top w:val="nil"/>
              <w:left w:val="nil"/>
              <w:bottom w:val="nil"/>
              <w:right w:val="nil"/>
            </w:tcBorders>
            <w:shd w:val="clear" w:color="auto" w:fill="auto"/>
            <w:noWrap/>
            <w:vAlign w:val="bottom"/>
            <w:hideMark/>
          </w:tcPr>
          <w:p w14:paraId="1B5D4256" w14:textId="77777777" w:rsidR="003273BD" w:rsidRPr="00245E91" w:rsidRDefault="003273BD" w:rsidP="003273BD">
            <w:pPr>
              <w:spacing w:after="0" w:line="240" w:lineRule="auto"/>
              <w:contextualSpacing/>
              <w:rPr>
                <w:rFonts w:ascii="Times New Roman" w:eastAsia="Times New Roman" w:hAnsi="Times New Roman"/>
                <w:i/>
                <w:sz w:val="15"/>
                <w:szCs w:val="15"/>
              </w:rPr>
            </w:pPr>
          </w:p>
        </w:tc>
        <w:tc>
          <w:tcPr>
            <w:tcW w:w="534" w:type="pct"/>
            <w:tcBorders>
              <w:top w:val="nil"/>
              <w:left w:val="nil"/>
              <w:bottom w:val="nil"/>
              <w:right w:val="nil"/>
            </w:tcBorders>
            <w:shd w:val="clear" w:color="auto" w:fill="auto"/>
            <w:noWrap/>
            <w:vAlign w:val="bottom"/>
            <w:hideMark/>
          </w:tcPr>
          <w:p w14:paraId="63C6A386" w14:textId="77777777" w:rsidR="003273BD" w:rsidRPr="00245E91" w:rsidRDefault="003273BD" w:rsidP="003273BD">
            <w:pPr>
              <w:spacing w:line="240" w:lineRule="auto"/>
              <w:contextualSpacing/>
              <w:rPr>
                <w:rFonts w:ascii="Times New Roman" w:hAnsi="Times New Roman"/>
                <w:sz w:val="15"/>
                <w:szCs w:val="15"/>
              </w:rPr>
            </w:pPr>
          </w:p>
        </w:tc>
        <w:tc>
          <w:tcPr>
            <w:tcW w:w="534" w:type="pct"/>
            <w:tcBorders>
              <w:top w:val="nil"/>
              <w:left w:val="nil"/>
              <w:bottom w:val="nil"/>
              <w:right w:val="nil"/>
            </w:tcBorders>
            <w:shd w:val="clear" w:color="auto" w:fill="auto"/>
            <w:noWrap/>
            <w:vAlign w:val="bottom"/>
            <w:hideMark/>
          </w:tcPr>
          <w:p w14:paraId="567C340E" w14:textId="77777777" w:rsidR="003273BD" w:rsidRPr="00245E91" w:rsidRDefault="003273BD" w:rsidP="003273BD">
            <w:pPr>
              <w:spacing w:line="240" w:lineRule="auto"/>
              <w:contextualSpacing/>
              <w:rPr>
                <w:rFonts w:ascii="Times New Roman" w:hAnsi="Times New Roman"/>
                <w:sz w:val="15"/>
                <w:szCs w:val="15"/>
              </w:rPr>
            </w:pPr>
          </w:p>
        </w:tc>
        <w:tc>
          <w:tcPr>
            <w:tcW w:w="534" w:type="pct"/>
            <w:tcBorders>
              <w:top w:val="nil"/>
              <w:left w:val="nil"/>
              <w:bottom w:val="nil"/>
              <w:right w:val="nil"/>
            </w:tcBorders>
            <w:shd w:val="clear" w:color="auto" w:fill="auto"/>
            <w:noWrap/>
            <w:vAlign w:val="bottom"/>
            <w:hideMark/>
          </w:tcPr>
          <w:p w14:paraId="75E5D7E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(3.72***)</w:t>
            </w:r>
          </w:p>
        </w:tc>
        <w:tc>
          <w:tcPr>
            <w:tcW w:w="535" w:type="pct"/>
            <w:tcBorders>
              <w:top w:val="nil"/>
              <w:left w:val="nil"/>
              <w:bottom w:val="nil"/>
              <w:right w:val="single" w:sz="4" w:space="0" w:color="auto"/>
            </w:tcBorders>
            <w:shd w:val="clear" w:color="auto" w:fill="auto"/>
            <w:noWrap/>
            <w:vAlign w:val="bottom"/>
            <w:hideMark/>
          </w:tcPr>
          <w:p w14:paraId="0D987217" w14:textId="77777777" w:rsidR="003273BD" w:rsidRPr="00245E91" w:rsidRDefault="003273BD" w:rsidP="003273BD">
            <w:pPr>
              <w:spacing w:line="240" w:lineRule="auto"/>
              <w:contextualSpacing/>
              <w:rPr>
                <w:rFonts w:ascii="Times New Roman" w:hAnsi="Times New Roman"/>
                <w:color w:val="000000"/>
                <w:sz w:val="15"/>
                <w:szCs w:val="15"/>
              </w:rPr>
            </w:pPr>
          </w:p>
        </w:tc>
        <w:tc>
          <w:tcPr>
            <w:tcW w:w="533" w:type="pct"/>
            <w:tcBorders>
              <w:top w:val="nil"/>
              <w:left w:val="single" w:sz="4" w:space="0" w:color="auto"/>
              <w:bottom w:val="nil"/>
              <w:right w:val="nil"/>
            </w:tcBorders>
            <w:shd w:val="clear" w:color="auto" w:fill="auto"/>
            <w:noWrap/>
            <w:vAlign w:val="bottom"/>
            <w:hideMark/>
          </w:tcPr>
          <w:p w14:paraId="2C5DA69C" w14:textId="77777777" w:rsidR="003273BD" w:rsidRPr="00245E91" w:rsidRDefault="003273BD" w:rsidP="003273BD">
            <w:pPr>
              <w:spacing w:line="240" w:lineRule="auto"/>
              <w:contextualSpacing/>
              <w:rPr>
                <w:rFonts w:ascii="Times New Roman" w:hAnsi="Times New Roman"/>
                <w:sz w:val="15"/>
                <w:szCs w:val="15"/>
              </w:rPr>
            </w:pPr>
          </w:p>
        </w:tc>
        <w:tc>
          <w:tcPr>
            <w:tcW w:w="534" w:type="pct"/>
            <w:tcBorders>
              <w:top w:val="nil"/>
              <w:left w:val="nil"/>
              <w:bottom w:val="nil"/>
              <w:right w:val="nil"/>
            </w:tcBorders>
            <w:shd w:val="clear" w:color="auto" w:fill="auto"/>
            <w:noWrap/>
            <w:vAlign w:val="bottom"/>
            <w:hideMark/>
          </w:tcPr>
          <w:p w14:paraId="1FCD88BD" w14:textId="77777777" w:rsidR="003273BD" w:rsidRPr="00245E91" w:rsidRDefault="003273BD" w:rsidP="003273BD">
            <w:pPr>
              <w:spacing w:line="240" w:lineRule="auto"/>
              <w:contextualSpacing/>
              <w:rPr>
                <w:rFonts w:ascii="Times New Roman" w:hAnsi="Times New Roman"/>
                <w:sz w:val="15"/>
                <w:szCs w:val="15"/>
              </w:rPr>
            </w:pPr>
          </w:p>
        </w:tc>
        <w:tc>
          <w:tcPr>
            <w:tcW w:w="533" w:type="pct"/>
            <w:tcBorders>
              <w:top w:val="nil"/>
              <w:left w:val="nil"/>
              <w:bottom w:val="nil"/>
              <w:right w:val="nil"/>
            </w:tcBorders>
            <w:shd w:val="clear" w:color="auto" w:fill="auto"/>
            <w:noWrap/>
            <w:vAlign w:val="bottom"/>
            <w:hideMark/>
          </w:tcPr>
          <w:p w14:paraId="2B037AE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(2.82***)</w:t>
            </w:r>
          </w:p>
        </w:tc>
        <w:tc>
          <w:tcPr>
            <w:tcW w:w="535" w:type="pct"/>
            <w:tcBorders>
              <w:top w:val="nil"/>
              <w:left w:val="nil"/>
              <w:bottom w:val="nil"/>
              <w:right w:val="nil"/>
            </w:tcBorders>
            <w:shd w:val="clear" w:color="auto" w:fill="auto"/>
            <w:noWrap/>
            <w:vAlign w:val="bottom"/>
            <w:hideMark/>
          </w:tcPr>
          <w:p w14:paraId="3F8DB067" w14:textId="77777777" w:rsidR="003273BD" w:rsidRPr="00245E91" w:rsidRDefault="003273BD" w:rsidP="003273BD">
            <w:pPr>
              <w:spacing w:line="240" w:lineRule="auto"/>
              <w:contextualSpacing/>
              <w:rPr>
                <w:rFonts w:ascii="Times New Roman" w:hAnsi="Times New Roman"/>
                <w:color w:val="000000"/>
                <w:sz w:val="15"/>
                <w:szCs w:val="15"/>
              </w:rPr>
            </w:pPr>
          </w:p>
        </w:tc>
      </w:tr>
      <w:tr w:rsidR="003273BD" w:rsidRPr="00245E91" w14:paraId="0E185BFF" w14:textId="77777777" w:rsidTr="00245E91">
        <w:trPr>
          <w:trHeight w:val="144"/>
        </w:trPr>
        <w:tc>
          <w:tcPr>
            <w:tcW w:w="727" w:type="pct"/>
            <w:tcBorders>
              <w:top w:val="nil"/>
              <w:left w:val="nil"/>
              <w:bottom w:val="nil"/>
              <w:right w:val="nil"/>
            </w:tcBorders>
            <w:shd w:val="clear" w:color="auto" w:fill="auto"/>
            <w:noWrap/>
            <w:vAlign w:val="bottom"/>
            <w:hideMark/>
          </w:tcPr>
          <w:p w14:paraId="76CFFCC0"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RESID_RM2</w:t>
            </w:r>
          </w:p>
        </w:tc>
        <w:tc>
          <w:tcPr>
            <w:tcW w:w="534" w:type="pct"/>
            <w:tcBorders>
              <w:top w:val="nil"/>
              <w:left w:val="nil"/>
              <w:bottom w:val="nil"/>
              <w:right w:val="nil"/>
            </w:tcBorders>
            <w:shd w:val="clear" w:color="auto" w:fill="auto"/>
            <w:noWrap/>
            <w:vAlign w:val="bottom"/>
            <w:hideMark/>
          </w:tcPr>
          <w:p w14:paraId="24205301" w14:textId="77777777" w:rsidR="003273BD" w:rsidRPr="00245E91" w:rsidRDefault="003273BD" w:rsidP="003273BD">
            <w:pPr>
              <w:spacing w:line="240" w:lineRule="auto"/>
              <w:contextualSpacing/>
              <w:rPr>
                <w:rFonts w:ascii="Times New Roman" w:hAnsi="Times New Roman"/>
                <w:sz w:val="15"/>
                <w:szCs w:val="15"/>
              </w:rPr>
            </w:pPr>
          </w:p>
        </w:tc>
        <w:tc>
          <w:tcPr>
            <w:tcW w:w="534" w:type="pct"/>
            <w:tcBorders>
              <w:top w:val="nil"/>
              <w:left w:val="nil"/>
              <w:bottom w:val="nil"/>
              <w:right w:val="nil"/>
            </w:tcBorders>
            <w:shd w:val="clear" w:color="auto" w:fill="auto"/>
            <w:noWrap/>
            <w:vAlign w:val="bottom"/>
            <w:hideMark/>
          </w:tcPr>
          <w:p w14:paraId="071D0D95" w14:textId="77777777" w:rsidR="003273BD" w:rsidRPr="00245E91" w:rsidRDefault="003273BD" w:rsidP="003273BD">
            <w:pPr>
              <w:spacing w:line="240" w:lineRule="auto"/>
              <w:contextualSpacing/>
              <w:rPr>
                <w:rFonts w:ascii="Times New Roman" w:hAnsi="Times New Roman"/>
                <w:sz w:val="15"/>
                <w:szCs w:val="15"/>
              </w:rPr>
            </w:pPr>
          </w:p>
        </w:tc>
        <w:tc>
          <w:tcPr>
            <w:tcW w:w="534" w:type="pct"/>
            <w:tcBorders>
              <w:top w:val="nil"/>
              <w:left w:val="nil"/>
              <w:bottom w:val="nil"/>
              <w:right w:val="nil"/>
            </w:tcBorders>
            <w:shd w:val="clear" w:color="auto" w:fill="auto"/>
            <w:noWrap/>
            <w:vAlign w:val="bottom"/>
            <w:hideMark/>
          </w:tcPr>
          <w:p w14:paraId="009EB3CC" w14:textId="77777777" w:rsidR="003273BD" w:rsidRPr="00245E91" w:rsidRDefault="003273BD" w:rsidP="003273BD">
            <w:pPr>
              <w:spacing w:line="240" w:lineRule="auto"/>
              <w:contextualSpacing/>
              <w:rPr>
                <w:rFonts w:ascii="Times New Roman" w:hAnsi="Times New Roman"/>
                <w:sz w:val="15"/>
                <w:szCs w:val="15"/>
              </w:rPr>
            </w:pPr>
          </w:p>
        </w:tc>
        <w:tc>
          <w:tcPr>
            <w:tcW w:w="535" w:type="pct"/>
            <w:tcBorders>
              <w:top w:val="nil"/>
              <w:left w:val="nil"/>
              <w:bottom w:val="nil"/>
              <w:right w:val="single" w:sz="4" w:space="0" w:color="auto"/>
            </w:tcBorders>
            <w:shd w:val="clear" w:color="auto" w:fill="auto"/>
            <w:noWrap/>
            <w:vAlign w:val="bottom"/>
            <w:hideMark/>
          </w:tcPr>
          <w:p w14:paraId="6364421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0.143</w:t>
            </w:r>
          </w:p>
        </w:tc>
        <w:tc>
          <w:tcPr>
            <w:tcW w:w="533" w:type="pct"/>
            <w:tcBorders>
              <w:top w:val="nil"/>
              <w:left w:val="single" w:sz="4" w:space="0" w:color="auto"/>
              <w:bottom w:val="nil"/>
              <w:right w:val="nil"/>
            </w:tcBorders>
            <w:shd w:val="clear" w:color="auto" w:fill="auto"/>
            <w:noWrap/>
            <w:vAlign w:val="bottom"/>
            <w:hideMark/>
          </w:tcPr>
          <w:p w14:paraId="18487A46" w14:textId="77777777" w:rsidR="003273BD" w:rsidRPr="00245E91" w:rsidRDefault="003273BD" w:rsidP="003273BD">
            <w:pPr>
              <w:spacing w:line="240" w:lineRule="auto"/>
              <w:contextualSpacing/>
              <w:rPr>
                <w:rFonts w:ascii="Times New Roman" w:hAnsi="Times New Roman"/>
                <w:color w:val="000000"/>
                <w:sz w:val="15"/>
                <w:szCs w:val="15"/>
              </w:rPr>
            </w:pPr>
          </w:p>
        </w:tc>
        <w:tc>
          <w:tcPr>
            <w:tcW w:w="534" w:type="pct"/>
            <w:tcBorders>
              <w:top w:val="nil"/>
              <w:left w:val="nil"/>
              <w:bottom w:val="nil"/>
              <w:right w:val="nil"/>
            </w:tcBorders>
            <w:shd w:val="clear" w:color="auto" w:fill="auto"/>
            <w:noWrap/>
            <w:vAlign w:val="bottom"/>
            <w:hideMark/>
          </w:tcPr>
          <w:p w14:paraId="2F878F6B" w14:textId="77777777" w:rsidR="003273BD" w:rsidRPr="00245E91" w:rsidRDefault="003273BD" w:rsidP="003273BD">
            <w:pPr>
              <w:spacing w:line="240" w:lineRule="auto"/>
              <w:contextualSpacing/>
              <w:rPr>
                <w:rFonts w:ascii="Times New Roman" w:hAnsi="Times New Roman"/>
                <w:sz w:val="15"/>
                <w:szCs w:val="15"/>
              </w:rPr>
            </w:pPr>
          </w:p>
        </w:tc>
        <w:tc>
          <w:tcPr>
            <w:tcW w:w="533" w:type="pct"/>
            <w:tcBorders>
              <w:top w:val="nil"/>
              <w:left w:val="nil"/>
              <w:bottom w:val="nil"/>
              <w:right w:val="nil"/>
            </w:tcBorders>
            <w:shd w:val="clear" w:color="auto" w:fill="auto"/>
            <w:noWrap/>
            <w:vAlign w:val="bottom"/>
            <w:hideMark/>
          </w:tcPr>
          <w:p w14:paraId="7E95DA5A" w14:textId="77777777" w:rsidR="003273BD" w:rsidRPr="00245E91" w:rsidRDefault="003273BD" w:rsidP="003273BD">
            <w:pPr>
              <w:spacing w:line="240" w:lineRule="auto"/>
              <w:contextualSpacing/>
              <w:rPr>
                <w:rFonts w:ascii="Times New Roman" w:hAnsi="Times New Roman"/>
                <w:sz w:val="15"/>
                <w:szCs w:val="15"/>
              </w:rPr>
            </w:pPr>
          </w:p>
        </w:tc>
        <w:tc>
          <w:tcPr>
            <w:tcW w:w="535" w:type="pct"/>
            <w:tcBorders>
              <w:top w:val="nil"/>
              <w:left w:val="nil"/>
              <w:bottom w:val="nil"/>
              <w:right w:val="nil"/>
            </w:tcBorders>
            <w:shd w:val="clear" w:color="auto" w:fill="auto"/>
            <w:noWrap/>
            <w:vAlign w:val="bottom"/>
            <w:hideMark/>
          </w:tcPr>
          <w:p w14:paraId="55E6B0C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0.142</w:t>
            </w:r>
          </w:p>
        </w:tc>
      </w:tr>
      <w:tr w:rsidR="003273BD" w:rsidRPr="00245E91" w14:paraId="6F6DFDAC" w14:textId="77777777" w:rsidTr="00245E91">
        <w:trPr>
          <w:trHeight w:val="144"/>
        </w:trPr>
        <w:tc>
          <w:tcPr>
            <w:tcW w:w="727" w:type="pct"/>
            <w:tcBorders>
              <w:top w:val="nil"/>
              <w:left w:val="nil"/>
              <w:bottom w:val="nil"/>
              <w:right w:val="nil"/>
            </w:tcBorders>
            <w:shd w:val="clear" w:color="auto" w:fill="auto"/>
            <w:noWrap/>
            <w:vAlign w:val="bottom"/>
            <w:hideMark/>
          </w:tcPr>
          <w:p w14:paraId="578E04BA" w14:textId="77777777" w:rsidR="003273BD" w:rsidRPr="00245E91" w:rsidRDefault="003273BD" w:rsidP="003273BD">
            <w:pPr>
              <w:spacing w:after="0" w:line="240" w:lineRule="auto"/>
              <w:contextualSpacing/>
              <w:rPr>
                <w:rFonts w:ascii="Times New Roman" w:eastAsia="Times New Roman" w:hAnsi="Times New Roman"/>
                <w:color w:val="000000"/>
                <w:sz w:val="15"/>
                <w:szCs w:val="15"/>
              </w:rPr>
            </w:pPr>
          </w:p>
        </w:tc>
        <w:tc>
          <w:tcPr>
            <w:tcW w:w="534" w:type="pct"/>
            <w:tcBorders>
              <w:top w:val="nil"/>
              <w:left w:val="nil"/>
              <w:bottom w:val="nil"/>
              <w:right w:val="nil"/>
            </w:tcBorders>
            <w:shd w:val="clear" w:color="auto" w:fill="auto"/>
            <w:noWrap/>
            <w:vAlign w:val="bottom"/>
            <w:hideMark/>
          </w:tcPr>
          <w:p w14:paraId="7E582B28" w14:textId="77777777" w:rsidR="003273BD" w:rsidRPr="00245E91" w:rsidRDefault="003273BD" w:rsidP="003273BD">
            <w:pPr>
              <w:spacing w:line="240" w:lineRule="auto"/>
              <w:contextualSpacing/>
              <w:rPr>
                <w:rFonts w:ascii="Times New Roman" w:hAnsi="Times New Roman"/>
                <w:color w:val="000000"/>
                <w:sz w:val="15"/>
                <w:szCs w:val="15"/>
              </w:rPr>
            </w:pPr>
          </w:p>
        </w:tc>
        <w:tc>
          <w:tcPr>
            <w:tcW w:w="534" w:type="pct"/>
            <w:tcBorders>
              <w:top w:val="nil"/>
              <w:left w:val="nil"/>
              <w:bottom w:val="nil"/>
              <w:right w:val="nil"/>
            </w:tcBorders>
            <w:shd w:val="clear" w:color="auto" w:fill="auto"/>
            <w:noWrap/>
            <w:vAlign w:val="bottom"/>
            <w:hideMark/>
          </w:tcPr>
          <w:p w14:paraId="177CAAB3" w14:textId="77777777" w:rsidR="003273BD" w:rsidRPr="00245E91" w:rsidRDefault="003273BD" w:rsidP="003273BD">
            <w:pPr>
              <w:spacing w:line="240" w:lineRule="auto"/>
              <w:contextualSpacing/>
              <w:rPr>
                <w:rFonts w:ascii="Times New Roman" w:hAnsi="Times New Roman"/>
                <w:sz w:val="15"/>
                <w:szCs w:val="15"/>
              </w:rPr>
            </w:pPr>
          </w:p>
        </w:tc>
        <w:tc>
          <w:tcPr>
            <w:tcW w:w="534" w:type="pct"/>
            <w:tcBorders>
              <w:top w:val="nil"/>
              <w:left w:val="nil"/>
              <w:bottom w:val="nil"/>
              <w:right w:val="nil"/>
            </w:tcBorders>
            <w:shd w:val="clear" w:color="auto" w:fill="auto"/>
            <w:noWrap/>
            <w:vAlign w:val="bottom"/>
            <w:hideMark/>
          </w:tcPr>
          <w:p w14:paraId="24AD5099" w14:textId="77777777" w:rsidR="003273BD" w:rsidRPr="00245E91" w:rsidRDefault="003273BD" w:rsidP="003273BD">
            <w:pPr>
              <w:spacing w:line="240" w:lineRule="auto"/>
              <w:contextualSpacing/>
              <w:rPr>
                <w:rFonts w:ascii="Times New Roman" w:hAnsi="Times New Roman"/>
                <w:sz w:val="15"/>
                <w:szCs w:val="15"/>
              </w:rPr>
            </w:pPr>
          </w:p>
        </w:tc>
        <w:tc>
          <w:tcPr>
            <w:tcW w:w="535" w:type="pct"/>
            <w:tcBorders>
              <w:top w:val="nil"/>
              <w:left w:val="nil"/>
              <w:bottom w:val="nil"/>
              <w:right w:val="single" w:sz="4" w:space="0" w:color="auto"/>
            </w:tcBorders>
            <w:shd w:val="clear" w:color="auto" w:fill="auto"/>
            <w:noWrap/>
            <w:vAlign w:val="bottom"/>
            <w:hideMark/>
          </w:tcPr>
          <w:p w14:paraId="27F9C09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(4.17***)</w:t>
            </w:r>
          </w:p>
        </w:tc>
        <w:tc>
          <w:tcPr>
            <w:tcW w:w="533" w:type="pct"/>
            <w:tcBorders>
              <w:top w:val="nil"/>
              <w:left w:val="single" w:sz="4" w:space="0" w:color="auto"/>
              <w:bottom w:val="nil"/>
              <w:right w:val="nil"/>
            </w:tcBorders>
            <w:shd w:val="clear" w:color="auto" w:fill="auto"/>
            <w:noWrap/>
            <w:vAlign w:val="bottom"/>
            <w:hideMark/>
          </w:tcPr>
          <w:p w14:paraId="335D635A" w14:textId="77777777" w:rsidR="003273BD" w:rsidRPr="00245E91" w:rsidRDefault="003273BD" w:rsidP="003273BD">
            <w:pPr>
              <w:spacing w:line="240" w:lineRule="auto"/>
              <w:contextualSpacing/>
              <w:rPr>
                <w:rFonts w:ascii="Times New Roman" w:hAnsi="Times New Roman"/>
                <w:color w:val="000000"/>
                <w:sz w:val="15"/>
                <w:szCs w:val="15"/>
              </w:rPr>
            </w:pPr>
          </w:p>
        </w:tc>
        <w:tc>
          <w:tcPr>
            <w:tcW w:w="534" w:type="pct"/>
            <w:tcBorders>
              <w:top w:val="nil"/>
              <w:left w:val="nil"/>
              <w:bottom w:val="nil"/>
              <w:right w:val="nil"/>
            </w:tcBorders>
            <w:shd w:val="clear" w:color="auto" w:fill="auto"/>
            <w:noWrap/>
            <w:vAlign w:val="bottom"/>
            <w:hideMark/>
          </w:tcPr>
          <w:p w14:paraId="20B94405" w14:textId="77777777" w:rsidR="003273BD" w:rsidRPr="00245E91" w:rsidRDefault="003273BD" w:rsidP="003273BD">
            <w:pPr>
              <w:spacing w:line="240" w:lineRule="auto"/>
              <w:contextualSpacing/>
              <w:rPr>
                <w:rFonts w:ascii="Times New Roman" w:hAnsi="Times New Roman"/>
                <w:sz w:val="15"/>
                <w:szCs w:val="15"/>
              </w:rPr>
            </w:pPr>
          </w:p>
        </w:tc>
        <w:tc>
          <w:tcPr>
            <w:tcW w:w="533" w:type="pct"/>
            <w:tcBorders>
              <w:top w:val="nil"/>
              <w:left w:val="nil"/>
              <w:bottom w:val="nil"/>
              <w:right w:val="nil"/>
            </w:tcBorders>
            <w:shd w:val="clear" w:color="auto" w:fill="auto"/>
            <w:noWrap/>
            <w:vAlign w:val="bottom"/>
            <w:hideMark/>
          </w:tcPr>
          <w:p w14:paraId="7E7342DD" w14:textId="77777777" w:rsidR="003273BD" w:rsidRPr="00245E91" w:rsidRDefault="003273BD" w:rsidP="003273BD">
            <w:pPr>
              <w:spacing w:line="240" w:lineRule="auto"/>
              <w:contextualSpacing/>
              <w:rPr>
                <w:rFonts w:ascii="Times New Roman" w:hAnsi="Times New Roman"/>
                <w:sz w:val="15"/>
                <w:szCs w:val="15"/>
              </w:rPr>
            </w:pPr>
          </w:p>
        </w:tc>
        <w:tc>
          <w:tcPr>
            <w:tcW w:w="535" w:type="pct"/>
            <w:tcBorders>
              <w:top w:val="nil"/>
              <w:left w:val="nil"/>
              <w:bottom w:val="nil"/>
              <w:right w:val="nil"/>
            </w:tcBorders>
            <w:shd w:val="clear" w:color="auto" w:fill="auto"/>
            <w:noWrap/>
            <w:vAlign w:val="bottom"/>
            <w:hideMark/>
          </w:tcPr>
          <w:p w14:paraId="26D90A5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(4.78***)</w:t>
            </w:r>
          </w:p>
        </w:tc>
      </w:tr>
      <w:tr w:rsidR="003273BD" w:rsidRPr="00245E91" w14:paraId="5AD7A72C" w14:textId="77777777" w:rsidTr="00245E91">
        <w:trPr>
          <w:trHeight w:val="144"/>
        </w:trPr>
        <w:tc>
          <w:tcPr>
            <w:tcW w:w="727" w:type="pct"/>
            <w:tcBorders>
              <w:top w:val="nil"/>
              <w:left w:val="nil"/>
              <w:bottom w:val="nil"/>
              <w:right w:val="nil"/>
            </w:tcBorders>
            <w:shd w:val="clear" w:color="auto" w:fill="auto"/>
            <w:noWrap/>
            <w:vAlign w:val="bottom"/>
          </w:tcPr>
          <w:p w14:paraId="12B778E4" w14:textId="77777777" w:rsidR="003273BD" w:rsidRPr="00245E91" w:rsidRDefault="003273BD" w:rsidP="003273BD">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Adj. R-squared</w:t>
            </w:r>
          </w:p>
        </w:tc>
        <w:tc>
          <w:tcPr>
            <w:tcW w:w="534" w:type="pct"/>
            <w:tcBorders>
              <w:top w:val="nil"/>
              <w:left w:val="nil"/>
              <w:bottom w:val="nil"/>
              <w:right w:val="nil"/>
            </w:tcBorders>
            <w:shd w:val="clear" w:color="auto" w:fill="auto"/>
            <w:noWrap/>
            <w:vAlign w:val="bottom"/>
          </w:tcPr>
          <w:p w14:paraId="23A580C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w:t>
            </w:r>
          </w:p>
        </w:tc>
        <w:tc>
          <w:tcPr>
            <w:tcW w:w="534" w:type="pct"/>
            <w:tcBorders>
              <w:top w:val="nil"/>
              <w:left w:val="nil"/>
              <w:bottom w:val="nil"/>
              <w:right w:val="nil"/>
            </w:tcBorders>
            <w:shd w:val="clear" w:color="auto" w:fill="auto"/>
            <w:noWrap/>
            <w:vAlign w:val="bottom"/>
          </w:tcPr>
          <w:p w14:paraId="1F4ACDE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0.15</w:t>
            </w:r>
          </w:p>
        </w:tc>
        <w:tc>
          <w:tcPr>
            <w:tcW w:w="534" w:type="pct"/>
            <w:tcBorders>
              <w:top w:val="nil"/>
              <w:left w:val="nil"/>
              <w:bottom w:val="nil"/>
              <w:right w:val="nil"/>
            </w:tcBorders>
            <w:shd w:val="clear" w:color="auto" w:fill="auto"/>
            <w:noWrap/>
            <w:vAlign w:val="bottom"/>
          </w:tcPr>
          <w:p w14:paraId="13C9EED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0.20</w:t>
            </w:r>
          </w:p>
        </w:tc>
        <w:tc>
          <w:tcPr>
            <w:tcW w:w="535" w:type="pct"/>
            <w:tcBorders>
              <w:top w:val="nil"/>
              <w:left w:val="nil"/>
              <w:bottom w:val="nil"/>
              <w:right w:val="single" w:sz="4" w:space="0" w:color="auto"/>
            </w:tcBorders>
            <w:shd w:val="clear" w:color="auto" w:fill="auto"/>
            <w:noWrap/>
            <w:vAlign w:val="bottom"/>
          </w:tcPr>
          <w:p w14:paraId="44DB578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0.20</w:t>
            </w:r>
          </w:p>
        </w:tc>
        <w:tc>
          <w:tcPr>
            <w:tcW w:w="533" w:type="pct"/>
            <w:tcBorders>
              <w:top w:val="nil"/>
              <w:left w:val="single" w:sz="4" w:space="0" w:color="auto"/>
              <w:bottom w:val="nil"/>
              <w:right w:val="nil"/>
            </w:tcBorders>
            <w:shd w:val="clear" w:color="auto" w:fill="auto"/>
            <w:noWrap/>
            <w:vAlign w:val="bottom"/>
          </w:tcPr>
          <w:p w14:paraId="2DB90E0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0.11</w:t>
            </w:r>
          </w:p>
        </w:tc>
        <w:tc>
          <w:tcPr>
            <w:tcW w:w="534" w:type="pct"/>
            <w:tcBorders>
              <w:top w:val="nil"/>
              <w:left w:val="nil"/>
              <w:bottom w:val="nil"/>
              <w:right w:val="nil"/>
            </w:tcBorders>
            <w:shd w:val="clear" w:color="auto" w:fill="auto"/>
            <w:noWrap/>
            <w:vAlign w:val="bottom"/>
          </w:tcPr>
          <w:p w14:paraId="2F5C5A1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0.14</w:t>
            </w:r>
          </w:p>
        </w:tc>
        <w:tc>
          <w:tcPr>
            <w:tcW w:w="533" w:type="pct"/>
            <w:tcBorders>
              <w:top w:val="nil"/>
              <w:left w:val="nil"/>
              <w:bottom w:val="nil"/>
              <w:right w:val="nil"/>
            </w:tcBorders>
            <w:shd w:val="clear" w:color="auto" w:fill="auto"/>
            <w:noWrap/>
            <w:vAlign w:val="bottom"/>
          </w:tcPr>
          <w:p w14:paraId="04FA0B7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0.22</w:t>
            </w:r>
          </w:p>
        </w:tc>
        <w:tc>
          <w:tcPr>
            <w:tcW w:w="535" w:type="pct"/>
            <w:tcBorders>
              <w:top w:val="nil"/>
              <w:left w:val="nil"/>
              <w:bottom w:val="nil"/>
              <w:right w:val="nil"/>
            </w:tcBorders>
            <w:shd w:val="clear" w:color="auto" w:fill="auto"/>
            <w:noWrap/>
            <w:vAlign w:val="bottom"/>
          </w:tcPr>
          <w:p w14:paraId="0797850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0.22</w:t>
            </w:r>
          </w:p>
        </w:tc>
      </w:tr>
      <w:tr w:rsidR="003273BD" w:rsidRPr="00245E91" w14:paraId="533A1566" w14:textId="77777777" w:rsidTr="00245E91">
        <w:trPr>
          <w:trHeight w:val="144"/>
        </w:trPr>
        <w:tc>
          <w:tcPr>
            <w:tcW w:w="727" w:type="pct"/>
            <w:tcBorders>
              <w:top w:val="nil"/>
              <w:left w:val="nil"/>
              <w:bottom w:val="nil"/>
              <w:right w:val="nil"/>
            </w:tcBorders>
            <w:shd w:val="clear" w:color="auto" w:fill="auto"/>
            <w:noWrap/>
            <w:vAlign w:val="bottom"/>
            <w:hideMark/>
          </w:tcPr>
          <w:p w14:paraId="1E353B52" w14:textId="77777777" w:rsidR="003273BD" w:rsidRPr="00245E91" w:rsidRDefault="003273BD" w:rsidP="003273BD">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Year fixed effect</w:t>
            </w:r>
          </w:p>
        </w:tc>
        <w:tc>
          <w:tcPr>
            <w:tcW w:w="534" w:type="pct"/>
            <w:tcBorders>
              <w:top w:val="nil"/>
              <w:left w:val="nil"/>
              <w:bottom w:val="nil"/>
              <w:right w:val="nil"/>
            </w:tcBorders>
            <w:shd w:val="clear" w:color="auto" w:fill="auto"/>
            <w:noWrap/>
            <w:vAlign w:val="bottom"/>
            <w:hideMark/>
          </w:tcPr>
          <w:p w14:paraId="7B3187A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4" w:type="pct"/>
            <w:tcBorders>
              <w:top w:val="nil"/>
              <w:left w:val="nil"/>
              <w:bottom w:val="nil"/>
              <w:right w:val="nil"/>
            </w:tcBorders>
            <w:shd w:val="clear" w:color="auto" w:fill="auto"/>
            <w:noWrap/>
            <w:vAlign w:val="bottom"/>
            <w:hideMark/>
          </w:tcPr>
          <w:p w14:paraId="362F4F0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4" w:type="pct"/>
            <w:tcBorders>
              <w:top w:val="nil"/>
              <w:left w:val="nil"/>
              <w:bottom w:val="nil"/>
              <w:right w:val="nil"/>
            </w:tcBorders>
            <w:shd w:val="clear" w:color="auto" w:fill="auto"/>
            <w:noWrap/>
            <w:vAlign w:val="bottom"/>
            <w:hideMark/>
          </w:tcPr>
          <w:p w14:paraId="4FF8263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5" w:type="pct"/>
            <w:tcBorders>
              <w:top w:val="nil"/>
              <w:left w:val="nil"/>
              <w:bottom w:val="nil"/>
              <w:right w:val="single" w:sz="4" w:space="0" w:color="auto"/>
            </w:tcBorders>
            <w:shd w:val="clear" w:color="auto" w:fill="auto"/>
            <w:noWrap/>
            <w:vAlign w:val="bottom"/>
            <w:hideMark/>
          </w:tcPr>
          <w:p w14:paraId="7DE0232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3" w:type="pct"/>
            <w:tcBorders>
              <w:top w:val="nil"/>
              <w:left w:val="single" w:sz="4" w:space="0" w:color="auto"/>
              <w:bottom w:val="nil"/>
              <w:right w:val="nil"/>
            </w:tcBorders>
            <w:shd w:val="clear" w:color="auto" w:fill="auto"/>
            <w:noWrap/>
            <w:vAlign w:val="bottom"/>
            <w:hideMark/>
          </w:tcPr>
          <w:p w14:paraId="1AB0F74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4" w:type="pct"/>
            <w:tcBorders>
              <w:top w:val="nil"/>
              <w:left w:val="nil"/>
              <w:bottom w:val="nil"/>
              <w:right w:val="nil"/>
            </w:tcBorders>
            <w:shd w:val="clear" w:color="auto" w:fill="auto"/>
            <w:noWrap/>
            <w:vAlign w:val="bottom"/>
            <w:hideMark/>
          </w:tcPr>
          <w:p w14:paraId="120AC7C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3" w:type="pct"/>
            <w:tcBorders>
              <w:top w:val="nil"/>
              <w:left w:val="nil"/>
              <w:bottom w:val="nil"/>
              <w:right w:val="nil"/>
            </w:tcBorders>
            <w:shd w:val="clear" w:color="auto" w:fill="auto"/>
            <w:noWrap/>
            <w:vAlign w:val="bottom"/>
            <w:hideMark/>
          </w:tcPr>
          <w:p w14:paraId="429F734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5" w:type="pct"/>
            <w:tcBorders>
              <w:top w:val="nil"/>
              <w:left w:val="nil"/>
              <w:bottom w:val="nil"/>
              <w:right w:val="nil"/>
            </w:tcBorders>
            <w:shd w:val="clear" w:color="auto" w:fill="auto"/>
            <w:noWrap/>
            <w:vAlign w:val="bottom"/>
            <w:hideMark/>
          </w:tcPr>
          <w:p w14:paraId="7A16AEB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r>
      <w:tr w:rsidR="003273BD" w:rsidRPr="00245E91" w14:paraId="280B8F11" w14:textId="77777777" w:rsidTr="00245E91">
        <w:trPr>
          <w:trHeight w:val="144"/>
        </w:trPr>
        <w:tc>
          <w:tcPr>
            <w:tcW w:w="727" w:type="pct"/>
            <w:tcBorders>
              <w:top w:val="nil"/>
              <w:left w:val="nil"/>
              <w:right w:val="nil"/>
            </w:tcBorders>
            <w:shd w:val="clear" w:color="auto" w:fill="auto"/>
            <w:noWrap/>
            <w:vAlign w:val="bottom"/>
          </w:tcPr>
          <w:p w14:paraId="7653BF65" w14:textId="77777777" w:rsidR="003273BD" w:rsidRPr="00245E91" w:rsidRDefault="003273BD" w:rsidP="003273BD">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Clustered by firm</w:t>
            </w:r>
          </w:p>
        </w:tc>
        <w:tc>
          <w:tcPr>
            <w:tcW w:w="534" w:type="pct"/>
            <w:tcBorders>
              <w:top w:val="nil"/>
              <w:left w:val="nil"/>
              <w:bottom w:val="nil"/>
              <w:right w:val="nil"/>
            </w:tcBorders>
            <w:shd w:val="clear" w:color="auto" w:fill="auto"/>
            <w:noWrap/>
            <w:vAlign w:val="bottom"/>
          </w:tcPr>
          <w:p w14:paraId="05E281A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4" w:type="pct"/>
            <w:tcBorders>
              <w:top w:val="nil"/>
              <w:left w:val="nil"/>
              <w:bottom w:val="nil"/>
              <w:right w:val="nil"/>
            </w:tcBorders>
            <w:shd w:val="clear" w:color="auto" w:fill="auto"/>
            <w:noWrap/>
            <w:vAlign w:val="bottom"/>
          </w:tcPr>
          <w:p w14:paraId="5D939B6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4" w:type="pct"/>
            <w:tcBorders>
              <w:top w:val="nil"/>
              <w:left w:val="nil"/>
              <w:bottom w:val="nil"/>
              <w:right w:val="nil"/>
            </w:tcBorders>
            <w:shd w:val="clear" w:color="auto" w:fill="auto"/>
            <w:noWrap/>
            <w:vAlign w:val="bottom"/>
          </w:tcPr>
          <w:p w14:paraId="02BCEAA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5" w:type="pct"/>
            <w:tcBorders>
              <w:top w:val="nil"/>
              <w:left w:val="nil"/>
              <w:bottom w:val="nil"/>
              <w:right w:val="single" w:sz="4" w:space="0" w:color="auto"/>
            </w:tcBorders>
            <w:shd w:val="clear" w:color="auto" w:fill="auto"/>
            <w:noWrap/>
            <w:vAlign w:val="bottom"/>
          </w:tcPr>
          <w:p w14:paraId="2482B94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3" w:type="pct"/>
            <w:tcBorders>
              <w:top w:val="nil"/>
              <w:left w:val="single" w:sz="4" w:space="0" w:color="auto"/>
              <w:bottom w:val="nil"/>
              <w:right w:val="nil"/>
            </w:tcBorders>
            <w:shd w:val="clear" w:color="auto" w:fill="auto"/>
            <w:noWrap/>
            <w:vAlign w:val="bottom"/>
          </w:tcPr>
          <w:p w14:paraId="460B6E0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4" w:type="pct"/>
            <w:tcBorders>
              <w:top w:val="nil"/>
              <w:left w:val="nil"/>
              <w:bottom w:val="nil"/>
              <w:right w:val="nil"/>
            </w:tcBorders>
            <w:shd w:val="clear" w:color="auto" w:fill="auto"/>
            <w:noWrap/>
            <w:vAlign w:val="bottom"/>
          </w:tcPr>
          <w:p w14:paraId="3F88F61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3" w:type="pct"/>
            <w:tcBorders>
              <w:top w:val="nil"/>
              <w:left w:val="nil"/>
              <w:bottom w:val="nil"/>
              <w:right w:val="nil"/>
            </w:tcBorders>
            <w:shd w:val="clear" w:color="auto" w:fill="auto"/>
            <w:noWrap/>
            <w:vAlign w:val="bottom"/>
          </w:tcPr>
          <w:p w14:paraId="045560E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5" w:type="pct"/>
            <w:tcBorders>
              <w:top w:val="nil"/>
              <w:left w:val="nil"/>
              <w:bottom w:val="nil"/>
              <w:right w:val="nil"/>
            </w:tcBorders>
            <w:shd w:val="clear" w:color="auto" w:fill="auto"/>
            <w:noWrap/>
            <w:vAlign w:val="bottom"/>
          </w:tcPr>
          <w:p w14:paraId="5A73D05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r>
      <w:tr w:rsidR="003273BD" w:rsidRPr="00245E91" w14:paraId="6CF47026" w14:textId="77777777" w:rsidTr="00245E91">
        <w:trPr>
          <w:trHeight w:val="144"/>
        </w:trPr>
        <w:tc>
          <w:tcPr>
            <w:tcW w:w="727" w:type="pct"/>
            <w:tcBorders>
              <w:top w:val="nil"/>
              <w:left w:val="nil"/>
              <w:bottom w:val="single" w:sz="4" w:space="0" w:color="auto"/>
              <w:right w:val="nil"/>
            </w:tcBorders>
            <w:shd w:val="clear" w:color="auto" w:fill="auto"/>
            <w:noWrap/>
            <w:vAlign w:val="bottom"/>
          </w:tcPr>
          <w:p w14:paraId="5E7C3845" w14:textId="77777777" w:rsidR="003273BD" w:rsidRPr="00245E91" w:rsidRDefault="003273BD" w:rsidP="003273BD">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Observations</w:t>
            </w:r>
          </w:p>
        </w:tc>
        <w:tc>
          <w:tcPr>
            <w:tcW w:w="534" w:type="pct"/>
            <w:tcBorders>
              <w:top w:val="nil"/>
              <w:left w:val="nil"/>
              <w:bottom w:val="single" w:sz="4" w:space="0" w:color="auto"/>
              <w:right w:val="nil"/>
            </w:tcBorders>
            <w:shd w:val="clear" w:color="auto" w:fill="auto"/>
            <w:noWrap/>
            <w:vAlign w:val="bottom"/>
          </w:tcPr>
          <w:p w14:paraId="5E8798A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3,169</w:t>
            </w:r>
          </w:p>
        </w:tc>
        <w:tc>
          <w:tcPr>
            <w:tcW w:w="534" w:type="pct"/>
            <w:tcBorders>
              <w:top w:val="nil"/>
              <w:left w:val="nil"/>
              <w:bottom w:val="single" w:sz="4" w:space="0" w:color="auto"/>
              <w:right w:val="nil"/>
            </w:tcBorders>
            <w:shd w:val="clear" w:color="auto" w:fill="auto"/>
            <w:noWrap/>
            <w:vAlign w:val="bottom"/>
          </w:tcPr>
          <w:p w14:paraId="12F7A2C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3,148</w:t>
            </w:r>
          </w:p>
        </w:tc>
        <w:tc>
          <w:tcPr>
            <w:tcW w:w="534" w:type="pct"/>
            <w:tcBorders>
              <w:top w:val="nil"/>
              <w:left w:val="nil"/>
              <w:bottom w:val="single" w:sz="4" w:space="0" w:color="auto"/>
              <w:right w:val="nil"/>
            </w:tcBorders>
            <w:shd w:val="clear" w:color="auto" w:fill="auto"/>
            <w:noWrap/>
            <w:vAlign w:val="bottom"/>
          </w:tcPr>
          <w:p w14:paraId="412D301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3,138</w:t>
            </w:r>
          </w:p>
        </w:tc>
        <w:tc>
          <w:tcPr>
            <w:tcW w:w="535" w:type="pct"/>
            <w:tcBorders>
              <w:top w:val="nil"/>
              <w:left w:val="nil"/>
              <w:bottom w:val="single" w:sz="4" w:space="0" w:color="auto"/>
              <w:right w:val="single" w:sz="4" w:space="0" w:color="auto"/>
            </w:tcBorders>
            <w:shd w:val="clear" w:color="auto" w:fill="auto"/>
            <w:noWrap/>
            <w:vAlign w:val="bottom"/>
          </w:tcPr>
          <w:p w14:paraId="7D99F2B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3,138</w:t>
            </w:r>
          </w:p>
        </w:tc>
        <w:tc>
          <w:tcPr>
            <w:tcW w:w="533" w:type="pct"/>
            <w:tcBorders>
              <w:top w:val="nil"/>
              <w:left w:val="single" w:sz="4" w:space="0" w:color="auto"/>
              <w:bottom w:val="single" w:sz="4" w:space="0" w:color="auto"/>
              <w:right w:val="nil"/>
            </w:tcBorders>
            <w:shd w:val="clear" w:color="auto" w:fill="auto"/>
            <w:noWrap/>
            <w:vAlign w:val="bottom"/>
          </w:tcPr>
          <w:p w14:paraId="1601179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2,808</w:t>
            </w:r>
          </w:p>
        </w:tc>
        <w:tc>
          <w:tcPr>
            <w:tcW w:w="534" w:type="pct"/>
            <w:tcBorders>
              <w:top w:val="nil"/>
              <w:left w:val="nil"/>
              <w:bottom w:val="single" w:sz="4" w:space="0" w:color="auto"/>
              <w:right w:val="nil"/>
            </w:tcBorders>
            <w:shd w:val="clear" w:color="auto" w:fill="auto"/>
            <w:noWrap/>
            <w:vAlign w:val="bottom"/>
          </w:tcPr>
          <w:p w14:paraId="42F2F63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2,783</w:t>
            </w:r>
          </w:p>
        </w:tc>
        <w:tc>
          <w:tcPr>
            <w:tcW w:w="533" w:type="pct"/>
            <w:tcBorders>
              <w:top w:val="nil"/>
              <w:left w:val="nil"/>
              <w:bottom w:val="single" w:sz="4" w:space="0" w:color="auto"/>
              <w:right w:val="nil"/>
            </w:tcBorders>
            <w:shd w:val="clear" w:color="auto" w:fill="auto"/>
            <w:noWrap/>
            <w:vAlign w:val="bottom"/>
          </w:tcPr>
          <w:p w14:paraId="7DDC673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2,775</w:t>
            </w:r>
          </w:p>
        </w:tc>
        <w:tc>
          <w:tcPr>
            <w:tcW w:w="535" w:type="pct"/>
            <w:tcBorders>
              <w:top w:val="nil"/>
              <w:left w:val="nil"/>
              <w:bottom w:val="single" w:sz="4" w:space="0" w:color="auto"/>
              <w:right w:val="nil"/>
            </w:tcBorders>
            <w:shd w:val="clear" w:color="auto" w:fill="auto"/>
            <w:noWrap/>
            <w:vAlign w:val="bottom"/>
          </w:tcPr>
          <w:p w14:paraId="0B70442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2,775</w:t>
            </w:r>
          </w:p>
        </w:tc>
      </w:tr>
    </w:tbl>
    <w:p w14:paraId="217B3638" w14:textId="77777777" w:rsidR="003273BD" w:rsidRPr="00245E91" w:rsidRDefault="003273BD">
      <w:pPr>
        <w:spacing w:after="0" w:line="240" w:lineRule="auto"/>
        <w:rPr>
          <w:rFonts w:ascii="Times New Roman" w:hAnsi="Times New Roman"/>
          <w:sz w:val="15"/>
          <w:szCs w:val="15"/>
        </w:rPr>
      </w:pPr>
      <w:r w:rsidRPr="00245E91">
        <w:rPr>
          <w:rFonts w:ascii="Times New Roman" w:hAnsi="Times New Roman"/>
          <w:sz w:val="15"/>
          <w:szCs w:val="15"/>
        </w:rPr>
        <w:br w:type="page"/>
      </w:r>
    </w:p>
    <w:p w14:paraId="4CF616F0" w14:textId="77777777" w:rsidR="003273BD" w:rsidRPr="00245E91" w:rsidRDefault="003273BD" w:rsidP="003273BD">
      <w:pPr>
        <w:spacing w:after="0" w:line="240" w:lineRule="auto"/>
        <w:rPr>
          <w:rFonts w:ascii="Times New Roman" w:hAnsi="Times New Roman"/>
          <w:b/>
          <w:sz w:val="15"/>
          <w:szCs w:val="15"/>
        </w:rPr>
      </w:pPr>
      <w:r w:rsidRPr="00245E91">
        <w:rPr>
          <w:rFonts w:ascii="Times New Roman" w:hAnsi="Times New Roman"/>
          <w:b/>
          <w:sz w:val="15"/>
          <w:szCs w:val="15"/>
        </w:rPr>
        <w:t>Table 12 - Cross-Sectional Analyses of Earnings Management – Small Debt Issue vs. Large Debt Issue</w:t>
      </w:r>
    </w:p>
    <w:p w14:paraId="4388B196" w14:textId="6F4B0DAF" w:rsidR="003273BD" w:rsidRPr="00245E91" w:rsidRDefault="00EE4A1C" w:rsidP="003273BD">
      <w:pPr>
        <w:spacing w:after="0" w:line="240" w:lineRule="auto"/>
        <w:rPr>
          <w:rFonts w:ascii="Times New Roman" w:hAnsi="Times New Roman"/>
          <w:sz w:val="15"/>
          <w:szCs w:val="15"/>
        </w:rPr>
      </w:pPr>
      <w:r w:rsidRPr="00245E91">
        <w:rPr>
          <w:rFonts w:ascii="Times New Roman" w:hAnsi="Times New Roman"/>
          <w:sz w:val="15"/>
          <w:szCs w:val="15"/>
        </w:rPr>
        <w:t xml:space="preserve">The sample includes MLPs and all Non-MLP firms in the same industry in the same year. </w:t>
      </w:r>
      <w:r w:rsidR="003273BD" w:rsidRPr="00245E91">
        <w:rPr>
          <w:rFonts w:ascii="Times New Roman" w:hAnsi="Times New Roman"/>
          <w:sz w:val="15"/>
          <w:szCs w:val="15"/>
        </w:rPr>
        <w:t>The dependent variables are RM1, RM2 and DA, alternatively. RM1 is the sum of RDISX and RPROD. RM2 is the sum of RDISX, RPROD and RCFO. RDISX is the abnormal discretionary expenditure. RPROD is the abnormal production costs. RCFO is the abnormal cash flow. DA is the discretionary accrual. MLP is the dummy variable for MLP firms. LN(Assets) is the natural log of total assets. MKTSHARE is the ratio of firm sales to total sales of all firms in the same industry. DEBT is the ratio of debt-to-assets. NOA is net operating assets and is calculated as total assets minus cash and short-term investment scaled by total assets. OPERCYCLE is the days of receivable plus the days of inventory less the days of payable at the beginning of the year. ROA is net income to total assets ratio. MKBK is the market-to-book ratio of equity. LIQUIDITY is the average of the ratio of monthly trading volume to shares outstanding in the year. STOCKISSUE is the ratio of the amount of sales of common stock and preferred stock in the year to the market capitalization of the firm. DEBISSUE is the ratio of the amount of long-term debt issuance to the firm’s assets. BIG8 is the dummy variable for firms with auditors in the top 8. TENURE is the number of years the auditor has audited the client. INSTOWN is the percentage of institutional ownership at the beginning of year. NUMANALYST is the number of analysts following the firm. RESID_RM1 and RESID_RM2 are the residuals from Models 4 and 5. *, **, and *** indicate the significance levels of 10%, 5% and 1%, respectively.</w:t>
      </w:r>
    </w:p>
    <w:tbl>
      <w:tblPr>
        <w:tblW w:w="5000" w:type="pct"/>
        <w:tblLook w:val="04A0" w:firstRow="1" w:lastRow="0" w:firstColumn="1" w:lastColumn="0" w:noHBand="0" w:noVBand="1"/>
      </w:tblPr>
      <w:tblGrid>
        <w:gridCol w:w="1741"/>
        <w:gridCol w:w="1412"/>
        <w:gridCol w:w="1413"/>
        <w:gridCol w:w="1413"/>
        <w:gridCol w:w="1423"/>
        <w:gridCol w:w="1413"/>
        <w:gridCol w:w="1317"/>
        <w:gridCol w:w="1410"/>
        <w:gridCol w:w="1418"/>
      </w:tblGrid>
      <w:tr w:rsidR="003273BD" w:rsidRPr="00245E91" w14:paraId="20BDB7EF" w14:textId="77777777" w:rsidTr="00D83DD8">
        <w:trPr>
          <w:trHeight w:val="144"/>
        </w:trPr>
        <w:tc>
          <w:tcPr>
            <w:tcW w:w="672" w:type="pct"/>
            <w:tcBorders>
              <w:top w:val="single" w:sz="4" w:space="0" w:color="auto"/>
              <w:left w:val="nil"/>
              <w:right w:val="nil"/>
            </w:tcBorders>
            <w:shd w:val="clear" w:color="auto" w:fill="auto"/>
            <w:noWrap/>
            <w:vAlign w:val="bottom"/>
            <w:hideMark/>
          </w:tcPr>
          <w:p w14:paraId="195F81FE" w14:textId="77777777" w:rsidR="003273BD" w:rsidRPr="00245E91" w:rsidRDefault="003273BD" w:rsidP="003273BD">
            <w:pPr>
              <w:spacing w:after="0" w:line="240" w:lineRule="auto"/>
              <w:contextualSpacing/>
              <w:rPr>
                <w:rFonts w:ascii="Times New Roman" w:eastAsia="Times New Roman" w:hAnsi="Times New Roman"/>
                <w:b/>
                <w:i/>
                <w:sz w:val="15"/>
                <w:szCs w:val="15"/>
              </w:rPr>
            </w:pPr>
          </w:p>
        </w:tc>
        <w:tc>
          <w:tcPr>
            <w:tcW w:w="2184" w:type="pct"/>
            <w:gridSpan w:val="4"/>
            <w:tcBorders>
              <w:top w:val="single" w:sz="4" w:space="0" w:color="auto"/>
              <w:left w:val="nil"/>
              <w:right w:val="single" w:sz="4" w:space="0" w:color="auto"/>
            </w:tcBorders>
            <w:shd w:val="clear" w:color="auto" w:fill="auto"/>
            <w:noWrap/>
            <w:vAlign w:val="bottom"/>
            <w:hideMark/>
          </w:tcPr>
          <w:p w14:paraId="000AB25D" w14:textId="77777777" w:rsidR="003273BD" w:rsidRPr="00245E91" w:rsidRDefault="003273BD" w:rsidP="00F7612D">
            <w:pPr>
              <w:spacing w:after="0" w:line="240" w:lineRule="auto"/>
              <w:contextualSpacing/>
              <w:jc w:val="center"/>
              <w:rPr>
                <w:rFonts w:ascii="Times New Roman" w:eastAsia="Times New Roman" w:hAnsi="Times New Roman"/>
                <w:color w:val="000000"/>
                <w:sz w:val="15"/>
                <w:szCs w:val="15"/>
              </w:rPr>
            </w:pPr>
            <w:r w:rsidRPr="00245E91">
              <w:rPr>
                <w:rFonts w:ascii="Times New Roman" w:eastAsia="Times New Roman" w:hAnsi="Times New Roman"/>
                <w:b/>
                <w:i/>
                <w:color w:val="000000"/>
                <w:sz w:val="15"/>
                <w:szCs w:val="15"/>
              </w:rPr>
              <w:t>Panel A – Small Debt Issue</w:t>
            </w:r>
          </w:p>
        </w:tc>
        <w:tc>
          <w:tcPr>
            <w:tcW w:w="2144" w:type="pct"/>
            <w:gridSpan w:val="4"/>
            <w:tcBorders>
              <w:top w:val="single" w:sz="4" w:space="0" w:color="auto"/>
              <w:left w:val="single" w:sz="4" w:space="0" w:color="auto"/>
              <w:bottom w:val="nil"/>
              <w:right w:val="nil"/>
            </w:tcBorders>
            <w:shd w:val="clear" w:color="auto" w:fill="auto"/>
            <w:noWrap/>
            <w:vAlign w:val="bottom"/>
            <w:hideMark/>
          </w:tcPr>
          <w:p w14:paraId="35693908" w14:textId="77777777" w:rsidR="003273BD" w:rsidRPr="00245E91" w:rsidRDefault="003273BD" w:rsidP="00F7612D">
            <w:pPr>
              <w:spacing w:after="0" w:line="240" w:lineRule="auto"/>
              <w:contextualSpacing/>
              <w:jc w:val="center"/>
              <w:rPr>
                <w:rFonts w:ascii="Times New Roman" w:eastAsia="Times New Roman" w:hAnsi="Times New Roman"/>
                <w:color w:val="000000"/>
                <w:sz w:val="15"/>
                <w:szCs w:val="15"/>
              </w:rPr>
            </w:pPr>
            <w:r w:rsidRPr="00245E91">
              <w:rPr>
                <w:rFonts w:ascii="Times New Roman" w:eastAsia="Times New Roman" w:hAnsi="Times New Roman"/>
                <w:b/>
                <w:i/>
                <w:color w:val="000000"/>
                <w:sz w:val="15"/>
                <w:szCs w:val="15"/>
              </w:rPr>
              <w:t>Panel B – Large Debt Issue</w:t>
            </w:r>
          </w:p>
        </w:tc>
      </w:tr>
      <w:tr w:rsidR="003273BD" w:rsidRPr="00245E91" w14:paraId="65D9A20D" w14:textId="77777777" w:rsidTr="00D83DD8">
        <w:trPr>
          <w:trHeight w:val="144"/>
        </w:trPr>
        <w:tc>
          <w:tcPr>
            <w:tcW w:w="672" w:type="pct"/>
            <w:tcBorders>
              <w:top w:val="nil"/>
              <w:left w:val="nil"/>
              <w:bottom w:val="single" w:sz="4" w:space="0" w:color="auto"/>
              <w:right w:val="nil"/>
            </w:tcBorders>
            <w:shd w:val="clear" w:color="auto" w:fill="auto"/>
            <w:noWrap/>
            <w:vAlign w:val="bottom"/>
            <w:hideMark/>
          </w:tcPr>
          <w:p w14:paraId="29460CA4"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Variables</w:t>
            </w:r>
          </w:p>
        </w:tc>
        <w:tc>
          <w:tcPr>
            <w:tcW w:w="545" w:type="pct"/>
            <w:tcBorders>
              <w:top w:val="nil"/>
              <w:left w:val="nil"/>
              <w:bottom w:val="single" w:sz="4" w:space="0" w:color="auto"/>
              <w:right w:val="nil"/>
            </w:tcBorders>
            <w:shd w:val="clear" w:color="auto" w:fill="auto"/>
            <w:noWrap/>
            <w:vAlign w:val="bottom"/>
            <w:hideMark/>
          </w:tcPr>
          <w:p w14:paraId="7F5FA79F"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1 – RM1</w:t>
            </w:r>
          </w:p>
        </w:tc>
        <w:tc>
          <w:tcPr>
            <w:tcW w:w="545" w:type="pct"/>
            <w:tcBorders>
              <w:top w:val="nil"/>
              <w:left w:val="nil"/>
              <w:bottom w:val="single" w:sz="4" w:space="0" w:color="auto"/>
              <w:right w:val="nil"/>
            </w:tcBorders>
            <w:shd w:val="clear" w:color="auto" w:fill="auto"/>
            <w:noWrap/>
            <w:vAlign w:val="bottom"/>
            <w:hideMark/>
          </w:tcPr>
          <w:p w14:paraId="13AE79DF"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2 – RM2</w:t>
            </w:r>
          </w:p>
        </w:tc>
        <w:tc>
          <w:tcPr>
            <w:tcW w:w="545" w:type="pct"/>
            <w:tcBorders>
              <w:top w:val="nil"/>
              <w:left w:val="nil"/>
              <w:bottom w:val="single" w:sz="4" w:space="0" w:color="auto"/>
              <w:right w:val="nil"/>
            </w:tcBorders>
            <w:shd w:val="clear" w:color="auto" w:fill="auto"/>
            <w:noWrap/>
            <w:vAlign w:val="bottom"/>
            <w:hideMark/>
          </w:tcPr>
          <w:p w14:paraId="27862446"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3 – DA</w:t>
            </w:r>
          </w:p>
        </w:tc>
        <w:tc>
          <w:tcPr>
            <w:tcW w:w="549" w:type="pct"/>
            <w:tcBorders>
              <w:top w:val="nil"/>
              <w:left w:val="nil"/>
              <w:bottom w:val="single" w:sz="4" w:space="0" w:color="auto"/>
              <w:right w:val="single" w:sz="4" w:space="0" w:color="auto"/>
            </w:tcBorders>
            <w:shd w:val="clear" w:color="auto" w:fill="auto"/>
            <w:noWrap/>
            <w:vAlign w:val="bottom"/>
            <w:hideMark/>
          </w:tcPr>
          <w:p w14:paraId="602A571D"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4 – DA</w:t>
            </w:r>
          </w:p>
        </w:tc>
        <w:tc>
          <w:tcPr>
            <w:tcW w:w="545" w:type="pct"/>
            <w:tcBorders>
              <w:top w:val="nil"/>
              <w:left w:val="single" w:sz="4" w:space="0" w:color="auto"/>
              <w:bottom w:val="single" w:sz="4" w:space="0" w:color="auto"/>
              <w:right w:val="nil"/>
            </w:tcBorders>
            <w:shd w:val="clear" w:color="auto" w:fill="auto"/>
            <w:noWrap/>
            <w:vAlign w:val="bottom"/>
            <w:hideMark/>
          </w:tcPr>
          <w:p w14:paraId="535CCA87"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1 – RM1</w:t>
            </w:r>
          </w:p>
        </w:tc>
        <w:tc>
          <w:tcPr>
            <w:tcW w:w="508" w:type="pct"/>
            <w:tcBorders>
              <w:top w:val="nil"/>
              <w:left w:val="nil"/>
              <w:bottom w:val="single" w:sz="4" w:space="0" w:color="auto"/>
              <w:right w:val="nil"/>
            </w:tcBorders>
            <w:shd w:val="clear" w:color="auto" w:fill="auto"/>
            <w:noWrap/>
            <w:vAlign w:val="bottom"/>
            <w:hideMark/>
          </w:tcPr>
          <w:p w14:paraId="29D27277"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2 – RM2</w:t>
            </w:r>
          </w:p>
        </w:tc>
        <w:tc>
          <w:tcPr>
            <w:tcW w:w="544" w:type="pct"/>
            <w:tcBorders>
              <w:top w:val="nil"/>
              <w:left w:val="nil"/>
              <w:bottom w:val="single" w:sz="4" w:space="0" w:color="auto"/>
              <w:right w:val="nil"/>
            </w:tcBorders>
            <w:shd w:val="clear" w:color="auto" w:fill="auto"/>
            <w:noWrap/>
            <w:vAlign w:val="bottom"/>
            <w:hideMark/>
          </w:tcPr>
          <w:p w14:paraId="097DF568"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3 – DA</w:t>
            </w:r>
          </w:p>
        </w:tc>
        <w:tc>
          <w:tcPr>
            <w:tcW w:w="547" w:type="pct"/>
            <w:tcBorders>
              <w:top w:val="nil"/>
              <w:left w:val="nil"/>
              <w:bottom w:val="single" w:sz="4" w:space="0" w:color="auto"/>
              <w:right w:val="nil"/>
            </w:tcBorders>
            <w:shd w:val="clear" w:color="auto" w:fill="auto"/>
            <w:noWrap/>
            <w:vAlign w:val="bottom"/>
            <w:hideMark/>
          </w:tcPr>
          <w:p w14:paraId="403C56C5"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4 – DA</w:t>
            </w:r>
          </w:p>
        </w:tc>
      </w:tr>
      <w:tr w:rsidR="003273BD" w:rsidRPr="00245E91" w14:paraId="7F7E20DF" w14:textId="77777777" w:rsidTr="00D83DD8">
        <w:trPr>
          <w:trHeight w:val="144"/>
        </w:trPr>
        <w:tc>
          <w:tcPr>
            <w:tcW w:w="672" w:type="pct"/>
            <w:tcBorders>
              <w:top w:val="single" w:sz="4" w:space="0" w:color="auto"/>
              <w:left w:val="nil"/>
              <w:bottom w:val="nil"/>
              <w:right w:val="nil"/>
            </w:tcBorders>
            <w:shd w:val="clear" w:color="auto" w:fill="auto"/>
            <w:noWrap/>
            <w:vAlign w:val="bottom"/>
            <w:hideMark/>
          </w:tcPr>
          <w:p w14:paraId="692AA86F" w14:textId="77777777" w:rsidR="003273BD" w:rsidRPr="00245E91" w:rsidRDefault="003273BD" w:rsidP="003273BD">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Constant</w:t>
            </w:r>
          </w:p>
        </w:tc>
        <w:tc>
          <w:tcPr>
            <w:tcW w:w="545" w:type="pct"/>
            <w:tcBorders>
              <w:top w:val="single" w:sz="4" w:space="0" w:color="auto"/>
              <w:left w:val="nil"/>
              <w:bottom w:val="nil"/>
              <w:right w:val="nil"/>
            </w:tcBorders>
            <w:shd w:val="clear" w:color="auto" w:fill="auto"/>
            <w:noWrap/>
            <w:vAlign w:val="bottom"/>
            <w:hideMark/>
          </w:tcPr>
          <w:p w14:paraId="248C90C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-0.163</w:t>
            </w:r>
          </w:p>
        </w:tc>
        <w:tc>
          <w:tcPr>
            <w:tcW w:w="545" w:type="pct"/>
            <w:tcBorders>
              <w:top w:val="single" w:sz="4" w:space="0" w:color="auto"/>
              <w:left w:val="nil"/>
              <w:bottom w:val="nil"/>
              <w:right w:val="nil"/>
            </w:tcBorders>
            <w:shd w:val="clear" w:color="auto" w:fill="auto"/>
            <w:noWrap/>
            <w:vAlign w:val="bottom"/>
            <w:hideMark/>
          </w:tcPr>
          <w:p w14:paraId="3F99FB3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-0.081</w:t>
            </w:r>
          </w:p>
        </w:tc>
        <w:tc>
          <w:tcPr>
            <w:tcW w:w="545" w:type="pct"/>
            <w:tcBorders>
              <w:top w:val="single" w:sz="4" w:space="0" w:color="auto"/>
              <w:left w:val="nil"/>
              <w:bottom w:val="nil"/>
              <w:right w:val="nil"/>
            </w:tcBorders>
            <w:shd w:val="clear" w:color="auto" w:fill="auto"/>
            <w:noWrap/>
            <w:vAlign w:val="bottom"/>
            <w:hideMark/>
          </w:tcPr>
          <w:p w14:paraId="1146D17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0.103</w:t>
            </w:r>
          </w:p>
        </w:tc>
        <w:tc>
          <w:tcPr>
            <w:tcW w:w="549" w:type="pct"/>
            <w:tcBorders>
              <w:top w:val="single" w:sz="4" w:space="0" w:color="auto"/>
              <w:left w:val="nil"/>
              <w:bottom w:val="nil"/>
              <w:right w:val="single" w:sz="4" w:space="0" w:color="auto"/>
            </w:tcBorders>
            <w:shd w:val="clear" w:color="auto" w:fill="auto"/>
            <w:noWrap/>
            <w:vAlign w:val="bottom"/>
            <w:hideMark/>
          </w:tcPr>
          <w:p w14:paraId="64DF427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0.107</w:t>
            </w:r>
          </w:p>
        </w:tc>
        <w:tc>
          <w:tcPr>
            <w:tcW w:w="545" w:type="pct"/>
            <w:tcBorders>
              <w:top w:val="single" w:sz="4" w:space="0" w:color="auto"/>
              <w:left w:val="single" w:sz="4" w:space="0" w:color="auto"/>
              <w:bottom w:val="nil"/>
              <w:right w:val="nil"/>
            </w:tcBorders>
            <w:shd w:val="clear" w:color="auto" w:fill="auto"/>
            <w:noWrap/>
            <w:vAlign w:val="bottom"/>
            <w:hideMark/>
          </w:tcPr>
          <w:p w14:paraId="640670F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-0.125</w:t>
            </w:r>
          </w:p>
        </w:tc>
        <w:tc>
          <w:tcPr>
            <w:tcW w:w="508" w:type="pct"/>
            <w:tcBorders>
              <w:top w:val="single" w:sz="4" w:space="0" w:color="auto"/>
              <w:left w:val="nil"/>
              <w:bottom w:val="nil"/>
              <w:right w:val="nil"/>
            </w:tcBorders>
            <w:shd w:val="clear" w:color="auto" w:fill="auto"/>
            <w:noWrap/>
            <w:vAlign w:val="bottom"/>
            <w:hideMark/>
          </w:tcPr>
          <w:p w14:paraId="6629102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0.039</w:t>
            </w:r>
          </w:p>
        </w:tc>
        <w:tc>
          <w:tcPr>
            <w:tcW w:w="544" w:type="pct"/>
            <w:tcBorders>
              <w:top w:val="single" w:sz="4" w:space="0" w:color="auto"/>
              <w:left w:val="nil"/>
              <w:bottom w:val="nil"/>
              <w:right w:val="nil"/>
            </w:tcBorders>
            <w:shd w:val="clear" w:color="auto" w:fill="auto"/>
            <w:noWrap/>
            <w:vAlign w:val="bottom"/>
            <w:hideMark/>
          </w:tcPr>
          <w:p w14:paraId="505E2A4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0.140</w:t>
            </w:r>
          </w:p>
        </w:tc>
        <w:tc>
          <w:tcPr>
            <w:tcW w:w="547" w:type="pct"/>
            <w:tcBorders>
              <w:top w:val="single" w:sz="4" w:space="0" w:color="auto"/>
              <w:left w:val="nil"/>
              <w:bottom w:val="nil"/>
              <w:right w:val="nil"/>
            </w:tcBorders>
            <w:shd w:val="clear" w:color="auto" w:fill="auto"/>
            <w:noWrap/>
            <w:vAlign w:val="bottom"/>
            <w:hideMark/>
          </w:tcPr>
          <w:p w14:paraId="478975E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0.135</w:t>
            </w:r>
          </w:p>
        </w:tc>
      </w:tr>
      <w:tr w:rsidR="003273BD" w:rsidRPr="00245E91" w14:paraId="2E737962" w14:textId="77777777" w:rsidTr="00D83DD8">
        <w:trPr>
          <w:trHeight w:val="144"/>
        </w:trPr>
        <w:tc>
          <w:tcPr>
            <w:tcW w:w="672" w:type="pct"/>
            <w:tcBorders>
              <w:top w:val="nil"/>
              <w:left w:val="nil"/>
              <w:bottom w:val="nil"/>
              <w:right w:val="nil"/>
            </w:tcBorders>
            <w:shd w:val="clear" w:color="auto" w:fill="auto"/>
            <w:noWrap/>
            <w:vAlign w:val="bottom"/>
            <w:hideMark/>
          </w:tcPr>
          <w:p w14:paraId="24BFFD0E" w14:textId="77777777" w:rsidR="003273BD" w:rsidRPr="00245E91" w:rsidRDefault="003273BD" w:rsidP="003273BD">
            <w:pPr>
              <w:spacing w:after="0" w:line="240" w:lineRule="auto"/>
              <w:contextualSpacing/>
              <w:rPr>
                <w:rFonts w:ascii="Times New Roman" w:eastAsia="Times New Roman" w:hAnsi="Times New Roman"/>
                <w:color w:val="000000"/>
                <w:sz w:val="15"/>
                <w:szCs w:val="15"/>
              </w:rPr>
            </w:pPr>
          </w:p>
        </w:tc>
        <w:tc>
          <w:tcPr>
            <w:tcW w:w="545" w:type="pct"/>
            <w:tcBorders>
              <w:top w:val="nil"/>
              <w:left w:val="nil"/>
              <w:bottom w:val="nil"/>
              <w:right w:val="nil"/>
            </w:tcBorders>
            <w:shd w:val="clear" w:color="auto" w:fill="auto"/>
            <w:noWrap/>
            <w:vAlign w:val="bottom"/>
            <w:hideMark/>
          </w:tcPr>
          <w:p w14:paraId="745BC73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(-2.57**)</w:t>
            </w:r>
          </w:p>
        </w:tc>
        <w:tc>
          <w:tcPr>
            <w:tcW w:w="545" w:type="pct"/>
            <w:tcBorders>
              <w:top w:val="nil"/>
              <w:left w:val="nil"/>
              <w:bottom w:val="nil"/>
              <w:right w:val="nil"/>
            </w:tcBorders>
            <w:shd w:val="clear" w:color="auto" w:fill="auto"/>
            <w:noWrap/>
            <w:vAlign w:val="bottom"/>
            <w:hideMark/>
          </w:tcPr>
          <w:p w14:paraId="7FF7887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(-1.19)</w:t>
            </w:r>
          </w:p>
        </w:tc>
        <w:tc>
          <w:tcPr>
            <w:tcW w:w="545" w:type="pct"/>
            <w:tcBorders>
              <w:top w:val="nil"/>
              <w:left w:val="nil"/>
              <w:bottom w:val="nil"/>
              <w:right w:val="nil"/>
            </w:tcBorders>
            <w:shd w:val="clear" w:color="auto" w:fill="auto"/>
            <w:noWrap/>
            <w:vAlign w:val="bottom"/>
            <w:hideMark/>
          </w:tcPr>
          <w:p w14:paraId="563B094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(3.14***)</w:t>
            </w:r>
          </w:p>
        </w:tc>
        <w:tc>
          <w:tcPr>
            <w:tcW w:w="549" w:type="pct"/>
            <w:tcBorders>
              <w:top w:val="nil"/>
              <w:left w:val="nil"/>
              <w:bottom w:val="nil"/>
              <w:right w:val="single" w:sz="4" w:space="0" w:color="auto"/>
            </w:tcBorders>
            <w:shd w:val="clear" w:color="auto" w:fill="auto"/>
            <w:noWrap/>
            <w:vAlign w:val="bottom"/>
            <w:hideMark/>
          </w:tcPr>
          <w:p w14:paraId="31DFF71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(3.38***)</w:t>
            </w:r>
          </w:p>
        </w:tc>
        <w:tc>
          <w:tcPr>
            <w:tcW w:w="545" w:type="pct"/>
            <w:tcBorders>
              <w:top w:val="nil"/>
              <w:left w:val="single" w:sz="4" w:space="0" w:color="auto"/>
              <w:bottom w:val="nil"/>
              <w:right w:val="nil"/>
            </w:tcBorders>
            <w:shd w:val="clear" w:color="auto" w:fill="auto"/>
            <w:noWrap/>
            <w:vAlign w:val="bottom"/>
            <w:hideMark/>
          </w:tcPr>
          <w:p w14:paraId="7816B7F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(-1.42)</w:t>
            </w:r>
          </w:p>
        </w:tc>
        <w:tc>
          <w:tcPr>
            <w:tcW w:w="508" w:type="pct"/>
            <w:tcBorders>
              <w:top w:val="nil"/>
              <w:left w:val="nil"/>
              <w:bottom w:val="nil"/>
              <w:right w:val="nil"/>
            </w:tcBorders>
            <w:shd w:val="clear" w:color="auto" w:fill="auto"/>
            <w:noWrap/>
            <w:vAlign w:val="bottom"/>
            <w:hideMark/>
          </w:tcPr>
          <w:p w14:paraId="1A9D838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(0.43)</w:t>
            </w:r>
          </w:p>
        </w:tc>
        <w:tc>
          <w:tcPr>
            <w:tcW w:w="544" w:type="pct"/>
            <w:tcBorders>
              <w:top w:val="nil"/>
              <w:left w:val="nil"/>
              <w:bottom w:val="nil"/>
              <w:right w:val="nil"/>
            </w:tcBorders>
            <w:shd w:val="clear" w:color="auto" w:fill="auto"/>
            <w:noWrap/>
            <w:vAlign w:val="bottom"/>
            <w:hideMark/>
          </w:tcPr>
          <w:p w14:paraId="27CBE6C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(2.55**)</w:t>
            </w:r>
          </w:p>
        </w:tc>
        <w:tc>
          <w:tcPr>
            <w:tcW w:w="547" w:type="pct"/>
            <w:tcBorders>
              <w:top w:val="nil"/>
              <w:left w:val="nil"/>
              <w:bottom w:val="nil"/>
              <w:right w:val="nil"/>
            </w:tcBorders>
            <w:shd w:val="clear" w:color="auto" w:fill="auto"/>
            <w:noWrap/>
            <w:vAlign w:val="bottom"/>
            <w:hideMark/>
          </w:tcPr>
          <w:p w14:paraId="5461291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(2.38**)</w:t>
            </w:r>
          </w:p>
        </w:tc>
      </w:tr>
      <w:tr w:rsidR="003273BD" w:rsidRPr="00245E91" w14:paraId="7462C564" w14:textId="77777777" w:rsidTr="00D83DD8">
        <w:trPr>
          <w:trHeight w:val="144"/>
        </w:trPr>
        <w:tc>
          <w:tcPr>
            <w:tcW w:w="672" w:type="pct"/>
            <w:tcBorders>
              <w:top w:val="nil"/>
              <w:left w:val="nil"/>
              <w:bottom w:val="nil"/>
              <w:right w:val="nil"/>
            </w:tcBorders>
            <w:shd w:val="clear" w:color="auto" w:fill="auto"/>
            <w:noWrap/>
            <w:vAlign w:val="bottom"/>
            <w:hideMark/>
          </w:tcPr>
          <w:p w14:paraId="1F046664"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MLP</w:t>
            </w:r>
          </w:p>
        </w:tc>
        <w:tc>
          <w:tcPr>
            <w:tcW w:w="545" w:type="pct"/>
            <w:tcBorders>
              <w:top w:val="nil"/>
              <w:left w:val="nil"/>
              <w:bottom w:val="nil"/>
              <w:right w:val="nil"/>
            </w:tcBorders>
            <w:shd w:val="clear" w:color="auto" w:fill="auto"/>
            <w:noWrap/>
            <w:vAlign w:val="bottom"/>
            <w:hideMark/>
          </w:tcPr>
          <w:p w14:paraId="06D8D03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0.187</w:t>
            </w:r>
          </w:p>
        </w:tc>
        <w:tc>
          <w:tcPr>
            <w:tcW w:w="545" w:type="pct"/>
            <w:tcBorders>
              <w:top w:val="nil"/>
              <w:left w:val="nil"/>
              <w:bottom w:val="nil"/>
              <w:right w:val="nil"/>
            </w:tcBorders>
            <w:shd w:val="clear" w:color="auto" w:fill="auto"/>
            <w:noWrap/>
            <w:vAlign w:val="bottom"/>
            <w:hideMark/>
          </w:tcPr>
          <w:p w14:paraId="46B979B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0.169</w:t>
            </w:r>
          </w:p>
        </w:tc>
        <w:tc>
          <w:tcPr>
            <w:tcW w:w="545" w:type="pct"/>
            <w:tcBorders>
              <w:top w:val="nil"/>
              <w:left w:val="nil"/>
              <w:bottom w:val="nil"/>
              <w:right w:val="nil"/>
            </w:tcBorders>
            <w:shd w:val="clear" w:color="auto" w:fill="auto"/>
            <w:noWrap/>
            <w:vAlign w:val="bottom"/>
            <w:hideMark/>
          </w:tcPr>
          <w:p w14:paraId="547E6AB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-0.069</w:t>
            </w:r>
          </w:p>
        </w:tc>
        <w:tc>
          <w:tcPr>
            <w:tcW w:w="549" w:type="pct"/>
            <w:tcBorders>
              <w:top w:val="nil"/>
              <w:left w:val="nil"/>
              <w:bottom w:val="nil"/>
              <w:right w:val="single" w:sz="4" w:space="0" w:color="auto"/>
            </w:tcBorders>
            <w:shd w:val="clear" w:color="auto" w:fill="auto"/>
            <w:noWrap/>
            <w:vAlign w:val="bottom"/>
            <w:hideMark/>
          </w:tcPr>
          <w:p w14:paraId="10D0F28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-0.068</w:t>
            </w:r>
          </w:p>
        </w:tc>
        <w:tc>
          <w:tcPr>
            <w:tcW w:w="545" w:type="pct"/>
            <w:tcBorders>
              <w:top w:val="nil"/>
              <w:left w:val="single" w:sz="4" w:space="0" w:color="auto"/>
              <w:bottom w:val="nil"/>
              <w:right w:val="nil"/>
            </w:tcBorders>
            <w:shd w:val="clear" w:color="auto" w:fill="auto"/>
            <w:noWrap/>
            <w:vAlign w:val="bottom"/>
            <w:hideMark/>
          </w:tcPr>
          <w:p w14:paraId="3AF41AA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0.181</w:t>
            </w:r>
          </w:p>
        </w:tc>
        <w:tc>
          <w:tcPr>
            <w:tcW w:w="508" w:type="pct"/>
            <w:tcBorders>
              <w:top w:val="nil"/>
              <w:left w:val="nil"/>
              <w:bottom w:val="nil"/>
              <w:right w:val="nil"/>
            </w:tcBorders>
            <w:shd w:val="clear" w:color="auto" w:fill="auto"/>
            <w:noWrap/>
            <w:vAlign w:val="bottom"/>
            <w:hideMark/>
          </w:tcPr>
          <w:p w14:paraId="41AF3FB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0.173</w:t>
            </w:r>
          </w:p>
        </w:tc>
        <w:tc>
          <w:tcPr>
            <w:tcW w:w="544" w:type="pct"/>
            <w:tcBorders>
              <w:top w:val="nil"/>
              <w:left w:val="nil"/>
              <w:bottom w:val="nil"/>
              <w:right w:val="nil"/>
            </w:tcBorders>
            <w:shd w:val="clear" w:color="auto" w:fill="auto"/>
            <w:noWrap/>
            <w:vAlign w:val="bottom"/>
            <w:hideMark/>
          </w:tcPr>
          <w:p w14:paraId="7B2B975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-0.002</w:t>
            </w:r>
          </w:p>
        </w:tc>
        <w:tc>
          <w:tcPr>
            <w:tcW w:w="547" w:type="pct"/>
            <w:tcBorders>
              <w:top w:val="nil"/>
              <w:left w:val="nil"/>
              <w:bottom w:val="nil"/>
              <w:right w:val="nil"/>
            </w:tcBorders>
            <w:shd w:val="clear" w:color="auto" w:fill="auto"/>
            <w:noWrap/>
            <w:vAlign w:val="bottom"/>
            <w:hideMark/>
          </w:tcPr>
          <w:p w14:paraId="525A7C6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-0.003</w:t>
            </w:r>
          </w:p>
        </w:tc>
      </w:tr>
      <w:tr w:rsidR="003273BD" w:rsidRPr="00245E91" w14:paraId="601D28B5" w14:textId="77777777" w:rsidTr="00D83DD8">
        <w:trPr>
          <w:trHeight w:val="144"/>
        </w:trPr>
        <w:tc>
          <w:tcPr>
            <w:tcW w:w="672" w:type="pct"/>
            <w:tcBorders>
              <w:top w:val="nil"/>
              <w:left w:val="nil"/>
              <w:bottom w:val="nil"/>
              <w:right w:val="nil"/>
            </w:tcBorders>
            <w:shd w:val="clear" w:color="auto" w:fill="auto"/>
            <w:noWrap/>
            <w:vAlign w:val="bottom"/>
            <w:hideMark/>
          </w:tcPr>
          <w:p w14:paraId="0C3B8EF5"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45" w:type="pct"/>
            <w:tcBorders>
              <w:top w:val="nil"/>
              <w:left w:val="nil"/>
              <w:bottom w:val="nil"/>
              <w:right w:val="nil"/>
            </w:tcBorders>
            <w:shd w:val="clear" w:color="auto" w:fill="auto"/>
            <w:noWrap/>
            <w:vAlign w:val="bottom"/>
            <w:hideMark/>
          </w:tcPr>
          <w:p w14:paraId="63E809C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(3.42***)</w:t>
            </w:r>
          </w:p>
        </w:tc>
        <w:tc>
          <w:tcPr>
            <w:tcW w:w="545" w:type="pct"/>
            <w:tcBorders>
              <w:top w:val="nil"/>
              <w:left w:val="nil"/>
              <w:bottom w:val="nil"/>
              <w:right w:val="nil"/>
            </w:tcBorders>
            <w:shd w:val="clear" w:color="auto" w:fill="auto"/>
            <w:noWrap/>
            <w:vAlign w:val="bottom"/>
            <w:hideMark/>
          </w:tcPr>
          <w:p w14:paraId="57CBB05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(3.52***)</w:t>
            </w:r>
          </w:p>
        </w:tc>
        <w:tc>
          <w:tcPr>
            <w:tcW w:w="545" w:type="pct"/>
            <w:tcBorders>
              <w:top w:val="nil"/>
              <w:left w:val="nil"/>
              <w:bottom w:val="nil"/>
              <w:right w:val="nil"/>
            </w:tcBorders>
            <w:shd w:val="clear" w:color="auto" w:fill="auto"/>
            <w:noWrap/>
            <w:vAlign w:val="bottom"/>
            <w:hideMark/>
          </w:tcPr>
          <w:p w14:paraId="3C3806E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(-3.80***)</w:t>
            </w:r>
          </w:p>
        </w:tc>
        <w:tc>
          <w:tcPr>
            <w:tcW w:w="549" w:type="pct"/>
            <w:tcBorders>
              <w:top w:val="nil"/>
              <w:left w:val="nil"/>
              <w:bottom w:val="nil"/>
              <w:right w:val="single" w:sz="4" w:space="0" w:color="auto"/>
            </w:tcBorders>
            <w:shd w:val="clear" w:color="auto" w:fill="auto"/>
            <w:noWrap/>
            <w:vAlign w:val="bottom"/>
            <w:hideMark/>
          </w:tcPr>
          <w:p w14:paraId="4C6D2F2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(-3.77***)</w:t>
            </w:r>
          </w:p>
        </w:tc>
        <w:tc>
          <w:tcPr>
            <w:tcW w:w="545" w:type="pct"/>
            <w:tcBorders>
              <w:top w:val="nil"/>
              <w:left w:val="single" w:sz="4" w:space="0" w:color="auto"/>
              <w:bottom w:val="nil"/>
              <w:right w:val="nil"/>
            </w:tcBorders>
            <w:shd w:val="clear" w:color="auto" w:fill="auto"/>
            <w:noWrap/>
            <w:vAlign w:val="bottom"/>
            <w:hideMark/>
          </w:tcPr>
          <w:p w14:paraId="13B681E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(3.81***)</w:t>
            </w:r>
          </w:p>
        </w:tc>
        <w:tc>
          <w:tcPr>
            <w:tcW w:w="508" w:type="pct"/>
            <w:tcBorders>
              <w:top w:val="nil"/>
              <w:left w:val="nil"/>
              <w:bottom w:val="nil"/>
              <w:right w:val="nil"/>
            </w:tcBorders>
            <w:shd w:val="clear" w:color="auto" w:fill="auto"/>
            <w:noWrap/>
            <w:vAlign w:val="bottom"/>
            <w:hideMark/>
          </w:tcPr>
          <w:p w14:paraId="5BA1234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(3.71***)</w:t>
            </w:r>
          </w:p>
        </w:tc>
        <w:tc>
          <w:tcPr>
            <w:tcW w:w="544" w:type="pct"/>
            <w:tcBorders>
              <w:top w:val="nil"/>
              <w:left w:val="nil"/>
              <w:bottom w:val="nil"/>
              <w:right w:val="nil"/>
            </w:tcBorders>
            <w:shd w:val="clear" w:color="auto" w:fill="auto"/>
            <w:noWrap/>
            <w:vAlign w:val="bottom"/>
            <w:hideMark/>
          </w:tcPr>
          <w:p w14:paraId="4FD3176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w:t>
            </w:r>
          </w:p>
        </w:tc>
        <w:tc>
          <w:tcPr>
            <w:tcW w:w="547" w:type="pct"/>
            <w:tcBorders>
              <w:top w:val="nil"/>
              <w:left w:val="nil"/>
              <w:bottom w:val="nil"/>
              <w:right w:val="nil"/>
            </w:tcBorders>
            <w:shd w:val="clear" w:color="auto" w:fill="auto"/>
            <w:noWrap/>
            <w:vAlign w:val="bottom"/>
            <w:hideMark/>
          </w:tcPr>
          <w:p w14:paraId="7035EEF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(-0.10)</w:t>
            </w:r>
          </w:p>
        </w:tc>
      </w:tr>
      <w:tr w:rsidR="003273BD" w:rsidRPr="00245E91" w14:paraId="6740111D" w14:textId="77777777" w:rsidTr="00D83DD8">
        <w:trPr>
          <w:trHeight w:val="144"/>
        </w:trPr>
        <w:tc>
          <w:tcPr>
            <w:tcW w:w="672" w:type="pct"/>
            <w:tcBorders>
              <w:top w:val="nil"/>
              <w:left w:val="nil"/>
              <w:bottom w:val="nil"/>
              <w:right w:val="nil"/>
            </w:tcBorders>
            <w:shd w:val="clear" w:color="auto" w:fill="auto"/>
            <w:noWrap/>
            <w:vAlign w:val="bottom"/>
            <w:hideMark/>
          </w:tcPr>
          <w:p w14:paraId="59AFA3C2"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LN(Assets)</w:t>
            </w:r>
          </w:p>
        </w:tc>
        <w:tc>
          <w:tcPr>
            <w:tcW w:w="545" w:type="pct"/>
            <w:tcBorders>
              <w:top w:val="nil"/>
              <w:left w:val="nil"/>
              <w:bottom w:val="nil"/>
              <w:right w:val="nil"/>
            </w:tcBorders>
            <w:shd w:val="clear" w:color="auto" w:fill="auto"/>
            <w:noWrap/>
            <w:vAlign w:val="bottom"/>
            <w:hideMark/>
          </w:tcPr>
          <w:p w14:paraId="422A3AE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0.038</w:t>
            </w:r>
          </w:p>
        </w:tc>
        <w:tc>
          <w:tcPr>
            <w:tcW w:w="545" w:type="pct"/>
            <w:tcBorders>
              <w:top w:val="nil"/>
              <w:left w:val="nil"/>
              <w:bottom w:val="nil"/>
              <w:right w:val="nil"/>
            </w:tcBorders>
            <w:shd w:val="clear" w:color="auto" w:fill="auto"/>
            <w:noWrap/>
            <w:vAlign w:val="bottom"/>
            <w:hideMark/>
          </w:tcPr>
          <w:p w14:paraId="6923235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0.016</w:t>
            </w:r>
          </w:p>
        </w:tc>
        <w:tc>
          <w:tcPr>
            <w:tcW w:w="545" w:type="pct"/>
            <w:tcBorders>
              <w:top w:val="nil"/>
              <w:left w:val="nil"/>
              <w:bottom w:val="nil"/>
              <w:right w:val="nil"/>
            </w:tcBorders>
            <w:shd w:val="clear" w:color="auto" w:fill="auto"/>
            <w:noWrap/>
            <w:vAlign w:val="bottom"/>
            <w:hideMark/>
          </w:tcPr>
          <w:p w14:paraId="0410600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-0.076</w:t>
            </w:r>
          </w:p>
        </w:tc>
        <w:tc>
          <w:tcPr>
            <w:tcW w:w="549" w:type="pct"/>
            <w:tcBorders>
              <w:top w:val="nil"/>
              <w:left w:val="nil"/>
              <w:bottom w:val="nil"/>
              <w:right w:val="single" w:sz="4" w:space="0" w:color="auto"/>
            </w:tcBorders>
            <w:shd w:val="clear" w:color="auto" w:fill="auto"/>
            <w:noWrap/>
            <w:vAlign w:val="bottom"/>
            <w:hideMark/>
          </w:tcPr>
          <w:p w14:paraId="0340E40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-0.076</w:t>
            </w:r>
          </w:p>
        </w:tc>
        <w:tc>
          <w:tcPr>
            <w:tcW w:w="545" w:type="pct"/>
            <w:tcBorders>
              <w:top w:val="nil"/>
              <w:left w:val="single" w:sz="4" w:space="0" w:color="auto"/>
              <w:bottom w:val="nil"/>
              <w:right w:val="nil"/>
            </w:tcBorders>
            <w:shd w:val="clear" w:color="auto" w:fill="auto"/>
            <w:noWrap/>
            <w:vAlign w:val="bottom"/>
            <w:hideMark/>
          </w:tcPr>
          <w:p w14:paraId="6B79BC0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0.092</w:t>
            </w:r>
          </w:p>
        </w:tc>
        <w:tc>
          <w:tcPr>
            <w:tcW w:w="508" w:type="pct"/>
            <w:tcBorders>
              <w:top w:val="nil"/>
              <w:left w:val="nil"/>
              <w:bottom w:val="nil"/>
              <w:right w:val="nil"/>
            </w:tcBorders>
            <w:shd w:val="clear" w:color="auto" w:fill="auto"/>
            <w:noWrap/>
            <w:vAlign w:val="bottom"/>
            <w:hideMark/>
          </w:tcPr>
          <w:p w14:paraId="3830768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0.068</w:t>
            </w:r>
          </w:p>
        </w:tc>
        <w:tc>
          <w:tcPr>
            <w:tcW w:w="544" w:type="pct"/>
            <w:tcBorders>
              <w:top w:val="nil"/>
              <w:left w:val="nil"/>
              <w:bottom w:val="nil"/>
              <w:right w:val="nil"/>
            </w:tcBorders>
            <w:shd w:val="clear" w:color="auto" w:fill="auto"/>
            <w:noWrap/>
            <w:vAlign w:val="bottom"/>
            <w:hideMark/>
          </w:tcPr>
          <w:p w14:paraId="363FD2D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-0.057</w:t>
            </w:r>
          </w:p>
        </w:tc>
        <w:tc>
          <w:tcPr>
            <w:tcW w:w="547" w:type="pct"/>
            <w:tcBorders>
              <w:top w:val="nil"/>
              <w:left w:val="nil"/>
              <w:bottom w:val="nil"/>
              <w:right w:val="nil"/>
            </w:tcBorders>
            <w:shd w:val="clear" w:color="auto" w:fill="auto"/>
            <w:noWrap/>
            <w:vAlign w:val="bottom"/>
            <w:hideMark/>
          </w:tcPr>
          <w:p w14:paraId="4987512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-0.057</w:t>
            </w:r>
          </w:p>
        </w:tc>
      </w:tr>
      <w:tr w:rsidR="003273BD" w:rsidRPr="00245E91" w14:paraId="1C84AAF6" w14:textId="77777777" w:rsidTr="00D83DD8">
        <w:trPr>
          <w:trHeight w:val="144"/>
        </w:trPr>
        <w:tc>
          <w:tcPr>
            <w:tcW w:w="672" w:type="pct"/>
            <w:tcBorders>
              <w:top w:val="nil"/>
              <w:left w:val="nil"/>
              <w:bottom w:val="nil"/>
              <w:right w:val="nil"/>
            </w:tcBorders>
            <w:shd w:val="clear" w:color="auto" w:fill="auto"/>
            <w:noWrap/>
            <w:vAlign w:val="bottom"/>
            <w:hideMark/>
          </w:tcPr>
          <w:p w14:paraId="1FDD733C"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45" w:type="pct"/>
            <w:tcBorders>
              <w:top w:val="nil"/>
              <w:left w:val="nil"/>
              <w:bottom w:val="nil"/>
              <w:right w:val="nil"/>
            </w:tcBorders>
            <w:shd w:val="clear" w:color="auto" w:fill="auto"/>
            <w:noWrap/>
            <w:vAlign w:val="bottom"/>
            <w:hideMark/>
          </w:tcPr>
          <w:p w14:paraId="0D9A754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(0.67)</w:t>
            </w:r>
          </w:p>
        </w:tc>
        <w:tc>
          <w:tcPr>
            <w:tcW w:w="545" w:type="pct"/>
            <w:tcBorders>
              <w:top w:val="nil"/>
              <w:left w:val="nil"/>
              <w:bottom w:val="nil"/>
              <w:right w:val="nil"/>
            </w:tcBorders>
            <w:shd w:val="clear" w:color="auto" w:fill="auto"/>
            <w:noWrap/>
            <w:vAlign w:val="bottom"/>
            <w:hideMark/>
          </w:tcPr>
          <w:p w14:paraId="7991EC4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(0.30)</w:t>
            </w:r>
          </w:p>
        </w:tc>
        <w:tc>
          <w:tcPr>
            <w:tcW w:w="545" w:type="pct"/>
            <w:tcBorders>
              <w:top w:val="nil"/>
              <w:left w:val="nil"/>
              <w:bottom w:val="nil"/>
              <w:right w:val="nil"/>
            </w:tcBorders>
            <w:shd w:val="clear" w:color="auto" w:fill="auto"/>
            <w:noWrap/>
            <w:vAlign w:val="bottom"/>
            <w:hideMark/>
          </w:tcPr>
          <w:p w14:paraId="6E221E3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(-2.28**)</w:t>
            </w:r>
          </w:p>
        </w:tc>
        <w:tc>
          <w:tcPr>
            <w:tcW w:w="549" w:type="pct"/>
            <w:tcBorders>
              <w:top w:val="nil"/>
              <w:left w:val="nil"/>
              <w:bottom w:val="nil"/>
              <w:right w:val="single" w:sz="4" w:space="0" w:color="auto"/>
            </w:tcBorders>
            <w:shd w:val="clear" w:color="auto" w:fill="auto"/>
            <w:noWrap/>
            <w:vAlign w:val="bottom"/>
            <w:hideMark/>
          </w:tcPr>
          <w:p w14:paraId="2DEDBCE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(-2.27**)</w:t>
            </w:r>
          </w:p>
        </w:tc>
        <w:tc>
          <w:tcPr>
            <w:tcW w:w="545" w:type="pct"/>
            <w:tcBorders>
              <w:top w:val="nil"/>
              <w:left w:val="single" w:sz="4" w:space="0" w:color="auto"/>
              <w:bottom w:val="nil"/>
              <w:right w:val="nil"/>
            </w:tcBorders>
            <w:shd w:val="clear" w:color="auto" w:fill="auto"/>
            <w:noWrap/>
            <w:vAlign w:val="bottom"/>
            <w:hideMark/>
          </w:tcPr>
          <w:p w14:paraId="1475E30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(2.05**)</w:t>
            </w:r>
          </w:p>
        </w:tc>
        <w:tc>
          <w:tcPr>
            <w:tcW w:w="508" w:type="pct"/>
            <w:tcBorders>
              <w:top w:val="nil"/>
              <w:left w:val="nil"/>
              <w:bottom w:val="nil"/>
              <w:right w:val="nil"/>
            </w:tcBorders>
            <w:shd w:val="clear" w:color="auto" w:fill="auto"/>
            <w:noWrap/>
            <w:vAlign w:val="bottom"/>
            <w:hideMark/>
          </w:tcPr>
          <w:p w14:paraId="09938B5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(1.44)</w:t>
            </w:r>
          </w:p>
        </w:tc>
        <w:tc>
          <w:tcPr>
            <w:tcW w:w="544" w:type="pct"/>
            <w:tcBorders>
              <w:top w:val="nil"/>
              <w:left w:val="nil"/>
              <w:bottom w:val="nil"/>
              <w:right w:val="nil"/>
            </w:tcBorders>
            <w:shd w:val="clear" w:color="auto" w:fill="auto"/>
            <w:noWrap/>
            <w:vAlign w:val="bottom"/>
            <w:hideMark/>
          </w:tcPr>
          <w:p w14:paraId="7C545AF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(-1.86*)</w:t>
            </w:r>
          </w:p>
        </w:tc>
        <w:tc>
          <w:tcPr>
            <w:tcW w:w="547" w:type="pct"/>
            <w:tcBorders>
              <w:top w:val="nil"/>
              <w:left w:val="nil"/>
              <w:bottom w:val="nil"/>
              <w:right w:val="nil"/>
            </w:tcBorders>
            <w:shd w:val="clear" w:color="auto" w:fill="auto"/>
            <w:noWrap/>
            <w:vAlign w:val="bottom"/>
            <w:hideMark/>
          </w:tcPr>
          <w:p w14:paraId="4B33C7C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(-1.89*)</w:t>
            </w:r>
          </w:p>
        </w:tc>
      </w:tr>
      <w:tr w:rsidR="003273BD" w:rsidRPr="00245E91" w14:paraId="5DEB5C85" w14:textId="77777777" w:rsidTr="00D83DD8">
        <w:trPr>
          <w:trHeight w:val="144"/>
        </w:trPr>
        <w:tc>
          <w:tcPr>
            <w:tcW w:w="672" w:type="pct"/>
            <w:tcBorders>
              <w:top w:val="nil"/>
              <w:left w:val="nil"/>
              <w:bottom w:val="nil"/>
              <w:right w:val="nil"/>
            </w:tcBorders>
            <w:shd w:val="clear" w:color="auto" w:fill="auto"/>
            <w:noWrap/>
            <w:vAlign w:val="bottom"/>
            <w:hideMark/>
          </w:tcPr>
          <w:p w14:paraId="289F6EA5"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MKTSHARE</w:t>
            </w:r>
          </w:p>
        </w:tc>
        <w:tc>
          <w:tcPr>
            <w:tcW w:w="545" w:type="pct"/>
            <w:tcBorders>
              <w:top w:val="nil"/>
              <w:left w:val="nil"/>
              <w:bottom w:val="nil"/>
              <w:right w:val="nil"/>
            </w:tcBorders>
            <w:shd w:val="clear" w:color="auto" w:fill="auto"/>
            <w:noWrap/>
            <w:vAlign w:val="bottom"/>
            <w:hideMark/>
          </w:tcPr>
          <w:p w14:paraId="07646A2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0.033</w:t>
            </w:r>
          </w:p>
        </w:tc>
        <w:tc>
          <w:tcPr>
            <w:tcW w:w="545" w:type="pct"/>
            <w:tcBorders>
              <w:top w:val="nil"/>
              <w:left w:val="nil"/>
              <w:bottom w:val="nil"/>
              <w:right w:val="nil"/>
            </w:tcBorders>
            <w:shd w:val="clear" w:color="auto" w:fill="auto"/>
            <w:noWrap/>
            <w:vAlign w:val="bottom"/>
            <w:hideMark/>
          </w:tcPr>
          <w:p w14:paraId="324985E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0.054</w:t>
            </w:r>
          </w:p>
        </w:tc>
        <w:tc>
          <w:tcPr>
            <w:tcW w:w="545" w:type="pct"/>
            <w:tcBorders>
              <w:top w:val="nil"/>
              <w:left w:val="nil"/>
              <w:bottom w:val="nil"/>
              <w:right w:val="nil"/>
            </w:tcBorders>
            <w:shd w:val="clear" w:color="auto" w:fill="auto"/>
            <w:noWrap/>
            <w:vAlign w:val="bottom"/>
            <w:hideMark/>
          </w:tcPr>
          <w:p w14:paraId="49A2D50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0.005</w:t>
            </w:r>
          </w:p>
        </w:tc>
        <w:tc>
          <w:tcPr>
            <w:tcW w:w="549" w:type="pct"/>
            <w:tcBorders>
              <w:top w:val="nil"/>
              <w:left w:val="nil"/>
              <w:bottom w:val="nil"/>
              <w:right w:val="single" w:sz="4" w:space="0" w:color="auto"/>
            </w:tcBorders>
            <w:shd w:val="clear" w:color="auto" w:fill="auto"/>
            <w:noWrap/>
            <w:vAlign w:val="bottom"/>
            <w:hideMark/>
          </w:tcPr>
          <w:p w14:paraId="06D3F6F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0.005</w:t>
            </w:r>
          </w:p>
        </w:tc>
        <w:tc>
          <w:tcPr>
            <w:tcW w:w="545" w:type="pct"/>
            <w:tcBorders>
              <w:top w:val="nil"/>
              <w:left w:val="single" w:sz="4" w:space="0" w:color="auto"/>
              <w:bottom w:val="nil"/>
              <w:right w:val="nil"/>
            </w:tcBorders>
            <w:shd w:val="clear" w:color="auto" w:fill="auto"/>
            <w:noWrap/>
            <w:vAlign w:val="bottom"/>
            <w:hideMark/>
          </w:tcPr>
          <w:p w14:paraId="0CB53D4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0.116</w:t>
            </w:r>
          </w:p>
        </w:tc>
        <w:tc>
          <w:tcPr>
            <w:tcW w:w="508" w:type="pct"/>
            <w:tcBorders>
              <w:top w:val="nil"/>
              <w:left w:val="nil"/>
              <w:bottom w:val="nil"/>
              <w:right w:val="nil"/>
            </w:tcBorders>
            <w:shd w:val="clear" w:color="auto" w:fill="auto"/>
            <w:noWrap/>
            <w:vAlign w:val="bottom"/>
            <w:hideMark/>
          </w:tcPr>
          <w:p w14:paraId="1FFC18A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0.106</w:t>
            </w:r>
          </w:p>
        </w:tc>
        <w:tc>
          <w:tcPr>
            <w:tcW w:w="544" w:type="pct"/>
            <w:tcBorders>
              <w:top w:val="nil"/>
              <w:left w:val="nil"/>
              <w:bottom w:val="nil"/>
              <w:right w:val="nil"/>
            </w:tcBorders>
            <w:shd w:val="clear" w:color="auto" w:fill="auto"/>
            <w:noWrap/>
            <w:vAlign w:val="bottom"/>
            <w:hideMark/>
          </w:tcPr>
          <w:p w14:paraId="254A3B9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0.033</w:t>
            </w:r>
          </w:p>
        </w:tc>
        <w:tc>
          <w:tcPr>
            <w:tcW w:w="547" w:type="pct"/>
            <w:tcBorders>
              <w:top w:val="nil"/>
              <w:left w:val="nil"/>
              <w:bottom w:val="nil"/>
              <w:right w:val="nil"/>
            </w:tcBorders>
            <w:shd w:val="clear" w:color="auto" w:fill="auto"/>
            <w:noWrap/>
            <w:vAlign w:val="bottom"/>
            <w:hideMark/>
          </w:tcPr>
          <w:p w14:paraId="2BDD254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0.036</w:t>
            </w:r>
          </w:p>
        </w:tc>
      </w:tr>
      <w:tr w:rsidR="003273BD" w:rsidRPr="00245E91" w14:paraId="22B831B6" w14:textId="77777777" w:rsidTr="00D83DD8">
        <w:trPr>
          <w:trHeight w:val="144"/>
        </w:trPr>
        <w:tc>
          <w:tcPr>
            <w:tcW w:w="672" w:type="pct"/>
            <w:tcBorders>
              <w:top w:val="nil"/>
              <w:left w:val="nil"/>
              <w:bottom w:val="nil"/>
              <w:right w:val="nil"/>
            </w:tcBorders>
            <w:shd w:val="clear" w:color="auto" w:fill="auto"/>
            <w:noWrap/>
            <w:vAlign w:val="bottom"/>
            <w:hideMark/>
          </w:tcPr>
          <w:p w14:paraId="29494AB6"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45" w:type="pct"/>
            <w:tcBorders>
              <w:top w:val="nil"/>
              <w:left w:val="nil"/>
              <w:bottom w:val="nil"/>
              <w:right w:val="nil"/>
            </w:tcBorders>
            <w:shd w:val="clear" w:color="auto" w:fill="auto"/>
            <w:noWrap/>
            <w:vAlign w:val="bottom"/>
            <w:hideMark/>
          </w:tcPr>
          <w:p w14:paraId="7BC3ED4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(0.94)</w:t>
            </w:r>
          </w:p>
        </w:tc>
        <w:tc>
          <w:tcPr>
            <w:tcW w:w="545" w:type="pct"/>
            <w:tcBorders>
              <w:top w:val="nil"/>
              <w:left w:val="nil"/>
              <w:bottom w:val="nil"/>
              <w:right w:val="nil"/>
            </w:tcBorders>
            <w:shd w:val="clear" w:color="auto" w:fill="auto"/>
            <w:noWrap/>
            <w:vAlign w:val="bottom"/>
            <w:hideMark/>
          </w:tcPr>
          <w:p w14:paraId="2672895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(1.68*)</w:t>
            </w:r>
          </w:p>
        </w:tc>
        <w:tc>
          <w:tcPr>
            <w:tcW w:w="545" w:type="pct"/>
            <w:tcBorders>
              <w:top w:val="nil"/>
              <w:left w:val="nil"/>
              <w:bottom w:val="nil"/>
              <w:right w:val="nil"/>
            </w:tcBorders>
            <w:shd w:val="clear" w:color="auto" w:fill="auto"/>
            <w:noWrap/>
            <w:vAlign w:val="bottom"/>
            <w:hideMark/>
          </w:tcPr>
          <w:p w14:paraId="130CCD9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(0.32)</w:t>
            </w:r>
          </w:p>
        </w:tc>
        <w:tc>
          <w:tcPr>
            <w:tcW w:w="549" w:type="pct"/>
            <w:tcBorders>
              <w:top w:val="nil"/>
              <w:left w:val="nil"/>
              <w:bottom w:val="nil"/>
              <w:right w:val="single" w:sz="4" w:space="0" w:color="auto"/>
            </w:tcBorders>
            <w:shd w:val="clear" w:color="auto" w:fill="auto"/>
            <w:noWrap/>
            <w:vAlign w:val="bottom"/>
            <w:hideMark/>
          </w:tcPr>
          <w:p w14:paraId="6D36F52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(0.37)</w:t>
            </w:r>
          </w:p>
        </w:tc>
        <w:tc>
          <w:tcPr>
            <w:tcW w:w="545" w:type="pct"/>
            <w:tcBorders>
              <w:top w:val="nil"/>
              <w:left w:val="single" w:sz="4" w:space="0" w:color="auto"/>
              <w:bottom w:val="nil"/>
              <w:right w:val="nil"/>
            </w:tcBorders>
            <w:shd w:val="clear" w:color="auto" w:fill="auto"/>
            <w:noWrap/>
            <w:vAlign w:val="bottom"/>
            <w:hideMark/>
          </w:tcPr>
          <w:p w14:paraId="70681CA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(2.85***)</w:t>
            </w:r>
          </w:p>
        </w:tc>
        <w:tc>
          <w:tcPr>
            <w:tcW w:w="508" w:type="pct"/>
            <w:tcBorders>
              <w:top w:val="nil"/>
              <w:left w:val="nil"/>
              <w:bottom w:val="nil"/>
              <w:right w:val="nil"/>
            </w:tcBorders>
            <w:shd w:val="clear" w:color="auto" w:fill="auto"/>
            <w:noWrap/>
            <w:vAlign w:val="bottom"/>
            <w:hideMark/>
          </w:tcPr>
          <w:p w14:paraId="65202F1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(3.09***)</w:t>
            </w:r>
          </w:p>
        </w:tc>
        <w:tc>
          <w:tcPr>
            <w:tcW w:w="544" w:type="pct"/>
            <w:tcBorders>
              <w:top w:val="nil"/>
              <w:left w:val="nil"/>
              <w:bottom w:val="nil"/>
              <w:right w:val="nil"/>
            </w:tcBorders>
            <w:shd w:val="clear" w:color="auto" w:fill="auto"/>
            <w:noWrap/>
            <w:vAlign w:val="bottom"/>
            <w:hideMark/>
          </w:tcPr>
          <w:p w14:paraId="1EBCAD3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(0.66)</w:t>
            </w:r>
          </w:p>
        </w:tc>
        <w:tc>
          <w:tcPr>
            <w:tcW w:w="547" w:type="pct"/>
            <w:tcBorders>
              <w:top w:val="nil"/>
              <w:left w:val="nil"/>
              <w:bottom w:val="nil"/>
              <w:right w:val="nil"/>
            </w:tcBorders>
            <w:shd w:val="clear" w:color="auto" w:fill="auto"/>
            <w:noWrap/>
            <w:vAlign w:val="bottom"/>
            <w:hideMark/>
          </w:tcPr>
          <w:p w14:paraId="474E524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(0.68)</w:t>
            </w:r>
          </w:p>
        </w:tc>
      </w:tr>
      <w:tr w:rsidR="003273BD" w:rsidRPr="00245E91" w14:paraId="4AE4F80F" w14:textId="77777777" w:rsidTr="00D83DD8">
        <w:trPr>
          <w:trHeight w:val="144"/>
        </w:trPr>
        <w:tc>
          <w:tcPr>
            <w:tcW w:w="672" w:type="pct"/>
            <w:tcBorders>
              <w:top w:val="nil"/>
              <w:left w:val="nil"/>
              <w:bottom w:val="nil"/>
              <w:right w:val="nil"/>
            </w:tcBorders>
            <w:shd w:val="clear" w:color="auto" w:fill="auto"/>
            <w:noWrap/>
            <w:vAlign w:val="bottom"/>
            <w:hideMark/>
          </w:tcPr>
          <w:p w14:paraId="0F57CF83"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DEBT</w:t>
            </w:r>
          </w:p>
        </w:tc>
        <w:tc>
          <w:tcPr>
            <w:tcW w:w="545" w:type="pct"/>
            <w:tcBorders>
              <w:top w:val="nil"/>
              <w:left w:val="nil"/>
              <w:bottom w:val="nil"/>
              <w:right w:val="nil"/>
            </w:tcBorders>
            <w:shd w:val="clear" w:color="auto" w:fill="auto"/>
            <w:noWrap/>
            <w:vAlign w:val="bottom"/>
            <w:hideMark/>
          </w:tcPr>
          <w:p w14:paraId="36C0978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0.102</w:t>
            </w:r>
          </w:p>
        </w:tc>
        <w:tc>
          <w:tcPr>
            <w:tcW w:w="545" w:type="pct"/>
            <w:tcBorders>
              <w:top w:val="nil"/>
              <w:left w:val="nil"/>
              <w:bottom w:val="nil"/>
              <w:right w:val="nil"/>
            </w:tcBorders>
            <w:shd w:val="clear" w:color="auto" w:fill="auto"/>
            <w:noWrap/>
            <w:vAlign w:val="bottom"/>
            <w:hideMark/>
          </w:tcPr>
          <w:p w14:paraId="1580EB3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0.117</w:t>
            </w:r>
          </w:p>
        </w:tc>
        <w:tc>
          <w:tcPr>
            <w:tcW w:w="545" w:type="pct"/>
            <w:tcBorders>
              <w:top w:val="nil"/>
              <w:left w:val="nil"/>
              <w:bottom w:val="nil"/>
              <w:right w:val="nil"/>
            </w:tcBorders>
            <w:shd w:val="clear" w:color="auto" w:fill="auto"/>
            <w:noWrap/>
            <w:vAlign w:val="bottom"/>
            <w:hideMark/>
          </w:tcPr>
          <w:p w14:paraId="0DCC24B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0.011</w:t>
            </w:r>
          </w:p>
        </w:tc>
        <w:tc>
          <w:tcPr>
            <w:tcW w:w="549" w:type="pct"/>
            <w:tcBorders>
              <w:top w:val="nil"/>
              <w:left w:val="nil"/>
              <w:bottom w:val="nil"/>
              <w:right w:val="single" w:sz="4" w:space="0" w:color="auto"/>
            </w:tcBorders>
            <w:shd w:val="clear" w:color="auto" w:fill="auto"/>
            <w:noWrap/>
            <w:vAlign w:val="bottom"/>
            <w:hideMark/>
          </w:tcPr>
          <w:p w14:paraId="6BA8B5B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0.011</w:t>
            </w:r>
          </w:p>
        </w:tc>
        <w:tc>
          <w:tcPr>
            <w:tcW w:w="545" w:type="pct"/>
            <w:tcBorders>
              <w:top w:val="nil"/>
              <w:left w:val="single" w:sz="4" w:space="0" w:color="auto"/>
              <w:bottom w:val="nil"/>
              <w:right w:val="nil"/>
            </w:tcBorders>
            <w:shd w:val="clear" w:color="auto" w:fill="auto"/>
            <w:noWrap/>
            <w:vAlign w:val="bottom"/>
            <w:hideMark/>
          </w:tcPr>
          <w:p w14:paraId="424F899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0.117</w:t>
            </w:r>
          </w:p>
        </w:tc>
        <w:tc>
          <w:tcPr>
            <w:tcW w:w="508" w:type="pct"/>
            <w:tcBorders>
              <w:top w:val="nil"/>
              <w:left w:val="nil"/>
              <w:bottom w:val="nil"/>
              <w:right w:val="nil"/>
            </w:tcBorders>
            <w:shd w:val="clear" w:color="auto" w:fill="auto"/>
            <w:noWrap/>
            <w:vAlign w:val="bottom"/>
            <w:hideMark/>
          </w:tcPr>
          <w:p w14:paraId="005E3F8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0.115</w:t>
            </w:r>
          </w:p>
        </w:tc>
        <w:tc>
          <w:tcPr>
            <w:tcW w:w="544" w:type="pct"/>
            <w:tcBorders>
              <w:top w:val="nil"/>
              <w:left w:val="nil"/>
              <w:bottom w:val="nil"/>
              <w:right w:val="nil"/>
            </w:tcBorders>
            <w:shd w:val="clear" w:color="auto" w:fill="auto"/>
            <w:noWrap/>
            <w:vAlign w:val="bottom"/>
            <w:hideMark/>
          </w:tcPr>
          <w:p w14:paraId="3AB8A19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0.022</w:t>
            </w:r>
          </w:p>
        </w:tc>
        <w:tc>
          <w:tcPr>
            <w:tcW w:w="547" w:type="pct"/>
            <w:tcBorders>
              <w:top w:val="nil"/>
              <w:left w:val="nil"/>
              <w:bottom w:val="nil"/>
              <w:right w:val="nil"/>
            </w:tcBorders>
            <w:shd w:val="clear" w:color="auto" w:fill="auto"/>
            <w:noWrap/>
            <w:vAlign w:val="bottom"/>
            <w:hideMark/>
          </w:tcPr>
          <w:p w14:paraId="581C25D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0.023</w:t>
            </w:r>
          </w:p>
        </w:tc>
      </w:tr>
      <w:tr w:rsidR="003273BD" w:rsidRPr="00245E91" w14:paraId="7F1F8C95" w14:textId="77777777" w:rsidTr="00D83DD8">
        <w:trPr>
          <w:trHeight w:val="144"/>
        </w:trPr>
        <w:tc>
          <w:tcPr>
            <w:tcW w:w="672" w:type="pct"/>
            <w:tcBorders>
              <w:top w:val="nil"/>
              <w:left w:val="nil"/>
              <w:bottom w:val="nil"/>
              <w:right w:val="nil"/>
            </w:tcBorders>
            <w:shd w:val="clear" w:color="auto" w:fill="auto"/>
            <w:noWrap/>
            <w:vAlign w:val="bottom"/>
            <w:hideMark/>
          </w:tcPr>
          <w:p w14:paraId="4D0D2573"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45" w:type="pct"/>
            <w:tcBorders>
              <w:top w:val="nil"/>
              <w:left w:val="nil"/>
              <w:bottom w:val="nil"/>
              <w:right w:val="nil"/>
            </w:tcBorders>
            <w:shd w:val="clear" w:color="auto" w:fill="auto"/>
            <w:noWrap/>
            <w:vAlign w:val="bottom"/>
            <w:hideMark/>
          </w:tcPr>
          <w:p w14:paraId="0C6289F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(2.35**)</w:t>
            </w:r>
          </w:p>
        </w:tc>
        <w:tc>
          <w:tcPr>
            <w:tcW w:w="545" w:type="pct"/>
            <w:tcBorders>
              <w:top w:val="nil"/>
              <w:left w:val="nil"/>
              <w:bottom w:val="nil"/>
              <w:right w:val="nil"/>
            </w:tcBorders>
            <w:shd w:val="clear" w:color="auto" w:fill="auto"/>
            <w:noWrap/>
            <w:vAlign w:val="bottom"/>
            <w:hideMark/>
          </w:tcPr>
          <w:p w14:paraId="3B54874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(3.05***)</w:t>
            </w:r>
          </w:p>
        </w:tc>
        <w:tc>
          <w:tcPr>
            <w:tcW w:w="545" w:type="pct"/>
            <w:tcBorders>
              <w:top w:val="nil"/>
              <w:left w:val="nil"/>
              <w:bottom w:val="nil"/>
              <w:right w:val="nil"/>
            </w:tcBorders>
            <w:shd w:val="clear" w:color="auto" w:fill="auto"/>
            <w:noWrap/>
            <w:vAlign w:val="bottom"/>
            <w:hideMark/>
          </w:tcPr>
          <w:p w14:paraId="34D5820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(0.39)</w:t>
            </w:r>
          </w:p>
        </w:tc>
        <w:tc>
          <w:tcPr>
            <w:tcW w:w="549" w:type="pct"/>
            <w:tcBorders>
              <w:top w:val="nil"/>
              <w:left w:val="nil"/>
              <w:bottom w:val="nil"/>
              <w:right w:val="single" w:sz="4" w:space="0" w:color="auto"/>
            </w:tcBorders>
            <w:shd w:val="clear" w:color="auto" w:fill="auto"/>
            <w:noWrap/>
            <w:vAlign w:val="bottom"/>
            <w:hideMark/>
          </w:tcPr>
          <w:p w14:paraId="7DE965C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(0.39)</w:t>
            </w:r>
          </w:p>
        </w:tc>
        <w:tc>
          <w:tcPr>
            <w:tcW w:w="545" w:type="pct"/>
            <w:tcBorders>
              <w:top w:val="nil"/>
              <w:left w:val="single" w:sz="4" w:space="0" w:color="auto"/>
              <w:bottom w:val="nil"/>
              <w:right w:val="nil"/>
            </w:tcBorders>
            <w:shd w:val="clear" w:color="auto" w:fill="auto"/>
            <w:noWrap/>
            <w:vAlign w:val="bottom"/>
            <w:hideMark/>
          </w:tcPr>
          <w:p w14:paraId="7DF3A34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(3.00***)</w:t>
            </w:r>
          </w:p>
        </w:tc>
        <w:tc>
          <w:tcPr>
            <w:tcW w:w="508" w:type="pct"/>
            <w:tcBorders>
              <w:top w:val="nil"/>
              <w:left w:val="nil"/>
              <w:bottom w:val="nil"/>
              <w:right w:val="nil"/>
            </w:tcBorders>
            <w:shd w:val="clear" w:color="auto" w:fill="auto"/>
            <w:noWrap/>
            <w:vAlign w:val="bottom"/>
            <w:hideMark/>
          </w:tcPr>
          <w:p w14:paraId="06CC601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(3.185***)</w:t>
            </w:r>
          </w:p>
        </w:tc>
        <w:tc>
          <w:tcPr>
            <w:tcW w:w="544" w:type="pct"/>
            <w:tcBorders>
              <w:top w:val="nil"/>
              <w:left w:val="nil"/>
              <w:bottom w:val="nil"/>
              <w:right w:val="nil"/>
            </w:tcBorders>
            <w:shd w:val="clear" w:color="auto" w:fill="auto"/>
            <w:noWrap/>
            <w:vAlign w:val="bottom"/>
            <w:hideMark/>
          </w:tcPr>
          <w:p w14:paraId="698E54B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(0.94)</w:t>
            </w:r>
          </w:p>
        </w:tc>
        <w:tc>
          <w:tcPr>
            <w:tcW w:w="547" w:type="pct"/>
            <w:tcBorders>
              <w:top w:val="nil"/>
              <w:left w:val="nil"/>
              <w:bottom w:val="nil"/>
              <w:right w:val="nil"/>
            </w:tcBorders>
            <w:shd w:val="clear" w:color="auto" w:fill="auto"/>
            <w:noWrap/>
            <w:vAlign w:val="bottom"/>
            <w:hideMark/>
          </w:tcPr>
          <w:p w14:paraId="14543FC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(0.97)</w:t>
            </w:r>
          </w:p>
        </w:tc>
      </w:tr>
      <w:tr w:rsidR="003273BD" w:rsidRPr="00245E91" w14:paraId="55E02092" w14:textId="77777777" w:rsidTr="00D83DD8">
        <w:trPr>
          <w:trHeight w:val="144"/>
        </w:trPr>
        <w:tc>
          <w:tcPr>
            <w:tcW w:w="672" w:type="pct"/>
            <w:tcBorders>
              <w:top w:val="nil"/>
              <w:left w:val="nil"/>
              <w:bottom w:val="nil"/>
              <w:right w:val="nil"/>
            </w:tcBorders>
            <w:shd w:val="clear" w:color="auto" w:fill="auto"/>
            <w:noWrap/>
            <w:vAlign w:val="bottom"/>
            <w:hideMark/>
          </w:tcPr>
          <w:p w14:paraId="7861216B"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NOA</w:t>
            </w:r>
          </w:p>
        </w:tc>
        <w:tc>
          <w:tcPr>
            <w:tcW w:w="545" w:type="pct"/>
            <w:tcBorders>
              <w:top w:val="nil"/>
              <w:left w:val="nil"/>
              <w:bottom w:val="nil"/>
              <w:right w:val="nil"/>
            </w:tcBorders>
            <w:shd w:val="clear" w:color="auto" w:fill="auto"/>
            <w:noWrap/>
            <w:vAlign w:val="bottom"/>
            <w:hideMark/>
          </w:tcPr>
          <w:p w14:paraId="414BF84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0.063</w:t>
            </w:r>
          </w:p>
        </w:tc>
        <w:tc>
          <w:tcPr>
            <w:tcW w:w="545" w:type="pct"/>
            <w:tcBorders>
              <w:top w:val="nil"/>
              <w:left w:val="nil"/>
              <w:bottom w:val="nil"/>
              <w:right w:val="nil"/>
            </w:tcBorders>
            <w:shd w:val="clear" w:color="auto" w:fill="auto"/>
            <w:noWrap/>
            <w:vAlign w:val="bottom"/>
            <w:hideMark/>
          </w:tcPr>
          <w:p w14:paraId="1A80F07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0.014</w:t>
            </w:r>
          </w:p>
        </w:tc>
        <w:tc>
          <w:tcPr>
            <w:tcW w:w="545" w:type="pct"/>
            <w:tcBorders>
              <w:top w:val="nil"/>
              <w:left w:val="nil"/>
              <w:bottom w:val="nil"/>
              <w:right w:val="nil"/>
            </w:tcBorders>
            <w:shd w:val="clear" w:color="auto" w:fill="auto"/>
            <w:noWrap/>
            <w:vAlign w:val="bottom"/>
            <w:hideMark/>
          </w:tcPr>
          <w:p w14:paraId="5F951CC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-0.039</w:t>
            </w:r>
          </w:p>
        </w:tc>
        <w:tc>
          <w:tcPr>
            <w:tcW w:w="549" w:type="pct"/>
            <w:tcBorders>
              <w:top w:val="nil"/>
              <w:left w:val="nil"/>
              <w:bottom w:val="nil"/>
              <w:right w:val="single" w:sz="4" w:space="0" w:color="auto"/>
            </w:tcBorders>
            <w:shd w:val="clear" w:color="auto" w:fill="auto"/>
            <w:noWrap/>
            <w:vAlign w:val="bottom"/>
            <w:hideMark/>
          </w:tcPr>
          <w:p w14:paraId="767DF68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-0.042</w:t>
            </w:r>
          </w:p>
        </w:tc>
        <w:tc>
          <w:tcPr>
            <w:tcW w:w="545" w:type="pct"/>
            <w:tcBorders>
              <w:top w:val="nil"/>
              <w:left w:val="single" w:sz="4" w:space="0" w:color="auto"/>
              <w:bottom w:val="nil"/>
              <w:right w:val="nil"/>
            </w:tcBorders>
            <w:shd w:val="clear" w:color="auto" w:fill="auto"/>
            <w:noWrap/>
            <w:vAlign w:val="bottom"/>
            <w:hideMark/>
          </w:tcPr>
          <w:p w14:paraId="59686D8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-0.004</w:t>
            </w:r>
          </w:p>
        </w:tc>
        <w:tc>
          <w:tcPr>
            <w:tcW w:w="508" w:type="pct"/>
            <w:tcBorders>
              <w:top w:val="nil"/>
              <w:left w:val="nil"/>
              <w:bottom w:val="nil"/>
              <w:right w:val="nil"/>
            </w:tcBorders>
            <w:shd w:val="clear" w:color="auto" w:fill="auto"/>
            <w:noWrap/>
            <w:vAlign w:val="bottom"/>
            <w:hideMark/>
          </w:tcPr>
          <w:p w14:paraId="163E492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-0.048</w:t>
            </w:r>
          </w:p>
        </w:tc>
        <w:tc>
          <w:tcPr>
            <w:tcW w:w="544" w:type="pct"/>
            <w:tcBorders>
              <w:top w:val="nil"/>
              <w:left w:val="nil"/>
              <w:bottom w:val="nil"/>
              <w:right w:val="nil"/>
            </w:tcBorders>
            <w:shd w:val="clear" w:color="auto" w:fill="auto"/>
            <w:noWrap/>
            <w:vAlign w:val="bottom"/>
            <w:hideMark/>
          </w:tcPr>
          <w:p w14:paraId="6E8A369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-0.041</w:t>
            </w:r>
          </w:p>
        </w:tc>
        <w:tc>
          <w:tcPr>
            <w:tcW w:w="547" w:type="pct"/>
            <w:tcBorders>
              <w:top w:val="nil"/>
              <w:left w:val="nil"/>
              <w:bottom w:val="nil"/>
              <w:right w:val="nil"/>
            </w:tcBorders>
            <w:shd w:val="clear" w:color="auto" w:fill="auto"/>
            <w:noWrap/>
            <w:vAlign w:val="bottom"/>
            <w:hideMark/>
          </w:tcPr>
          <w:p w14:paraId="475D004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-0.040</w:t>
            </w:r>
          </w:p>
        </w:tc>
      </w:tr>
      <w:tr w:rsidR="003273BD" w:rsidRPr="00245E91" w14:paraId="0343B4CF" w14:textId="77777777" w:rsidTr="00D83DD8">
        <w:trPr>
          <w:trHeight w:val="144"/>
        </w:trPr>
        <w:tc>
          <w:tcPr>
            <w:tcW w:w="672" w:type="pct"/>
            <w:tcBorders>
              <w:top w:val="nil"/>
              <w:left w:val="nil"/>
              <w:bottom w:val="nil"/>
              <w:right w:val="nil"/>
            </w:tcBorders>
            <w:shd w:val="clear" w:color="auto" w:fill="auto"/>
            <w:noWrap/>
            <w:vAlign w:val="bottom"/>
            <w:hideMark/>
          </w:tcPr>
          <w:p w14:paraId="124E6226"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45" w:type="pct"/>
            <w:tcBorders>
              <w:top w:val="nil"/>
              <w:left w:val="nil"/>
              <w:bottom w:val="nil"/>
              <w:right w:val="nil"/>
            </w:tcBorders>
            <w:shd w:val="clear" w:color="auto" w:fill="auto"/>
            <w:noWrap/>
            <w:vAlign w:val="bottom"/>
            <w:hideMark/>
          </w:tcPr>
          <w:p w14:paraId="64180ED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(1.63)</w:t>
            </w:r>
          </w:p>
        </w:tc>
        <w:tc>
          <w:tcPr>
            <w:tcW w:w="545" w:type="pct"/>
            <w:tcBorders>
              <w:top w:val="nil"/>
              <w:left w:val="nil"/>
              <w:bottom w:val="nil"/>
              <w:right w:val="nil"/>
            </w:tcBorders>
            <w:shd w:val="clear" w:color="auto" w:fill="auto"/>
            <w:noWrap/>
            <w:vAlign w:val="bottom"/>
            <w:hideMark/>
          </w:tcPr>
          <w:p w14:paraId="09FF23E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(0.376)</w:t>
            </w:r>
          </w:p>
        </w:tc>
        <w:tc>
          <w:tcPr>
            <w:tcW w:w="545" w:type="pct"/>
            <w:tcBorders>
              <w:top w:val="nil"/>
              <w:left w:val="nil"/>
              <w:bottom w:val="nil"/>
              <w:right w:val="nil"/>
            </w:tcBorders>
            <w:shd w:val="clear" w:color="auto" w:fill="auto"/>
            <w:noWrap/>
            <w:vAlign w:val="bottom"/>
            <w:hideMark/>
          </w:tcPr>
          <w:p w14:paraId="1C122DA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(-1.60)</w:t>
            </w:r>
          </w:p>
        </w:tc>
        <w:tc>
          <w:tcPr>
            <w:tcW w:w="549" w:type="pct"/>
            <w:tcBorders>
              <w:top w:val="nil"/>
              <w:left w:val="nil"/>
              <w:bottom w:val="nil"/>
              <w:right w:val="single" w:sz="4" w:space="0" w:color="auto"/>
            </w:tcBorders>
            <w:shd w:val="clear" w:color="auto" w:fill="auto"/>
            <w:noWrap/>
            <w:vAlign w:val="bottom"/>
            <w:hideMark/>
          </w:tcPr>
          <w:p w14:paraId="006EA23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(-1.76*)</w:t>
            </w:r>
          </w:p>
        </w:tc>
        <w:tc>
          <w:tcPr>
            <w:tcW w:w="545" w:type="pct"/>
            <w:tcBorders>
              <w:top w:val="nil"/>
              <w:left w:val="single" w:sz="4" w:space="0" w:color="auto"/>
              <w:bottom w:val="nil"/>
              <w:right w:val="nil"/>
            </w:tcBorders>
            <w:shd w:val="clear" w:color="auto" w:fill="auto"/>
            <w:noWrap/>
            <w:vAlign w:val="bottom"/>
            <w:hideMark/>
          </w:tcPr>
          <w:p w14:paraId="2F50AD3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(-0.13)</w:t>
            </w:r>
          </w:p>
        </w:tc>
        <w:tc>
          <w:tcPr>
            <w:tcW w:w="508" w:type="pct"/>
            <w:tcBorders>
              <w:top w:val="nil"/>
              <w:left w:val="nil"/>
              <w:bottom w:val="nil"/>
              <w:right w:val="nil"/>
            </w:tcBorders>
            <w:shd w:val="clear" w:color="auto" w:fill="auto"/>
            <w:noWrap/>
            <w:vAlign w:val="bottom"/>
            <w:hideMark/>
          </w:tcPr>
          <w:p w14:paraId="4512873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(-1.67*)</w:t>
            </w:r>
          </w:p>
        </w:tc>
        <w:tc>
          <w:tcPr>
            <w:tcW w:w="544" w:type="pct"/>
            <w:tcBorders>
              <w:top w:val="nil"/>
              <w:left w:val="nil"/>
              <w:bottom w:val="nil"/>
              <w:right w:val="nil"/>
            </w:tcBorders>
            <w:shd w:val="clear" w:color="auto" w:fill="auto"/>
            <w:noWrap/>
            <w:vAlign w:val="bottom"/>
            <w:hideMark/>
          </w:tcPr>
          <w:p w14:paraId="72D9A1E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(-1.78*)</w:t>
            </w:r>
          </w:p>
        </w:tc>
        <w:tc>
          <w:tcPr>
            <w:tcW w:w="547" w:type="pct"/>
            <w:tcBorders>
              <w:top w:val="nil"/>
              <w:left w:val="nil"/>
              <w:bottom w:val="nil"/>
              <w:right w:val="nil"/>
            </w:tcBorders>
            <w:shd w:val="clear" w:color="auto" w:fill="auto"/>
            <w:noWrap/>
            <w:vAlign w:val="bottom"/>
            <w:hideMark/>
          </w:tcPr>
          <w:p w14:paraId="2225128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(-1.63)</w:t>
            </w:r>
          </w:p>
        </w:tc>
      </w:tr>
      <w:tr w:rsidR="003273BD" w:rsidRPr="00245E91" w14:paraId="5FFB33BD" w14:textId="77777777" w:rsidTr="00D83DD8">
        <w:trPr>
          <w:trHeight w:val="144"/>
        </w:trPr>
        <w:tc>
          <w:tcPr>
            <w:tcW w:w="672" w:type="pct"/>
            <w:tcBorders>
              <w:top w:val="nil"/>
              <w:left w:val="nil"/>
              <w:bottom w:val="nil"/>
              <w:right w:val="nil"/>
            </w:tcBorders>
            <w:shd w:val="clear" w:color="auto" w:fill="auto"/>
            <w:noWrap/>
            <w:vAlign w:val="bottom"/>
            <w:hideMark/>
          </w:tcPr>
          <w:p w14:paraId="577C29C9"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OPERCYCLE</w:t>
            </w:r>
          </w:p>
        </w:tc>
        <w:tc>
          <w:tcPr>
            <w:tcW w:w="545" w:type="pct"/>
            <w:tcBorders>
              <w:top w:val="nil"/>
              <w:left w:val="nil"/>
              <w:bottom w:val="nil"/>
              <w:right w:val="nil"/>
            </w:tcBorders>
            <w:shd w:val="clear" w:color="auto" w:fill="auto"/>
            <w:noWrap/>
            <w:vAlign w:val="bottom"/>
            <w:hideMark/>
          </w:tcPr>
          <w:p w14:paraId="515BF3E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0.056</w:t>
            </w:r>
          </w:p>
        </w:tc>
        <w:tc>
          <w:tcPr>
            <w:tcW w:w="545" w:type="pct"/>
            <w:tcBorders>
              <w:top w:val="nil"/>
              <w:left w:val="nil"/>
              <w:bottom w:val="nil"/>
              <w:right w:val="nil"/>
            </w:tcBorders>
            <w:shd w:val="clear" w:color="auto" w:fill="auto"/>
            <w:noWrap/>
            <w:vAlign w:val="bottom"/>
            <w:hideMark/>
          </w:tcPr>
          <w:p w14:paraId="4FA8439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0.073</w:t>
            </w:r>
          </w:p>
        </w:tc>
        <w:tc>
          <w:tcPr>
            <w:tcW w:w="545" w:type="pct"/>
            <w:tcBorders>
              <w:top w:val="nil"/>
              <w:left w:val="nil"/>
              <w:bottom w:val="nil"/>
              <w:right w:val="nil"/>
            </w:tcBorders>
            <w:shd w:val="clear" w:color="auto" w:fill="auto"/>
            <w:noWrap/>
            <w:vAlign w:val="bottom"/>
            <w:hideMark/>
          </w:tcPr>
          <w:p w14:paraId="05353EC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0.022</w:t>
            </w:r>
          </w:p>
        </w:tc>
        <w:tc>
          <w:tcPr>
            <w:tcW w:w="549" w:type="pct"/>
            <w:tcBorders>
              <w:top w:val="nil"/>
              <w:left w:val="nil"/>
              <w:bottom w:val="nil"/>
              <w:right w:val="single" w:sz="4" w:space="0" w:color="auto"/>
            </w:tcBorders>
            <w:shd w:val="clear" w:color="auto" w:fill="auto"/>
            <w:noWrap/>
            <w:vAlign w:val="bottom"/>
            <w:hideMark/>
          </w:tcPr>
          <w:p w14:paraId="66B588F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0.024</w:t>
            </w:r>
          </w:p>
        </w:tc>
        <w:tc>
          <w:tcPr>
            <w:tcW w:w="545" w:type="pct"/>
            <w:tcBorders>
              <w:top w:val="nil"/>
              <w:left w:val="single" w:sz="4" w:space="0" w:color="auto"/>
              <w:bottom w:val="nil"/>
              <w:right w:val="nil"/>
            </w:tcBorders>
            <w:shd w:val="clear" w:color="auto" w:fill="auto"/>
            <w:noWrap/>
            <w:vAlign w:val="bottom"/>
            <w:hideMark/>
          </w:tcPr>
          <w:p w14:paraId="5D53780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0.048</w:t>
            </w:r>
          </w:p>
        </w:tc>
        <w:tc>
          <w:tcPr>
            <w:tcW w:w="508" w:type="pct"/>
            <w:tcBorders>
              <w:top w:val="nil"/>
              <w:left w:val="nil"/>
              <w:bottom w:val="nil"/>
              <w:right w:val="nil"/>
            </w:tcBorders>
            <w:shd w:val="clear" w:color="auto" w:fill="auto"/>
            <w:noWrap/>
            <w:vAlign w:val="bottom"/>
            <w:hideMark/>
          </w:tcPr>
          <w:p w14:paraId="6631067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0.075</w:t>
            </w:r>
          </w:p>
        </w:tc>
        <w:tc>
          <w:tcPr>
            <w:tcW w:w="544" w:type="pct"/>
            <w:tcBorders>
              <w:top w:val="nil"/>
              <w:left w:val="nil"/>
              <w:bottom w:val="nil"/>
              <w:right w:val="nil"/>
            </w:tcBorders>
            <w:shd w:val="clear" w:color="auto" w:fill="auto"/>
            <w:noWrap/>
            <w:vAlign w:val="bottom"/>
            <w:hideMark/>
          </w:tcPr>
          <w:p w14:paraId="01D15C6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0.007</w:t>
            </w:r>
          </w:p>
        </w:tc>
        <w:tc>
          <w:tcPr>
            <w:tcW w:w="547" w:type="pct"/>
            <w:tcBorders>
              <w:top w:val="nil"/>
              <w:left w:val="nil"/>
              <w:bottom w:val="nil"/>
              <w:right w:val="nil"/>
            </w:tcBorders>
            <w:shd w:val="clear" w:color="auto" w:fill="auto"/>
            <w:noWrap/>
            <w:vAlign w:val="bottom"/>
            <w:hideMark/>
          </w:tcPr>
          <w:p w14:paraId="57D34B4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0.007</w:t>
            </w:r>
          </w:p>
        </w:tc>
      </w:tr>
      <w:tr w:rsidR="003273BD" w:rsidRPr="00245E91" w14:paraId="74858622" w14:textId="77777777" w:rsidTr="00D83DD8">
        <w:trPr>
          <w:trHeight w:val="144"/>
        </w:trPr>
        <w:tc>
          <w:tcPr>
            <w:tcW w:w="672" w:type="pct"/>
            <w:tcBorders>
              <w:top w:val="nil"/>
              <w:left w:val="nil"/>
              <w:bottom w:val="nil"/>
              <w:right w:val="nil"/>
            </w:tcBorders>
            <w:shd w:val="clear" w:color="auto" w:fill="auto"/>
            <w:noWrap/>
            <w:vAlign w:val="bottom"/>
            <w:hideMark/>
          </w:tcPr>
          <w:p w14:paraId="42FCC7CE"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45" w:type="pct"/>
            <w:tcBorders>
              <w:top w:val="nil"/>
              <w:left w:val="nil"/>
              <w:bottom w:val="nil"/>
              <w:right w:val="nil"/>
            </w:tcBorders>
            <w:shd w:val="clear" w:color="auto" w:fill="auto"/>
            <w:noWrap/>
            <w:vAlign w:val="bottom"/>
            <w:hideMark/>
          </w:tcPr>
          <w:p w14:paraId="768A041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(1.80*)</w:t>
            </w:r>
          </w:p>
        </w:tc>
        <w:tc>
          <w:tcPr>
            <w:tcW w:w="545" w:type="pct"/>
            <w:tcBorders>
              <w:top w:val="nil"/>
              <w:left w:val="nil"/>
              <w:bottom w:val="nil"/>
              <w:right w:val="nil"/>
            </w:tcBorders>
            <w:shd w:val="clear" w:color="auto" w:fill="auto"/>
            <w:noWrap/>
            <w:vAlign w:val="bottom"/>
            <w:hideMark/>
          </w:tcPr>
          <w:p w14:paraId="27CD14B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(2.36**)</w:t>
            </w:r>
          </w:p>
        </w:tc>
        <w:tc>
          <w:tcPr>
            <w:tcW w:w="545" w:type="pct"/>
            <w:tcBorders>
              <w:top w:val="nil"/>
              <w:left w:val="nil"/>
              <w:bottom w:val="nil"/>
              <w:right w:val="nil"/>
            </w:tcBorders>
            <w:shd w:val="clear" w:color="auto" w:fill="auto"/>
            <w:noWrap/>
            <w:vAlign w:val="bottom"/>
            <w:hideMark/>
          </w:tcPr>
          <w:p w14:paraId="01A1A40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(0.85)</w:t>
            </w:r>
          </w:p>
        </w:tc>
        <w:tc>
          <w:tcPr>
            <w:tcW w:w="549" w:type="pct"/>
            <w:tcBorders>
              <w:top w:val="nil"/>
              <w:left w:val="nil"/>
              <w:bottom w:val="nil"/>
              <w:right w:val="single" w:sz="4" w:space="0" w:color="auto"/>
            </w:tcBorders>
            <w:shd w:val="clear" w:color="auto" w:fill="auto"/>
            <w:noWrap/>
            <w:vAlign w:val="bottom"/>
            <w:hideMark/>
          </w:tcPr>
          <w:p w14:paraId="311F573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(0.94)</w:t>
            </w:r>
          </w:p>
        </w:tc>
        <w:tc>
          <w:tcPr>
            <w:tcW w:w="545" w:type="pct"/>
            <w:tcBorders>
              <w:top w:val="nil"/>
              <w:left w:val="single" w:sz="4" w:space="0" w:color="auto"/>
              <w:bottom w:val="nil"/>
              <w:right w:val="nil"/>
            </w:tcBorders>
            <w:shd w:val="clear" w:color="auto" w:fill="auto"/>
            <w:noWrap/>
            <w:vAlign w:val="bottom"/>
            <w:hideMark/>
          </w:tcPr>
          <w:p w14:paraId="1A60F62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(1.64)</w:t>
            </w:r>
          </w:p>
        </w:tc>
        <w:tc>
          <w:tcPr>
            <w:tcW w:w="508" w:type="pct"/>
            <w:tcBorders>
              <w:top w:val="nil"/>
              <w:left w:val="nil"/>
              <w:bottom w:val="nil"/>
              <w:right w:val="nil"/>
            </w:tcBorders>
            <w:shd w:val="clear" w:color="auto" w:fill="auto"/>
            <w:noWrap/>
            <w:vAlign w:val="bottom"/>
            <w:hideMark/>
          </w:tcPr>
          <w:p w14:paraId="14D0051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(2.82***)</w:t>
            </w:r>
          </w:p>
        </w:tc>
        <w:tc>
          <w:tcPr>
            <w:tcW w:w="544" w:type="pct"/>
            <w:tcBorders>
              <w:top w:val="nil"/>
              <w:left w:val="nil"/>
              <w:bottom w:val="nil"/>
              <w:right w:val="nil"/>
            </w:tcBorders>
            <w:shd w:val="clear" w:color="auto" w:fill="auto"/>
            <w:noWrap/>
            <w:vAlign w:val="bottom"/>
            <w:hideMark/>
          </w:tcPr>
          <w:p w14:paraId="0B60B13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(0.36)</w:t>
            </w:r>
          </w:p>
        </w:tc>
        <w:tc>
          <w:tcPr>
            <w:tcW w:w="547" w:type="pct"/>
            <w:tcBorders>
              <w:top w:val="nil"/>
              <w:left w:val="nil"/>
              <w:bottom w:val="nil"/>
              <w:right w:val="nil"/>
            </w:tcBorders>
            <w:shd w:val="clear" w:color="auto" w:fill="auto"/>
            <w:noWrap/>
            <w:vAlign w:val="bottom"/>
            <w:hideMark/>
          </w:tcPr>
          <w:p w14:paraId="177B695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(0.36)</w:t>
            </w:r>
          </w:p>
        </w:tc>
      </w:tr>
      <w:tr w:rsidR="003273BD" w:rsidRPr="00245E91" w14:paraId="5B0E264B" w14:textId="77777777" w:rsidTr="00D83DD8">
        <w:trPr>
          <w:trHeight w:val="144"/>
        </w:trPr>
        <w:tc>
          <w:tcPr>
            <w:tcW w:w="672" w:type="pct"/>
            <w:tcBorders>
              <w:top w:val="nil"/>
              <w:left w:val="nil"/>
              <w:bottom w:val="nil"/>
              <w:right w:val="nil"/>
            </w:tcBorders>
            <w:shd w:val="clear" w:color="auto" w:fill="auto"/>
            <w:noWrap/>
            <w:vAlign w:val="bottom"/>
            <w:hideMark/>
          </w:tcPr>
          <w:p w14:paraId="4177C624"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ROA</w:t>
            </w:r>
          </w:p>
        </w:tc>
        <w:tc>
          <w:tcPr>
            <w:tcW w:w="545" w:type="pct"/>
            <w:tcBorders>
              <w:top w:val="nil"/>
              <w:left w:val="nil"/>
              <w:bottom w:val="nil"/>
              <w:right w:val="nil"/>
            </w:tcBorders>
            <w:shd w:val="clear" w:color="auto" w:fill="auto"/>
            <w:noWrap/>
            <w:vAlign w:val="bottom"/>
            <w:hideMark/>
          </w:tcPr>
          <w:p w14:paraId="2AF9380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-0.123</w:t>
            </w:r>
          </w:p>
        </w:tc>
        <w:tc>
          <w:tcPr>
            <w:tcW w:w="545" w:type="pct"/>
            <w:tcBorders>
              <w:top w:val="nil"/>
              <w:left w:val="nil"/>
              <w:bottom w:val="nil"/>
              <w:right w:val="nil"/>
            </w:tcBorders>
            <w:shd w:val="clear" w:color="auto" w:fill="auto"/>
            <w:noWrap/>
            <w:vAlign w:val="bottom"/>
            <w:hideMark/>
          </w:tcPr>
          <w:p w14:paraId="35E671E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-0.288</w:t>
            </w:r>
          </w:p>
        </w:tc>
        <w:tc>
          <w:tcPr>
            <w:tcW w:w="545" w:type="pct"/>
            <w:tcBorders>
              <w:top w:val="nil"/>
              <w:left w:val="nil"/>
              <w:bottom w:val="nil"/>
              <w:right w:val="nil"/>
            </w:tcBorders>
            <w:shd w:val="clear" w:color="auto" w:fill="auto"/>
            <w:noWrap/>
            <w:vAlign w:val="bottom"/>
            <w:hideMark/>
          </w:tcPr>
          <w:p w14:paraId="64AC883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0.448</w:t>
            </w:r>
          </w:p>
        </w:tc>
        <w:tc>
          <w:tcPr>
            <w:tcW w:w="549" w:type="pct"/>
            <w:tcBorders>
              <w:top w:val="nil"/>
              <w:left w:val="nil"/>
              <w:bottom w:val="nil"/>
              <w:right w:val="single" w:sz="4" w:space="0" w:color="auto"/>
            </w:tcBorders>
            <w:shd w:val="clear" w:color="auto" w:fill="auto"/>
            <w:noWrap/>
            <w:vAlign w:val="bottom"/>
            <w:hideMark/>
          </w:tcPr>
          <w:p w14:paraId="49F2123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0.453</w:t>
            </w:r>
          </w:p>
        </w:tc>
        <w:tc>
          <w:tcPr>
            <w:tcW w:w="545" w:type="pct"/>
            <w:tcBorders>
              <w:top w:val="nil"/>
              <w:left w:val="single" w:sz="4" w:space="0" w:color="auto"/>
              <w:bottom w:val="nil"/>
              <w:right w:val="nil"/>
            </w:tcBorders>
            <w:shd w:val="clear" w:color="auto" w:fill="auto"/>
            <w:noWrap/>
            <w:vAlign w:val="bottom"/>
            <w:hideMark/>
          </w:tcPr>
          <w:p w14:paraId="66B10A2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-0.162</w:t>
            </w:r>
          </w:p>
        </w:tc>
        <w:tc>
          <w:tcPr>
            <w:tcW w:w="508" w:type="pct"/>
            <w:tcBorders>
              <w:top w:val="nil"/>
              <w:left w:val="nil"/>
              <w:bottom w:val="nil"/>
              <w:right w:val="nil"/>
            </w:tcBorders>
            <w:shd w:val="clear" w:color="auto" w:fill="auto"/>
            <w:noWrap/>
            <w:vAlign w:val="bottom"/>
            <w:hideMark/>
          </w:tcPr>
          <w:p w14:paraId="30DFCCB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-0.254</w:t>
            </w:r>
          </w:p>
        </w:tc>
        <w:tc>
          <w:tcPr>
            <w:tcW w:w="544" w:type="pct"/>
            <w:tcBorders>
              <w:top w:val="nil"/>
              <w:left w:val="nil"/>
              <w:bottom w:val="nil"/>
              <w:right w:val="nil"/>
            </w:tcBorders>
            <w:shd w:val="clear" w:color="auto" w:fill="auto"/>
            <w:noWrap/>
            <w:vAlign w:val="bottom"/>
            <w:hideMark/>
          </w:tcPr>
          <w:p w14:paraId="14BD720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0.472</w:t>
            </w:r>
          </w:p>
        </w:tc>
        <w:tc>
          <w:tcPr>
            <w:tcW w:w="547" w:type="pct"/>
            <w:tcBorders>
              <w:top w:val="nil"/>
              <w:left w:val="nil"/>
              <w:bottom w:val="nil"/>
              <w:right w:val="nil"/>
            </w:tcBorders>
            <w:shd w:val="clear" w:color="auto" w:fill="auto"/>
            <w:noWrap/>
            <w:vAlign w:val="bottom"/>
            <w:hideMark/>
          </w:tcPr>
          <w:p w14:paraId="42CD5A4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0.467</w:t>
            </w:r>
          </w:p>
        </w:tc>
      </w:tr>
      <w:tr w:rsidR="003273BD" w:rsidRPr="00245E91" w14:paraId="7500D93C" w14:textId="77777777" w:rsidTr="00D83DD8">
        <w:trPr>
          <w:trHeight w:val="144"/>
        </w:trPr>
        <w:tc>
          <w:tcPr>
            <w:tcW w:w="672" w:type="pct"/>
            <w:tcBorders>
              <w:top w:val="nil"/>
              <w:left w:val="nil"/>
              <w:bottom w:val="nil"/>
              <w:right w:val="nil"/>
            </w:tcBorders>
            <w:shd w:val="clear" w:color="auto" w:fill="auto"/>
            <w:noWrap/>
            <w:vAlign w:val="bottom"/>
            <w:hideMark/>
          </w:tcPr>
          <w:p w14:paraId="48E001C8"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45" w:type="pct"/>
            <w:tcBorders>
              <w:top w:val="nil"/>
              <w:left w:val="nil"/>
              <w:bottom w:val="nil"/>
              <w:right w:val="nil"/>
            </w:tcBorders>
            <w:shd w:val="clear" w:color="auto" w:fill="auto"/>
            <w:noWrap/>
            <w:vAlign w:val="bottom"/>
            <w:hideMark/>
          </w:tcPr>
          <w:p w14:paraId="54B13D2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(-2.97***)</w:t>
            </w:r>
          </w:p>
        </w:tc>
        <w:tc>
          <w:tcPr>
            <w:tcW w:w="545" w:type="pct"/>
            <w:tcBorders>
              <w:top w:val="nil"/>
              <w:left w:val="nil"/>
              <w:bottom w:val="nil"/>
              <w:right w:val="nil"/>
            </w:tcBorders>
            <w:shd w:val="clear" w:color="auto" w:fill="auto"/>
            <w:noWrap/>
            <w:vAlign w:val="bottom"/>
            <w:hideMark/>
          </w:tcPr>
          <w:p w14:paraId="2E83154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(-8.58***)</w:t>
            </w:r>
          </w:p>
        </w:tc>
        <w:tc>
          <w:tcPr>
            <w:tcW w:w="545" w:type="pct"/>
            <w:tcBorders>
              <w:top w:val="nil"/>
              <w:left w:val="nil"/>
              <w:bottom w:val="nil"/>
              <w:right w:val="nil"/>
            </w:tcBorders>
            <w:shd w:val="clear" w:color="auto" w:fill="auto"/>
            <w:noWrap/>
            <w:vAlign w:val="bottom"/>
            <w:hideMark/>
          </w:tcPr>
          <w:p w14:paraId="75D3E2B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(9.80***)</w:t>
            </w:r>
          </w:p>
        </w:tc>
        <w:tc>
          <w:tcPr>
            <w:tcW w:w="549" w:type="pct"/>
            <w:tcBorders>
              <w:top w:val="nil"/>
              <w:left w:val="nil"/>
              <w:bottom w:val="nil"/>
              <w:right w:val="single" w:sz="4" w:space="0" w:color="auto"/>
            </w:tcBorders>
            <w:shd w:val="clear" w:color="auto" w:fill="auto"/>
            <w:noWrap/>
            <w:vAlign w:val="bottom"/>
            <w:hideMark/>
          </w:tcPr>
          <w:p w14:paraId="5CAC65F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(10.03***)</w:t>
            </w:r>
          </w:p>
        </w:tc>
        <w:tc>
          <w:tcPr>
            <w:tcW w:w="545" w:type="pct"/>
            <w:tcBorders>
              <w:top w:val="nil"/>
              <w:left w:val="single" w:sz="4" w:space="0" w:color="auto"/>
              <w:bottom w:val="nil"/>
              <w:right w:val="nil"/>
            </w:tcBorders>
            <w:shd w:val="clear" w:color="auto" w:fill="auto"/>
            <w:noWrap/>
            <w:vAlign w:val="bottom"/>
            <w:hideMark/>
          </w:tcPr>
          <w:p w14:paraId="5CD14BB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(-3.90***)</w:t>
            </w:r>
          </w:p>
        </w:tc>
        <w:tc>
          <w:tcPr>
            <w:tcW w:w="508" w:type="pct"/>
            <w:tcBorders>
              <w:top w:val="nil"/>
              <w:left w:val="nil"/>
              <w:bottom w:val="nil"/>
              <w:right w:val="nil"/>
            </w:tcBorders>
            <w:shd w:val="clear" w:color="auto" w:fill="auto"/>
            <w:noWrap/>
            <w:vAlign w:val="bottom"/>
            <w:hideMark/>
          </w:tcPr>
          <w:p w14:paraId="6451824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(-6.91***)</w:t>
            </w:r>
          </w:p>
        </w:tc>
        <w:tc>
          <w:tcPr>
            <w:tcW w:w="544" w:type="pct"/>
            <w:tcBorders>
              <w:top w:val="nil"/>
              <w:left w:val="nil"/>
              <w:bottom w:val="nil"/>
              <w:right w:val="nil"/>
            </w:tcBorders>
            <w:shd w:val="clear" w:color="auto" w:fill="auto"/>
            <w:noWrap/>
            <w:vAlign w:val="bottom"/>
            <w:hideMark/>
          </w:tcPr>
          <w:p w14:paraId="26004B8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(16.38***)</w:t>
            </w:r>
          </w:p>
        </w:tc>
        <w:tc>
          <w:tcPr>
            <w:tcW w:w="547" w:type="pct"/>
            <w:tcBorders>
              <w:top w:val="nil"/>
              <w:left w:val="nil"/>
              <w:bottom w:val="nil"/>
              <w:right w:val="nil"/>
            </w:tcBorders>
            <w:shd w:val="clear" w:color="auto" w:fill="auto"/>
            <w:noWrap/>
            <w:vAlign w:val="bottom"/>
            <w:hideMark/>
          </w:tcPr>
          <w:p w14:paraId="745ED43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(16.44***)</w:t>
            </w:r>
          </w:p>
        </w:tc>
      </w:tr>
      <w:tr w:rsidR="003273BD" w:rsidRPr="00245E91" w14:paraId="367AAE6B" w14:textId="77777777" w:rsidTr="00D83DD8">
        <w:trPr>
          <w:trHeight w:val="144"/>
        </w:trPr>
        <w:tc>
          <w:tcPr>
            <w:tcW w:w="672" w:type="pct"/>
            <w:tcBorders>
              <w:top w:val="nil"/>
              <w:left w:val="nil"/>
              <w:bottom w:val="nil"/>
              <w:right w:val="nil"/>
            </w:tcBorders>
            <w:shd w:val="clear" w:color="auto" w:fill="auto"/>
            <w:noWrap/>
            <w:vAlign w:val="bottom"/>
            <w:hideMark/>
          </w:tcPr>
          <w:p w14:paraId="3C9AD21A"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MKBK</w:t>
            </w:r>
          </w:p>
        </w:tc>
        <w:tc>
          <w:tcPr>
            <w:tcW w:w="545" w:type="pct"/>
            <w:tcBorders>
              <w:top w:val="nil"/>
              <w:left w:val="nil"/>
              <w:bottom w:val="nil"/>
              <w:right w:val="nil"/>
            </w:tcBorders>
            <w:shd w:val="clear" w:color="auto" w:fill="auto"/>
            <w:noWrap/>
            <w:vAlign w:val="bottom"/>
            <w:hideMark/>
          </w:tcPr>
          <w:p w14:paraId="1A7AFA4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-0.043</w:t>
            </w:r>
          </w:p>
        </w:tc>
        <w:tc>
          <w:tcPr>
            <w:tcW w:w="545" w:type="pct"/>
            <w:tcBorders>
              <w:top w:val="nil"/>
              <w:left w:val="nil"/>
              <w:bottom w:val="nil"/>
              <w:right w:val="nil"/>
            </w:tcBorders>
            <w:shd w:val="clear" w:color="auto" w:fill="auto"/>
            <w:noWrap/>
            <w:vAlign w:val="bottom"/>
            <w:hideMark/>
          </w:tcPr>
          <w:p w14:paraId="7AE1210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-0.059</w:t>
            </w:r>
          </w:p>
        </w:tc>
        <w:tc>
          <w:tcPr>
            <w:tcW w:w="545" w:type="pct"/>
            <w:tcBorders>
              <w:top w:val="nil"/>
              <w:left w:val="nil"/>
              <w:bottom w:val="nil"/>
              <w:right w:val="nil"/>
            </w:tcBorders>
            <w:shd w:val="clear" w:color="auto" w:fill="auto"/>
            <w:noWrap/>
            <w:vAlign w:val="bottom"/>
            <w:hideMark/>
          </w:tcPr>
          <w:p w14:paraId="29BE020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0.020</w:t>
            </w:r>
          </w:p>
        </w:tc>
        <w:tc>
          <w:tcPr>
            <w:tcW w:w="549" w:type="pct"/>
            <w:tcBorders>
              <w:top w:val="nil"/>
              <w:left w:val="nil"/>
              <w:bottom w:val="nil"/>
              <w:right w:val="single" w:sz="4" w:space="0" w:color="auto"/>
            </w:tcBorders>
            <w:shd w:val="clear" w:color="auto" w:fill="auto"/>
            <w:noWrap/>
            <w:vAlign w:val="bottom"/>
            <w:hideMark/>
          </w:tcPr>
          <w:p w14:paraId="7961C98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0.021</w:t>
            </w:r>
          </w:p>
        </w:tc>
        <w:tc>
          <w:tcPr>
            <w:tcW w:w="545" w:type="pct"/>
            <w:tcBorders>
              <w:top w:val="nil"/>
              <w:left w:val="single" w:sz="4" w:space="0" w:color="auto"/>
              <w:bottom w:val="nil"/>
              <w:right w:val="nil"/>
            </w:tcBorders>
            <w:shd w:val="clear" w:color="auto" w:fill="auto"/>
            <w:noWrap/>
            <w:vAlign w:val="bottom"/>
            <w:hideMark/>
          </w:tcPr>
          <w:p w14:paraId="377DE05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0.013</w:t>
            </w:r>
          </w:p>
        </w:tc>
        <w:tc>
          <w:tcPr>
            <w:tcW w:w="508" w:type="pct"/>
            <w:tcBorders>
              <w:top w:val="nil"/>
              <w:left w:val="nil"/>
              <w:bottom w:val="nil"/>
              <w:right w:val="nil"/>
            </w:tcBorders>
            <w:shd w:val="clear" w:color="auto" w:fill="auto"/>
            <w:noWrap/>
            <w:vAlign w:val="bottom"/>
            <w:hideMark/>
          </w:tcPr>
          <w:p w14:paraId="73154E3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-0.006</w:t>
            </w:r>
          </w:p>
        </w:tc>
        <w:tc>
          <w:tcPr>
            <w:tcW w:w="544" w:type="pct"/>
            <w:tcBorders>
              <w:top w:val="nil"/>
              <w:left w:val="nil"/>
              <w:bottom w:val="nil"/>
              <w:right w:val="nil"/>
            </w:tcBorders>
            <w:shd w:val="clear" w:color="auto" w:fill="auto"/>
            <w:noWrap/>
            <w:vAlign w:val="bottom"/>
            <w:hideMark/>
          </w:tcPr>
          <w:p w14:paraId="136571B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0.013</w:t>
            </w:r>
          </w:p>
        </w:tc>
        <w:tc>
          <w:tcPr>
            <w:tcW w:w="547" w:type="pct"/>
            <w:tcBorders>
              <w:top w:val="nil"/>
              <w:left w:val="nil"/>
              <w:bottom w:val="nil"/>
              <w:right w:val="nil"/>
            </w:tcBorders>
            <w:shd w:val="clear" w:color="auto" w:fill="auto"/>
            <w:noWrap/>
            <w:vAlign w:val="bottom"/>
            <w:hideMark/>
          </w:tcPr>
          <w:p w14:paraId="35C7364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0.013</w:t>
            </w:r>
          </w:p>
        </w:tc>
      </w:tr>
      <w:tr w:rsidR="003273BD" w:rsidRPr="00245E91" w14:paraId="5083F99C" w14:textId="77777777" w:rsidTr="00D83DD8">
        <w:trPr>
          <w:trHeight w:val="144"/>
        </w:trPr>
        <w:tc>
          <w:tcPr>
            <w:tcW w:w="672" w:type="pct"/>
            <w:tcBorders>
              <w:top w:val="nil"/>
              <w:left w:val="nil"/>
              <w:bottom w:val="nil"/>
              <w:right w:val="nil"/>
            </w:tcBorders>
            <w:shd w:val="clear" w:color="auto" w:fill="auto"/>
            <w:noWrap/>
            <w:vAlign w:val="bottom"/>
            <w:hideMark/>
          </w:tcPr>
          <w:p w14:paraId="1B820A2D"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45" w:type="pct"/>
            <w:tcBorders>
              <w:top w:val="nil"/>
              <w:left w:val="nil"/>
              <w:bottom w:val="nil"/>
              <w:right w:val="nil"/>
            </w:tcBorders>
            <w:shd w:val="clear" w:color="auto" w:fill="auto"/>
            <w:noWrap/>
            <w:vAlign w:val="bottom"/>
            <w:hideMark/>
          </w:tcPr>
          <w:p w14:paraId="66CD28E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(-1.27)</w:t>
            </w:r>
          </w:p>
        </w:tc>
        <w:tc>
          <w:tcPr>
            <w:tcW w:w="545" w:type="pct"/>
            <w:tcBorders>
              <w:top w:val="nil"/>
              <w:left w:val="nil"/>
              <w:bottom w:val="nil"/>
              <w:right w:val="nil"/>
            </w:tcBorders>
            <w:shd w:val="clear" w:color="auto" w:fill="auto"/>
            <w:noWrap/>
            <w:vAlign w:val="bottom"/>
            <w:hideMark/>
          </w:tcPr>
          <w:p w14:paraId="67A612F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(-2.29**)</w:t>
            </w:r>
          </w:p>
        </w:tc>
        <w:tc>
          <w:tcPr>
            <w:tcW w:w="545" w:type="pct"/>
            <w:tcBorders>
              <w:top w:val="nil"/>
              <w:left w:val="nil"/>
              <w:bottom w:val="nil"/>
              <w:right w:val="nil"/>
            </w:tcBorders>
            <w:shd w:val="clear" w:color="auto" w:fill="auto"/>
            <w:noWrap/>
            <w:vAlign w:val="bottom"/>
            <w:hideMark/>
          </w:tcPr>
          <w:p w14:paraId="69331FD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(0.54)</w:t>
            </w:r>
          </w:p>
        </w:tc>
        <w:tc>
          <w:tcPr>
            <w:tcW w:w="549" w:type="pct"/>
            <w:tcBorders>
              <w:top w:val="nil"/>
              <w:left w:val="nil"/>
              <w:bottom w:val="nil"/>
              <w:right w:val="single" w:sz="4" w:space="0" w:color="auto"/>
            </w:tcBorders>
            <w:shd w:val="clear" w:color="auto" w:fill="auto"/>
            <w:noWrap/>
            <w:vAlign w:val="bottom"/>
            <w:hideMark/>
          </w:tcPr>
          <w:p w14:paraId="69587FB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(0.57)</w:t>
            </w:r>
          </w:p>
        </w:tc>
        <w:tc>
          <w:tcPr>
            <w:tcW w:w="545" w:type="pct"/>
            <w:tcBorders>
              <w:top w:val="nil"/>
              <w:left w:val="single" w:sz="4" w:space="0" w:color="auto"/>
              <w:bottom w:val="nil"/>
              <w:right w:val="nil"/>
            </w:tcBorders>
            <w:shd w:val="clear" w:color="auto" w:fill="auto"/>
            <w:noWrap/>
            <w:vAlign w:val="bottom"/>
            <w:hideMark/>
          </w:tcPr>
          <w:p w14:paraId="0327C9A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(0.40)</w:t>
            </w:r>
          </w:p>
        </w:tc>
        <w:tc>
          <w:tcPr>
            <w:tcW w:w="508" w:type="pct"/>
            <w:tcBorders>
              <w:top w:val="nil"/>
              <w:left w:val="nil"/>
              <w:bottom w:val="nil"/>
              <w:right w:val="nil"/>
            </w:tcBorders>
            <w:shd w:val="clear" w:color="auto" w:fill="auto"/>
            <w:noWrap/>
            <w:vAlign w:val="bottom"/>
            <w:hideMark/>
          </w:tcPr>
          <w:p w14:paraId="286FB40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(-0.21)</w:t>
            </w:r>
          </w:p>
        </w:tc>
        <w:tc>
          <w:tcPr>
            <w:tcW w:w="544" w:type="pct"/>
            <w:tcBorders>
              <w:top w:val="nil"/>
              <w:left w:val="nil"/>
              <w:bottom w:val="nil"/>
              <w:right w:val="nil"/>
            </w:tcBorders>
            <w:shd w:val="clear" w:color="auto" w:fill="auto"/>
            <w:noWrap/>
            <w:vAlign w:val="bottom"/>
            <w:hideMark/>
          </w:tcPr>
          <w:p w14:paraId="605B534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(0.47)</w:t>
            </w:r>
          </w:p>
        </w:tc>
        <w:tc>
          <w:tcPr>
            <w:tcW w:w="547" w:type="pct"/>
            <w:tcBorders>
              <w:top w:val="nil"/>
              <w:left w:val="nil"/>
              <w:bottom w:val="nil"/>
              <w:right w:val="nil"/>
            </w:tcBorders>
            <w:shd w:val="clear" w:color="auto" w:fill="auto"/>
            <w:noWrap/>
            <w:vAlign w:val="bottom"/>
            <w:hideMark/>
          </w:tcPr>
          <w:p w14:paraId="2A95D11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(0.49)</w:t>
            </w:r>
          </w:p>
        </w:tc>
      </w:tr>
      <w:tr w:rsidR="003273BD" w:rsidRPr="00245E91" w14:paraId="2B94BB0A" w14:textId="77777777" w:rsidTr="00D83DD8">
        <w:trPr>
          <w:trHeight w:val="144"/>
        </w:trPr>
        <w:tc>
          <w:tcPr>
            <w:tcW w:w="672" w:type="pct"/>
            <w:tcBorders>
              <w:top w:val="nil"/>
              <w:left w:val="nil"/>
              <w:bottom w:val="nil"/>
              <w:right w:val="nil"/>
            </w:tcBorders>
            <w:shd w:val="clear" w:color="auto" w:fill="auto"/>
            <w:noWrap/>
            <w:vAlign w:val="bottom"/>
          </w:tcPr>
          <w:p w14:paraId="720BB8B9"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LIQUIDITY</w:t>
            </w:r>
          </w:p>
        </w:tc>
        <w:tc>
          <w:tcPr>
            <w:tcW w:w="545" w:type="pct"/>
            <w:tcBorders>
              <w:top w:val="nil"/>
              <w:left w:val="nil"/>
              <w:bottom w:val="nil"/>
              <w:right w:val="nil"/>
            </w:tcBorders>
            <w:shd w:val="clear" w:color="auto" w:fill="auto"/>
            <w:noWrap/>
            <w:vAlign w:val="bottom"/>
          </w:tcPr>
          <w:p w14:paraId="46BA965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-0.025</w:t>
            </w:r>
          </w:p>
        </w:tc>
        <w:tc>
          <w:tcPr>
            <w:tcW w:w="545" w:type="pct"/>
            <w:tcBorders>
              <w:top w:val="nil"/>
              <w:left w:val="nil"/>
              <w:bottom w:val="nil"/>
              <w:right w:val="nil"/>
            </w:tcBorders>
            <w:shd w:val="clear" w:color="auto" w:fill="auto"/>
            <w:noWrap/>
            <w:vAlign w:val="bottom"/>
          </w:tcPr>
          <w:p w14:paraId="7F26F25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0.018</w:t>
            </w:r>
          </w:p>
        </w:tc>
        <w:tc>
          <w:tcPr>
            <w:tcW w:w="545" w:type="pct"/>
            <w:tcBorders>
              <w:top w:val="nil"/>
              <w:left w:val="nil"/>
              <w:bottom w:val="nil"/>
              <w:right w:val="nil"/>
            </w:tcBorders>
            <w:shd w:val="clear" w:color="auto" w:fill="auto"/>
            <w:noWrap/>
            <w:vAlign w:val="bottom"/>
          </w:tcPr>
          <w:p w14:paraId="142C69F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0.035</w:t>
            </w:r>
          </w:p>
        </w:tc>
        <w:tc>
          <w:tcPr>
            <w:tcW w:w="549" w:type="pct"/>
            <w:tcBorders>
              <w:top w:val="nil"/>
              <w:left w:val="nil"/>
              <w:bottom w:val="nil"/>
              <w:right w:val="single" w:sz="4" w:space="0" w:color="auto"/>
            </w:tcBorders>
            <w:shd w:val="clear" w:color="auto" w:fill="auto"/>
            <w:noWrap/>
            <w:vAlign w:val="bottom"/>
          </w:tcPr>
          <w:p w14:paraId="06EA31E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0.030</w:t>
            </w:r>
          </w:p>
        </w:tc>
        <w:tc>
          <w:tcPr>
            <w:tcW w:w="545" w:type="pct"/>
            <w:tcBorders>
              <w:top w:val="nil"/>
              <w:left w:val="single" w:sz="4" w:space="0" w:color="auto"/>
              <w:bottom w:val="nil"/>
              <w:right w:val="nil"/>
            </w:tcBorders>
            <w:shd w:val="clear" w:color="auto" w:fill="auto"/>
            <w:noWrap/>
            <w:vAlign w:val="bottom"/>
          </w:tcPr>
          <w:p w14:paraId="618A1AF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-0.014</w:t>
            </w:r>
          </w:p>
        </w:tc>
        <w:tc>
          <w:tcPr>
            <w:tcW w:w="508" w:type="pct"/>
            <w:tcBorders>
              <w:top w:val="nil"/>
              <w:left w:val="nil"/>
              <w:bottom w:val="nil"/>
              <w:right w:val="nil"/>
            </w:tcBorders>
            <w:shd w:val="clear" w:color="auto" w:fill="auto"/>
            <w:noWrap/>
            <w:vAlign w:val="bottom"/>
          </w:tcPr>
          <w:p w14:paraId="0A39C66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-0.028</w:t>
            </w:r>
          </w:p>
        </w:tc>
        <w:tc>
          <w:tcPr>
            <w:tcW w:w="544" w:type="pct"/>
            <w:tcBorders>
              <w:top w:val="nil"/>
              <w:left w:val="nil"/>
              <w:bottom w:val="nil"/>
              <w:right w:val="nil"/>
            </w:tcBorders>
            <w:shd w:val="clear" w:color="auto" w:fill="auto"/>
            <w:noWrap/>
            <w:vAlign w:val="bottom"/>
          </w:tcPr>
          <w:p w14:paraId="657D589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-0.004</w:t>
            </w:r>
          </w:p>
        </w:tc>
        <w:tc>
          <w:tcPr>
            <w:tcW w:w="547" w:type="pct"/>
            <w:tcBorders>
              <w:top w:val="nil"/>
              <w:left w:val="nil"/>
              <w:bottom w:val="nil"/>
              <w:right w:val="nil"/>
            </w:tcBorders>
            <w:shd w:val="clear" w:color="auto" w:fill="auto"/>
            <w:noWrap/>
            <w:vAlign w:val="bottom"/>
          </w:tcPr>
          <w:p w14:paraId="14BCD71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-0.000</w:t>
            </w:r>
          </w:p>
        </w:tc>
      </w:tr>
      <w:tr w:rsidR="003273BD" w:rsidRPr="00245E91" w14:paraId="7D43B253" w14:textId="77777777" w:rsidTr="00D83DD8">
        <w:trPr>
          <w:trHeight w:val="144"/>
        </w:trPr>
        <w:tc>
          <w:tcPr>
            <w:tcW w:w="672" w:type="pct"/>
            <w:tcBorders>
              <w:top w:val="nil"/>
              <w:left w:val="nil"/>
              <w:bottom w:val="nil"/>
              <w:right w:val="nil"/>
            </w:tcBorders>
            <w:shd w:val="clear" w:color="auto" w:fill="auto"/>
            <w:noWrap/>
            <w:vAlign w:val="bottom"/>
          </w:tcPr>
          <w:p w14:paraId="03D84A20"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45" w:type="pct"/>
            <w:tcBorders>
              <w:top w:val="nil"/>
              <w:left w:val="nil"/>
              <w:bottom w:val="nil"/>
              <w:right w:val="nil"/>
            </w:tcBorders>
            <w:shd w:val="clear" w:color="auto" w:fill="auto"/>
            <w:noWrap/>
            <w:vAlign w:val="bottom"/>
          </w:tcPr>
          <w:p w14:paraId="1BA058C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(-0.82)</w:t>
            </w:r>
          </w:p>
        </w:tc>
        <w:tc>
          <w:tcPr>
            <w:tcW w:w="545" w:type="pct"/>
            <w:tcBorders>
              <w:top w:val="nil"/>
              <w:left w:val="nil"/>
              <w:bottom w:val="nil"/>
              <w:right w:val="nil"/>
            </w:tcBorders>
            <w:shd w:val="clear" w:color="auto" w:fill="auto"/>
            <w:noWrap/>
            <w:vAlign w:val="bottom"/>
          </w:tcPr>
          <w:p w14:paraId="717AE27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(0.62)</w:t>
            </w:r>
          </w:p>
        </w:tc>
        <w:tc>
          <w:tcPr>
            <w:tcW w:w="545" w:type="pct"/>
            <w:tcBorders>
              <w:top w:val="nil"/>
              <w:left w:val="nil"/>
              <w:bottom w:val="nil"/>
              <w:right w:val="nil"/>
            </w:tcBorders>
            <w:shd w:val="clear" w:color="auto" w:fill="auto"/>
            <w:noWrap/>
            <w:vAlign w:val="bottom"/>
          </w:tcPr>
          <w:p w14:paraId="124F126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(0.84)</w:t>
            </w:r>
          </w:p>
        </w:tc>
        <w:tc>
          <w:tcPr>
            <w:tcW w:w="549" w:type="pct"/>
            <w:tcBorders>
              <w:top w:val="nil"/>
              <w:left w:val="nil"/>
              <w:bottom w:val="nil"/>
              <w:right w:val="single" w:sz="4" w:space="0" w:color="auto"/>
            </w:tcBorders>
            <w:shd w:val="clear" w:color="auto" w:fill="auto"/>
            <w:noWrap/>
            <w:vAlign w:val="bottom"/>
          </w:tcPr>
          <w:p w14:paraId="7E82AAB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(0.71)</w:t>
            </w:r>
          </w:p>
        </w:tc>
        <w:tc>
          <w:tcPr>
            <w:tcW w:w="545" w:type="pct"/>
            <w:tcBorders>
              <w:top w:val="nil"/>
              <w:left w:val="single" w:sz="4" w:space="0" w:color="auto"/>
              <w:bottom w:val="nil"/>
              <w:right w:val="nil"/>
            </w:tcBorders>
            <w:shd w:val="clear" w:color="auto" w:fill="auto"/>
            <w:noWrap/>
            <w:vAlign w:val="bottom"/>
          </w:tcPr>
          <w:p w14:paraId="75DD68B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(-0.58)</w:t>
            </w:r>
          </w:p>
        </w:tc>
        <w:tc>
          <w:tcPr>
            <w:tcW w:w="508" w:type="pct"/>
            <w:tcBorders>
              <w:top w:val="nil"/>
              <w:left w:val="nil"/>
              <w:bottom w:val="nil"/>
              <w:right w:val="nil"/>
            </w:tcBorders>
            <w:shd w:val="clear" w:color="auto" w:fill="auto"/>
            <w:noWrap/>
            <w:vAlign w:val="bottom"/>
          </w:tcPr>
          <w:p w14:paraId="4A06C36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(-1.12)</w:t>
            </w:r>
          </w:p>
        </w:tc>
        <w:tc>
          <w:tcPr>
            <w:tcW w:w="544" w:type="pct"/>
            <w:tcBorders>
              <w:top w:val="nil"/>
              <w:left w:val="nil"/>
              <w:bottom w:val="nil"/>
              <w:right w:val="nil"/>
            </w:tcBorders>
            <w:shd w:val="clear" w:color="auto" w:fill="auto"/>
            <w:noWrap/>
            <w:vAlign w:val="bottom"/>
          </w:tcPr>
          <w:p w14:paraId="0082B2D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(-0.24)</w:t>
            </w:r>
          </w:p>
        </w:tc>
        <w:tc>
          <w:tcPr>
            <w:tcW w:w="547" w:type="pct"/>
            <w:tcBorders>
              <w:top w:val="nil"/>
              <w:left w:val="nil"/>
              <w:bottom w:val="nil"/>
              <w:right w:val="nil"/>
            </w:tcBorders>
            <w:shd w:val="clear" w:color="auto" w:fill="auto"/>
            <w:noWrap/>
            <w:vAlign w:val="bottom"/>
          </w:tcPr>
          <w:p w14:paraId="3114927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w:t>
            </w:r>
          </w:p>
        </w:tc>
      </w:tr>
      <w:tr w:rsidR="003273BD" w:rsidRPr="00245E91" w14:paraId="4B356C69" w14:textId="77777777" w:rsidTr="00D83DD8">
        <w:trPr>
          <w:trHeight w:val="144"/>
        </w:trPr>
        <w:tc>
          <w:tcPr>
            <w:tcW w:w="672" w:type="pct"/>
            <w:tcBorders>
              <w:top w:val="nil"/>
              <w:left w:val="nil"/>
              <w:bottom w:val="nil"/>
              <w:right w:val="nil"/>
            </w:tcBorders>
            <w:shd w:val="clear" w:color="auto" w:fill="auto"/>
            <w:noWrap/>
            <w:vAlign w:val="bottom"/>
          </w:tcPr>
          <w:p w14:paraId="291D105A"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STOCKISSUE</w:t>
            </w:r>
          </w:p>
        </w:tc>
        <w:tc>
          <w:tcPr>
            <w:tcW w:w="545" w:type="pct"/>
            <w:tcBorders>
              <w:top w:val="nil"/>
              <w:left w:val="nil"/>
              <w:bottom w:val="nil"/>
              <w:right w:val="nil"/>
            </w:tcBorders>
            <w:shd w:val="clear" w:color="auto" w:fill="auto"/>
            <w:noWrap/>
            <w:vAlign w:val="bottom"/>
          </w:tcPr>
          <w:p w14:paraId="5B09280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-0.057</w:t>
            </w:r>
          </w:p>
        </w:tc>
        <w:tc>
          <w:tcPr>
            <w:tcW w:w="545" w:type="pct"/>
            <w:tcBorders>
              <w:top w:val="nil"/>
              <w:left w:val="nil"/>
              <w:bottom w:val="nil"/>
              <w:right w:val="nil"/>
            </w:tcBorders>
            <w:shd w:val="clear" w:color="auto" w:fill="auto"/>
            <w:noWrap/>
            <w:vAlign w:val="bottom"/>
          </w:tcPr>
          <w:p w14:paraId="0951A4D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-0.031</w:t>
            </w:r>
          </w:p>
        </w:tc>
        <w:tc>
          <w:tcPr>
            <w:tcW w:w="545" w:type="pct"/>
            <w:tcBorders>
              <w:top w:val="nil"/>
              <w:left w:val="nil"/>
              <w:bottom w:val="nil"/>
              <w:right w:val="nil"/>
            </w:tcBorders>
            <w:shd w:val="clear" w:color="auto" w:fill="auto"/>
            <w:noWrap/>
            <w:vAlign w:val="bottom"/>
          </w:tcPr>
          <w:p w14:paraId="1C2E394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0.046</w:t>
            </w:r>
          </w:p>
        </w:tc>
        <w:tc>
          <w:tcPr>
            <w:tcW w:w="549" w:type="pct"/>
            <w:tcBorders>
              <w:top w:val="nil"/>
              <w:left w:val="nil"/>
              <w:bottom w:val="nil"/>
              <w:right w:val="single" w:sz="4" w:space="0" w:color="auto"/>
            </w:tcBorders>
            <w:shd w:val="clear" w:color="auto" w:fill="auto"/>
            <w:noWrap/>
            <w:vAlign w:val="bottom"/>
          </w:tcPr>
          <w:p w14:paraId="3457485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0.046</w:t>
            </w:r>
          </w:p>
        </w:tc>
        <w:tc>
          <w:tcPr>
            <w:tcW w:w="545" w:type="pct"/>
            <w:tcBorders>
              <w:top w:val="nil"/>
              <w:left w:val="single" w:sz="4" w:space="0" w:color="auto"/>
              <w:bottom w:val="nil"/>
              <w:right w:val="nil"/>
            </w:tcBorders>
            <w:shd w:val="clear" w:color="auto" w:fill="auto"/>
            <w:noWrap/>
            <w:vAlign w:val="bottom"/>
          </w:tcPr>
          <w:p w14:paraId="137EB6E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-0.002</w:t>
            </w:r>
          </w:p>
        </w:tc>
        <w:tc>
          <w:tcPr>
            <w:tcW w:w="508" w:type="pct"/>
            <w:tcBorders>
              <w:top w:val="nil"/>
              <w:left w:val="nil"/>
              <w:bottom w:val="nil"/>
              <w:right w:val="nil"/>
            </w:tcBorders>
            <w:shd w:val="clear" w:color="auto" w:fill="auto"/>
            <w:noWrap/>
            <w:vAlign w:val="bottom"/>
          </w:tcPr>
          <w:p w14:paraId="7F3C77F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0.008</w:t>
            </w:r>
          </w:p>
        </w:tc>
        <w:tc>
          <w:tcPr>
            <w:tcW w:w="544" w:type="pct"/>
            <w:tcBorders>
              <w:top w:val="nil"/>
              <w:left w:val="nil"/>
              <w:bottom w:val="nil"/>
              <w:right w:val="nil"/>
            </w:tcBorders>
            <w:shd w:val="clear" w:color="auto" w:fill="auto"/>
            <w:noWrap/>
            <w:vAlign w:val="bottom"/>
          </w:tcPr>
          <w:p w14:paraId="4DD31EB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0.020</w:t>
            </w:r>
          </w:p>
        </w:tc>
        <w:tc>
          <w:tcPr>
            <w:tcW w:w="547" w:type="pct"/>
            <w:tcBorders>
              <w:top w:val="nil"/>
              <w:left w:val="nil"/>
              <w:bottom w:val="nil"/>
              <w:right w:val="nil"/>
            </w:tcBorders>
            <w:shd w:val="clear" w:color="auto" w:fill="auto"/>
            <w:noWrap/>
            <w:vAlign w:val="bottom"/>
          </w:tcPr>
          <w:p w14:paraId="374E202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0.022</w:t>
            </w:r>
          </w:p>
        </w:tc>
      </w:tr>
      <w:tr w:rsidR="003273BD" w:rsidRPr="00245E91" w14:paraId="211A3BCF" w14:textId="77777777" w:rsidTr="00D83DD8">
        <w:trPr>
          <w:trHeight w:val="144"/>
        </w:trPr>
        <w:tc>
          <w:tcPr>
            <w:tcW w:w="672" w:type="pct"/>
            <w:tcBorders>
              <w:top w:val="nil"/>
              <w:left w:val="nil"/>
              <w:bottom w:val="nil"/>
              <w:right w:val="nil"/>
            </w:tcBorders>
            <w:shd w:val="clear" w:color="auto" w:fill="auto"/>
            <w:noWrap/>
            <w:vAlign w:val="bottom"/>
          </w:tcPr>
          <w:p w14:paraId="5B8CE0F8"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45" w:type="pct"/>
            <w:tcBorders>
              <w:top w:val="nil"/>
              <w:left w:val="nil"/>
              <w:bottom w:val="nil"/>
              <w:right w:val="nil"/>
            </w:tcBorders>
            <w:shd w:val="clear" w:color="auto" w:fill="auto"/>
            <w:noWrap/>
            <w:vAlign w:val="bottom"/>
          </w:tcPr>
          <w:p w14:paraId="469F685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(-1.38)</w:t>
            </w:r>
          </w:p>
        </w:tc>
        <w:tc>
          <w:tcPr>
            <w:tcW w:w="545" w:type="pct"/>
            <w:tcBorders>
              <w:top w:val="nil"/>
              <w:left w:val="nil"/>
              <w:bottom w:val="nil"/>
              <w:right w:val="nil"/>
            </w:tcBorders>
            <w:shd w:val="clear" w:color="auto" w:fill="auto"/>
            <w:noWrap/>
            <w:vAlign w:val="bottom"/>
          </w:tcPr>
          <w:p w14:paraId="6C7331D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(-0.89)</w:t>
            </w:r>
          </w:p>
        </w:tc>
        <w:tc>
          <w:tcPr>
            <w:tcW w:w="545" w:type="pct"/>
            <w:tcBorders>
              <w:top w:val="nil"/>
              <w:left w:val="nil"/>
              <w:bottom w:val="nil"/>
              <w:right w:val="nil"/>
            </w:tcBorders>
            <w:shd w:val="clear" w:color="auto" w:fill="auto"/>
            <w:noWrap/>
            <w:vAlign w:val="bottom"/>
          </w:tcPr>
          <w:p w14:paraId="1A4CDE1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(2.016**)</w:t>
            </w:r>
          </w:p>
        </w:tc>
        <w:tc>
          <w:tcPr>
            <w:tcW w:w="549" w:type="pct"/>
            <w:tcBorders>
              <w:top w:val="nil"/>
              <w:left w:val="nil"/>
              <w:bottom w:val="nil"/>
              <w:right w:val="single" w:sz="4" w:space="0" w:color="auto"/>
            </w:tcBorders>
            <w:shd w:val="clear" w:color="auto" w:fill="auto"/>
            <w:noWrap/>
            <w:vAlign w:val="bottom"/>
          </w:tcPr>
          <w:p w14:paraId="11F0633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(2.00**)</w:t>
            </w:r>
          </w:p>
        </w:tc>
        <w:tc>
          <w:tcPr>
            <w:tcW w:w="545" w:type="pct"/>
            <w:tcBorders>
              <w:top w:val="nil"/>
              <w:left w:val="single" w:sz="4" w:space="0" w:color="auto"/>
              <w:bottom w:val="nil"/>
              <w:right w:val="nil"/>
            </w:tcBorders>
            <w:shd w:val="clear" w:color="auto" w:fill="auto"/>
            <w:noWrap/>
            <w:vAlign w:val="bottom"/>
          </w:tcPr>
          <w:p w14:paraId="4E1BB09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(-0.10)</w:t>
            </w:r>
          </w:p>
        </w:tc>
        <w:tc>
          <w:tcPr>
            <w:tcW w:w="508" w:type="pct"/>
            <w:tcBorders>
              <w:top w:val="nil"/>
              <w:left w:val="nil"/>
              <w:bottom w:val="nil"/>
              <w:right w:val="nil"/>
            </w:tcBorders>
            <w:shd w:val="clear" w:color="auto" w:fill="auto"/>
            <w:noWrap/>
            <w:vAlign w:val="bottom"/>
          </w:tcPr>
          <w:p w14:paraId="175268C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(0.38)</w:t>
            </w:r>
          </w:p>
        </w:tc>
        <w:tc>
          <w:tcPr>
            <w:tcW w:w="544" w:type="pct"/>
            <w:tcBorders>
              <w:top w:val="nil"/>
              <w:left w:val="nil"/>
              <w:bottom w:val="nil"/>
              <w:right w:val="nil"/>
            </w:tcBorders>
            <w:shd w:val="clear" w:color="auto" w:fill="auto"/>
            <w:noWrap/>
            <w:vAlign w:val="bottom"/>
          </w:tcPr>
          <w:p w14:paraId="4F8943B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(0.96)</w:t>
            </w:r>
          </w:p>
        </w:tc>
        <w:tc>
          <w:tcPr>
            <w:tcW w:w="547" w:type="pct"/>
            <w:tcBorders>
              <w:top w:val="nil"/>
              <w:left w:val="nil"/>
              <w:bottom w:val="nil"/>
              <w:right w:val="nil"/>
            </w:tcBorders>
            <w:shd w:val="clear" w:color="auto" w:fill="auto"/>
            <w:noWrap/>
            <w:vAlign w:val="bottom"/>
          </w:tcPr>
          <w:p w14:paraId="5FF6FB7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(1.02)</w:t>
            </w:r>
          </w:p>
        </w:tc>
      </w:tr>
      <w:tr w:rsidR="003273BD" w:rsidRPr="00245E91" w14:paraId="4D47406C" w14:textId="77777777" w:rsidTr="00D83DD8">
        <w:trPr>
          <w:trHeight w:val="144"/>
        </w:trPr>
        <w:tc>
          <w:tcPr>
            <w:tcW w:w="672" w:type="pct"/>
            <w:tcBorders>
              <w:top w:val="nil"/>
              <w:left w:val="nil"/>
              <w:bottom w:val="nil"/>
              <w:right w:val="nil"/>
            </w:tcBorders>
            <w:shd w:val="clear" w:color="auto" w:fill="auto"/>
            <w:noWrap/>
            <w:vAlign w:val="bottom"/>
          </w:tcPr>
          <w:p w14:paraId="0675286E"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DEBTISSUE</w:t>
            </w:r>
          </w:p>
        </w:tc>
        <w:tc>
          <w:tcPr>
            <w:tcW w:w="545" w:type="pct"/>
            <w:tcBorders>
              <w:top w:val="nil"/>
              <w:left w:val="nil"/>
              <w:bottom w:val="nil"/>
              <w:right w:val="nil"/>
            </w:tcBorders>
            <w:shd w:val="clear" w:color="auto" w:fill="auto"/>
            <w:noWrap/>
            <w:vAlign w:val="bottom"/>
          </w:tcPr>
          <w:p w14:paraId="579CA83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0.013</w:t>
            </w:r>
          </w:p>
        </w:tc>
        <w:tc>
          <w:tcPr>
            <w:tcW w:w="545" w:type="pct"/>
            <w:tcBorders>
              <w:top w:val="nil"/>
              <w:left w:val="nil"/>
              <w:bottom w:val="nil"/>
              <w:right w:val="nil"/>
            </w:tcBorders>
            <w:shd w:val="clear" w:color="auto" w:fill="auto"/>
            <w:noWrap/>
            <w:vAlign w:val="bottom"/>
          </w:tcPr>
          <w:p w14:paraId="2FEE8F9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0.020</w:t>
            </w:r>
          </w:p>
        </w:tc>
        <w:tc>
          <w:tcPr>
            <w:tcW w:w="545" w:type="pct"/>
            <w:tcBorders>
              <w:top w:val="nil"/>
              <w:left w:val="nil"/>
              <w:bottom w:val="nil"/>
              <w:right w:val="nil"/>
            </w:tcBorders>
            <w:shd w:val="clear" w:color="auto" w:fill="auto"/>
            <w:noWrap/>
            <w:vAlign w:val="bottom"/>
          </w:tcPr>
          <w:p w14:paraId="6E084C0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0.014</w:t>
            </w:r>
          </w:p>
        </w:tc>
        <w:tc>
          <w:tcPr>
            <w:tcW w:w="549" w:type="pct"/>
            <w:tcBorders>
              <w:top w:val="nil"/>
              <w:left w:val="nil"/>
              <w:bottom w:val="nil"/>
              <w:right w:val="single" w:sz="4" w:space="0" w:color="auto"/>
            </w:tcBorders>
            <w:shd w:val="clear" w:color="auto" w:fill="auto"/>
            <w:noWrap/>
            <w:vAlign w:val="bottom"/>
          </w:tcPr>
          <w:p w14:paraId="4F58B7A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0.013</w:t>
            </w:r>
          </w:p>
        </w:tc>
        <w:tc>
          <w:tcPr>
            <w:tcW w:w="545" w:type="pct"/>
            <w:tcBorders>
              <w:top w:val="nil"/>
              <w:left w:val="single" w:sz="4" w:space="0" w:color="auto"/>
              <w:bottom w:val="nil"/>
              <w:right w:val="nil"/>
            </w:tcBorders>
            <w:shd w:val="clear" w:color="auto" w:fill="auto"/>
            <w:noWrap/>
            <w:vAlign w:val="bottom"/>
          </w:tcPr>
          <w:p w14:paraId="1989594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-0.001</w:t>
            </w:r>
          </w:p>
        </w:tc>
        <w:tc>
          <w:tcPr>
            <w:tcW w:w="508" w:type="pct"/>
            <w:tcBorders>
              <w:top w:val="nil"/>
              <w:left w:val="nil"/>
              <w:bottom w:val="nil"/>
              <w:right w:val="nil"/>
            </w:tcBorders>
            <w:shd w:val="clear" w:color="auto" w:fill="auto"/>
            <w:noWrap/>
            <w:vAlign w:val="bottom"/>
          </w:tcPr>
          <w:p w14:paraId="4533D98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-0.005</w:t>
            </w:r>
          </w:p>
        </w:tc>
        <w:tc>
          <w:tcPr>
            <w:tcW w:w="544" w:type="pct"/>
            <w:tcBorders>
              <w:top w:val="nil"/>
              <w:left w:val="nil"/>
              <w:bottom w:val="nil"/>
              <w:right w:val="nil"/>
            </w:tcBorders>
            <w:shd w:val="clear" w:color="auto" w:fill="auto"/>
            <w:noWrap/>
            <w:vAlign w:val="bottom"/>
          </w:tcPr>
          <w:p w14:paraId="712DFCB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-0.034</w:t>
            </w:r>
          </w:p>
        </w:tc>
        <w:tc>
          <w:tcPr>
            <w:tcW w:w="547" w:type="pct"/>
            <w:tcBorders>
              <w:top w:val="nil"/>
              <w:left w:val="nil"/>
              <w:bottom w:val="nil"/>
              <w:right w:val="nil"/>
            </w:tcBorders>
            <w:shd w:val="clear" w:color="auto" w:fill="auto"/>
            <w:noWrap/>
            <w:vAlign w:val="bottom"/>
          </w:tcPr>
          <w:p w14:paraId="0C44FA6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-0.035</w:t>
            </w:r>
          </w:p>
        </w:tc>
      </w:tr>
      <w:tr w:rsidR="003273BD" w:rsidRPr="00245E91" w14:paraId="5E5991F4" w14:textId="77777777" w:rsidTr="00D83DD8">
        <w:trPr>
          <w:trHeight w:val="144"/>
        </w:trPr>
        <w:tc>
          <w:tcPr>
            <w:tcW w:w="672" w:type="pct"/>
            <w:tcBorders>
              <w:top w:val="nil"/>
              <w:left w:val="nil"/>
              <w:bottom w:val="nil"/>
              <w:right w:val="nil"/>
            </w:tcBorders>
            <w:shd w:val="clear" w:color="auto" w:fill="auto"/>
            <w:noWrap/>
            <w:vAlign w:val="bottom"/>
          </w:tcPr>
          <w:p w14:paraId="417F4481"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45" w:type="pct"/>
            <w:tcBorders>
              <w:top w:val="nil"/>
              <w:left w:val="nil"/>
              <w:bottom w:val="nil"/>
              <w:right w:val="nil"/>
            </w:tcBorders>
            <w:shd w:val="clear" w:color="auto" w:fill="auto"/>
            <w:noWrap/>
            <w:vAlign w:val="bottom"/>
          </w:tcPr>
          <w:p w14:paraId="4A73D77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(0.53)</w:t>
            </w:r>
          </w:p>
        </w:tc>
        <w:tc>
          <w:tcPr>
            <w:tcW w:w="545" w:type="pct"/>
            <w:tcBorders>
              <w:top w:val="nil"/>
              <w:left w:val="nil"/>
              <w:bottom w:val="nil"/>
              <w:right w:val="nil"/>
            </w:tcBorders>
            <w:shd w:val="clear" w:color="auto" w:fill="auto"/>
            <w:noWrap/>
            <w:vAlign w:val="bottom"/>
          </w:tcPr>
          <w:p w14:paraId="591DB87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(0.95)</w:t>
            </w:r>
          </w:p>
        </w:tc>
        <w:tc>
          <w:tcPr>
            <w:tcW w:w="545" w:type="pct"/>
            <w:tcBorders>
              <w:top w:val="nil"/>
              <w:left w:val="nil"/>
              <w:bottom w:val="nil"/>
              <w:right w:val="nil"/>
            </w:tcBorders>
            <w:shd w:val="clear" w:color="auto" w:fill="auto"/>
            <w:noWrap/>
            <w:vAlign w:val="bottom"/>
          </w:tcPr>
          <w:p w14:paraId="643A649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(0.82)</w:t>
            </w:r>
          </w:p>
        </w:tc>
        <w:tc>
          <w:tcPr>
            <w:tcW w:w="549" w:type="pct"/>
            <w:tcBorders>
              <w:top w:val="nil"/>
              <w:left w:val="nil"/>
              <w:bottom w:val="nil"/>
              <w:right w:val="single" w:sz="4" w:space="0" w:color="auto"/>
            </w:tcBorders>
            <w:shd w:val="clear" w:color="auto" w:fill="auto"/>
            <w:noWrap/>
            <w:vAlign w:val="bottom"/>
          </w:tcPr>
          <w:p w14:paraId="2F324AB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(0.71)</w:t>
            </w:r>
          </w:p>
        </w:tc>
        <w:tc>
          <w:tcPr>
            <w:tcW w:w="545" w:type="pct"/>
            <w:tcBorders>
              <w:top w:val="nil"/>
              <w:left w:val="single" w:sz="4" w:space="0" w:color="auto"/>
              <w:bottom w:val="nil"/>
              <w:right w:val="nil"/>
            </w:tcBorders>
            <w:shd w:val="clear" w:color="auto" w:fill="auto"/>
            <w:noWrap/>
            <w:vAlign w:val="bottom"/>
          </w:tcPr>
          <w:p w14:paraId="37689E4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w:t>
            </w:r>
          </w:p>
        </w:tc>
        <w:tc>
          <w:tcPr>
            <w:tcW w:w="508" w:type="pct"/>
            <w:tcBorders>
              <w:top w:val="nil"/>
              <w:left w:val="nil"/>
              <w:bottom w:val="nil"/>
              <w:right w:val="nil"/>
            </w:tcBorders>
            <w:shd w:val="clear" w:color="auto" w:fill="auto"/>
            <w:noWrap/>
            <w:vAlign w:val="bottom"/>
          </w:tcPr>
          <w:p w14:paraId="438DD1A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(-0.17)</w:t>
            </w:r>
          </w:p>
        </w:tc>
        <w:tc>
          <w:tcPr>
            <w:tcW w:w="544" w:type="pct"/>
            <w:tcBorders>
              <w:top w:val="nil"/>
              <w:left w:val="nil"/>
              <w:bottom w:val="nil"/>
              <w:right w:val="nil"/>
            </w:tcBorders>
            <w:shd w:val="clear" w:color="auto" w:fill="auto"/>
            <w:noWrap/>
            <w:vAlign w:val="bottom"/>
          </w:tcPr>
          <w:p w14:paraId="32B1D4A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(-1.46)</w:t>
            </w:r>
          </w:p>
        </w:tc>
        <w:tc>
          <w:tcPr>
            <w:tcW w:w="547" w:type="pct"/>
            <w:tcBorders>
              <w:top w:val="nil"/>
              <w:left w:val="nil"/>
              <w:bottom w:val="nil"/>
              <w:right w:val="nil"/>
            </w:tcBorders>
            <w:shd w:val="clear" w:color="auto" w:fill="auto"/>
            <w:noWrap/>
            <w:vAlign w:val="bottom"/>
          </w:tcPr>
          <w:p w14:paraId="6B37FFB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(-1.50)</w:t>
            </w:r>
          </w:p>
        </w:tc>
      </w:tr>
      <w:tr w:rsidR="003273BD" w:rsidRPr="00245E91" w14:paraId="3775C099" w14:textId="77777777" w:rsidTr="00D83DD8">
        <w:trPr>
          <w:trHeight w:val="144"/>
        </w:trPr>
        <w:tc>
          <w:tcPr>
            <w:tcW w:w="672" w:type="pct"/>
            <w:tcBorders>
              <w:top w:val="nil"/>
              <w:left w:val="nil"/>
              <w:bottom w:val="nil"/>
              <w:right w:val="nil"/>
            </w:tcBorders>
            <w:shd w:val="clear" w:color="auto" w:fill="auto"/>
            <w:noWrap/>
            <w:vAlign w:val="bottom"/>
            <w:hideMark/>
          </w:tcPr>
          <w:p w14:paraId="2D411755"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BIG8</w:t>
            </w:r>
          </w:p>
        </w:tc>
        <w:tc>
          <w:tcPr>
            <w:tcW w:w="545" w:type="pct"/>
            <w:tcBorders>
              <w:top w:val="nil"/>
              <w:left w:val="nil"/>
              <w:bottom w:val="nil"/>
              <w:right w:val="nil"/>
            </w:tcBorders>
            <w:shd w:val="clear" w:color="auto" w:fill="auto"/>
            <w:noWrap/>
            <w:vAlign w:val="bottom"/>
            <w:hideMark/>
          </w:tcPr>
          <w:p w14:paraId="3528DB9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0.012</w:t>
            </w:r>
          </w:p>
        </w:tc>
        <w:tc>
          <w:tcPr>
            <w:tcW w:w="545" w:type="pct"/>
            <w:tcBorders>
              <w:top w:val="nil"/>
              <w:left w:val="nil"/>
              <w:bottom w:val="nil"/>
              <w:right w:val="nil"/>
            </w:tcBorders>
            <w:shd w:val="clear" w:color="auto" w:fill="auto"/>
            <w:noWrap/>
            <w:vAlign w:val="bottom"/>
            <w:hideMark/>
          </w:tcPr>
          <w:p w14:paraId="7B7DF7A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-0.002</w:t>
            </w:r>
          </w:p>
        </w:tc>
        <w:tc>
          <w:tcPr>
            <w:tcW w:w="545" w:type="pct"/>
            <w:tcBorders>
              <w:top w:val="nil"/>
              <w:left w:val="nil"/>
              <w:bottom w:val="nil"/>
              <w:right w:val="nil"/>
            </w:tcBorders>
            <w:shd w:val="clear" w:color="auto" w:fill="auto"/>
            <w:noWrap/>
            <w:vAlign w:val="bottom"/>
            <w:hideMark/>
          </w:tcPr>
          <w:p w14:paraId="2A93289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-0.047</w:t>
            </w:r>
          </w:p>
        </w:tc>
        <w:tc>
          <w:tcPr>
            <w:tcW w:w="549" w:type="pct"/>
            <w:tcBorders>
              <w:top w:val="nil"/>
              <w:left w:val="nil"/>
              <w:bottom w:val="nil"/>
              <w:right w:val="single" w:sz="4" w:space="0" w:color="auto"/>
            </w:tcBorders>
            <w:shd w:val="clear" w:color="auto" w:fill="auto"/>
            <w:noWrap/>
            <w:vAlign w:val="bottom"/>
            <w:hideMark/>
          </w:tcPr>
          <w:p w14:paraId="6A89488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-0.046</w:t>
            </w:r>
          </w:p>
        </w:tc>
        <w:tc>
          <w:tcPr>
            <w:tcW w:w="545" w:type="pct"/>
            <w:tcBorders>
              <w:top w:val="nil"/>
              <w:left w:val="single" w:sz="4" w:space="0" w:color="auto"/>
              <w:bottom w:val="nil"/>
              <w:right w:val="nil"/>
            </w:tcBorders>
            <w:shd w:val="clear" w:color="auto" w:fill="auto"/>
            <w:noWrap/>
            <w:vAlign w:val="bottom"/>
            <w:hideMark/>
          </w:tcPr>
          <w:p w14:paraId="2FB03FC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0.014</w:t>
            </w:r>
          </w:p>
        </w:tc>
        <w:tc>
          <w:tcPr>
            <w:tcW w:w="508" w:type="pct"/>
            <w:tcBorders>
              <w:top w:val="nil"/>
              <w:left w:val="nil"/>
              <w:bottom w:val="nil"/>
              <w:right w:val="nil"/>
            </w:tcBorders>
            <w:shd w:val="clear" w:color="auto" w:fill="auto"/>
            <w:noWrap/>
            <w:vAlign w:val="bottom"/>
            <w:hideMark/>
          </w:tcPr>
          <w:p w14:paraId="178C96B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0.008</w:t>
            </w:r>
          </w:p>
        </w:tc>
        <w:tc>
          <w:tcPr>
            <w:tcW w:w="544" w:type="pct"/>
            <w:tcBorders>
              <w:top w:val="nil"/>
              <w:left w:val="nil"/>
              <w:bottom w:val="nil"/>
              <w:right w:val="nil"/>
            </w:tcBorders>
            <w:shd w:val="clear" w:color="auto" w:fill="auto"/>
            <w:noWrap/>
            <w:vAlign w:val="bottom"/>
            <w:hideMark/>
          </w:tcPr>
          <w:p w14:paraId="077F560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-0.048</w:t>
            </w:r>
          </w:p>
        </w:tc>
        <w:tc>
          <w:tcPr>
            <w:tcW w:w="547" w:type="pct"/>
            <w:tcBorders>
              <w:top w:val="nil"/>
              <w:left w:val="nil"/>
              <w:bottom w:val="nil"/>
              <w:right w:val="nil"/>
            </w:tcBorders>
            <w:shd w:val="clear" w:color="auto" w:fill="auto"/>
            <w:noWrap/>
            <w:vAlign w:val="bottom"/>
            <w:hideMark/>
          </w:tcPr>
          <w:p w14:paraId="3B1533E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-0.049</w:t>
            </w:r>
          </w:p>
        </w:tc>
      </w:tr>
      <w:tr w:rsidR="003273BD" w:rsidRPr="00245E91" w14:paraId="399E0152" w14:textId="77777777" w:rsidTr="00D83DD8">
        <w:trPr>
          <w:trHeight w:val="144"/>
        </w:trPr>
        <w:tc>
          <w:tcPr>
            <w:tcW w:w="672" w:type="pct"/>
            <w:tcBorders>
              <w:top w:val="nil"/>
              <w:left w:val="nil"/>
              <w:bottom w:val="nil"/>
              <w:right w:val="nil"/>
            </w:tcBorders>
            <w:shd w:val="clear" w:color="auto" w:fill="auto"/>
            <w:noWrap/>
            <w:vAlign w:val="bottom"/>
            <w:hideMark/>
          </w:tcPr>
          <w:p w14:paraId="3B6A7B95"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45" w:type="pct"/>
            <w:tcBorders>
              <w:top w:val="nil"/>
              <w:left w:val="nil"/>
              <w:bottom w:val="nil"/>
              <w:right w:val="nil"/>
            </w:tcBorders>
            <w:shd w:val="clear" w:color="auto" w:fill="auto"/>
            <w:noWrap/>
            <w:vAlign w:val="bottom"/>
            <w:hideMark/>
          </w:tcPr>
          <w:p w14:paraId="7F13E05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(0.27)</w:t>
            </w:r>
          </w:p>
        </w:tc>
        <w:tc>
          <w:tcPr>
            <w:tcW w:w="545" w:type="pct"/>
            <w:tcBorders>
              <w:top w:val="nil"/>
              <w:left w:val="nil"/>
              <w:bottom w:val="nil"/>
              <w:right w:val="nil"/>
            </w:tcBorders>
            <w:shd w:val="clear" w:color="auto" w:fill="auto"/>
            <w:noWrap/>
            <w:vAlign w:val="bottom"/>
            <w:hideMark/>
          </w:tcPr>
          <w:p w14:paraId="389241F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w:t>
            </w:r>
          </w:p>
        </w:tc>
        <w:tc>
          <w:tcPr>
            <w:tcW w:w="545" w:type="pct"/>
            <w:tcBorders>
              <w:top w:val="nil"/>
              <w:left w:val="nil"/>
              <w:bottom w:val="nil"/>
              <w:right w:val="nil"/>
            </w:tcBorders>
            <w:shd w:val="clear" w:color="auto" w:fill="auto"/>
            <w:noWrap/>
            <w:vAlign w:val="bottom"/>
            <w:hideMark/>
          </w:tcPr>
          <w:p w14:paraId="5DF8C0B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(-1.67*)</w:t>
            </w:r>
          </w:p>
        </w:tc>
        <w:tc>
          <w:tcPr>
            <w:tcW w:w="549" w:type="pct"/>
            <w:tcBorders>
              <w:top w:val="nil"/>
              <w:left w:val="nil"/>
              <w:bottom w:val="nil"/>
              <w:right w:val="single" w:sz="4" w:space="0" w:color="auto"/>
            </w:tcBorders>
            <w:shd w:val="clear" w:color="auto" w:fill="auto"/>
            <w:noWrap/>
            <w:vAlign w:val="bottom"/>
            <w:hideMark/>
          </w:tcPr>
          <w:p w14:paraId="2B07457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(-1.65)</w:t>
            </w:r>
          </w:p>
        </w:tc>
        <w:tc>
          <w:tcPr>
            <w:tcW w:w="545" w:type="pct"/>
            <w:tcBorders>
              <w:top w:val="nil"/>
              <w:left w:val="single" w:sz="4" w:space="0" w:color="auto"/>
              <w:bottom w:val="nil"/>
              <w:right w:val="nil"/>
            </w:tcBorders>
            <w:shd w:val="clear" w:color="auto" w:fill="auto"/>
            <w:noWrap/>
            <w:vAlign w:val="bottom"/>
            <w:hideMark/>
          </w:tcPr>
          <w:p w14:paraId="50FFC2A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(0.45)</w:t>
            </w:r>
          </w:p>
        </w:tc>
        <w:tc>
          <w:tcPr>
            <w:tcW w:w="508" w:type="pct"/>
            <w:tcBorders>
              <w:top w:val="nil"/>
              <w:left w:val="nil"/>
              <w:bottom w:val="nil"/>
              <w:right w:val="nil"/>
            </w:tcBorders>
            <w:shd w:val="clear" w:color="auto" w:fill="auto"/>
            <w:noWrap/>
            <w:vAlign w:val="bottom"/>
            <w:hideMark/>
          </w:tcPr>
          <w:p w14:paraId="7EDBB99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(0.24)</w:t>
            </w:r>
          </w:p>
        </w:tc>
        <w:tc>
          <w:tcPr>
            <w:tcW w:w="544" w:type="pct"/>
            <w:tcBorders>
              <w:top w:val="nil"/>
              <w:left w:val="nil"/>
              <w:bottom w:val="nil"/>
              <w:right w:val="nil"/>
            </w:tcBorders>
            <w:shd w:val="clear" w:color="auto" w:fill="auto"/>
            <w:noWrap/>
            <w:vAlign w:val="bottom"/>
            <w:hideMark/>
          </w:tcPr>
          <w:p w14:paraId="4E6BBAC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(-1.71*)</w:t>
            </w:r>
          </w:p>
        </w:tc>
        <w:tc>
          <w:tcPr>
            <w:tcW w:w="547" w:type="pct"/>
            <w:tcBorders>
              <w:top w:val="nil"/>
              <w:left w:val="nil"/>
              <w:bottom w:val="nil"/>
              <w:right w:val="nil"/>
            </w:tcBorders>
            <w:shd w:val="clear" w:color="auto" w:fill="auto"/>
            <w:noWrap/>
            <w:vAlign w:val="bottom"/>
            <w:hideMark/>
          </w:tcPr>
          <w:p w14:paraId="15E97E4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(-1.73*)</w:t>
            </w:r>
          </w:p>
        </w:tc>
      </w:tr>
      <w:tr w:rsidR="003273BD" w:rsidRPr="00245E91" w14:paraId="2A6D1BD9" w14:textId="77777777" w:rsidTr="00D83DD8">
        <w:trPr>
          <w:trHeight w:val="144"/>
        </w:trPr>
        <w:tc>
          <w:tcPr>
            <w:tcW w:w="672" w:type="pct"/>
            <w:tcBorders>
              <w:top w:val="nil"/>
              <w:left w:val="nil"/>
              <w:bottom w:val="nil"/>
              <w:right w:val="nil"/>
            </w:tcBorders>
            <w:shd w:val="clear" w:color="auto" w:fill="auto"/>
            <w:noWrap/>
            <w:vAlign w:val="bottom"/>
            <w:hideMark/>
          </w:tcPr>
          <w:p w14:paraId="7DA581F9"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TENURE</w:t>
            </w:r>
          </w:p>
        </w:tc>
        <w:tc>
          <w:tcPr>
            <w:tcW w:w="545" w:type="pct"/>
            <w:tcBorders>
              <w:top w:val="nil"/>
              <w:left w:val="nil"/>
              <w:bottom w:val="nil"/>
              <w:right w:val="nil"/>
            </w:tcBorders>
            <w:shd w:val="clear" w:color="auto" w:fill="auto"/>
            <w:noWrap/>
            <w:vAlign w:val="bottom"/>
            <w:hideMark/>
          </w:tcPr>
          <w:p w14:paraId="51782FD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0.069</w:t>
            </w:r>
          </w:p>
        </w:tc>
        <w:tc>
          <w:tcPr>
            <w:tcW w:w="545" w:type="pct"/>
            <w:tcBorders>
              <w:top w:val="nil"/>
              <w:left w:val="nil"/>
              <w:bottom w:val="nil"/>
              <w:right w:val="nil"/>
            </w:tcBorders>
            <w:shd w:val="clear" w:color="auto" w:fill="auto"/>
            <w:noWrap/>
            <w:vAlign w:val="bottom"/>
            <w:hideMark/>
          </w:tcPr>
          <w:p w14:paraId="0ACFDA5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0.065</w:t>
            </w:r>
          </w:p>
        </w:tc>
        <w:tc>
          <w:tcPr>
            <w:tcW w:w="545" w:type="pct"/>
            <w:tcBorders>
              <w:top w:val="nil"/>
              <w:left w:val="nil"/>
              <w:bottom w:val="nil"/>
              <w:right w:val="nil"/>
            </w:tcBorders>
            <w:shd w:val="clear" w:color="auto" w:fill="auto"/>
            <w:noWrap/>
            <w:vAlign w:val="bottom"/>
            <w:hideMark/>
          </w:tcPr>
          <w:p w14:paraId="62F72A6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0.005</w:t>
            </w:r>
          </w:p>
        </w:tc>
        <w:tc>
          <w:tcPr>
            <w:tcW w:w="549" w:type="pct"/>
            <w:tcBorders>
              <w:top w:val="nil"/>
              <w:left w:val="nil"/>
              <w:bottom w:val="nil"/>
              <w:right w:val="single" w:sz="4" w:space="0" w:color="auto"/>
            </w:tcBorders>
            <w:shd w:val="clear" w:color="auto" w:fill="auto"/>
            <w:noWrap/>
            <w:vAlign w:val="bottom"/>
            <w:hideMark/>
          </w:tcPr>
          <w:p w14:paraId="3F223DC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0.006</w:t>
            </w:r>
          </w:p>
        </w:tc>
        <w:tc>
          <w:tcPr>
            <w:tcW w:w="545" w:type="pct"/>
            <w:tcBorders>
              <w:top w:val="nil"/>
              <w:left w:val="single" w:sz="4" w:space="0" w:color="auto"/>
              <w:bottom w:val="nil"/>
              <w:right w:val="nil"/>
            </w:tcBorders>
            <w:shd w:val="clear" w:color="auto" w:fill="auto"/>
            <w:noWrap/>
            <w:vAlign w:val="bottom"/>
            <w:hideMark/>
          </w:tcPr>
          <w:p w14:paraId="1FA8FA6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0.034</w:t>
            </w:r>
          </w:p>
        </w:tc>
        <w:tc>
          <w:tcPr>
            <w:tcW w:w="508" w:type="pct"/>
            <w:tcBorders>
              <w:top w:val="nil"/>
              <w:left w:val="nil"/>
              <w:bottom w:val="nil"/>
              <w:right w:val="nil"/>
            </w:tcBorders>
            <w:shd w:val="clear" w:color="auto" w:fill="auto"/>
            <w:noWrap/>
            <w:vAlign w:val="bottom"/>
            <w:hideMark/>
          </w:tcPr>
          <w:p w14:paraId="3099EAC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0.041</w:t>
            </w:r>
          </w:p>
        </w:tc>
        <w:tc>
          <w:tcPr>
            <w:tcW w:w="544" w:type="pct"/>
            <w:tcBorders>
              <w:top w:val="nil"/>
              <w:left w:val="nil"/>
              <w:bottom w:val="nil"/>
              <w:right w:val="nil"/>
            </w:tcBorders>
            <w:shd w:val="clear" w:color="auto" w:fill="auto"/>
            <w:noWrap/>
            <w:vAlign w:val="bottom"/>
            <w:hideMark/>
          </w:tcPr>
          <w:p w14:paraId="1BCF923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0.060</w:t>
            </w:r>
          </w:p>
        </w:tc>
        <w:tc>
          <w:tcPr>
            <w:tcW w:w="547" w:type="pct"/>
            <w:tcBorders>
              <w:top w:val="nil"/>
              <w:left w:val="nil"/>
              <w:bottom w:val="nil"/>
              <w:right w:val="nil"/>
            </w:tcBorders>
            <w:shd w:val="clear" w:color="auto" w:fill="auto"/>
            <w:noWrap/>
            <w:vAlign w:val="bottom"/>
            <w:hideMark/>
          </w:tcPr>
          <w:p w14:paraId="0529AA0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0.059</w:t>
            </w:r>
          </w:p>
        </w:tc>
      </w:tr>
      <w:tr w:rsidR="003273BD" w:rsidRPr="00245E91" w14:paraId="6750277E" w14:textId="77777777" w:rsidTr="00D83DD8">
        <w:trPr>
          <w:trHeight w:val="144"/>
        </w:trPr>
        <w:tc>
          <w:tcPr>
            <w:tcW w:w="672" w:type="pct"/>
            <w:tcBorders>
              <w:top w:val="nil"/>
              <w:left w:val="nil"/>
              <w:bottom w:val="nil"/>
              <w:right w:val="nil"/>
            </w:tcBorders>
            <w:shd w:val="clear" w:color="auto" w:fill="auto"/>
            <w:noWrap/>
            <w:vAlign w:val="bottom"/>
            <w:hideMark/>
          </w:tcPr>
          <w:p w14:paraId="36D221FC"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45" w:type="pct"/>
            <w:tcBorders>
              <w:top w:val="nil"/>
              <w:left w:val="nil"/>
              <w:bottom w:val="nil"/>
              <w:right w:val="nil"/>
            </w:tcBorders>
            <w:shd w:val="clear" w:color="auto" w:fill="auto"/>
            <w:noWrap/>
            <w:vAlign w:val="bottom"/>
            <w:hideMark/>
          </w:tcPr>
          <w:p w14:paraId="366E855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(2.12**)</w:t>
            </w:r>
          </w:p>
        </w:tc>
        <w:tc>
          <w:tcPr>
            <w:tcW w:w="545" w:type="pct"/>
            <w:tcBorders>
              <w:top w:val="nil"/>
              <w:left w:val="nil"/>
              <w:bottom w:val="nil"/>
              <w:right w:val="nil"/>
            </w:tcBorders>
            <w:shd w:val="clear" w:color="auto" w:fill="auto"/>
            <w:noWrap/>
            <w:vAlign w:val="bottom"/>
            <w:hideMark/>
          </w:tcPr>
          <w:p w14:paraId="48FDDDF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(2.24**)</w:t>
            </w:r>
          </w:p>
        </w:tc>
        <w:tc>
          <w:tcPr>
            <w:tcW w:w="545" w:type="pct"/>
            <w:tcBorders>
              <w:top w:val="nil"/>
              <w:left w:val="nil"/>
              <w:bottom w:val="nil"/>
              <w:right w:val="nil"/>
            </w:tcBorders>
            <w:shd w:val="clear" w:color="auto" w:fill="auto"/>
            <w:noWrap/>
            <w:vAlign w:val="bottom"/>
            <w:hideMark/>
          </w:tcPr>
          <w:p w14:paraId="4E39A05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(0.26)</w:t>
            </w:r>
          </w:p>
        </w:tc>
        <w:tc>
          <w:tcPr>
            <w:tcW w:w="549" w:type="pct"/>
            <w:tcBorders>
              <w:top w:val="nil"/>
              <w:left w:val="nil"/>
              <w:bottom w:val="nil"/>
              <w:right w:val="single" w:sz="4" w:space="0" w:color="auto"/>
            </w:tcBorders>
            <w:shd w:val="clear" w:color="auto" w:fill="auto"/>
            <w:noWrap/>
            <w:vAlign w:val="bottom"/>
            <w:hideMark/>
          </w:tcPr>
          <w:p w14:paraId="13C88E8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(0.27)</w:t>
            </w:r>
          </w:p>
        </w:tc>
        <w:tc>
          <w:tcPr>
            <w:tcW w:w="545" w:type="pct"/>
            <w:tcBorders>
              <w:top w:val="nil"/>
              <w:left w:val="single" w:sz="4" w:space="0" w:color="auto"/>
              <w:bottom w:val="nil"/>
              <w:right w:val="nil"/>
            </w:tcBorders>
            <w:shd w:val="clear" w:color="auto" w:fill="auto"/>
            <w:noWrap/>
            <w:vAlign w:val="bottom"/>
            <w:hideMark/>
          </w:tcPr>
          <w:p w14:paraId="1011C7D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(1.15)</w:t>
            </w:r>
          </w:p>
        </w:tc>
        <w:tc>
          <w:tcPr>
            <w:tcW w:w="508" w:type="pct"/>
            <w:tcBorders>
              <w:top w:val="nil"/>
              <w:left w:val="nil"/>
              <w:bottom w:val="nil"/>
              <w:right w:val="nil"/>
            </w:tcBorders>
            <w:shd w:val="clear" w:color="auto" w:fill="auto"/>
            <w:noWrap/>
            <w:vAlign w:val="bottom"/>
            <w:hideMark/>
          </w:tcPr>
          <w:p w14:paraId="152C25F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(1.60)</w:t>
            </w:r>
          </w:p>
        </w:tc>
        <w:tc>
          <w:tcPr>
            <w:tcW w:w="544" w:type="pct"/>
            <w:tcBorders>
              <w:top w:val="nil"/>
              <w:left w:val="nil"/>
              <w:bottom w:val="nil"/>
              <w:right w:val="nil"/>
            </w:tcBorders>
            <w:shd w:val="clear" w:color="auto" w:fill="auto"/>
            <w:noWrap/>
            <w:vAlign w:val="bottom"/>
            <w:hideMark/>
          </w:tcPr>
          <w:p w14:paraId="59B8A08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(3.11***)</w:t>
            </w:r>
          </w:p>
        </w:tc>
        <w:tc>
          <w:tcPr>
            <w:tcW w:w="547" w:type="pct"/>
            <w:tcBorders>
              <w:top w:val="nil"/>
              <w:left w:val="nil"/>
              <w:bottom w:val="nil"/>
              <w:right w:val="nil"/>
            </w:tcBorders>
            <w:shd w:val="clear" w:color="auto" w:fill="auto"/>
            <w:noWrap/>
            <w:vAlign w:val="bottom"/>
            <w:hideMark/>
          </w:tcPr>
          <w:p w14:paraId="1AF2952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(2.97***)</w:t>
            </w:r>
          </w:p>
        </w:tc>
      </w:tr>
      <w:tr w:rsidR="003273BD" w:rsidRPr="00245E91" w14:paraId="2A2BA557" w14:textId="77777777" w:rsidTr="00D83DD8">
        <w:trPr>
          <w:trHeight w:val="144"/>
        </w:trPr>
        <w:tc>
          <w:tcPr>
            <w:tcW w:w="672" w:type="pct"/>
            <w:tcBorders>
              <w:top w:val="nil"/>
              <w:left w:val="nil"/>
              <w:bottom w:val="nil"/>
              <w:right w:val="nil"/>
            </w:tcBorders>
            <w:shd w:val="clear" w:color="auto" w:fill="auto"/>
            <w:noWrap/>
            <w:vAlign w:val="bottom"/>
            <w:hideMark/>
          </w:tcPr>
          <w:p w14:paraId="09080D6E"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INSTOWN</w:t>
            </w:r>
          </w:p>
        </w:tc>
        <w:tc>
          <w:tcPr>
            <w:tcW w:w="545" w:type="pct"/>
            <w:tcBorders>
              <w:top w:val="nil"/>
              <w:left w:val="nil"/>
              <w:bottom w:val="nil"/>
              <w:right w:val="nil"/>
            </w:tcBorders>
            <w:shd w:val="clear" w:color="auto" w:fill="auto"/>
            <w:noWrap/>
            <w:vAlign w:val="bottom"/>
            <w:hideMark/>
          </w:tcPr>
          <w:p w14:paraId="14F7E3B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0.058</w:t>
            </w:r>
          </w:p>
        </w:tc>
        <w:tc>
          <w:tcPr>
            <w:tcW w:w="545" w:type="pct"/>
            <w:tcBorders>
              <w:top w:val="nil"/>
              <w:left w:val="nil"/>
              <w:bottom w:val="nil"/>
              <w:right w:val="nil"/>
            </w:tcBorders>
            <w:shd w:val="clear" w:color="auto" w:fill="auto"/>
            <w:noWrap/>
            <w:vAlign w:val="bottom"/>
            <w:hideMark/>
          </w:tcPr>
          <w:p w14:paraId="04E7CA8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0.016</w:t>
            </w:r>
          </w:p>
        </w:tc>
        <w:tc>
          <w:tcPr>
            <w:tcW w:w="545" w:type="pct"/>
            <w:tcBorders>
              <w:top w:val="nil"/>
              <w:left w:val="nil"/>
              <w:bottom w:val="nil"/>
              <w:right w:val="nil"/>
            </w:tcBorders>
            <w:shd w:val="clear" w:color="auto" w:fill="auto"/>
            <w:noWrap/>
            <w:vAlign w:val="bottom"/>
            <w:hideMark/>
          </w:tcPr>
          <w:p w14:paraId="4B50ADB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-0.086</w:t>
            </w:r>
          </w:p>
        </w:tc>
        <w:tc>
          <w:tcPr>
            <w:tcW w:w="549" w:type="pct"/>
            <w:tcBorders>
              <w:top w:val="nil"/>
              <w:left w:val="nil"/>
              <w:bottom w:val="nil"/>
              <w:right w:val="single" w:sz="4" w:space="0" w:color="auto"/>
            </w:tcBorders>
            <w:shd w:val="clear" w:color="auto" w:fill="auto"/>
            <w:noWrap/>
            <w:vAlign w:val="bottom"/>
            <w:hideMark/>
          </w:tcPr>
          <w:p w14:paraId="7124890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-0.081</w:t>
            </w:r>
          </w:p>
        </w:tc>
        <w:tc>
          <w:tcPr>
            <w:tcW w:w="545" w:type="pct"/>
            <w:tcBorders>
              <w:top w:val="nil"/>
              <w:left w:val="single" w:sz="4" w:space="0" w:color="auto"/>
              <w:bottom w:val="nil"/>
              <w:right w:val="nil"/>
            </w:tcBorders>
            <w:shd w:val="clear" w:color="auto" w:fill="auto"/>
            <w:noWrap/>
            <w:vAlign w:val="bottom"/>
            <w:hideMark/>
          </w:tcPr>
          <w:p w14:paraId="21A921E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0.062</w:t>
            </w:r>
          </w:p>
        </w:tc>
        <w:tc>
          <w:tcPr>
            <w:tcW w:w="508" w:type="pct"/>
            <w:tcBorders>
              <w:top w:val="nil"/>
              <w:left w:val="nil"/>
              <w:bottom w:val="nil"/>
              <w:right w:val="nil"/>
            </w:tcBorders>
            <w:shd w:val="clear" w:color="auto" w:fill="auto"/>
            <w:noWrap/>
            <w:vAlign w:val="bottom"/>
            <w:hideMark/>
          </w:tcPr>
          <w:p w14:paraId="7085ED9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0.064</w:t>
            </w:r>
          </w:p>
        </w:tc>
        <w:tc>
          <w:tcPr>
            <w:tcW w:w="544" w:type="pct"/>
            <w:tcBorders>
              <w:top w:val="nil"/>
              <w:left w:val="nil"/>
              <w:bottom w:val="nil"/>
              <w:right w:val="nil"/>
            </w:tcBorders>
            <w:shd w:val="clear" w:color="auto" w:fill="auto"/>
            <w:noWrap/>
            <w:vAlign w:val="bottom"/>
            <w:hideMark/>
          </w:tcPr>
          <w:p w14:paraId="5CF8717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0.016</w:t>
            </w:r>
          </w:p>
        </w:tc>
        <w:tc>
          <w:tcPr>
            <w:tcW w:w="547" w:type="pct"/>
            <w:tcBorders>
              <w:top w:val="nil"/>
              <w:left w:val="nil"/>
              <w:bottom w:val="nil"/>
              <w:right w:val="nil"/>
            </w:tcBorders>
            <w:shd w:val="clear" w:color="auto" w:fill="auto"/>
            <w:noWrap/>
            <w:vAlign w:val="bottom"/>
            <w:hideMark/>
          </w:tcPr>
          <w:p w14:paraId="4225409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0.014</w:t>
            </w:r>
          </w:p>
        </w:tc>
      </w:tr>
      <w:tr w:rsidR="003273BD" w:rsidRPr="00245E91" w14:paraId="5CC0B987" w14:textId="77777777" w:rsidTr="00D83DD8">
        <w:trPr>
          <w:trHeight w:val="144"/>
        </w:trPr>
        <w:tc>
          <w:tcPr>
            <w:tcW w:w="672" w:type="pct"/>
            <w:tcBorders>
              <w:top w:val="nil"/>
              <w:left w:val="nil"/>
              <w:bottom w:val="nil"/>
              <w:right w:val="nil"/>
            </w:tcBorders>
            <w:shd w:val="clear" w:color="auto" w:fill="auto"/>
            <w:noWrap/>
            <w:vAlign w:val="bottom"/>
            <w:hideMark/>
          </w:tcPr>
          <w:p w14:paraId="6772D531"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45" w:type="pct"/>
            <w:tcBorders>
              <w:top w:val="nil"/>
              <w:left w:val="nil"/>
              <w:bottom w:val="nil"/>
              <w:right w:val="nil"/>
            </w:tcBorders>
            <w:shd w:val="clear" w:color="auto" w:fill="auto"/>
            <w:noWrap/>
            <w:vAlign w:val="bottom"/>
            <w:hideMark/>
          </w:tcPr>
          <w:p w14:paraId="3B69A9C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(1.19)</w:t>
            </w:r>
          </w:p>
        </w:tc>
        <w:tc>
          <w:tcPr>
            <w:tcW w:w="545" w:type="pct"/>
            <w:tcBorders>
              <w:top w:val="nil"/>
              <w:left w:val="nil"/>
              <w:bottom w:val="nil"/>
              <w:right w:val="nil"/>
            </w:tcBorders>
            <w:shd w:val="clear" w:color="auto" w:fill="auto"/>
            <w:noWrap/>
            <w:vAlign w:val="bottom"/>
            <w:hideMark/>
          </w:tcPr>
          <w:p w14:paraId="5FA3A74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(0.39)</w:t>
            </w:r>
          </w:p>
        </w:tc>
        <w:tc>
          <w:tcPr>
            <w:tcW w:w="545" w:type="pct"/>
            <w:tcBorders>
              <w:top w:val="nil"/>
              <w:left w:val="nil"/>
              <w:bottom w:val="nil"/>
              <w:right w:val="nil"/>
            </w:tcBorders>
            <w:shd w:val="clear" w:color="auto" w:fill="auto"/>
            <w:noWrap/>
            <w:vAlign w:val="bottom"/>
            <w:hideMark/>
          </w:tcPr>
          <w:p w14:paraId="245593D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(-2.72***)</w:t>
            </w:r>
          </w:p>
        </w:tc>
        <w:tc>
          <w:tcPr>
            <w:tcW w:w="549" w:type="pct"/>
            <w:tcBorders>
              <w:top w:val="nil"/>
              <w:left w:val="nil"/>
              <w:bottom w:val="nil"/>
              <w:right w:val="single" w:sz="4" w:space="0" w:color="auto"/>
            </w:tcBorders>
            <w:shd w:val="clear" w:color="auto" w:fill="auto"/>
            <w:noWrap/>
            <w:vAlign w:val="bottom"/>
            <w:hideMark/>
          </w:tcPr>
          <w:p w14:paraId="0216077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(-2.54**)</w:t>
            </w:r>
          </w:p>
        </w:tc>
        <w:tc>
          <w:tcPr>
            <w:tcW w:w="545" w:type="pct"/>
            <w:tcBorders>
              <w:top w:val="nil"/>
              <w:left w:val="single" w:sz="4" w:space="0" w:color="auto"/>
              <w:bottom w:val="nil"/>
              <w:right w:val="nil"/>
            </w:tcBorders>
            <w:shd w:val="clear" w:color="auto" w:fill="auto"/>
            <w:noWrap/>
            <w:vAlign w:val="bottom"/>
            <w:hideMark/>
          </w:tcPr>
          <w:p w14:paraId="2228F79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(1.57)</w:t>
            </w:r>
          </w:p>
        </w:tc>
        <w:tc>
          <w:tcPr>
            <w:tcW w:w="508" w:type="pct"/>
            <w:tcBorders>
              <w:top w:val="nil"/>
              <w:left w:val="nil"/>
              <w:bottom w:val="nil"/>
              <w:right w:val="nil"/>
            </w:tcBorders>
            <w:shd w:val="clear" w:color="auto" w:fill="auto"/>
            <w:noWrap/>
            <w:vAlign w:val="bottom"/>
            <w:hideMark/>
          </w:tcPr>
          <w:p w14:paraId="18AFE8E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(1.89*)</w:t>
            </w:r>
          </w:p>
        </w:tc>
        <w:tc>
          <w:tcPr>
            <w:tcW w:w="544" w:type="pct"/>
            <w:tcBorders>
              <w:top w:val="nil"/>
              <w:left w:val="nil"/>
              <w:bottom w:val="nil"/>
              <w:right w:val="nil"/>
            </w:tcBorders>
            <w:shd w:val="clear" w:color="auto" w:fill="auto"/>
            <w:noWrap/>
            <w:vAlign w:val="bottom"/>
            <w:hideMark/>
          </w:tcPr>
          <w:p w14:paraId="2F87A0F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(1.03)</w:t>
            </w:r>
          </w:p>
        </w:tc>
        <w:tc>
          <w:tcPr>
            <w:tcW w:w="547" w:type="pct"/>
            <w:tcBorders>
              <w:top w:val="nil"/>
              <w:left w:val="nil"/>
              <w:bottom w:val="nil"/>
              <w:right w:val="nil"/>
            </w:tcBorders>
            <w:shd w:val="clear" w:color="auto" w:fill="auto"/>
            <w:noWrap/>
            <w:vAlign w:val="bottom"/>
            <w:hideMark/>
          </w:tcPr>
          <w:p w14:paraId="0138026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(0.89)</w:t>
            </w:r>
          </w:p>
        </w:tc>
      </w:tr>
      <w:tr w:rsidR="003273BD" w:rsidRPr="00245E91" w14:paraId="5EC943B6" w14:textId="77777777" w:rsidTr="00D83DD8">
        <w:trPr>
          <w:trHeight w:val="144"/>
        </w:trPr>
        <w:tc>
          <w:tcPr>
            <w:tcW w:w="672" w:type="pct"/>
            <w:tcBorders>
              <w:top w:val="nil"/>
              <w:left w:val="nil"/>
              <w:bottom w:val="nil"/>
              <w:right w:val="nil"/>
            </w:tcBorders>
            <w:shd w:val="clear" w:color="auto" w:fill="auto"/>
            <w:noWrap/>
            <w:vAlign w:val="bottom"/>
            <w:hideMark/>
          </w:tcPr>
          <w:p w14:paraId="689A4BE7"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NUMANALYST</w:t>
            </w:r>
          </w:p>
        </w:tc>
        <w:tc>
          <w:tcPr>
            <w:tcW w:w="545" w:type="pct"/>
            <w:tcBorders>
              <w:top w:val="nil"/>
              <w:left w:val="nil"/>
              <w:bottom w:val="nil"/>
              <w:right w:val="nil"/>
            </w:tcBorders>
            <w:shd w:val="clear" w:color="auto" w:fill="auto"/>
            <w:noWrap/>
            <w:vAlign w:val="bottom"/>
            <w:hideMark/>
          </w:tcPr>
          <w:p w14:paraId="025EDCC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-0.060</w:t>
            </w:r>
          </w:p>
        </w:tc>
        <w:tc>
          <w:tcPr>
            <w:tcW w:w="545" w:type="pct"/>
            <w:tcBorders>
              <w:top w:val="nil"/>
              <w:left w:val="nil"/>
              <w:bottom w:val="nil"/>
              <w:right w:val="nil"/>
            </w:tcBorders>
            <w:shd w:val="clear" w:color="auto" w:fill="auto"/>
            <w:noWrap/>
            <w:vAlign w:val="bottom"/>
            <w:hideMark/>
          </w:tcPr>
          <w:p w14:paraId="0C47609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-0.044</w:t>
            </w:r>
          </w:p>
        </w:tc>
        <w:tc>
          <w:tcPr>
            <w:tcW w:w="545" w:type="pct"/>
            <w:tcBorders>
              <w:top w:val="nil"/>
              <w:left w:val="nil"/>
              <w:bottom w:val="nil"/>
              <w:right w:val="nil"/>
            </w:tcBorders>
            <w:shd w:val="clear" w:color="auto" w:fill="auto"/>
            <w:noWrap/>
            <w:vAlign w:val="bottom"/>
            <w:hideMark/>
          </w:tcPr>
          <w:p w14:paraId="2950FBC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0.083</w:t>
            </w:r>
          </w:p>
        </w:tc>
        <w:tc>
          <w:tcPr>
            <w:tcW w:w="549" w:type="pct"/>
            <w:tcBorders>
              <w:top w:val="nil"/>
              <w:left w:val="nil"/>
              <w:bottom w:val="nil"/>
              <w:right w:val="single" w:sz="4" w:space="0" w:color="auto"/>
            </w:tcBorders>
            <w:shd w:val="clear" w:color="auto" w:fill="auto"/>
            <w:noWrap/>
            <w:vAlign w:val="bottom"/>
            <w:hideMark/>
          </w:tcPr>
          <w:p w14:paraId="22D74B3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0.079</w:t>
            </w:r>
          </w:p>
        </w:tc>
        <w:tc>
          <w:tcPr>
            <w:tcW w:w="545" w:type="pct"/>
            <w:tcBorders>
              <w:top w:val="nil"/>
              <w:left w:val="single" w:sz="4" w:space="0" w:color="auto"/>
              <w:bottom w:val="nil"/>
              <w:right w:val="nil"/>
            </w:tcBorders>
            <w:shd w:val="clear" w:color="auto" w:fill="auto"/>
            <w:noWrap/>
            <w:vAlign w:val="bottom"/>
            <w:hideMark/>
          </w:tcPr>
          <w:p w14:paraId="386C357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-0.063</w:t>
            </w:r>
          </w:p>
        </w:tc>
        <w:tc>
          <w:tcPr>
            <w:tcW w:w="508" w:type="pct"/>
            <w:tcBorders>
              <w:top w:val="nil"/>
              <w:left w:val="nil"/>
              <w:bottom w:val="nil"/>
              <w:right w:val="nil"/>
            </w:tcBorders>
            <w:shd w:val="clear" w:color="auto" w:fill="auto"/>
            <w:noWrap/>
            <w:vAlign w:val="bottom"/>
            <w:hideMark/>
          </w:tcPr>
          <w:p w14:paraId="2A4CAB5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-0.080</w:t>
            </w:r>
          </w:p>
        </w:tc>
        <w:tc>
          <w:tcPr>
            <w:tcW w:w="544" w:type="pct"/>
            <w:tcBorders>
              <w:top w:val="nil"/>
              <w:left w:val="nil"/>
              <w:bottom w:val="nil"/>
              <w:right w:val="nil"/>
            </w:tcBorders>
            <w:shd w:val="clear" w:color="auto" w:fill="auto"/>
            <w:noWrap/>
            <w:vAlign w:val="bottom"/>
            <w:hideMark/>
          </w:tcPr>
          <w:p w14:paraId="5A5680F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0.016</w:t>
            </w:r>
          </w:p>
        </w:tc>
        <w:tc>
          <w:tcPr>
            <w:tcW w:w="547" w:type="pct"/>
            <w:tcBorders>
              <w:top w:val="nil"/>
              <w:left w:val="nil"/>
              <w:bottom w:val="nil"/>
              <w:right w:val="nil"/>
            </w:tcBorders>
            <w:shd w:val="clear" w:color="auto" w:fill="auto"/>
            <w:noWrap/>
            <w:vAlign w:val="bottom"/>
            <w:hideMark/>
          </w:tcPr>
          <w:p w14:paraId="439FA6A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0.018</w:t>
            </w:r>
          </w:p>
        </w:tc>
      </w:tr>
      <w:tr w:rsidR="003273BD" w:rsidRPr="00245E91" w14:paraId="172C2864" w14:textId="77777777" w:rsidTr="00D83DD8">
        <w:trPr>
          <w:trHeight w:val="144"/>
        </w:trPr>
        <w:tc>
          <w:tcPr>
            <w:tcW w:w="672" w:type="pct"/>
            <w:tcBorders>
              <w:top w:val="nil"/>
              <w:left w:val="nil"/>
              <w:bottom w:val="nil"/>
              <w:right w:val="nil"/>
            </w:tcBorders>
            <w:shd w:val="clear" w:color="auto" w:fill="auto"/>
            <w:noWrap/>
            <w:vAlign w:val="bottom"/>
            <w:hideMark/>
          </w:tcPr>
          <w:p w14:paraId="6A377E4C"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45" w:type="pct"/>
            <w:tcBorders>
              <w:top w:val="nil"/>
              <w:left w:val="nil"/>
              <w:bottom w:val="nil"/>
              <w:right w:val="nil"/>
            </w:tcBorders>
            <w:shd w:val="clear" w:color="auto" w:fill="auto"/>
            <w:noWrap/>
            <w:vAlign w:val="bottom"/>
            <w:hideMark/>
          </w:tcPr>
          <w:p w14:paraId="6DF51A0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(-1.27)</w:t>
            </w:r>
          </w:p>
        </w:tc>
        <w:tc>
          <w:tcPr>
            <w:tcW w:w="545" w:type="pct"/>
            <w:tcBorders>
              <w:top w:val="nil"/>
              <w:left w:val="nil"/>
              <w:bottom w:val="nil"/>
              <w:right w:val="nil"/>
            </w:tcBorders>
            <w:shd w:val="clear" w:color="auto" w:fill="auto"/>
            <w:noWrap/>
            <w:vAlign w:val="bottom"/>
            <w:hideMark/>
          </w:tcPr>
          <w:p w14:paraId="6EF35D8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(-1.04)</w:t>
            </w:r>
          </w:p>
        </w:tc>
        <w:tc>
          <w:tcPr>
            <w:tcW w:w="545" w:type="pct"/>
            <w:tcBorders>
              <w:top w:val="nil"/>
              <w:left w:val="nil"/>
              <w:bottom w:val="nil"/>
              <w:right w:val="nil"/>
            </w:tcBorders>
            <w:shd w:val="clear" w:color="auto" w:fill="auto"/>
            <w:noWrap/>
            <w:vAlign w:val="bottom"/>
            <w:hideMark/>
          </w:tcPr>
          <w:p w14:paraId="0957AA5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(3.17***)</w:t>
            </w:r>
          </w:p>
        </w:tc>
        <w:tc>
          <w:tcPr>
            <w:tcW w:w="549" w:type="pct"/>
            <w:tcBorders>
              <w:top w:val="nil"/>
              <w:left w:val="nil"/>
              <w:bottom w:val="nil"/>
              <w:right w:val="single" w:sz="4" w:space="0" w:color="auto"/>
            </w:tcBorders>
            <w:shd w:val="clear" w:color="auto" w:fill="auto"/>
            <w:noWrap/>
            <w:vAlign w:val="bottom"/>
            <w:hideMark/>
          </w:tcPr>
          <w:p w14:paraId="032E51D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(2.94***)</w:t>
            </w:r>
          </w:p>
        </w:tc>
        <w:tc>
          <w:tcPr>
            <w:tcW w:w="545" w:type="pct"/>
            <w:tcBorders>
              <w:top w:val="nil"/>
              <w:left w:val="single" w:sz="4" w:space="0" w:color="auto"/>
              <w:bottom w:val="nil"/>
              <w:right w:val="nil"/>
            </w:tcBorders>
            <w:shd w:val="clear" w:color="auto" w:fill="auto"/>
            <w:noWrap/>
            <w:vAlign w:val="bottom"/>
            <w:hideMark/>
          </w:tcPr>
          <w:p w14:paraId="2305E86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(-2.11**)</w:t>
            </w:r>
          </w:p>
        </w:tc>
        <w:tc>
          <w:tcPr>
            <w:tcW w:w="508" w:type="pct"/>
            <w:tcBorders>
              <w:top w:val="nil"/>
              <w:left w:val="nil"/>
              <w:bottom w:val="nil"/>
              <w:right w:val="nil"/>
            </w:tcBorders>
            <w:shd w:val="clear" w:color="auto" w:fill="auto"/>
            <w:noWrap/>
            <w:vAlign w:val="bottom"/>
            <w:hideMark/>
          </w:tcPr>
          <w:p w14:paraId="34B1FF6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(-2.67***)</w:t>
            </w:r>
          </w:p>
        </w:tc>
        <w:tc>
          <w:tcPr>
            <w:tcW w:w="544" w:type="pct"/>
            <w:tcBorders>
              <w:top w:val="nil"/>
              <w:left w:val="nil"/>
              <w:bottom w:val="nil"/>
              <w:right w:val="nil"/>
            </w:tcBorders>
            <w:shd w:val="clear" w:color="auto" w:fill="auto"/>
            <w:noWrap/>
            <w:vAlign w:val="bottom"/>
            <w:hideMark/>
          </w:tcPr>
          <w:p w14:paraId="2B9FFB8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(0.87)</w:t>
            </w:r>
          </w:p>
        </w:tc>
        <w:tc>
          <w:tcPr>
            <w:tcW w:w="547" w:type="pct"/>
            <w:tcBorders>
              <w:top w:val="nil"/>
              <w:left w:val="nil"/>
              <w:bottom w:val="nil"/>
              <w:right w:val="nil"/>
            </w:tcBorders>
            <w:shd w:val="clear" w:color="auto" w:fill="auto"/>
            <w:noWrap/>
            <w:vAlign w:val="bottom"/>
            <w:hideMark/>
          </w:tcPr>
          <w:p w14:paraId="3381D74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(0.97)</w:t>
            </w:r>
          </w:p>
        </w:tc>
      </w:tr>
      <w:tr w:rsidR="003273BD" w:rsidRPr="00245E91" w14:paraId="3E88D815" w14:textId="77777777" w:rsidTr="00D83DD8">
        <w:trPr>
          <w:trHeight w:val="144"/>
        </w:trPr>
        <w:tc>
          <w:tcPr>
            <w:tcW w:w="672" w:type="pct"/>
            <w:tcBorders>
              <w:top w:val="nil"/>
              <w:left w:val="nil"/>
              <w:bottom w:val="nil"/>
              <w:right w:val="nil"/>
            </w:tcBorders>
            <w:shd w:val="clear" w:color="auto" w:fill="auto"/>
            <w:noWrap/>
            <w:vAlign w:val="bottom"/>
            <w:hideMark/>
          </w:tcPr>
          <w:p w14:paraId="14165242"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SOX</w:t>
            </w:r>
          </w:p>
        </w:tc>
        <w:tc>
          <w:tcPr>
            <w:tcW w:w="545" w:type="pct"/>
            <w:tcBorders>
              <w:top w:val="nil"/>
              <w:left w:val="nil"/>
              <w:bottom w:val="nil"/>
              <w:right w:val="nil"/>
            </w:tcBorders>
            <w:shd w:val="clear" w:color="auto" w:fill="auto"/>
            <w:noWrap/>
            <w:vAlign w:val="bottom"/>
            <w:hideMark/>
          </w:tcPr>
          <w:p w14:paraId="375E5DD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0.157</w:t>
            </w:r>
          </w:p>
        </w:tc>
        <w:tc>
          <w:tcPr>
            <w:tcW w:w="545" w:type="pct"/>
            <w:tcBorders>
              <w:top w:val="nil"/>
              <w:left w:val="nil"/>
              <w:bottom w:val="nil"/>
              <w:right w:val="nil"/>
            </w:tcBorders>
            <w:shd w:val="clear" w:color="auto" w:fill="auto"/>
            <w:noWrap/>
            <w:vAlign w:val="bottom"/>
            <w:hideMark/>
          </w:tcPr>
          <w:p w14:paraId="3A43770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-0.214</w:t>
            </w:r>
          </w:p>
        </w:tc>
        <w:tc>
          <w:tcPr>
            <w:tcW w:w="545" w:type="pct"/>
            <w:tcBorders>
              <w:top w:val="nil"/>
              <w:left w:val="nil"/>
              <w:bottom w:val="nil"/>
              <w:right w:val="nil"/>
            </w:tcBorders>
            <w:shd w:val="clear" w:color="auto" w:fill="auto"/>
            <w:noWrap/>
            <w:vAlign w:val="bottom"/>
            <w:hideMark/>
          </w:tcPr>
          <w:p w14:paraId="4939DA3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0.364</w:t>
            </w:r>
          </w:p>
        </w:tc>
        <w:tc>
          <w:tcPr>
            <w:tcW w:w="549" w:type="pct"/>
            <w:tcBorders>
              <w:top w:val="nil"/>
              <w:left w:val="nil"/>
              <w:bottom w:val="nil"/>
              <w:right w:val="single" w:sz="4" w:space="0" w:color="auto"/>
            </w:tcBorders>
            <w:shd w:val="clear" w:color="auto" w:fill="auto"/>
            <w:noWrap/>
            <w:vAlign w:val="bottom"/>
            <w:hideMark/>
          </w:tcPr>
          <w:p w14:paraId="4B74B92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0.375</w:t>
            </w:r>
          </w:p>
        </w:tc>
        <w:tc>
          <w:tcPr>
            <w:tcW w:w="545" w:type="pct"/>
            <w:tcBorders>
              <w:top w:val="nil"/>
              <w:left w:val="single" w:sz="4" w:space="0" w:color="auto"/>
              <w:bottom w:val="nil"/>
              <w:right w:val="nil"/>
            </w:tcBorders>
            <w:shd w:val="clear" w:color="auto" w:fill="auto"/>
            <w:noWrap/>
            <w:vAlign w:val="bottom"/>
            <w:hideMark/>
          </w:tcPr>
          <w:p w14:paraId="57EF28B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-0.341</w:t>
            </w:r>
          </w:p>
        </w:tc>
        <w:tc>
          <w:tcPr>
            <w:tcW w:w="508" w:type="pct"/>
            <w:tcBorders>
              <w:top w:val="nil"/>
              <w:left w:val="nil"/>
              <w:bottom w:val="nil"/>
              <w:right w:val="nil"/>
            </w:tcBorders>
            <w:shd w:val="clear" w:color="auto" w:fill="auto"/>
            <w:noWrap/>
            <w:vAlign w:val="bottom"/>
            <w:hideMark/>
          </w:tcPr>
          <w:p w14:paraId="0CF8D1E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-0.493</w:t>
            </w:r>
          </w:p>
        </w:tc>
        <w:tc>
          <w:tcPr>
            <w:tcW w:w="544" w:type="pct"/>
            <w:tcBorders>
              <w:top w:val="nil"/>
              <w:left w:val="nil"/>
              <w:bottom w:val="nil"/>
              <w:right w:val="nil"/>
            </w:tcBorders>
            <w:shd w:val="clear" w:color="auto" w:fill="auto"/>
            <w:noWrap/>
            <w:vAlign w:val="bottom"/>
            <w:hideMark/>
          </w:tcPr>
          <w:p w14:paraId="4098C52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-0.045</w:t>
            </w:r>
          </w:p>
        </w:tc>
        <w:tc>
          <w:tcPr>
            <w:tcW w:w="547" w:type="pct"/>
            <w:tcBorders>
              <w:top w:val="nil"/>
              <w:left w:val="nil"/>
              <w:bottom w:val="nil"/>
              <w:right w:val="nil"/>
            </w:tcBorders>
            <w:shd w:val="clear" w:color="auto" w:fill="auto"/>
            <w:noWrap/>
            <w:vAlign w:val="bottom"/>
            <w:hideMark/>
          </w:tcPr>
          <w:p w14:paraId="3FD08B9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-0.059</w:t>
            </w:r>
          </w:p>
        </w:tc>
      </w:tr>
      <w:tr w:rsidR="003273BD" w:rsidRPr="00245E91" w14:paraId="1CAE43D0" w14:textId="77777777" w:rsidTr="00D83DD8">
        <w:trPr>
          <w:trHeight w:val="144"/>
        </w:trPr>
        <w:tc>
          <w:tcPr>
            <w:tcW w:w="672" w:type="pct"/>
            <w:tcBorders>
              <w:top w:val="nil"/>
              <w:left w:val="nil"/>
              <w:bottom w:val="nil"/>
              <w:right w:val="nil"/>
            </w:tcBorders>
            <w:shd w:val="clear" w:color="auto" w:fill="auto"/>
            <w:noWrap/>
            <w:vAlign w:val="bottom"/>
            <w:hideMark/>
          </w:tcPr>
          <w:p w14:paraId="22D67380"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45" w:type="pct"/>
            <w:tcBorders>
              <w:top w:val="nil"/>
              <w:left w:val="nil"/>
              <w:bottom w:val="nil"/>
              <w:right w:val="nil"/>
            </w:tcBorders>
            <w:shd w:val="clear" w:color="auto" w:fill="auto"/>
            <w:noWrap/>
            <w:vAlign w:val="bottom"/>
            <w:hideMark/>
          </w:tcPr>
          <w:p w14:paraId="1819AF1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(0.52)</w:t>
            </w:r>
          </w:p>
        </w:tc>
        <w:tc>
          <w:tcPr>
            <w:tcW w:w="545" w:type="pct"/>
            <w:tcBorders>
              <w:top w:val="nil"/>
              <w:left w:val="nil"/>
              <w:bottom w:val="nil"/>
              <w:right w:val="nil"/>
            </w:tcBorders>
            <w:shd w:val="clear" w:color="auto" w:fill="auto"/>
            <w:noWrap/>
            <w:vAlign w:val="bottom"/>
            <w:hideMark/>
          </w:tcPr>
          <w:p w14:paraId="2C6005E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(-1.06)</w:t>
            </w:r>
          </w:p>
        </w:tc>
        <w:tc>
          <w:tcPr>
            <w:tcW w:w="545" w:type="pct"/>
            <w:tcBorders>
              <w:top w:val="nil"/>
              <w:left w:val="nil"/>
              <w:bottom w:val="nil"/>
              <w:right w:val="nil"/>
            </w:tcBorders>
            <w:shd w:val="clear" w:color="auto" w:fill="auto"/>
            <w:noWrap/>
            <w:vAlign w:val="bottom"/>
            <w:hideMark/>
          </w:tcPr>
          <w:p w14:paraId="7ACEB63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(2.35**)</w:t>
            </w:r>
          </w:p>
        </w:tc>
        <w:tc>
          <w:tcPr>
            <w:tcW w:w="549" w:type="pct"/>
            <w:tcBorders>
              <w:top w:val="nil"/>
              <w:left w:val="nil"/>
              <w:bottom w:val="nil"/>
              <w:right w:val="single" w:sz="4" w:space="0" w:color="auto"/>
            </w:tcBorders>
            <w:shd w:val="clear" w:color="auto" w:fill="auto"/>
            <w:noWrap/>
            <w:vAlign w:val="bottom"/>
            <w:hideMark/>
          </w:tcPr>
          <w:p w14:paraId="6730891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(2.58**)</w:t>
            </w:r>
          </w:p>
        </w:tc>
        <w:tc>
          <w:tcPr>
            <w:tcW w:w="545" w:type="pct"/>
            <w:tcBorders>
              <w:top w:val="nil"/>
              <w:left w:val="single" w:sz="4" w:space="0" w:color="auto"/>
              <w:bottom w:val="nil"/>
              <w:right w:val="nil"/>
            </w:tcBorders>
            <w:shd w:val="clear" w:color="auto" w:fill="auto"/>
            <w:noWrap/>
            <w:vAlign w:val="bottom"/>
            <w:hideMark/>
          </w:tcPr>
          <w:p w14:paraId="4C08D53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(-6.54***)</w:t>
            </w:r>
          </w:p>
        </w:tc>
        <w:tc>
          <w:tcPr>
            <w:tcW w:w="508" w:type="pct"/>
            <w:tcBorders>
              <w:top w:val="nil"/>
              <w:left w:val="nil"/>
              <w:bottom w:val="nil"/>
              <w:right w:val="nil"/>
            </w:tcBorders>
            <w:shd w:val="clear" w:color="auto" w:fill="auto"/>
            <w:noWrap/>
            <w:vAlign w:val="bottom"/>
            <w:hideMark/>
          </w:tcPr>
          <w:p w14:paraId="09E82A8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(-5.36***)</w:t>
            </w:r>
          </w:p>
        </w:tc>
        <w:tc>
          <w:tcPr>
            <w:tcW w:w="544" w:type="pct"/>
            <w:tcBorders>
              <w:top w:val="nil"/>
              <w:left w:val="nil"/>
              <w:bottom w:val="nil"/>
              <w:right w:val="nil"/>
            </w:tcBorders>
            <w:shd w:val="clear" w:color="auto" w:fill="auto"/>
            <w:noWrap/>
            <w:vAlign w:val="bottom"/>
            <w:hideMark/>
          </w:tcPr>
          <w:p w14:paraId="2AB4091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(-0.30)</w:t>
            </w:r>
          </w:p>
        </w:tc>
        <w:tc>
          <w:tcPr>
            <w:tcW w:w="547" w:type="pct"/>
            <w:tcBorders>
              <w:top w:val="nil"/>
              <w:left w:val="nil"/>
              <w:bottom w:val="nil"/>
              <w:right w:val="nil"/>
            </w:tcBorders>
            <w:shd w:val="clear" w:color="auto" w:fill="auto"/>
            <w:noWrap/>
            <w:vAlign w:val="bottom"/>
            <w:hideMark/>
          </w:tcPr>
          <w:p w14:paraId="57CE340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(-0.37)</w:t>
            </w:r>
          </w:p>
        </w:tc>
      </w:tr>
      <w:tr w:rsidR="003273BD" w:rsidRPr="00245E91" w14:paraId="3E65C3DF" w14:textId="77777777" w:rsidTr="00D83DD8">
        <w:trPr>
          <w:trHeight w:val="144"/>
        </w:trPr>
        <w:tc>
          <w:tcPr>
            <w:tcW w:w="672" w:type="pct"/>
            <w:tcBorders>
              <w:top w:val="nil"/>
              <w:left w:val="nil"/>
              <w:bottom w:val="nil"/>
              <w:right w:val="nil"/>
            </w:tcBorders>
            <w:shd w:val="clear" w:color="auto" w:fill="auto"/>
            <w:noWrap/>
            <w:vAlign w:val="bottom"/>
            <w:hideMark/>
          </w:tcPr>
          <w:p w14:paraId="646C4B8A"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RESID_RM1</w:t>
            </w:r>
          </w:p>
        </w:tc>
        <w:tc>
          <w:tcPr>
            <w:tcW w:w="545" w:type="pct"/>
            <w:tcBorders>
              <w:top w:val="nil"/>
              <w:left w:val="nil"/>
              <w:bottom w:val="nil"/>
              <w:right w:val="nil"/>
            </w:tcBorders>
            <w:shd w:val="clear" w:color="auto" w:fill="auto"/>
            <w:noWrap/>
            <w:vAlign w:val="bottom"/>
            <w:hideMark/>
          </w:tcPr>
          <w:p w14:paraId="299AEA31" w14:textId="77777777" w:rsidR="003273BD" w:rsidRPr="00245E91" w:rsidRDefault="003273BD" w:rsidP="003273BD">
            <w:pPr>
              <w:spacing w:line="240" w:lineRule="auto"/>
              <w:contextualSpacing/>
              <w:rPr>
                <w:rFonts w:ascii="Times New Roman" w:hAnsi="Times New Roman"/>
                <w:color w:val="000000"/>
                <w:sz w:val="15"/>
                <w:szCs w:val="15"/>
              </w:rPr>
            </w:pPr>
          </w:p>
        </w:tc>
        <w:tc>
          <w:tcPr>
            <w:tcW w:w="545" w:type="pct"/>
            <w:tcBorders>
              <w:top w:val="nil"/>
              <w:left w:val="nil"/>
              <w:bottom w:val="nil"/>
              <w:right w:val="nil"/>
            </w:tcBorders>
            <w:shd w:val="clear" w:color="auto" w:fill="auto"/>
            <w:noWrap/>
            <w:vAlign w:val="bottom"/>
            <w:hideMark/>
          </w:tcPr>
          <w:p w14:paraId="37171359" w14:textId="77777777" w:rsidR="003273BD" w:rsidRPr="00245E91" w:rsidRDefault="003273BD" w:rsidP="003273BD">
            <w:pPr>
              <w:spacing w:line="240" w:lineRule="auto"/>
              <w:contextualSpacing/>
              <w:rPr>
                <w:rFonts w:ascii="Times New Roman" w:hAnsi="Times New Roman"/>
                <w:sz w:val="15"/>
                <w:szCs w:val="15"/>
              </w:rPr>
            </w:pPr>
          </w:p>
        </w:tc>
        <w:tc>
          <w:tcPr>
            <w:tcW w:w="545" w:type="pct"/>
            <w:tcBorders>
              <w:top w:val="nil"/>
              <w:left w:val="nil"/>
              <w:bottom w:val="nil"/>
              <w:right w:val="nil"/>
            </w:tcBorders>
            <w:shd w:val="clear" w:color="auto" w:fill="auto"/>
            <w:noWrap/>
            <w:vAlign w:val="bottom"/>
            <w:hideMark/>
          </w:tcPr>
          <w:p w14:paraId="0B4E03F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0.127</w:t>
            </w:r>
          </w:p>
        </w:tc>
        <w:tc>
          <w:tcPr>
            <w:tcW w:w="549" w:type="pct"/>
            <w:tcBorders>
              <w:top w:val="nil"/>
              <w:left w:val="nil"/>
              <w:bottom w:val="nil"/>
              <w:right w:val="single" w:sz="4" w:space="0" w:color="auto"/>
            </w:tcBorders>
            <w:shd w:val="clear" w:color="auto" w:fill="auto"/>
            <w:noWrap/>
            <w:vAlign w:val="bottom"/>
            <w:hideMark/>
          </w:tcPr>
          <w:p w14:paraId="4AFBE5C3" w14:textId="77777777" w:rsidR="003273BD" w:rsidRPr="00245E91" w:rsidRDefault="003273BD" w:rsidP="003273BD">
            <w:pPr>
              <w:spacing w:line="240" w:lineRule="auto"/>
              <w:contextualSpacing/>
              <w:rPr>
                <w:rFonts w:ascii="Times New Roman" w:hAnsi="Times New Roman"/>
                <w:color w:val="000000"/>
                <w:sz w:val="15"/>
                <w:szCs w:val="15"/>
              </w:rPr>
            </w:pPr>
          </w:p>
        </w:tc>
        <w:tc>
          <w:tcPr>
            <w:tcW w:w="545" w:type="pct"/>
            <w:tcBorders>
              <w:top w:val="nil"/>
              <w:left w:val="single" w:sz="4" w:space="0" w:color="auto"/>
              <w:bottom w:val="nil"/>
              <w:right w:val="nil"/>
            </w:tcBorders>
            <w:shd w:val="clear" w:color="auto" w:fill="auto"/>
            <w:noWrap/>
            <w:vAlign w:val="bottom"/>
            <w:hideMark/>
          </w:tcPr>
          <w:p w14:paraId="3CAA5669" w14:textId="77777777" w:rsidR="003273BD" w:rsidRPr="00245E91" w:rsidRDefault="003273BD" w:rsidP="003273BD">
            <w:pPr>
              <w:spacing w:line="240" w:lineRule="auto"/>
              <w:contextualSpacing/>
              <w:rPr>
                <w:rFonts w:ascii="Times New Roman" w:hAnsi="Times New Roman"/>
                <w:sz w:val="15"/>
                <w:szCs w:val="15"/>
              </w:rPr>
            </w:pPr>
          </w:p>
        </w:tc>
        <w:tc>
          <w:tcPr>
            <w:tcW w:w="508" w:type="pct"/>
            <w:tcBorders>
              <w:top w:val="nil"/>
              <w:left w:val="nil"/>
              <w:bottom w:val="nil"/>
              <w:right w:val="nil"/>
            </w:tcBorders>
            <w:shd w:val="clear" w:color="auto" w:fill="auto"/>
            <w:noWrap/>
            <w:vAlign w:val="bottom"/>
            <w:hideMark/>
          </w:tcPr>
          <w:p w14:paraId="6DC1DB8D" w14:textId="77777777" w:rsidR="003273BD" w:rsidRPr="00245E91" w:rsidRDefault="003273BD" w:rsidP="003273BD">
            <w:pPr>
              <w:spacing w:line="240" w:lineRule="auto"/>
              <w:contextualSpacing/>
              <w:rPr>
                <w:rFonts w:ascii="Times New Roman" w:hAnsi="Times New Roman"/>
                <w:sz w:val="15"/>
                <w:szCs w:val="15"/>
              </w:rPr>
            </w:pPr>
          </w:p>
        </w:tc>
        <w:tc>
          <w:tcPr>
            <w:tcW w:w="544" w:type="pct"/>
            <w:tcBorders>
              <w:top w:val="nil"/>
              <w:left w:val="nil"/>
              <w:bottom w:val="nil"/>
              <w:right w:val="nil"/>
            </w:tcBorders>
            <w:shd w:val="clear" w:color="auto" w:fill="auto"/>
            <w:noWrap/>
            <w:vAlign w:val="bottom"/>
            <w:hideMark/>
          </w:tcPr>
          <w:p w14:paraId="41108F2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0.132</w:t>
            </w:r>
          </w:p>
        </w:tc>
        <w:tc>
          <w:tcPr>
            <w:tcW w:w="547" w:type="pct"/>
            <w:tcBorders>
              <w:top w:val="nil"/>
              <w:left w:val="nil"/>
              <w:bottom w:val="nil"/>
              <w:right w:val="nil"/>
            </w:tcBorders>
            <w:shd w:val="clear" w:color="auto" w:fill="auto"/>
            <w:noWrap/>
            <w:vAlign w:val="bottom"/>
            <w:hideMark/>
          </w:tcPr>
          <w:p w14:paraId="3350D0C4" w14:textId="77777777" w:rsidR="003273BD" w:rsidRPr="00245E91" w:rsidRDefault="003273BD" w:rsidP="003273BD">
            <w:pPr>
              <w:spacing w:line="240" w:lineRule="auto"/>
              <w:contextualSpacing/>
              <w:rPr>
                <w:rFonts w:ascii="Times New Roman" w:hAnsi="Times New Roman"/>
                <w:color w:val="000000"/>
                <w:sz w:val="15"/>
                <w:szCs w:val="15"/>
              </w:rPr>
            </w:pPr>
          </w:p>
        </w:tc>
      </w:tr>
      <w:tr w:rsidR="003273BD" w:rsidRPr="00245E91" w14:paraId="21CF5679" w14:textId="77777777" w:rsidTr="00D83DD8">
        <w:trPr>
          <w:trHeight w:val="144"/>
        </w:trPr>
        <w:tc>
          <w:tcPr>
            <w:tcW w:w="672" w:type="pct"/>
            <w:tcBorders>
              <w:top w:val="nil"/>
              <w:left w:val="nil"/>
              <w:bottom w:val="nil"/>
              <w:right w:val="nil"/>
            </w:tcBorders>
            <w:shd w:val="clear" w:color="auto" w:fill="auto"/>
            <w:noWrap/>
            <w:vAlign w:val="bottom"/>
            <w:hideMark/>
          </w:tcPr>
          <w:p w14:paraId="61182597" w14:textId="77777777" w:rsidR="003273BD" w:rsidRPr="00245E91" w:rsidRDefault="003273BD" w:rsidP="003273BD">
            <w:pPr>
              <w:spacing w:after="0" w:line="240" w:lineRule="auto"/>
              <w:contextualSpacing/>
              <w:rPr>
                <w:rFonts w:ascii="Times New Roman" w:eastAsia="Times New Roman" w:hAnsi="Times New Roman"/>
                <w:i/>
                <w:sz w:val="15"/>
                <w:szCs w:val="15"/>
              </w:rPr>
            </w:pPr>
          </w:p>
        </w:tc>
        <w:tc>
          <w:tcPr>
            <w:tcW w:w="545" w:type="pct"/>
            <w:tcBorders>
              <w:top w:val="nil"/>
              <w:left w:val="nil"/>
              <w:bottom w:val="nil"/>
              <w:right w:val="nil"/>
            </w:tcBorders>
            <w:shd w:val="clear" w:color="auto" w:fill="auto"/>
            <w:noWrap/>
            <w:vAlign w:val="bottom"/>
            <w:hideMark/>
          </w:tcPr>
          <w:p w14:paraId="7666FB0D" w14:textId="77777777" w:rsidR="003273BD" w:rsidRPr="00245E91" w:rsidRDefault="003273BD" w:rsidP="003273BD">
            <w:pPr>
              <w:spacing w:line="240" w:lineRule="auto"/>
              <w:contextualSpacing/>
              <w:rPr>
                <w:rFonts w:ascii="Times New Roman" w:hAnsi="Times New Roman"/>
                <w:sz w:val="15"/>
                <w:szCs w:val="15"/>
              </w:rPr>
            </w:pPr>
          </w:p>
        </w:tc>
        <w:tc>
          <w:tcPr>
            <w:tcW w:w="545" w:type="pct"/>
            <w:tcBorders>
              <w:top w:val="nil"/>
              <w:left w:val="nil"/>
              <w:bottom w:val="nil"/>
              <w:right w:val="nil"/>
            </w:tcBorders>
            <w:shd w:val="clear" w:color="auto" w:fill="auto"/>
            <w:noWrap/>
            <w:vAlign w:val="bottom"/>
            <w:hideMark/>
          </w:tcPr>
          <w:p w14:paraId="67BA22D2" w14:textId="77777777" w:rsidR="003273BD" w:rsidRPr="00245E91" w:rsidRDefault="003273BD" w:rsidP="003273BD">
            <w:pPr>
              <w:spacing w:line="240" w:lineRule="auto"/>
              <w:contextualSpacing/>
              <w:rPr>
                <w:rFonts w:ascii="Times New Roman" w:hAnsi="Times New Roman"/>
                <w:sz w:val="15"/>
                <w:szCs w:val="15"/>
              </w:rPr>
            </w:pPr>
          </w:p>
        </w:tc>
        <w:tc>
          <w:tcPr>
            <w:tcW w:w="545" w:type="pct"/>
            <w:tcBorders>
              <w:top w:val="nil"/>
              <w:left w:val="nil"/>
              <w:bottom w:val="nil"/>
              <w:right w:val="nil"/>
            </w:tcBorders>
            <w:shd w:val="clear" w:color="auto" w:fill="auto"/>
            <w:noWrap/>
            <w:vAlign w:val="bottom"/>
            <w:hideMark/>
          </w:tcPr>
          <w:p w14:paraId="6AD6D14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(3.06***)</w:t>
            </w:r>
          </w:p>
        </w:tc>
        <w:tc>
          <w:tcPr>
            <w:tcW w:w="549" w:type="pct"/>
            <w:tcBorders>
              <w:top w:val="nil"/>
              <w:left w:val="nil"/>
              <w:bottom w:val="nil"/>
              <w:right w:val="single" w:sz="4" w:space="0" w:color="auto"/>
            </w:tcBorders>
            <w:shd w:val="clear" w:color="auto" w:fill="auto"/>
            <w:noWrap/>
            <w:vAlign w:val="bottom"/>
            <w:hideMark/>
          </w:tcPr>
          <w:p w14:paraId="4E27FF84" w14:textId="77777777" w:rsidR="003273BD" w:rsidRPr="00245E91" w:rsidRDefault="003273BD" w:rsidP="003273BD">
            <w:pPr>
              <w:spacing w:line="240" w:lineRule="auto"/>
              <w:contextualSpacing/>
              <w:rPr>
                <w:rFonts w:ascii="Times New Roman" w:hAnsi="Times New Roman"/>
                <w:color w:val="000000"/>
                <w:sz w:val="15"/>
                <w:szCs w:val="15"/>
              </w:rPr>
            </w:pPr>
          </w:p>
        </w:tc>
        <w:tc>
          <w:tcPr>
            <w:tcW w:w="545" w:type="pct"/>
            <w:tcBorders>
              <w:top w:val="nil"/>
              <w:left w:val="single" w:sz="4" w:space="0" w:color="auto"/>
              <w:bottom w:val="nil"/>
              <w:right w:val="nil"/>
            </w:tcBorders>
            <w:shd w:val="clear" w:color="auto" w:fill="auto"/>
            <w:noWrap/>
            <w:vAlign w:val="bottom"/>
            <w:hideMark/>
          </w:tcPr>
          <w:p w14:paraId="6F8239B3" w14:textId="77777777" w:rsidR="003273BD" w:rsidRPr="00245E91" w:rsidRDefault="003273BD" w:rsidP="003273BD">
            <w:pPr>
              <w:spacing w:line="240" w:lineRule="auto"/>
              <w:contextualSpacing/>
              <w:rPr>
                <w:rFonts w:ascii="Times New Roman" w:hAnsi="Times New Roman"/>
                <w:sz w:val="15"/>
                <w:szCs w:val="15"/>
              </w:rPr>
            </w:pPr>
          </w:p>
        </w:tc>
        <w:tc>
          <w:tcPr>
            <w:tcW w:w="508" w:type="pct"/>
            <w:tcBorders>
              <w:top w:val="nil"/>
              <w:left w:val="nil"/>
              <w:bottom w:val="nil"/>
              <w:right w:val="nil"/>
            </w:tcBorders>
            <w:shd w:val="clear" w:color="auto" w:fill="auto"/>
            <w:noWrap/>
            <w:vAlign w:val="bottom"/>
            <w:hideMark/>
          </w:tcPr>
          <w:p w14:paraId="71EC848E" w14:textId="77777777" w:rsidR="003273BD" w:rsidRPr="00245E91" w:rsidRDefault="003273BD" w:rsidP="003273BD">
            <w:pPr>
              <w:spacing w:line="240" w:lineRule="auto"/>
              <w:contextualSpacing/>
              <w:rPr>
                <w:rFonts w:ascii="Times New Roman" w:hAnsi="Times New Roman"/>
                <w:sz w:val="15"/>
                <w:szCs w:val="15"/>
              </w:rPr>
            </w:pPr>
          </w:p>
        </w:tc>
        <w:tc>
          <w:tcPr>
            <w:tcW w:w="544" w:type="pct"/>
            <w:tcBorders>
              <w:top w:val="nil"/>
              <w:left w:val="nil"/>
              <w:bottom w:val="nil"/>
              <w:right w:val="nil"/>
            </w:tcBorders>
            <w:shd w:val="clear" w:color="auto" w:fill="auto"/>
            <w:noWrap/>
            <w:vAlign w:val="bottom"/>
            <w:hideMark/>
          </w:tcPr>
          <w:p w14:paraId="19A6379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(3.60***)</w:t>
            </w:r>
          </w:p>
        </w:tc>
        <w:tc>
          <w:tcPr>
            <w:tcW w:w="547" w:type="pct"/>
            <w:tcBorders>
              <w:top w:val="nil"/>
              <w:left w:val="nil"/>
              <w:bottom w:val="nil"/>
              <w:right w:val="nil"/>
            </w:tcBorders>
            <w:shd w:val="clear" w:color="auto" w:fill="auto"/>
            <w:noWrap/>
            <w:vAlign w:val="bottom"/>
            <w:hideMark/>
          </w:tcPr>
          <w:p w14:paraId="18AF8D60" w14:textId="77777777" w:rsidR="003273BD" w:rsidRPr="00245E91" w:rsidRDefault="003273BD" w:rsidP="003273BD">
            <w:pPr>
              <w:spacing w:line="240" w:lineRule="auto"/>
              <w:contextualSpacing/>
              <w:rPr>
                <w:rFonts w:ascii="Times New Roman" w:hAnsi="Times New Roman"/>
                <w:color w:val="000000"/>
                <w:sz w:val="15"/>
                <w:szCs w:val="15"/>
              </w:rPr>
            </w:pPr>
          </w:p>
        </w:tc>
      </w:tr>
      <w:tr w:rsidR="003273BD" w:rsidRPr="00245E91" w14:paraId="027B4C57" w14:textId="77777777" w:rsidTr="00D83DD8">
        <w:trPr>
          <w:trHeight w:val="144"/>
        </w:trPr>
        <w:tc>
          <w:tcPr>
            <w:tcW w:w="672" w:type="pct"/>
            <w:tcBorders>
              <w:top w:val="nil"/>
              <w:left w:val="nil"/>
              <w:bottom w:val="nil"/>
              <w:right w:val="nil"/>
            </w:tcBorders>
            <w:shd w:val="clear" w:color="auto" w:fill="auto"/>
            <w:noWrap/>
            <w:vAlign w:val="bottom"/>
            <w:hideMark/>
          </w:tcPr>
          <w:p w14:paraId="2A351515"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RESID_RM2</w:t>
            </w:r>
          </w:p>
        </w:tc>
        <w:tc>
          <w:tcPr>
            <w:tcW w:w="545" w:type="pct"/>
            <w:tcBorders>
              <w:top w:val="nil"/>
              <w:left w:val="nil"/>
              <w:bottom w:val="nil"/>
              <w:right w:val="nil"/>
            </w:tcBorders>
            <w:shd w:val="clear" w:color="auto" w:fill="auto"/>
            <w:noWrap/>
            <w:vAlign w:val="bottom"/>
            <w:hideMark/>
          </w:tcPr>
          <w:p w14:paraId="51769826" w14:textId="77777777" w:rsidR="003273BD" w:rsidRPr="00245E91" w:rsidRDefault="003273BD" w:rsidP="003273BD">
            <w:pPr>
              <w:spacing w:line="240" w:lineRule="auto"/>
              <w:contextualSpacing/>
              <w:rPr>
                <w:rFonts w:ascii="Times New Roman" w:hAnsi="Times New Roman"/>
                <w:sz w:val="15"/>
                <w:szCs w:val="15"/>
              </w:rPr>
            </w:pPr>
          </w:p>
        </w:tc>
        <w:tc>
          <w:tcPr>
            <w:tcW w:w="545" w:type="pct"/>
            <w:tcBorders>
              <w:top w:val="nil"/>
              <w:left w:val="nil"/>
              <w:bottom w:val="nil"/>
              <w:right w:val="nil"/>
            </w:tcBorders>
            <w:shd w:val="clear" w:color="auto" w:fill="auto"/>
            <w:noWrap/>
            <w:vAlign w:val="bottom"/>
            <w:hideMark/>
          </w:tcPr>
          <w:p w14:paraId="4DB7DB9F" w14:textId="77777777" w:rsidR="003273BD" w:rsidRPr="00245E91" w:rsidRDefault="003273BD" w:rsidP="003273BD">
            <w:pPr>
              <w:spacing w:line="240" w:lineRule="auto"/>
              <w:contextualSpacing/>
              <w:rPr>
                <w:rFonts w:ascii="Times New Roman" w:hAnsi="Times New Roman"/>
                <w:sz w:val="15"/>
                <w:szCs w:val="15"/>
              </w:rPr>
            </w:pPr>
          </w:p>
        </w:tc>
        <w:tc>
          <w:tcPr>
            <w:tcW w:w="545" w:type="pct"/>
            <w:tcBorders>
              <w:top w:val="nil"/>
              <w:left w:val="nil"/>
              <w:bottom w:val="nil"/>
              <w:right w:val="nil"/>
            </w:tcBorders>
            <w:shd w:val="clear" w:color="auto" w:fill="auto"/>
            <w:noWrap/>
            <w:vAlign w:val="bottom"/>
            <w:hideMark/>
          </w:tcPr>
          <w:p w14:paraId="2171393B" w14:textId="77777777" w:rsidR="003273BD" w:rsidRPr="00245E91" w:rsidRDefault="003273BD" w:rsidP="003273BD">
            <w:pPr>
              <w:spacing w:line="240" w:lineRule="auto"/>
              <w:contextualSpacing/>
              <w:rPr>
                <w:rFonts w:ascii="Times New Roman" w:hAnsi="Times New Roman"/>
                <w:sz w:val="15"/>
                <w:szCs w:val="15"/>
              </w:rPr>
            </w:pPr>
          </w:p>
        </w:tc>
        <w:tc>
          <w:tcPr>
            <w:tcW w:w="549" w:type="pct"/>
            <w:tcBorders>
              <w:top w:val="nil"/>
              <w:left w:val="nil"/>
              <w:bottom w:val="nil"/>
              <w:right w:val="single" w:sz="4" w:space="0" w:color="auto"/>
            </w:tcBorders>
            <w:shd w:val="clear" w:color="auto" w:fill="auto"/>
            <w:noWrap/>
            <w:vAlign w:val="bottom"/>
            <w:hideMark/>
          </w:tcPr>
          <w:p w14:paraId="0FAD577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0.146</w:t>
            </w:r>
          </w:p>
        </w:tc>
        <w:tc>
          <w:tcPr>
            <w:tcW w:w="545" w:type="pct"/>
            <w:tcBorders>
              <w:top w:val="nil"/>
              <w:left w:val="single" w:sz="4" w:space="0" w:color="auto"/>
              <w:bottom w:val="nil"/>
              <w:right w:val="nil"/>
            </w:tcBorders>
            <w:shd w:val="clear" w:color="auto" w:fill="auto"/>
            <w:noWrap/>
            <w:vAlign w:val="bottom"/>
            <w:hideMark/>
          </w:tcPr>
          <w:p w14:paraId="080036B6" w14:textId="77777777" w:rsidR="003273BD" w:rsidRPr="00245E91" w:rsidRDefault="003273BD" w:rsidP="003273BD">
            <w:pPr>
              <w:spacing w:line="240" w:lineRule="auto"/>
              <w:contextualSpacing/>
              <w:rPr>
                <w:rFonts w:ascii="Times New Roman" w:hAnsi="Times New Roman"/>
                <w:color w:val="000000"/>
                <w:sz w:val="15"/>
                <w:szCs w:val="15"/>
              </w:rPr>
            </w:pPr>
          </w:p>
        </w:tc>
        <w:tc>
          <w:tcPr>
            <w:tcW w:w="508" w:type="pct"/>
            <w:tcBorders>
              <w:top w:val="nil"/>
              <w:left w:val="nil"/>
              <w:bottom w:val="nil"/>
              <w:right w:val="nil"/>
            </w:tcBorders>
            <w:shd w:val="clear" w:color="auto" w:fill="auto"/>
            <w:noWrap/>
            <w:vAlign w:val="bottom"/>
            <w:hideMark/>
          </w:tcPr>
          <w:p w14:paraId="0B3FA17D" w14:textId="77777777" w:rsidR="003273BD" w:rsidRPr="00245E91" w:rsidRDefault="003273BD" w:rsidP="003273BD">
            <w:pPr>
              <w:spacing w:line="240" w:lineRule="auto"/>
              <w:contextualSpacing/>
              <w:rPr>
                <w:rFonts w:ascii="Times New Roman" w:hAnsi="Times New Roman"/>
                <w:sz w:val="15"/>
                <w:szCs w:val="15"/>
              </w:rPr>
            </w:pPr>
          </w:p>
        </w:tc>
        <w:tc>
          <w:tcPr>
            <w:tcW w:w="544" w:type="pct"/>
            <w:tcBorders>
              <w:top w:val="nil"/>
              <w:left w:val="nil"/>
              <w:bottom w:val="nil"/>
              <w:right w:val="nil"/>
            </w:tcBorders>
            <w:shd w:val="clear" w:color="auto" w:fill="auto"/>
            <w:noWrap/>
            <w:vAlign w:val="bottom"/>
            <w:hideMark/>
          </w:tcPr>
          <w:p w14:paraId="2322E2D2" w14:textId="77777777" w:rsidR="003273BD" w:rsidRPr="00245E91" w:rsidRDefault="003273BD" w:rsidP="003273BD">
            <w:pPr>
              <w:spacing w:line="240" w:lineRule="auto"/>
              <w:contextualSpacing/>
              <w:rPr>
                <w:rFonts w:ascii="Times New Roman" w:hAnsi="Times New Roman"/>
                <w:sz w:val="15"/>
                <w:szCs w:val="15"/>
              </w:rPr>
            </w:pPr>
          </w:p>
        </w:tc>
        <w:tc>
          <w:tcPr>
            <w:tcW w:w="547" w:type="pct"/>
            <w:tcBorders>
              <w:top w:val="nil"/>
              <w:left w:val="nil"/>
              <w:bottom w:val="nil"/>
              <w:right w:val="nil"/>
            </w:tcBorders>
            <w:shd w:val="clear" w:color="auto" w:fill="auto"/>
            <w:noWrap/>
            <w:vAlign w:val="bottom"/>
            <w:hideMark/>
          </w:tcPr>
          <w:p w14:paraId="0C6464C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0.136</w:t>
            </w:r>
          </w:p>
        </w:tc>
      </w:tr>
      <w:tr w:rsidR="003273BD" w:rsidRPr="00245E91" w14:paraId="432F956C" w14:textId="77777777" w:rsidTr="00D83DD8">
        <w:trPr>
          <w:trHeight w:val="144"/>
        </w:trPr>
        <w:tc>
          <w:tcPr>
            <w:tcW w:w="672" w:type="pct"/>
            <w:tcBorders>
              <w:top w:val="nil"/>
              <w:left w:val="nil"/>
              <w:bottom w:val="nil"/>
              <w:right w:val="nil"/>
            </w:tcBorders>
            <w:shd w:val="clear" w:color="auto" w:fill="auto"/>
            <w:noWrap/>
            <w:vAlign w:val="bottom"/>
            <w:hideMark/>
          </w:tcPr>
          <w:p w14:paraId="4F2C4680" w14:textId="77777777" w:rsidR="003273BD" w:rsidRPr="00245E91" w:rsidRDefault="003273BD" w:rsidP="003273BD">
            <w:pPr>
              <w:spacing w:after="0" w:line="240" w:lineRule="auto"/>
              <w:contextualSpacing/>
              <w:rPr>
                <w:rFonts w:ascii="Times New Roman" w:eastAsia="Times New Roman" w:hAnsi="Times New Roman"/>
                <w:color w:val="000000"/>
                <w:sz w:val="15"/>
                <w:szCs w:val="15"/>
              </w:rPr>
            </w:pPr>
          </w:p>
        </w:tc>
        <w:tc>
          <w:tcPr>
            <w:tcW w:w="545" w:type="pct"/>
            <w:tcBorders>
              <w:top w:val="nil"/>
              <w:left w:val="nil"/>
              <w:bottom w:val="nil"/>
              <w:right w:val="nil"/>
            </w:tcBorders>
            <w:shd w:val="clear" w:color="auto" w:fill="auto"/>
            <w:noWrap/>
            <w:vAlign w:val="bottom"/>
            <w:hideMark/>
          </w:tcPr>
          <w:p w14:paraId="70996C60" w14:textId="77777777" w:rsidR="003273BD" w:rsidRPr="00245E91" w:rsidRDefault="003273BD" w:rsidP="003273BD">
            <w:pPr>
              <w:spacing w:line="240" w:lineRule="auto"/>
              <w:contextualSpacing/>
              <w:rPr>
                <w:rFonts w:ascii="Times New Roman" w:hAnsi="Times New Roman"/>
                <w:color w:val="000000"/>
                <w:sz w:val="15"/>
                <w:szCs w:val="15"/>
              </w:rPr>
            </w:pPr>
          </w:p>
        </w:tc>
        <w:tc>
          <w:tcPr>
            <w:tcW w:w="545" w:type="pct"/>
            <w:tcBorders>
              <w:top w:val="nil"/>
              <w:left w:val="nil"/>
              <w:bottom w:val="nil"/>
              <w:right w:val="nil"/>
            </w:tcBorders>
            <w:shd w:val="clear" w:color="auto" w:fill="auto"/>
            <w:noWrap/>
            <w:vAlign w:val="bottom"/>
            <w:hideMark/>
          </w:tcPr>
          <w:p w14:paraId="48DF817B" w14:textId="77777777" w:rsidR="003273BD" w:rsidRPr="00245E91" w:rsidRDefault="003273BD" w:rsidP="003273BD">
            <w:pPr>
              <w:spacing w:line="240" w:lineRule="auto"/>
              <w:contextualSpacing/>
              <w:rPr>
                <w:rFonts w:ascii="Times New Roman" w:hAnsi="Times New Roman"/>
                <w:sz w:val="15"/>
                <w:szCs w:val="15"/>
              </w:rPr>
            </w:pPr>
          </w:p>
        </w:tc>
        <w:tc>
          <w:tcPr>
            <w:tcW w:w="545" w:type="pct"/>
            <w:tcBorders>
              <w:top w:val="nil"/>
              <w:left w:val="nil"/>
              <w:bottom w:val="nil"/>
              <w:right w:val="nil"/>
            </w:tcBorders>
            <w:shd w:val="clear" w:color="auto" w:fill="auto"/>
            <w:noWrap/>
            <w:vAlign w:val="bottom"/>
            <w:hideMark/>
          </w:tcPr>
          <w:p w14:paraId="41772705" w14:textId="77777777" w:rsidR="003273BD" w:rsidRPr="00245E91" w:rsidRDefault="003273BD" w:rsidP="003273BD">
            <w:pPr>
              <w:spacing w:line="240" w:lineRule="auto"/>
              <w:contextualSpacing/>
              <w:rPr>
                <w:rFonts w:ascii="Times New Roman" w:hAnsi="Times New Roman"/>
                <w:sz w:val="15"/>
                <w:szCs w:val="15"/>
              </w:rPr>
            </w:pPr>
          </w:p>
        </w:tc>
        <w:tc>
          <w:tcPr>
            <w:tcW w:w="549" w:type="pct"/>
            <w:tcBorders>
              <w:top w:val="nil"/>
              <w:left w:val="nil"/>
              <w:bottom w:val="nil"/>
              <w:right w:val="single" w:sz="4" w:space="0" w:color="auto"/>
            </w:tcBorders>
            <w:shd w:val="clear" w:color="auto" w:fill="auto"/>
            <w:noWrap/>
            <w:vAlign w:val="bottom"/>
            <w:hideMark/>
          </w:tcPr>
          <w:p w14:paraId="1320D4C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(4.18***)</w:t>
            </w:r>
          </w:p>
        </w:tc>
        <w:tc>
          <w:tcPr>
            <w:tcW w:w="545" w:type="pct"/>
            <w:tcBorders>
              <w:top w:val="nil"/>
              <w:left w:val="single" w:sz="4" w:space="0" w:color="auto"/>
              <w:bottom w:val="nil"/>
              <w:right w:val="nil"/>
            </w:tcBorders>
            <w:shd w:val="clear" w:color="auto" w:fill="auto"/>
            <w:noWrap/>
            <w:vAlign w:val="bottom"/>
            <w:hideMark/>
          </w:tcPr>
          <w:p w14:paraId="6D8F36E5" w14:textId="77777777" w:rsidR="003273BD" w:rsidRPr="00245E91" w:rsidRDefault="003273BD" w:rsidP="003273BD">
            <w:pPr>
              <w:spacing w:line="240" w:lineRule="auto"/>
              <w:contextualSpacing/>
              <w:rPr>
                <w:rFonts w:ascii="Times New Roman" w:hAnsi="Times New Roman"/>
                <w:color w:val="000000"/>
                <w:sz w:val="15"/>
                <w:szCs w:val="15"/>
              </w:rPr>
            </w:pPr>
          </w:p>
        </w:tc>
        <w:tc>
          <w:tcPr>
            <w:tcW w:w="508" w:type="pct"/>
            <w:tcBorders>
              <w:top w:val="nil"/>
              <w:left w:val="nil"/>
              <w:bottom w:val="nil"/>
              <w:right w:val="nil"/>
            </w:tcBorders>
            <w:shd w:val="clear" w:color="auto" w:fill="auto"/>
            <w:noWrap/>
            <w:vAlign w:val="bottom"/>
            <w:hideMark/>
          </w:tcPr>
          <w:p w14:paraId="2A39EB46" w14:textId="77777777" w:rsidR="003273BD" w:rsidRPr="00245E91" w:rsidRDefault="003273BD" w:rsidP="003273BD">
            <w:pPr>
              <w:spacing w:line="240" w:lineRule="auto"/>
              <w:contextualSpacing/>
              <w:rPr>
                <w:rFonts w:ascii="Times New Roman" w:hAnsi="Times New Roman"/>
                <w:sz w:val="15"/>
                <w:szCs w:val="15"/>
              </w:rPr>
            </w:pPr>
          </w:p>
        </w:tc>
        <w:tc>
          <w:tcPr>
            <w:tcW w:w="544" w:type="pct"/>
            <w:tcBorders>
              <w:top w:val="nil"/>
              <w:left w:val="nil"/>
              <w:bottom w:val="nil"/>
              <w:right w:val="nil"/>
            </w:tcBorders>
            <w:shd w:val="clear" w:color="auto" w:fill="auto"/>
            <w:noWrap/>
            <w:vAlign w:val="bottom"/>
            <w:hideMark/>
          </w:tcPr>
          <w:p w14:paraId="0B03AE7B" w14:textId="77777777" w:rsidR="003273BD" w:rsidRPr="00245E91" w:rsidRDefault="003273BD" w:rsidP="003273BD">
            <w:pPr>
              <w:spacing w:line="240" w:lineRule="auto"/>
              <w:contextualSpacing/>
              <w:rPr>
                <w:rFonts w:ascii="Times New Roman" w:hAnsi="Times New Roman"/>
                <w:sz w:val="15"/>
                <w:szCs w:val="15"/>
              </w:rPr>
            </w:pPr>
          </w:p>
        </w:tc>
        <w:tc>
          <w:tcPr>
            <w:tcW w:w="547" w:type="pct"/>
            <w:tcBorders>
              <w:top w:val="nil"/>
              <w:left w:val="nil"/>
              <w:bottom w:val="nil"/>
              <w:right w:val="nil"/>
            </w:tcBorders>
            <w:shd w:val="clear" w:color="auto" w:fill="auto"/>
            <w:noWrap/>
            <w:vAlign w:val="bottom"/>
            <w:hideMark/>
          </w:tcPr>
          <w:p w14:paraId="2749543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(4.86***)</w:t>
            </w:r>
          </w:p>
        </w:tc>
      </w:tr>
      <w:tr w:rsidR="003273BD" w:rsidRPr="00245E91" w14:paraId="330997EE" w14:textId="77777777" w:rsidTr="00D83DD8">
        <w:trPr>
          <w:trHeight w:val="144"/>
        </w:trPr>
        <w:tc>
          <w:tcPr>
            <w:tcW w:w="672" w:type="pct"/>
            <w:tcBorders>
              <w:top w:val="nil"/>
              <w:left w:val="nil"/>
              <w:bottom w:val="nil"/>
              <w:right w:val="nil"/>
            </w:tcBorders>
            <w:shd w:val="clear" w:color="auto" w:fill="auto"/>
            <w:noWrap/>
            <w:vAlign w:val="bottom"/>
          </w:tcPr>
          <w:p w14:paraId="6C5EE9A0" w14:textId="77777777" w:rsidR="003273BD" w:rsidRPr="00245E91" w:rsidRDefault="003273BD" w:rsidP="003273BD">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Adj. R-squared</w:t>
            </w:r>
          </w:p>
        </w:tc>
        <w:tc>
          <w:tcPr>
            <w:tcW w:w="545" w:type="pct"/>
            <w:tcBorders>
              <w:top w:val="nil"/>
              <w:left w:val="nil"/>
              <w:bottom w:val="nil"/>
              <w:right w:val="nil"/>
            </w:tcBorders>
            <w:shd w:val="clear" w:color="auto" w:fill="auto"/>
            <w:noWrap/>
            <w:vAlign w:val="bottom"/>
          </w:tcPr>
          <w:p w14:paraId="10359A8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w:t>
            </w:r>
          </w:p>
        </w:tc>
        <w:tc>
          <w:tcPr>
            <w:tcW w:w="545" w:type="pct"/>
            <w:tcBorders>
              <w:top w:val="nil"/>
              <w:left w:val="nil"/>
              <w:bottom w:val="nil"/>
              <w:right w:val="nil"/>
            </w:tcBorders>
            <w:shd w:val="clear" w:color="auto" w:fill="auto"/>
            <w:noWrap/>
            <w:vAlign w:val="bottom"/>
          </w:tcPr>
          <w:p w14:paraId="7376338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0.15</w:t>
            </w:r>
          </w:p>
        </w:tc>
        <w:tc>
          <w:tcPr>
            <w:tcW w:w="545" w:type="pct"/>
            <w:tcBorders>
              <w:top w:val="nil"/>
              <w:left w:val="nil"/>
              <w:bottom w:val="nil"/>
              <w:right w:val="nil"/>
            </w:tcBorders>
            <w:shd w:val="clear" w:color="auto" w:fill="auto"/>
            <w:noWrap/>
            <w:vAlign w:val="bottom"/>
          </w:tcPr>
          <w:p w14:paraId="18A410B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0.19</w:t>
            </w:r>
          </w:p>
        </w:tc>
        <w:tc>
          <w:tcPr>
            <w:tcW w:w="549" w:type="pct"/>
            <w:tcBorders>
              <w:top w:val="nil"/>
              <w:left w:val="nil"/>
              <w:bottom w:val="nil"/>
              <w:right w:val="single" w:sz="4" w:space="0" w:color="auto"/>
            </w:tcBorders>
            <w:shd w:val="clear" w:color="auto" w:fill="auto"/>
            <w:noWrap/>
            <w:vAlign w:val="bottom"/>
          </w:tcPr>
          <w:p w14:paraId="6921554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0.19</w:t>
            </w:r>
          </w:p>
        </w:tc>
        <w:tc>
          <w:tcPr>
            <w:tcW w:w="545" w:type="pct"/>
            <w:tcBorders>
              <w:top w:val="nil"/>
              <w:left w:val="single" w:sz="4" w:space="0" w:color="auto"/>
              <w:bottom w:val="nil"/>
              <w:right w:val="nil"/>
            </w:tcBorders>
            <w:shd w:val="clear" w:color="auto" w:fill="auto"/>
            <w:noWrap/>
            <w:vAlign w:val="bottom"/>
          </w:tcPr>
          <w:p w14:paraId="3ED2669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0.11</w:t>
            </w:r>
          </w:p>
        </w:tc>
        <w:tc>
          <w:tcPr>
            <w:tcW w:w="508" w:type="pct"/>
            <w:tcBorders>
              <w:top w:val="nil"/>
              <w:left w:val="nil"/>
              <w:bottom w:val="nil"/>
              <w:right w:val="nil"/>
            </w:tcBorders>
            <w:shd w:val="clear" w:color="auto" w:fill="auto"/>
            <w:noWrap/>
            <w:vAlign w:val="bottom"/>
          </w:tcPr>
          <w:p w14:paraId="28B716E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0.14</w:t>
            </w:r>
          </w:p>
        </w:tc>
        <w:tc>
          <w:tcPr>
            <w:tcW w:w="544" w:type="pct"/>
            <w:tcBorders>
              <w:top w:val="nil"/>
              <w:left w:val="nil"/>
              <w:bottom w:val="nil"/>
              <w:right w:val="nil"/>
            </w:tcBorders>
            <w:shd w:val="clear" w:color="auto" w:fill="auto"/>
            <w:noWrap/>
            <w:vAlign w:val="bottom"/>
          </w:tcPr>
          <w:p w14:paraId="12F6B0E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0.23</w:t>
            </w:r>
          </w:p>
        </w:tc>
        <w:tc>
          <w:tcPr>
            <w:tcW w:w="547" w:type="pct"/>
            <w:tcBorders>
              <w:top w:val="nil"/>
              <w:left w:val="nil"/>
              <w:bottom w:val="nil"/>
              <w:right w:val="nil"/>
            </w:tcBorders>
            <w:shd w:val="clear" w:color="auto" w:fill="auto"/>
            <w:noWrap/>
            <w:vAlign w:val="bottom"/>
          </w:tcPr>
          <w:p w14:paraId="1CEC5F1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0.23</w:t>
            </w:r>
          </w:p>
        </w:tc>
      </w:tr>
      <w:tr w:rsidR="003273BD" w:rsidRPr="00245E91" w14:paraId="2109EBF4" w14:textId="77777777" w:rsidTr="00D83DD8">
        <w:trPr>
          <w:trHeight w:val="144"/>
        </w:trPr>
        <w:tc>
          <w:tcPr>
            <w:tcW w:w="672" w:type="pct"/>
            <w:tcBorders>
              <w:top w:val="nil"/>
              <w:left w:val="nil"/>
              <w:bottom w:val="nil"/>
              <w:right w:val="nil"/>
            </w:tcBorders>
            <w:shd w:val="clear" w:color="auto" w:fill="auto"/>
            <w:noWrap/>
            <w:vAlign w:val="bottom"/>
            <w:hideMark/>
          </w:tcPr>
          <w:p w14:paraId="12164860" w14:textId="77777777" w:rsidR="003273BD" w:rsidRPr="00245E91" w:rsidRDefault="003273BD" w:rsidP="003273BD">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Year fixed effect</w:t>
            </w:r>
          </w:p>
        </w:tc>
        <w:tc>
          <w:tcPr>
            <w:tcW w:w="545" w:type="pct"/>
            <w:tcBorders>
              <w:top w:val="nil"/>
              <w:left w:val="nil"/>
              <w:bottom w:val="nil"/>
              <w:right w:val="nil"/>
            </w:tcBorders>
            <w:shd w:val="clear" w:color="auto" w:fill="auto"/>
            <w:noWrap/>
            <w:vAlign w:val="bottom"/>
            <w:hideMark/>
          </w:tcPr>
          <w:p w14:paraId="7BE34637" w14:textId="77777777" w:rsidR="003273BD" w:rsidRPr="00245E91" w:rsidRDefault="003273BD" w:rsidP="003273BD">
            <w:pPr>
              <w:spacing w:after="0"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45" w:type="pct"/>
            <w:tcBorders>
              <w:top w:val="nil"/>
              <w:left w:val="nil"/>
              <w:bottom w:val="nil"/>
              <w:right w:val="nil"/>
            </w:tcBorders>
            <w:shd w:val="clear" w:color="auto" w:fill="auto"/>
            <w:noWrap/>
            <w:vAlign w:val="bottom"/>
            <w:hideMark/>
          </w:tcPr>
          <w:p w14:paraId="5909A6C9" w14:textId="77777777" w:rsidR="003273BD" w:rsidRPr="00245E91" w:rsidRDefault="003273BD" w:rsidP="003273BD">
            <w:pPr>
              <w:spacing w:after="0"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45" w:type="pct"/>
            <w:tcBorders>
              <w:top w:val="nil"/>
              <w:left w:val="nil"/>
              <w:bottom w:val="nil"/>
              <w:right w:val="nil"/>
            </w:tcBorders>
            <w:shd w:val="clear" w:color="auto" w:fill="auto"/>
            <w:noWrap/>
            <w:vAlign w:val="bottom"/>
            <w:hideMark/>
          </w:tcPr>
          <w:p w14:paraId="62506221" w14:textId="77777777" w:rsidR="003273BD" w:rsidRPr="00245E91" w:rsidRDefault="003273BD" w:rsidP="003273BD">
            <w:pPr>
              <w:spacing w:after="0"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49" w:type="pct"/>
            <w:tcBorders>
              <w:top w:val="nil"/>
              <w:left w:val="nil"/>
              <w:bottom w:val="nil"/>
              <w:right w:val="single" w:sz="4" w:space="0" w:color="auto"/>
            </w:tcBorders>
            <w:shd w:val="clear" w:color="auto" w:fill="auto"/>
            <w:noWrap/>
            <w:vAlign w:val="bottom"/>
            <w:hideMark/>
          </w:tcPr>
          <w:p w14:paraId="40D18885" w14:textId="77777777" w:rsidR="003273BD" w:rsidRPr="00245E91" w:rsidRDefault="003273BD" w:rsidP="003273BD">
            <w:pPr>
              <w:spacing w:after="0"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45" w:type="pct"/>
            <w:tcBorders>
              <w:top w:val="nil"/>
              <w:left w:val="single" w:sz="4" w:space="0" w:color="auto"/>
              <w:bottom w:val="nil"/>
              <w:right w:val="nil"/>
            </w:tcBorders>
            <w:shd w:val="clear" w:color="auto" w:fill="auto"/>
            <w:noWrap/>
            <w:vAlign w:val="bottom"/>
            <w:hideMark/>
          </w:tcPr>
          <w:p w14:paraId="416F2BCF" w14:textId="77777777" w:rsidR="003273BD" w:rsidRPr="00245E91" w:rsidRDefault="003273BD" w:rsidP="003273BD">
            <w:pPr>
              <w:spacing w:after="0"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08" w:type="pct"/>
            <w:tcBorders>
              <w:top w:val="nil"/>
              <w:left w:val="nil"/>
              <w:bottom w:val="nil"/>
              <w:right w:val="nil"/>
            </w:tcBorders>
            <w:shd w:val="clear" w:color="auto" w:fill="auto"/>
            <w:noWrap/>
            <w:vAlign w:val="bottom"/>
            <w:hideMark/>
          </w:tcPr>
          <w:p w14:paraId="60F087B4" w14:textId="77777777" w:rsidR="003273BD" w:rsidRPr="00245E91" w:rsidRDefault="003273BD" w:rsidP="003273BD">
            <w:pPr>
              <w:spacing w:after="0"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44" w:type="pct"/>
            <w:tcBorders>
              <w:top w:val="nil"/>
              <w:left w:val="nil"/>
              <w:bottom w:val="nil"/>
              <w:right w:val="nil"/>
            </w:tcBorders>
            <w:shd w:val="clear" w:color="auto" w:fill="auto"/>
            <w:noWrap/>
            <w:vAlign w:val="bottom"/>
            <w:hideMark/>
          </w:tcPr>
          <w:p w14:paraId="0692E6A0" w14:textId="77777777" w:rsidR="003273BD" w:rsidRPr="00245E91" w:rsidRDefault="003273BD" w:rsidP="003273BD">
            <w:pPr>
              <w:spacing w:after="0"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47" w:type="pct"/>
            <w:tcBorders>
              <w:top w:val="nil"/>
              <w:left w:val="nil"/>
              <w:bottom w:val="nil"/>
              <w:right w:val="nil"/>
            </w:tcBorders>
            <w:shd w:val="clear" w:color="auto" w:fill="auto"/>
            <w:noWrap/>
            <w:vAlign w:val="bottom"/>
            <w:hideMark/>
          </w:tcPr>
          <w:p w14:paraId="4CA6409F" w14:textId="77777777" w:rsidR="003273BD" w:rsidRPr="00245E91" w:rsidRDefault="003273BD" w:rsidP="003273BD">
            <w:pPr>
              <w:spacing w:after="0"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r>
      <w:tr w:rsidR="003273BD" w:rsidRPr="00245E91" w14:paraId="1AC86485" w14:textId="77777777" w:rsidTr="00D83DD8">
        <w:trPr>
          <w:trHeight w:val="144"/>
        </w:trPr>
        <w:tc>
          <w:tcPr>
            <w:tcW w:w="672" w:type="pct"/>
            <w:tcBorders>
              <w:top w:val="nil"/>
              <w:left w:val="nil"/>
              <w:right w:val="nil"/>
            </w:tcBorders>
            <w:shd w:val="clear" w:color="auto" w:fill="auto"/>
            <w:noWrap/>
            <w:vAlign w:val="bottom"/>
          </w:tcPr>
          <w:p w14:paraId="14ADC177" w14:textId="77777777" w:rsidR="003273BD" w:rsidRPr="00245E91" w:rsidRDefault="003273BD" w:rsidP="003273BD">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Clustered by firm</w:t>
            </w:r>
          </w:p>
        </w:tc>
        <w:tc>
          <w:tcPr>
            <w:tcW w:w="545" w:type="pct"/>
            <w:tcBorders>
              <w:top w:val="nil"/>
              <w:left w:val="nil"/>
              <w:bottom w:val="nil"/>
              <w:right w:val="nil"/>
            </w:tcBorders>
            <w:shd w:val="clear" w:color="auto" w:fill="auto"/>
            <w:noWrap/>
            <w:vAlign w:val="bottom"/>
          </w:tcPr>
          <w:p w14:paraId="68E3B331" w14:textId="77777777" w:rsidR="003273BD" w:rsidRPr="00245E91" w:rsidRDefault="003273BD" w:rsidP="003273BD">
            <w:pPr>
              <w:spacing w:after="0"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45" w:type="pct"/>
            <w:tcBorders>
              <w:top w:val="nil"/>
              <w:left w:val="nil"/>
              <w:bottom w:val="nil"/>
              <w:right w:val="nil"/>
            </w:tcBorders>
            <w:shd w:val="clear" w:color="auto" w:fill="auto"/>
            <w:noWrap/>
            <w:vAlign w:val="bottom"/>
          </w:tcPr>
          <w:p w14:paraId="025E4B27" w14:textId="77777777" w:rsidR="003273BD" w:rsidRPr="00245E91" w:rsidRDefault="003273BD" w:rsidP="003273BD">
            <w:pPr>
              <w:spacing w:after="0"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45" w:type="pct"/>
            <w:tcBorders>
              <w:top w:val="nil"/>
              <w:left w:val="nil"/>
              <w:bottom w:val="nil"/>
              <w:right w:val="nil"/>
            </w:tcBorders>
            <w:shd w:val="clear" w:color="auto" w:fill="auto"/>
            <w:noWrap/>
            <w:vAlign w:val="bottom"/>
          </w:tcPr>
          <w:p w14:paraId="7675BD4E" w14:textId="77777777" w:rsidR="003273BD" w:rsidRPr="00245E91" w:rsidRDefault="003273BD" w:rsidP="003273BD">
            <w:pPr>
              <w:spacing w:after="0"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49" w:type="pct"/>
            <w:tcBorders>
              <w:top w:val="nil"/>
              <w:left w:val="nil"/>
              <w:bottom w:val="nil"/>
              <w:right w:val="single" w:sz="4" w:space="0" w:color="auto"/>
            </w:tcBorders>
            <w:shd w:val="clear" w:color="auto" w:fill="auto"/>
            <w:noWrap/>
            <w:vAlign w:val="bottom"/>
          </w:tcPr>
          <w:p w14:paraId="1DEC44A3" w14:textId="77777777" w:rsidR="003273BD" w:rsidRPr="00245E91" w:rsidRDefault="003273BD" w:rsidP="003273BD">
            <w:pPr>
              <w:spacing w:after="0"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45" w:type="pct"/>
            <w:tcBorders>
              <w:top w:val="nil"/>
              <w:left w:val="single" w:sz="4" w:space="0" w:color="auto"/>
              <w:bottom w:val="nil"/>
              <w:right w:val="nil"/>
            </w:tcBorders>
            <w:shd w:val="clear" w:color="auto" w:fill="auto"/>
            <w:noWrap/>
            <w:vAlign w:val="bottom"/>
          </w:tcPr>
          <w:p w14:paraId="0C11EFF8" w14:textId="77777777" w:rsidR="003273BD" w:rsidRPr="00245E91" w:rsidRDefault="003273BD" w:rsidP="003273BD">
            <w:pPr>
              <w:spacing w:after="0"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08" w:type="pct"/>
            <w:tcBorders>
              <w:top w:val="nil"/>
              <w:left w:val="nil"/>
              <w:bottom w:val="nil"/>
              <w:right w:val="nil"/>
            </w:tcBorders>
            <w:shd w:val="clear" w:color="auto" w:fill="auto"/>
            <w:noWrap/>
            <w:vAlign w:val="bottom"/>
          </w:tcPr>
          <w:p w14:paraId="272FACE6" w14:textId="77777777" w:rsidR="003273BD" w:rsidRPr="00245E91" w:rsidRDefault="003273BD" w:rsidP="003273BD">
            <w:pPr>
              <w:spacing w:after="0"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44" w:type="pct"/>
            <w:tcBorders>
              <w:top w:val="nil"/>
              <w:left w:val="nil"/>
              <w:bottom w:val="nil"/>
              <w:right w:val="nil"/>
            </w:tcBorders>
            <w:shd w:val="clear" w:color="auto" w:fill="auto"/>
            <w:noWrap/>
            <w:vAlign w:val="bottom"/>
          </w:tcPr>
          <w:p w14:paraId="6B08C90C" w14:textId="77777777" w:rsidR="003273BD" w:rsidRPr="00245E91" w:rsidRDefault="003273BD" w:rsidP="003273BD">
            <w:pPr>
              <w:spacing w:after="0"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47" w:type="pct"/>
            <w:tcBorders>
              <w:top w:val="nil"/>
              <w:left w:val="nil"/>
              <w:bottom w:val="nil"/>
              <w:right w:val="nil"/>
            </w:tcBorders>
            <w:shd w:val="clear" w:color="auto" w:fill="auto"/>
            <w:noWrap/>
            <w:vAlign w:val="bottom"/>
          </w:tcPr>
          <w:p w14:paraId="4B15B4DD" w14:textId="77777777" w:rsidR="003273BD" w:rsidRPr="00245E91" w:rsidRDefault="003273BD" w:rsidP="003273BD">
            <w:pPr>
              <w:spacing w:after="0"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r>
      <w:tr w:rsidR="003273BD" w:rsidRPr="00245E91" w14:paraId="41BA64A6" w14:textId="77777777" w:rsidTr="00D83DD8">
        <w:trPr>
          <w:trHeight w:val="144"/>
        </w:trPr>
        <w:tc>
          <w:tcPr>
            <w:tcW w:w="672" w:type="pct"/>
            <w:tcBorders>
              <w:top w:val="nil"/>
              <w:left w:val="nil"/>
              <w:bottom w:val="single" w:sz="4" w:space="0" w:color="auto"/>
              <w:right w:val="nil"/>
            </w:tcBorders>
            <w:shd w:val="clear" w:color="auto" w:fill="auto"/>
            <w:noWrap/>
            <w:vAlign w:val="bottom"/>
          </w:tcPr>
          <w:p w14:paraId="14C4FAD1" w14:textId="77777777" w:rsidR="003273BD" w:rsidRPr="00245E91" w:rsidRDefault="003273BD" w:rsidP="003273BD">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Observations</w:t>
            </w:r>
          </w:p>
        </w:tc>
        <w:tc>
          <w:tcPr>
            <w:tcW w:w="545" w:type="pct"/>
            <w:tcBorders>
              <w:top w:val="nil"/>
              <w:left w:val="nil"/>
              <w:bottom w:val="single" w:sz="4" w:space="0" w:color="auto"/>
              <w:right w:val="nil"/>
            </w:tcBorders>
            <w:shd w:val="clear" w:color="auto" w:fill="auto"/>
            <w:noWrap/>
            <w:vAlign w:val="bottom"/>
          </w:tcPr>
          <w:p w14:paraId="63D6D5C0" w14:textId="77777777" w:rsidR="003273BD" w:rsidRPr="00245E91" w:rsidRDefault="003273BD" w:rsidP="003273BD">
            <w:pPr>
              <w:spacing w:after="0" w:line="240" w:lineRule="auto"/>
              <w:contextualSpacing/>
              <w:rPr>
                <w:rFonts w:ascii="Times New Roman" w:hAnsi="Times New Roman"/>
                <w:color w:val="000000"/>
                <w:sz w:val="15"/>
                <w:szCs w:val="15"/>
              </w:rPr>
            </w:pPr>
            <w:r w:rsidRPr="00245E91">
              <w:rPr>
                <w:rFonts w:ascii="Times New Roman" w:hAnsi="Times New Roman"/>
                <w:color w:val="000000"/>
                <w:sz w:val="15"/>
                <w:szCs w:val="15"/>
              </w:rPr>
              <w:t>3,021</w:t>
            </w:r>
          </w:p>
        </w:tc>
        <w:tc>
          <w:tcPr>
            <w:tcW w:w="545" w:type="pct"/>
            <w:tcBorders>
              <w:top w:val="nil"/>
              <w:left w:val="nil"/>
              <w:bottom w:val="single" w:sz="4" w:space="0" w:color="auto"/>
              <w:right w:val="nil"/>
            </w:tcBorders>
            <w:shd w:val="clear" w:color="auto" w:fill="auto"/>
            <w:noWrap/>
            <w:vAlign w:val="bottom"/>
          </w:tcPr>
          <w:p w14:paraId="43D31EEF" w14:textId="77777777" w:rsidR="003273BD" w:rsidRPr="00245E91" w:rsidRDefault="003273BD" w:rsidP="003273BD">
            <w:pPr>
              <w:spacing w:after="0" w:line="240" w:lineRule="auto"/>
              <w:contextualSpacing/>
              <w:rPr>
                <w:rFonts w:ascii="Times New Roman" w:hAnsi="Times New Roman"/>
                <w:color w:val="000000"/>
                <w:sz w:val="15"/>
                <w:szCs w:val="15"/>
              </w:rPr>
            </w:pPr>
            <w:r w:rsidRPr="00245E91">
              <w:rPr>
                <w:rFonts w:ascii="Times New Roman" w:hAnsi="Times New Roman"/>
                <w:color w:val="000000"/>
                <w:sz w:val="15"/>
                <w:szCs w:val="15"/>
              </w:rPr>
              <w:t>2,987</w:t>
            </w:r>
          </w:p>
        </w:tc>
        <w:tc>
          <w:tcPr>
            <w:tcW w:w="545" w:type="pct"/>
            <w:tcBorders>
              <w:top w:val="nil"/>
              <w:left w:val="nil"/>
              <w:bottom w:val="single" w:sz="4" w:space="0" w:color="auto"/>
              <w:right w:val="nil"/>
            </w:tcBorders>
            <w:shd w:val="clear" w:color="auto" w:fill="auto"/>
            <w:noWrap/>
            <w:vAlign w:val="bottom"/>
          </w:tcPr>
          <w:p w14:paraId="15569E27" w14:textId="77777777" w:rsidR="003273BD" w:rsidRPr="00245E91" w:rsidRDefault="003273BD" w:rsidP="003273BD">
            <w:pPr>
              <w:spacing w:after="0" w:line="240" w:lineRule="auto"/>
              <w:contextualSpacing/>
              <w:rPr>
                <w:rFonts w:ascii="Times New Roman" w:hAnsi="Times New Roman"/>
                <w:color w:val="000000"/>
                <w:sz w:val="15"/>
                <w:szCs w:val="15"/>
              </w:rPr>
            </w:pPr>
            <w:r w:rsidRPr="00245E91">
              <w:rPr>
                <w:rFonts w:ascii="Times New Roman" w:hAnsi="Times New Roman"/>
                <w:color w:val="000000"/>
                <w:sz w:val="15"/>
                <w:szCs w:val="15"/>
              </w:rPr>
              <w:t>2,972</w:t>
            </w:r>
          </w:p>
        </w:tc>
        <w:tc>
          <w:tcPr>
            <w:tcW w:w="549" w:type="pct"/>
            <w:tcBorders>
              <w:top w:val="nil"/>
              <w:left w:val="nil"/>
              <w:bottom w:val="single" w:sz="4" w:space="0" w:color="auto"/>
              <w:right w:val="single" w:sz="4" w:space="0" w:color="auto"/>
            </w:tcBorders>
            <w:shd w:val="clear" w:color="auto" w:fill="auto"/>
            <w:noWrap/>
            <w:vAlign w:val="bottom"/>
          </w:tcPr>
          <w:p w14:paraId="36FE0427" w14:textId="77777777" w:rsidR="003273BD" w:rsidRPr="00245E91" w:rsidRDefault="003273BD" w:rsidP="003273BD">
            <w:pPr>
              <w:spacing w:after="0" w:line="240" w:lineRule="auto"/>
              <w:contextualSpacing/>
              <w:rPr>
                <w:rFonts w:ascii="Times New Roman" w:hAnsi="Times New Roman"/>
                <w:color w:val="000000"/>
                <w:sz w:val="15"/>
                <w:szCs w:val="15"/>
              </w:rPr>
            </w:pPr>
            <w:r w:rsidRPr="00245E91">
              <w:rPr>
                <w:rFonts w:ascii="Times New Roman" w:hAnsi="Times New Roman"/>
                <w:color w:val="000000"/>
                <w:sz w:val="15"/>
                <w:szCs w:val="15"/>
              </w:rPr>
              <w:t>2,972</w:t>
            </w:r>
          </w:p>
        </w:tc>
        <w:tc>
          <w:tcPr>
            <w:tcW w:w="545" w:type="pct"/>
            <w:tcBorders>
              <w:top w:val="nil"/>
              <w:left w:val="single" w:sz="4" w:space="0" w:color="auto"/>
              <w:bottom w:val="single" w:sz="4" w:space="0" w:color="auto"/>
              <w:right w:val="nil"/>
            </w:tcBorders>
            <w:shd w:val="clear" w:color="auto" w:fill="auto"/>
            <w:noWrap/>
            <w:vAlign w:val="bottom"/>
          </w:tcPr>
          <w:p w14:paraId="49F218AB" w14:textId="77777777" w:rsidR="003273BD" w:rsidRPr="00245E91" w:rsidRDefault="003273BD" w:rsidP="003273BD">
            <w:pPr>
              <w:spacing w:after="0" w:line="240" w:lineRule="auto"/>
              <w:contextualSpacing/>
              <w:rPr>
                <w:rFonts w:ascii="Times New Roman" w:hAnsi="Times New Roman"/>
                <w:color w:val="000000"/>
                <w:sz w:val="15"/>
                <w:szCs w:val="15"/>
              </w:rPr>
            </w:pPr>
            <w:r w:rsidRPr="00245E91">
              <w:rPr>
                <w:rFonts w:ascii="Times New Roman" w:hAnsi="Times New Roman"/>
                <w:color w:val="000000"/>
                <w:sz w:val="15"/>
                <w:szCs w:val="15"/>
              </w:rPr>
              <w:t>2,956</w:t>
            </w:r>
          </w:p>
        </w:tc>
        <w:tc>
          <w:tcPr>
            <w:tcW w:w="508" w:type="pct"/>
            <w:tcBorders>
              <w:top w:val="nil"/>
              <w:left w:val="nil"/>
              <w:bottom w:val="single" w:sz="4" w:space="0" w:color="auto"/>
              <w:right w:val="nil"/>
            </w:tcBorders>
            <w:shd w:val="clear" w:color="auto" w:fill="auto"/>
            <w:noWrap/>
            <w:vAlign w:val="bottom"/>
          </w:tcPr>
          <w:p w14:paraId="67A9436B" w14:textId="77777777" w:rsidR="003273BD" w:rsidRPr="00245E91" w:rsidRDefault="003273BD" w:rsidP="003273BD">
            <w:pPr>
              <w:spacing w:after="0" w:line="240" w:lineRule="auto"/>
              <w:contextualSpacing/>
              <w:rPr>
                <w:rFonts w:ascii="Times New Roman" w:hAnsi="Times New Roman"/>
                <w:color w:val="000000"/>
                <w:sz w:val="15"/>
                <w:szCs w:val="15"/>
              </w:rPr>
            </w:pPr>
            <w:r w:rsidRPr="00245E91">
              <w:rPr>
                <w:rFonts w:ascii="Times New Roman" w:hAnsi="Times New Roman"/>
                <w:color w:val="000000"/>
                <w:sz w:val="15"/>
                <w:szCs w:val="15"/>
              </w:rPr>
              <w:t>2,944</w:t>
            </w:r>
          </w:p>
        </w:tc>
        <w:tc>
          <w:tcPr>
            <w:tcW w:w="544" w:type="pct"/>
            <w:tcBorders>
              <w:top w:val="nil"/>
              <w:left w:val="nil"/>
              <w:bottom w:val="single" w:sz="4" w:space="0" w:color="auto"/>
              <w:right w:val="nil"/>
            </w:tcBorders>
            <w:shd w:val="clear" w:color="auto" w:fill="auto"/>
            <w:noWrap/>
            <w:vAlign w:val="bottom"/>
          </w:tcPr>
          <w:p w14:paraId="638C3DE7" w14:textId="77777777" w:rsidR="003273BD" w:rsidRPr="00245E91" w:rsidRDefault="003273BD" w:rsidP="003273BD">
            <w:pPr>
              <w:spacing w:after="0" w:line="240" w:lineRule="auto"/>
              <w:contextualSpacing/>
              <w:rPr>
                <w:rFonts w:ascii="Times New Roman" w:hAnsi="Times New Roman"/>
                <w:color w:val="000000"/>
                <w:sz w:val="15"/>
                <w:szCs w:val="15"/>
              </w:rPr>
            </w:pPr>
            <w:r w:rsidRPr="00245E91">
              <w:rPr>
                <w:rFonts w:ascii="Times New Roman" w:hAnsi="Times New Roman"/>
                <w:color w:val="000000"/>
                <w:sz w:val="15"/>
                <w:szCs w:val="15"/>
              </w:rPr>
              <w:t>2,941</w:t>
            </w:r>
          </w:p>
        </w:tc>
        <w:tc>
          <w:tcPr>
            <w:tcW w:w="547" w:type="pct"/>
            <w:tcBorders>
              <w:top w:val="nil"/>
              <w:left w:val="nil"/>
              <w:bottom w:val="single" w:sz="4" w:space="0" w:color="auto"/>
              <w:right w:val="nil"/>
            </w:tcBorders>
            <w:shd w:val="clear" w:color="auto" w:fill="auto"/>
            <w:noWrap/>
            <w:vAlign w:val="bottom"/>
          </w:tcPr>
          <w:p w14:paraId="162FC58D" w14:textId="77777777" w:rsidR="003273BD" w:rsidRPr="00245E91" w:rsidRDefault="003273BD" w:rsidP="003273BD">
            <w:pPr>
              <w:spacing w:after="0" w:line="240" w:lineRule="auto"/>
              <w:contextualSpacing/>
              <w:rPr>
                <w:rFonts w:ascii="Times New Roman" w:hAnsi="Times New Roman"/>
                <w:color w:val="000000"/>
                <w:sz w:val="15"/>
                <w:szCs w:val="15"/>
              </w:rPr>
            </w:pPr>
            <w:r w:rsidRPr="00245E91">
              <w:rPr>
                <w:rFonts w:ascii="Times New Roman" w:hAnsi="Times New Roman"/>
                <w:color w:val="000000"/>
                <w:sz w:val="15"/>
                <w:szCs w:val="15"/>
              </w:rPr>
              <w:t>2,941</w:t>
            </w:r>
          </w:p>
        </w:tc>
      </w:tr>
    </w:tbl>
    <w:p w14:paraId="16819A17" w14:textId="631C77A4" w:rsidR="003273BD" w:rsidRPr="00245E91" w:rsidRDefault="003273BD" w:rsidP="003273BD">
      <w:pPr>
        <w:spacing w:after="0" w:line="240" w:lineRule="auto"/>
        <w:rPr>
          <w:rFonts w:ascii="Times New Roman" w:hAnsi="Times New Roman"/>
          <w:sz w:val="15"/>
          <w:szCs w:val="15"/>
        </w:rPr>
      </w:pPr>
      <w:r w:rsidRPr="00245E91">
        <w:rPr>
          <w:rFonts w:ascii="Times New Roman" w:hAnsi="Times New Roman"/>
          <w:sz w:val="15"/>
          <w:szCs w:val="15"/>
        </w:rPr>
        <w:br w:type="page"/>
      </w:r>
    </w:p>
    <w:p w14:paraId="002C39CA" w14:textId="77777777" w:rsidR="003273BD" w:rsidRPr="00245E91" w:rsidRDefault="003273BD" w:rsidP="003273BD">
      <w:pPr>
        <w:spacing w:after="0" w:line="240" w:lineRule="auto"/>
        <w:rPr>
          <w:rFonts w:ascii="Times New Roman" w:hAnsi="Times New Roman"/>
          <w:b/>
          <w:sz w:val="15"/>
          <w:szCs w:val="15"/>
        </w:rPr>
      </w:pPr>
      <w:r w:rsidRPr="00245E91">
        <w:rPr>
          <w:rFonts w:ascii="Times New Roman" w:hAnsi="Times New Roman"/>
          <w:b/>
          <w:sz w:val="15"/>
          <w:szCs w:val="15"/>
        </w:rPr>
        <w:t>Table 13- Cross-sectional Analyses of Earnings Management – Before vs. After SOX</w:t>
      </w:r>
    </w:p>
    <w:p w14:paraId="36235E30" w14:textId="0D16B3FF" w:rsidR="003273BD" w:rsidRPr="00245E91" w:rsidRDefault="00EE4A1C" w:rsidP="003273BD">
      <w:pPr>
        <w:spacing w:after="0" w:line="240" w:lineRule="auto"/>
        <w:rPr>
          <w:rFonts w:ascii="Times New Roman" w:hAnsi="Times New Roman"/>
          <w:sz w:val="15"/>
          <w:szCs w:val="15"/>
        </w:rPr>
      </w:pPr>
      <w:r w:rsidRPr="00245E91">
        <w:rPr>
          <w:rFonts w:ascii="Times New Roman" w:hAnsi="Times New Roman"/>
          <w:sz w:val="15"/>
          <w:szCs w:val="15"/>
        </w:rPr>
        <w:t xml:space="preserve">The sample includes MLPs and all Non-MLP firms in the same industry in the same year. </w:t>
      </w:r>
      <w:r w:rsidR="003273BD" w:rsidRPr="00245E91">
        <w:rPr>
          <w:rFonts w:ascii="Times New Roman" w:hAnsi="Times New Roman"/>
          <w:sz w:val="15"/>
          <w:szCs w:val="15"/>
        </w:rPr>
        <w:t xml:space="preserve">The dependent variables are RM1, RM2 and DA, alternatively. RM1 is the sum of RDISX and RPROD. RM2 is the sum of RDISX, RPROD and RCFO. RDISX is the abnormal discretionary expenditure. RPROD is the abnormal production costs. RCFO is the abnormal cash flow. DA is the discretionary accrual. MLP is the dummy variable for MLP firms. LN(Assets) is the natural log of total assets. MKTSHARE is the ratio of firm sales to total sales of all firms in the same industry. DEBT is the ratio of debt-to-assets. NOA is net operating assets and is calculated as total assets minus cash and short-term investment scaled by total assets. OPERCYCLE is the days of receivable plus the days of inventory less the days of payable at the beginning of the year. ROA is net income to total assets ratio. MKBK is the market-to-book ratio of equity. LIQUIDITY is the average of the ratio of monthly trading volume to shares outstanding in the year. STOCKISSUE is the ratio of the amount of sales of common stock and preferred stock in the year to the market capitalization of the firm. DEBISSUE is the ratio of the amount of long-term debt issuance to the firm’s assets. BIG8 is the dummy variable for firms with auditors in the top 8. TENURE is the number of years the auditor has audited the client. INSTOWN is the percentage of institutional ownership at the beginning of year. NUMANALYST is the number of analysts following the firm. RESID_RM1 and RESID_RM2 are the residuals from Models 4 and 5. *, **, and *** indicate the significance levels of 10%, 5% and 1%, respectively. </w:t>
      </w:r>
    </w:p>
    <w:tbl>
      <w:tblPr>
        <w:tblW w:w="5000" w:type="pct"/>
        <w:tblLook w:val="04A0" w:firstRow="1" w:lastRow="0" w:firstColumn="1" w:lastColumn="0" w:noHBand="0" w:noVBand="1"/>
      </w:tblPr>
      <w:tblGrid>
        <w:gridCol w:w="1769"/>
        <w:gridCol w:w="1400"/>
        <w:gridCol w:w="1400"/>
        <w:gridCol w:w="1400"/>
        <w:gridCol w:w="1402"/>
        <w:gridCol w:w="1400"/>
        <w:gridCol w:w="1400"/>
        <w:gridCol w:w="1400"/>
        <w:gridCol w:w="1389"/>
      </w:tblGrid>
      <w:tr w:rsidR="003273BD" w:rsidRPr="00245E91" w14:paraId="63F98E22" w14:textId="77777777" w:rsidTr="00D83DD8">
        <w:trPr>
          <w:trHeight w:val="144"/>
        </w:trPr>
        <w:tc>
          <w:tcPr>
            <w:tcW w:w="683" w:type="pct"/>
            <w:tcBorders>
              <w:top w:val="single" w:sz="4" w:space="0" w:color="auto"/>
              <w:left w:val="nil"/>
              <w:right w:val="nil"/>
            </w:tcBorders>
            <w:shd w:val="clear" w:color="auto" w:fill="auto"/>
            <w:noWrap/>
            <w:vAlign w:val="bottom"/>
            <w:hideMark/>
          </w:tcPr>
          <w:p w14:paraId="4606BF5D" w14:textId="77777777" w:rsidR="003273BD" w:rsidRPr="00245E91" w:rsidRDefault="003273BD" w:rsidP="003273BD">
            <w:pPr>
              <w:spacing w:after="0" w:line="240" w:lineRule="auto"/>
              <w:contextualSpacing/>
              <w:rPr>
                <w:rFonts w:ascii="Times New Roman" w:eastAsia="Times New Roman" w:hAnsi="Times New Roman"/>
                <w:b/>
                <w:i/>
                <w:sz w:val="15"/>
                <w:szCs w:val="15"/>
              </w:rPr>
            </w:pPr>
          </w:p>
        </w:tc>
        <w:tc>
          <w:tcPr>
            <w:tcW w:w="2160" w:type="pct"/>
            <w:gridSpan w:val="4"/>
            <w:tcBorders>
              <w:top w:val="single" w:sz="4" w:space="0" w:color="auto"/>
              <w:left w:val="nil"/>
              <w:right w:val="single" w:sz="4" w:space="0" w:color="auto"/>
            </w:tcBorders>
            <w:shd w:val="clear" w:color="auto" w:fill="auto"/>
            <w:noWrap/>
            <w:vAlign w:val="bottom"/>
            <w:hideMark/>
          </w:tcPr>
          <w:p w14:paraId="0BE82ADE" w14:textId="77777777" w:rsidR="003273BD" w:rsidRPr="00245E91" w:rsidRDefault="003273BD" w:rsidP="00F7612D">
            <w:pPr>
              <w:spacing w:after="0" w:line="240" w:lineRule="auto"/>
              <w:contextualSpacing/>
              <w:jc w:val="center"/>
              <w:rPr>
                <w:rFonts w:ascii="Times New Roman" w:eastAsia="Times New Roman" w:hAnsi="Times New Roman"/>
                <w:color w:val="000000"/>
                <w:sz w:val="15"/>
                <w:szCs w:val="15"/>
              </w:rPr>
            </w:pPr>
            <w:r w:rsidRPr="00245E91">
              <w:rPr>
                <w:rFonts w:ascii="Times New Roman" w:eastAsia="Times New Roman" w:hAnsi="Times New Roman"/>
                <w:b/>
                <w:i/>
                <w:color w:val="000000"/>
                <w:sz w:val="15"/>
                <w:szCs w:val="15"/>
              </w:rPr>
              <w:t>Panel A – Before SOX</w:t>
            </w:r>
          </w:p>
        </w:tc>
        <w:tc>
          <w:tcPr>
            <w:tcW w:w="2157" w:type="pct"/>
            <w:gridSpan w:val="4"/>
            <w:tcBorders>
              <w:top w:val="single" w:sz="4" w:space="0" w:color="auto"/>
              <w:left w:val="single" w:sz="4" w:space="0" w:color="auto"/>
              <w:bottom w:val="nil"/>
              <w:right w:val="nil"/>
            </w:tcBorders>
            <w:shd w:val="clear" w:color="auto" w:fill="auto"/>
            <w:noWrap/>
            <w:vAlign w:val="bottom"/>
            <w:hideMark/>
          </w:tcPr>
          <w:p w14:paraId="64C13ACC" w14:textId="77777777" w:rsidR="003273BD" w:rsidRPr="00245E91" w:rsidRDefault="003273BD" w:rsidP="00F7612D">
            <w:pPr>
              <w:spacing w:after="0" w:line="240" w:lineRule="auto"/>
              <w:contextualSpacing/>
              <w:jc w:val="center"/>
              <w:rPr>
                <w:rFonts w:ascii="Times New Roman" w:eastAsia="Times New Roman" w:hAnsi="Times New Roman"/>
                <w:color w:val="000000"/>
                <w:sz w:val="15"/>
                <w:szCs w:val="15"/>
              </w:rPr>
            </w:pPr>
            <w:r w:rsidRPr="00245E91">
              <w:rPr>
                <w:rFonts w:ascii="Times New Roman" w:eastAsia="Times New Roman" w:hAnsi="Times New Roman"/>
                <w:b/>
                <w:i/>
                <w:color w:val="000000"/>
                <w:sz w:val="15"/>
                <w:szCs w:val="15"/>
              </w:rPr>
              <w:t>Panel B – After SOX</w:t>
            </w:r>
          </w:p>
        </w:tc>
      </w:tr>
      <w:tr w:rsidR="003273BD" w:rsidRPr="00245E91" w14:paraId="12C9032A" w14:textId="77777777" w:rsidTr="00D83DD8">
        <w:trPr>
          <w:trHeight w:val="144"/>
        </w:trPr>
        <w:tc>
          <w:tcPr>
            <w:tcW w:w="683" w:type="pct"/>
            <w:tcBorders>
              <w:top w:val="nil"/>
              <w:left w:val="nil"/>
              <w:bottom w:val="single" w:sz="4" w:space="0" w:color="auto"/>
              <w:right w:val="nil"/>
            </w:tcBorders>
            <w:shd w:val="clear" w:color="auto" w:fill="auto"/>
            <w:noWrap/>
            <w:vAlign w:val="bottom"/>
            <w:hideMark/>
          </w:tcPr>
          <w:p w14:paraId="77CE8903"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Variables</w:t>
            </w:r>
          </w:p>
        </w:tc>
        <w:tc>
          <w:tcPr>
            <w:tcW w:w="540" w:type="pct"/>
            <w:tcBorders>
              <w:top w:val="nil"/>
              <w:left w:val="nil"/>
              <w:bottom w:val="single" w:sz="4" w:space="0" w:color="auto"/>
              <w:right w:val="nil"/>
            </w:tcBorders>
            <w:shd w:val="clear" w:color="auto" w:fill="auto"/>
            <w:noWrap/>
            <w:vAlign w:val="bottom"/>
            <w:hideMark/>
          </w:tcPr>
          <w:p w14:paraId="496B300D"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1 – RM1</w:t>
            </w:r>
          </w:p>
        </w:tc>
        <w:tc>
          <w:tcPr>
            <w:tcW w:w="540" w:type="pct"/>
            <w:tcBorders>
              <w:top w:val="nil"/>
              <w:left w:val="nil"/>
              <w:bottom w:val="single" w:sz="4" w:space="0" w:color="auto"/>
              <w:right w:val="nil"/>
            </w:tcBorders>
            <w:shd w:val="clear" w:color="auto" w:fill="auto"/>
            <w:noWrap/>
            <w:vAlign w:val="bottom"/>
            <w:hideMark/>
          </w:tcPr>
          <w:p w14:paraId="301F3538"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2 – RM2</w:t>
            </w:r>
          </w:p>
        </w:tc>
        <w:tc>
          <w:tcPr>
            <w:tcW w:w="540" w:type="pct"/>
            <w:tcBorders>
              <w:top w:val="nil"/>
              <w:left w:val="nil"/>
              <w:bottom w:val="single" w:sz="4" w:space="0" w:color="auto"/>
              <w:right w:val="nil"/>
            </w:tcBorders>
            <w:shd w:val="clear" w:color="auto" w:fill="auto"/>
            <w:noWrap/>
            <w:vAlign w:val="bottom"/>
            <w:hideMark/>
          </w:tcPr>
          <w:p w14:paraId="38497EA9"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3 – DA</w:t>
            </w:r>
          </w:p>
        </w:tc>
        <w:tc>
          <w:tcPr>
            <w:tcW w:w="541" w:type="pct"/>
            <w:tcBorders>
              <w:top w:val="nil"/>
              <w:left w:val="nil"/>
              <w:bottom w:val="single" w:sz="4" w:space="0" w:color="auto"/>
              <w:right w:val="single" w:sz="4" w:space="0" w:color="auto"/>
            </w:tcBorders>
            <w:shd w:val="clear" w:color="auto" w:fill="auto"/>
            <w:noWrap/>
            <w:vAlign w:val="bottom"/>
            <w:hideMark/>
          </w:tcPr>
          <w:p w14:paraId="768CE0A6"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4 – DA</w:t>
            </w:r>
          </w:p>
        </w:tc>
        <w:tc>
          <w:tcPr>
            <w:tcW w:w="540" w:type="pct"/>
            <w:tcBorders>
              <w:top w:val="nil"/>
              <w:left w:val="single" w:sz="4" w:space="0" w:color="auto"/>
              <w:bottom w:val="single" w:sz="4" w:space="0" w:color="auto"/>
              <w:right w:val="nil"/>
            </w:tcBorders>
            <w:shd w:val="clear" w:color="auto" w:fill="auto"/>
            <w:noWrap/>
            <w:vAlign w:val="bottom"/>
            <w:hideMark/>
          </w:tcPr>
          <w:p w14:paraId="1593368B"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1 – RM1</w:t>
            </w:r>
          </w:p>
        </w:tc>
        <w:tc>
          <w:tcPr>
            <w:tcW w:w="540" w:type="pct"/>
            <w:tcBorders>
              <w:top w:val="nil"/>
              <w:left w:val="nil"/>
              <w:bottom w:val="single" w:sz="4" w:space="0" w:color="auto"/>
              <w:right w:val="nil"/>
            </w:tcBorders>
            <w:shd w:val="clear" w:color="auto" w:fill="auto"/>
            <w:noWrap/>
            <w:vAlign w:val="bottom"/>
            <w:hideMark/>
          </w:tcPr>
          <w:p w14:paraId="4BA03E40"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2 – RM2</w:t>
            </w:r>
          </w:p>
        </w:tc>
        <w:tc>
          <w:tcPr>
            <w:tcW w:w="540" w:type="pct"/>
            <w:tcBorders>
              <w:top w:val="nil"/>
              <w:left w:val="nil"/>
              <w:bottom w:val="single" w:sz="4" w:space="0" w:color="auto"/>
              <w:right w:val="nil"/>
            </w:tcBorders>
            <w:shd w:val="clear" w:color="auto" w:fill="auto"/>
            <w:noWrap/>
            <w:vAlign w:val="bottom"/>
            <w:hideMark/>
          </w:tcPr>
          <w:p w14:paraId="5D80E93A"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3 – DA</w:t>
            </w:r>
          </w:p>
        </w:tc>
        <w:tc>
          <w:tcPr>
            <w:tcW w:w="538" w:type="pct"/>
            <w:tcBorders>
              <w:top w:val="nil"/>
              <w:left w:val="nil"/>
              <w:bottom w:val="single" w:sz="4" w:space="0" w:color="auto"/>
              <w:right w:val="nil"/>
            </w:tcBorders>
            <w:shd w:val="clear" w:color="auto" w:fill="auto"/>
            <w:noWrap/>
            <w:vAlign w:val="bottom"/>
            <w:hideMark/>
          </w:tcPr>
          <w:p w14:paraId="358036F4" w14:textId="77777777" w:rsidR="003273BD" w:rsidRPr="00245E91" w:rsidRDefault="003273BD" w:rsidP="003273BD">
            <w:pPr>
              <w:spacing w:after="0" w:line="240" w:lineRule="auto"/>
              <w:contextualSpacing/>
              <w:rPr>
                <w:rFonts w:ascii="Times New Roman" w:eastAsia="Times New Roman" w:hAnsi="Times New Roman"/>
                <w:b/>
                <w:i/>
                <w:color w:val="000000"/>
                <w:sz w:val="15"/>
                <w:szCs w:val="15"/>
              </w:rPr>
            </w:pPr>
            <w:r w:rsidRPr="00245E91">
              <w:rPr>
                <w:rFonts w:ascii="Times New Roman" w:eastAsia="Times New Roman" w:hAnsi="Times New Roman"/>
                <w:b/>
                <w:i/>
                <w:color w:val="000000"/>
                <w:sz w:val="15"/>
                <w:szCs w:val="15"/>
              </w:rPr>
              <w:t>Model 4 – DA</w:t>
            </w:r>
          </w:p>
        </w:tc>
      </w:tr>
      <w:tr w:rsidR="003273BD" w:rsidRPr="00245E91" w14:paraId="7AEED6EC" w14:textId="77777777" w:rsidTr="00D83DD8">
        <w:trPr>
          <w:trHeight w:val="144"/>
        </w:trPr>
        <w:tc>
          <w:tcPr>
            <w:tcW w:w="683" w:type="pct"/>
            <w:tcBorders>
              <w:top w:val="nil"/>
              <w:left w:val="nil"/>
              <w:bottom w:val="nil"/>
              <w:right w:val="nil"/>
            </w:tcBorders>
            <w:shd w:val="clear" w:color="auto" w:fill="auto"/>
            <w:noWrap/>
            <w:vAlign w:val="bottom"/>
            <w:hideMark/>
          </w:tcPr>
          <w:p w14:paraId="448B118A" w14:textId="77777777" w:rsidR="003273BD" w:rsidRPr="00245E91" w:rsidRDefault="003273BD" w:rsidP="003273BD">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Constant</w:t>
            </w:r>
          </w:p>
        </w:tc>
        <w:tc>
          <w:tcPr>
            <w:tcW w:w="540" w:type="pct"/>
            <w:tcBorders>
              <w:top w:val="nil"/>
              <w:left w:val="nil"/>
              <w:bottom w:val="nil"/>
              <w:right w:val="nil"/>
            </w:tcBorders>
            <w:shd w:val="clear" w:color="auto" w:fill="auto"/>
            <w:noWrap/>
            <w:vAlign w:val="bottom"/>
            <w:hideMark/>
          </w:tcPr>
          <w:p w14:paraId="262CA63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-0.206</w:t>
            </w:r>
          </w:p>
        </w:tc>
        <w:tc>
          <w:tcPr>
            <w:tcW w:w="540" w:type="pct"/>
            <w:tcBorders>
              <w:top w:val="nil"/>
              <w:left w:val="nil"/>
              <w:bottom w:val="nil"/>
              <w:right w:val="nil"/>
            </w:tcBorders>
            <w:shd w:val="clear" w:color="auto" w:fill="auto"/>
            <w:noWrap/>
            <w:vAlign w:val="bottom"/>
            <w:hideMark/>
          </w:tcPr>
          <w:p w14:paraId="19F13F9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-0.091</w:t>
            </w:r>
          </w:p>
        </w:tc>
        <w:tc>
          <w:tcPr>
            <w:tcW w:w="540" w:type="pct"/>
            <w:tcBorders>
              <w:top w:val="nil"/>
              <w:left w:val="nil"/>
              <w:bottom w:val="nil"/>
              <w:right w:val="nil"/>
            </w:tcBorders>
            <w:shd w:val="clear" w:color="auto" w:fill="auto"/>
            <w:noWrap/>
            <w:vAlign w:val="bottom"/>
            <w:hideMark/>
          </w:tcPr>
          <w:p w14:paraId="5721FCE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0.099</w:t>
            </w:r>
          </w:p>
        </w:tc>
        <w:tc>
          <w:tcPr>
            <w:tcW w:w="541" w:type="pct"/>
            <w:tcBorders>
              <w:top w:val="nil"/>
              <w:left w:val="nil"/>
              <w:bottom w:val="nil"/>
              <w:right w:val="single" w:sz="4" w:space="0" w:color="auto"/>
            </w:tcBorders>
            <w:shd w:val="clear" w:color="auto" w:fill="auto"/>
            <w:noWrap/>
            <w:vAlign w:val="bottom"/>
            <w:hideMark/>
          </w:tcPr>
          <w:p w14:paraId="4DF0948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0.103</w:t>
            </w:r>
          </w:p>
        </w:tc>
        <w:tc>
          <w:tcPr>
            <w:tcW w:w="540" w:type="pct"/>
            <w:tcBorders>
              <w:top w:val="nil"/>
              <w:left w:val="single" w:sz="4" w:space="0" w:color="auto"/>
              <w:bottom w:val="nil"/>
              <w:right w:val="nil"/>
            </w:tcBorders>
            <w:shd w:val="clear" w:color="auto" w:fill="auto"/>
            <w:noWrap/>
            <w:vAlign w:val="bottom"/>
            <w:hideMark/>
          </w:tcPr>
          <w:p w14:paraId="217E814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-0.051</w:t>
            </w:r>
          </w:p>
        </w:tc>
        <w:tc>
          <w:tcPr>
            <w:tcW w:w="540" w:type="pct"/>
            <w:tcBorders>
              <w:top w:val="nil"/>
              <w:left w:val="nil"/>
              <w:bottom w:val="nil"/>
              <w:right w:val="nil"/>
            </w:tcBorders>
            <w:shd w:val="clear" w:color="auto" w:fill="auto"/>
            <w:noWrap/>
            <w:vAlign w:val="bottom"/>
            <w:hideMark/>
          </w:tcPr>
          <w:p w14:paraId="0D32DEF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0.019</w:t>
            </w:r>
          </w:p>
        </w:tc>
        <w:tc>
          <w:tcPr>
            <w:tcW w:w="540" w:type="pct"/>
            <w:tcBorders>
              <w:top w:val="nil"/>
              <w:left w:val="nil"/>
              <w:bottom w:val="nil"/>
              <w:right w:val="nil"/>
            </w:tcBorders>
            <w:shd w:val="clear" w:color="auto" w:fill="auto"/>
            <w:noWrap/>
            <w:vAlign w:val="bottom"/>
            <w:hideMark/>
          </w:tcPr>
          <w:p w14:paraId="73A0262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0.130</w:t>
            </w:r>
          </w:p>
        </w:tc>
        <w:tc>
          <w:tcPr>
            <w:tcW w:w="538" w:type="pct"/>
            <w:tcBorders>
              <w:top w:val="nil"/>
              <w:left w:val="nil"/>
              <w:bottom w:val="nil"/>
              <w:right w:val="nil"/>
            </w:tcBorders>
            <w:shd w:val="clear" w:color="auto" w:fill="auto"/>
            <w:noWrap/>
            <w:vAlign w:val="bottom"/>
            <w:hideMark/>
          </w:tcPr>
          <w:p w14:paraId="61E3CAF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0.136</w:t>
            </w:r>
          </w:p>
        </w:tc>
      </w:tr>
      <w:tr w:rsidR="003273BD" w:rsidRPr="00245E91" w14:paraId="0D49EF98" w14:textId="77777777" w:rsidTr="00D83DD8">
        <w:trPr>
          <w:trHeight w:val="144"/>
        </w:trPr>
        <w:tc>
          <w:tcPr>
            <w:tcW w:w="683" w:type="pct"/>
            <w:tcBorders>
              <w:top w:val="nil"/>
              <w:left w:val="nil"/>
              <w:bottom w:val="nil"/>
              <w:right w:val="nil"/>
            </w:tcBorders>
            <w:shd w:val="clear" w:color="auto" w:fill="auto"/>
            <w:noWrap/>
            <w:vAlign w:val="bottom"/>
            <w:hideMark/>
          </w:tcPr>
          <w:p w14:paraId="37B81079" w14:textId="77777777" w:rsidR="003273BD" w:rsidRPr="00245E91" w:rsidRDefault="003273BD" w:rsidP="003273BD">
            <w:pPr>
              <w:spacing w:after="0" w:line="240" w:lineRule="auto"/>
              <w:contextualSpacing/>
              <w:rPr>
                <w:rFonts w:ascii="Times New Roman" w:eastAsia="Times New Roman" w:hAnsi="Times New Roman"/>
                <w:color w:val="000000"/>
                <w:sz w:val="15"/>
                <w:szCs w:val="15"/>
              </w:rPr>
            </w:pPr>
          </w:p>
        </w:tc>
        <w:tc>
          <w:tcPr>
            <w:tcW w:w="540" w:type="pct"/>
            <w:tcBorders>
              <w:top w:val="nil"/>
              <w:left w:val="nil"/>
              <w:bottom w:val="nil"/>
              <w:right w:val="nil"/>
            </w:tcBorders>
            <w:shd w:val="clear" w:color="auto" w:fill="auto"/>
            <w:noWrap/>
            <w:vAlign w:val="bottom"/>
            <w:hideMark/>
          </w:tcPr>
          <w:p w14:paraId="2B5CCBC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(-2.63***)</w:t>
            </w:r>
          </w:p>
        </w:tc>
        <w:tc>
          <w:tcPr>
            <w:tcW w:w="540" w:type="pct"/>
            <w:tcBorders>
              <w:top w:val="nil"/>
              <w:left w:val="nil"/>
              <w:bottom w:val="nil"/>
              <w:right w:val="nil"/>
            </w:tcBorders>
            <w:shd w:val="clear" w:color="auto" w:fill="auto"/>
            <w:noWrap/>
            <w:vAlign w:val="bottom"/>
            <w:hideMark/>
          </w:tcPr>
          <w:p w14:paraId="220322C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(-0.99)</w:t>
            </w:r>
          </w:p>
        </w:tc>
        <w:tc>
          <w:tcPr>
            <w:tcW w:w="540" w:type="pct"/>
            <w:tcBorders>
              <w:top w:val="nil"/>
              <w:left w:val="nil"/>
              <w:bottom w:val="nil"/>
              <w:right w:val="nil"/>
            </w:tcBorders>
            <w:shd w:val="clear" w:color="auto" w:fill="auto"/>
            <w:noWrap/>
            <w:vAlign w:val="bottom"/>
            <w:hideMark/>
          </w:tcPr>
          <w:p w14:paraId="6D5A2C0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(2.40**)</w:t>
            </w:r>
          </w:p>
        </w:tc>
        <w:tc>
          <w:tcPr>
            <w:tcW w:w="541" w:type="pct"/>
            <w:tcBorders>
              <w:top w:val="nil"/>
              <w:left w:val="nil"/>
              <w:bottom w:val="nil"/>
              <w:right w:val="single" w:sz="4" w:space="0" w:color="auto"/>
            </w:tcBorders>
            <w:shd w:val="clear" w:color="auto" w:fill="auto"/>
            <w:noWrap/>
            <w:vAlign w:val="bottom"/>
            <w:hideMark/>
          </w:tcPr>
          <w:p w14:paraId="3758969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(2.61***)</w:t>
            </w:r>
          </w:p>
        </w:tc>
        <w:tc>
          <w:tcPr>
            <w:tcW w:w="540" w:type="pct"/>
            <w:tcBorders>
              <w:top w:val="nil"/>
              <w:left w:val="single" w:sz="4" w:space="0" w:color="auto"/>
              <w:bottom w:val="nil"/>
              <w:right w:val="nil"/>
            </w:tcBorders>
            <w:shd w:val="clear" w:color="auto" w:fill="auto"/>
            <w:noWrap/>
            <w:vAlign w:val="bottom"/>
            <w:hideMark/>
          </w:tcPr>
          <w:p w14:paraId="5C95C43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(-0.71)</w:t>
            </w:r>
          </w:p>
        </w:tc>
        <w:tc>
          <w:tcPr>
            <w:tcW w:w="540" w:type="pct"/>
            <w:tcBorders>
              <w:top w:val="nil"/>
              <w:left w:val="nil"/>
              <w:bottom w:val="nil"/>
              <w:right w:val="nil"/>
            </w:tcBorders>
            <w:shd w:val="clear" w:color="auto" w:fill="auto"/>
            <w:noWrap/>
            <w:vAlign w:val="bottom"/>
            <w:hideMark/>
          </w:tcPr>
          <w:p w14:paraId="789670D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(0.25)</w:t>
            </w:r>
          </w:p>
        </w:tc>
        <w:tc>
          <w:tcPr>
            <w:tcW w:w="540" w:type="pct"/>
            <w:tcBorders>
              <w:top w:val="nil"/>
              <w:left w:val="nil"/>
              <w:bottom w:val="nil"/>
              <w:right w:val="nil"/>
            </w:tcBorders>
            <w:shd w:val="clear" w:color="auto" w:fill="auto"/>
            <w:noWrap/>
            <w:vAlign w:val="bottom"/>
            <w:hideMark/>
          </w:tcPr>
          <w:p w14:paraId="3E74AF2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(3.33***)</w:t>
            </w:r>
          </w:p>
        </w:tc>
        <w:tc>
          <w:tcPr>
            <w:tcW w:w="538" w:type="pct"/>
            <w:tcBorders>
              <w:top w:val="nil"/>
              <w:left w:val="nil"/>
              <w:bottom w:val="nil"/>
              <w:right w:val="nil"/>
            </w:tcBorders>
            <w:shd w:val="clear" w:color="auto" w:fill="auto"/>
            <w:noWrap/>
            <w:vAlign w:val="bottom"/>
            <w:hideMark/>
          </w:tcPr>
          <w:p w14:paraId="1D70D93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(3.40***)</w:t>
            </w:r>
          </w:p>
        </w:tc>
      </w:tr>
      <w:tr w:rsidR="003273BD" w:rsidRPr="00245E91" w14:paraId="60DCA045" w14:textId="77777777" w:rsidTr="00D83DD8">
        <w:trPr>
          <w:trHeight w:val="144"/>
        </w:trPr>
        <w:tc>
          <w:tcPr>
            <w:tcW w:w="683" w:type="pct"/>
            <w:tcBorders>
              <w:top w:val="nil"/>
              <w:left w:val="nil"/>
              <w:bottom w:val="nil"/>
              <w:right w:val="nil"/>
            </w:tcBorders>
            <w:shd w:val="clear" w:color="auto" w:fill="auto"/>
            <w:noWrap/>
            <w:vAlign w:val="bottom"/>
            <w:hideMark/>
          </w:tcPr>
          <w:p w14:paraId="6879612C"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MLP</w:t>
            </w:r>
          </w:p>
        </w:tc>
        <w:tc>
          <w:tcPr>
            <w:tcW w:w="540" w:type="pct"/>
            <w:tcBorders>
              <w:top w:val="nil"/>
              <w:left w:val="nil"/>
              <w:bottom w:val="nil"/>
              <w:right w:val="nil"/>
            </w:tcBorders>
            <w:shd w:val="clear" w:color="auto" w:fill="auto"/>
            <w:noWrap/>
            <w:vAlign w:val="bottom"/>
            <w:hideMark/>
          </w:tcPr>
          <w:p w14:paraId="1391D5B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0.268</w:t>
            </w:r>
          </w:p>
        </w:tc>
        <w:tc>
          <w:tcPr>
            <w:tcW w:w="540" w:type="pct"/>
            <w:tcBorders>
              <w:top w:val="nil"/>
              <w:left w:val="nil"/>
              <w:bottom w:val="nil"/>
              <w:right w:val="nil"/>
            </w:tcBorders>
            <w:shd w:val="clear" w:color="auto" w:fill="auto"/>
            <w:noWrap/>
            <w:vAlign w:val="bottom"/>
            <w:hideMark/>
          </w:tcPr>
          <w:p w14:paraId="5CC0833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0.214</w:t>
            </w:r>
          </w:p>
        </w:tc>
        <w:tc>
          <w:tcPr>
            <w:tcW w:w="540" w:type="pct"/>
            <w:tcBorders>
              <w:top w:val="nil"/>
              <w:left w:val="nil"/>
              <w:bottom w:val="nil"/>
              <w:right w:val="nil"/>
            </w:tcBorders>
            <w:shd w:val="clear" w:color="auto" w:fill="auto"/>
            <w:noWrap/>
            <w:vAlign w:val="bottom"/>
            <w:hideMark/>
          </w:tcPr>
          <w:p w14:paraId="607644C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0.006</w:t>
            </w:r>
          </w:p>
        </w:tc>
        <w:tc>
          <w:tcPr>
            <w:tcW w:w="541" w:type="pct"/>
            <w:tcBorders>
              <w:top w:val="nil"/>
              <w:left w:val="nil"/>
              <w:bottom w:val="nil"/>
              <w:right w:val="single" w:sz="4" w:space="0" w:color="auto"/>
            </w:tcBorders>
            <w:shd w:val="clear" w:color="auto" w:fill="auto"/>
            <w:noWrap/>
            <w:vAlign w:val="bottom"/>
            <w:hideMark/>
          </w:tcPr>
          <w:p w14:paraId="343A16F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-0.007</w:t>
            </w:r>
          </w:p>
        </w:tc>
        <w:tc>
          <w:tcPr>
            <w:tcW w:w="540" w:type="pct"/>
            <w:tcBorders>
              <w:top w:val="nil"/>
              <w:left w:val="single" w:sz="4" w:space="0" w:color="auto"/>
              <w:bottom w:val="nil"/>
              <w:right w:val="nil"/>
            </w:tcBorders>
            <w:shd w:val="clear" w:color="auto" w:fill="auto"/>
            <w:noWrap/>
            <w:vAlign w:val="bottom"/>
            <w:hideMark/>
          </w:tcPr>
          <w:p w14:paraId="338F8E7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0.176</w:t>
            </w:r>
          </w:p>
        </w:tc>
        <w:tc>
          <w:tcPr>
            <w:tcW w:w="540" w:type="pct"/>
            <w:tcBorders>
              <w:top w:val="nil"/>
              <w:left w:val="nil"/>
              <w:bottom w:val="nil"/>
              <w:right w:val="nil"/>
            </w:tcBorders>
            <w:shd w:val="clear" w:color="auto" w:fill="auto"/>
            <w:noWrap/>
            <w:vAlign w:val="bottom"/>
            <w:hideMark/>
          </w:tcPr>
          <w:p w14:paraId="255966C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0.172</w:t>
            </w:r>
          </w:p>
        </w:tc>
        <w:tc>
          <w:tcPr>
            <w:tcW w:w="540" w:type="pct"/>
            <w:tcBorders>
              <w:top w:val="nil"/>
              <w:left w:val="nil"/>
              <w:bottom w:val="nil"/>
              <w:right w:val="nil"/>
            </w:tcBorders>
            <w:shd w:val="clear" w:color="auto" w:fill="auto"/>
            <w:noWrap/>
            <w:vAlign w:val="bottom"/>
            <w:hideMark/>
          </w:tcPr>
          <w:p w14:paraId="71C91B0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-0.032</w:t>
            </w:r>
          </w:p>
        </w:tc>
        <w:tc>
          <w:tcPr>
            <w:tcW w:w="538" w:type="pct"/>
            <w:tcBorders>
              <w:top w:val="nil"/>
              <w:left w:val="nil"/>
              <w:bottom w:val="nil"/>
              <w:right w:val="nil"/>
            </w:tcBorders>
            <w:shd w:val="clear" w:color="auto" w:fill="auto"/>
            <w:noWrap/>
            <w:vAlign w:val="bottom"/>
            <w:hideMark/>
          </w:tcPr>
          <w:p w14:paraId="4B1E34C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-0.035</w:t>
            </w:r>
          </w:p>
        </w:tc>
      </w:tr>
      <w:tr w:rsidR="003273BD" w:rsidRPr="00245E91" w14:paraId="5396B812" w14:textId="77777777" w:rsidTr="00D83DD8">
        <w:trPr>
          <w:trHeight w:val="144"/>
        </w:trPr>
        <w:tc>
          <w:tcPr>
            <w:tcW w:w="683" w:type="pct"/>
            <w:tcBorders>
              <w:top w:val="nil"/>
              <w:left w:val="nil"/>
              <w:bottom w:val="nil"/>
              <w:right w:val="nil"/>
            </w:tcBorders>
            <w:shd w:val="clear" w:color="auto" w:fill="auto"/>
            <w:noWrap/>
            <w:vAlign w:val="bottom"/>
            <w:hideMark/>
          </w:tcPr>
          <w:p w14:paraId="0AFD6451"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40" w:type="pct"/>
            <w:tcBorders>
              <w:top w:val="nil"/>
              <w:left w:val="nil"/>
              <w:bottom w:val="nil"/>
              <w:right w:val="nil"/>
            </w:tcBorders>
            <w:shd w:val="clear" w:color="auto" w:fill="auto"/>
            <w:noWrap/>
            <w:vAlign w:val="bottom"/>
            <w:hideMark/>
          </w:tcPr>
          <w:p w14:paraId="35FE247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(5.67***)</w:t>
            </w:r>
          </w:p>
        </w:tc>
        <w:tc>
          <w:tcPr>
            <w:tcW w:w="540" w:type="pct"/>
            <w:tcBorders>
              <w:top w:val="nil"/>
              <w:left w:val="nil"/>
              <w:bottom w:val="nil"/>
              <w:right w:val="nil"/>
            </w:tcBorders>
            <w:shd w:val="clear" w:color="auto" w:fill="auto"/>
            <w:noWrap/>
            <w:vAlign w:val="bottom"/>
            <w:hideMark/>
          </w:tcPr>
          <w:p w14:paraId="71C97CB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(4.23***)</w:t>
            </w:r>
          </w:p>
        </w:tc>
        <w:tc>
          <w:tcPr>
            <w:tcW w:w="540" w:type="pct"/>
            <w:tcBorders>
              <w:top w:val="nil"/>
              <w:left w:val="nil"/>
              <w:bottom w:val="nil"/>
              <w:right w:val="nil"/>
            </w:tcBorders>
            <w:shd w:val="clear" w:color="auto" w:fill="auto"/>
            <w:noWrap/>
            <w:vAlign w:val="bottom"/>
            <w:hideMark/>
          </w:tcPr>
          <w:p w14:paraId="59C234A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(0.28)</w:t>
            </w:r>
          </w:p>
        </w:tc>
        <w:tc>
          <w:tcPr>
            <w:tcW w:w="541" w:type="pct"/>
            <w:tcBorders>
              <w:top w:val="nil"/>
              <w:left w:val="nil"/>
              <w:bottom w:val="nil"/>
              <w:right w:val="single" w:sz="4" w:space="0" w:color="auto"/>
            </w:tcBorders>
            <w:shd w:val="clear" w:color="auto" w:fill="auto"/>
            <w:noWrap/>
            <w:vAlign w:val="bottom"/>
            <w:hideMark/>
          </w:tcPr>
          <w:p w14:paraId="0A6A98C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(-0.28)</w:t>
            </w:r>
          </w:p>
        </w:tc>
        <w:tc>
          <w:tcPr>
            <w:tcW w:w="540" w:type="pct"/>
            <w:tcBorders>
              <w:top w:val="nil"/>
              <w:left w:val="single" w:sz="4" w:space="0" w:color="auto"/>
              <w:bottom w:val="nil"/>
              <w:right w:val="nil"/>
            </w:tcBorders>
            <w:shd w:val="clear" w:color="auto" w:fill="auto"/>
            <w:noWrap/>
            <w:vAlign w:val="bottom"/>
            <w:hideMark/>
          </w:tcPr>
          <w:p w14:paraId="3672CC6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(3.77***)</w:t>
            </w:r>
          </w:p>
        </w:tc>
        <w:tc>
          <w:tcPr>
            <w:tcW w:w="540" w:type="pct"/>
            <w:tcBorders>
              <w:top w:val="nil"/>
              <w:left w:val="nil"/>
              <w:bottom w:val="nil"/>
              <w:right w:val="nil"/>
            </w:tcBorders>
            <w:shd w:val="clear" w:color="auto" w:fill="auto"/>
            <w:noWrap/>
            <w:vAlign w:val="bottom"/>
            <w:hideMark/>
          </w:tcPr>
          <w:p w14:paraId="6D1940C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(3.95***)</w:t>
            </w:r>
          </w:p>
        </w:tc>
        <w:tc>
          <w:tcPr>
            <w:tcW w:w="540" w:type="pct"/>
            <w:tcBorders>
              <w:top w:val="nil"/>
              <w:left w:val="nil"/>
              <w:bottom w:val="nil"/>
              <w:right w:val="nil"/>
            </w:tcBorders>
            <w:shd w:val="clear" w:color="auto" w:fill="auto"/>
            <w:noWrap/>
            <w:vAlign w:val="bottom"/>
            <w:hideMark/>
          </w:tcPr>
          <w:p w14:paraId="7CD7ABB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(-1.36)</w:t>
            </w:r>
          </w:p>
        </w:tc>
        <w:tc>
          <w:tcPr>
            <w:tcW w:w="538" w:type="pct"/>
            <w:tcBorders>
              <w:top w:val="nil"/>
              <w:left w:val="nil"/>
              <w:bottom w:val="nil"/>
              <w:right w:val="nil"/>
            </w:tcBorders>
            <w:shd w:val="clear" w:color="auto" w:fill="auto"/>
            <w:noWrap/>
            <w:vAlign w:val="bottom"/>
            <w:hideMark/>
          </w:tcPr>
          <w:p w14:paraId="78E3BB5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(-1.50)</w:t>
            </w:r>
          </w:p>
        </w:tc>
      </w:tr>
      <w:tr w:rsidR="003273BD" w:rsidRPr="00245E91" w14:paraId="41B3FEB6" w14:textId="77777777" w:rsidTr="00D83DD8">
        <w:trPr>
          <w:trHeight w:val="144"/>
        </w:trPr>
        <w:tc>
          <w:tcPr>
            <w:tcW w:w="683" w:type="pct"/>
            <w:tcBorders>
              <w:top w:val="nil"/>
              <w:left w:val="nil"/>
              <w:bottom w:val="nil"/>
              <w:right w:val="nil"/>
            </w:tcBorders>
            <w:shd w:val="clear" w:color="auto" w:fill="auto"/>
            <w:noWrap/>
            <w:vAlign w:val="bottom"/>
            <w:hideMark/>
          </w:tcPr>
          <w:p w14:paraId="58205EAF"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LN(Assets)</w:t>
            </w:r>
          </w:p>
        </w:tc>
        <w:tc>
          <w:tcPr>
            <w:tcW w:w="540" w:type="pct"/>
            <w:tcBorders>
              <w:top w:val="nil"/>
              <w:left w:val="nil"/>
              <w:bottom w:val="nil"/>
              <w:right w:val="nil"/>
            </w:tcBorders>
            <w:shd w:val="clear" w:color="auto" w:fill="auto"/>
            <w:noWrap/>
            <w:vAlign w:val="bottom"/>
            <w:hideMark/>
          </w:tcPr>
          <w:p w14:paraId="6CDD38B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0.055</w:t>
            </w:r>
          </w:p>
        </w:tc>
        <w:tc>
          <w:tcPr>
            <w:tcW w:w="540" w:type="pct"/>
            <w:tcBorders>
              <w:top w:val="nil"/>
              <w:left w:val="nil"/>
              <w:bottom w:val="nil"/>
              <w:right w:val="nil"/>
            </w:tcBorders>
            <w:shd w:val="clear" w:color="auto" w:fill="auto"/>
            <w:noWrap/>
            <w:vAlign w:val="bottom"/>
            <w:hideMark/>
          </w:tcPr>
          <w:p w14:paraId="7DD68A5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0.052</w:t>
            </w:r>
          </w:p>
        </w:tc>
        <w:tc>
          <w:tcPr>
            <w:tcW w:w="540" w:type="pct"/>
            <w:tcBorders>
              <w:top w:val="nil"/>
              <w:left w:val="nil"/>
              <w:bottom w:val="nil"/>
              <w:right w:val="nil"/>
            </w:tcBorders>
            <w:shd w:val="clear" w:color="auto" w:fill="auto"/>
            <w:noWrap/>
            <w:vAlign w:val="bottom"/>
            <w:hideMark/>
          </w:tcPr>
          <w:p w14:paraId="2A862A2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-0.056</w:t>
            </w:r>
          </w:p>
        </w:tc>
        <w:tc>
          <w:tcPr>
            <w:tcW w:w="541" w:type="pct"/>
            <w:tcBorders>
              <w:top w:val="nil"/>
              <w:left w:val="nil"/>
              <w:bottom w:val="nil"/>
              <w:right w:val="single" w:sz="4" w:space="0" w:color="auto"/>
            </w:tcBorders>
            <w:shd w:val="clear" w:color="auto" w:fill="auto"/>
            <w:noWrap/>
            <w:vAlign w:val="bottom"/>
            <w:hideMark/>
          </w:tcPr>
          <w:p w14:paraId="780C38C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-0.058</w:t>
            </w:r>
          </w:p>
        </w:tc>
        <w:tc>
          <w:tcPr>
            <w:tcW w:w="540" w:type="pct"/>
            <w:tcBorders>
              <w:top w:val="nil"/>
              <w:left w:val="single" w:sz="4" w:space="0" w:color="auto"/>
              <w:bottom w:val="nil"/>
              <w:right w:val="nil"/>
            </w:tcBorders>
            <w:shd w:val="clear" w:color="auto" w:fill="auto"/>
            <w:noWrap/>
            <w:vAlign w:val="bottom"/>
            <w:hideMark/>
          </w:tcPr>
          <w:p w14:paraId="07EB8BA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0.077</w:t>
            </w:r>
          </w:p>
        </w:tc>
        <w:tc>
          <w:tcPr>
            <w:tcW w:w="540" w:type="pct"/>
            <w:tcBorders>
              <w:top w:val="nil"/>
              <w:left w:val="nil"/>
              <w:bottom w:val="nil"/>
              <w:right w:val="nil"/>
            </w:tcBorders>
            <w:shd w:val="clear" w:color="auto" w:fill="auto"/>
            <w:noWrap/>
            <w:vAlign w:val="bottom"/>
            <w:hideMark/>
          </w:tcPr>
          <w:p w14:paraId="725A541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0.041</w:t>
            </w:r>
          </w:p>
        </w:tc>
        <w:tc>
          <w:tcPr>
            <w:tcW w:w="540" w:type="pct"/>
            <w:tcBorders>
              <w:top w:val="nil"/>
              <w:left w:val="nil"/>
              <w:bottom w:val="nil"/>
              <w:right w:val="nil"/>
            </w:tcBorders>
            <w:shd w:val="clear" w:color="auto" w:fill="auto"/>
            <w:noWrap/>
            <w:vAlign w:val="bottom"/>
            <w:hideMark/>
          </w:tcPr>
          <w:p w14:paraId="0E5829C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-0.070</w:t>
            </w:r>
          </w:p>
        </w:tc>
        <w:tc>
          <w:tcPr>
            <w:tcW w:w="538" w:type="pct"/>
            <w:tcBorders>
              <w:top w:val="nil"/>
              <w:left w:val="nil"/>
              <w:bottom w:val="nil"/>
              <w:right w:val="nil"/>
            </w:tcBorders>
            <w:shd w:val="clear" w:color="auto" w:fill="auto"/>
            <w:noWrap/>
            <w:vAlign w:val="bottom"/>
            <w:hideMark/>
          </w:tcPr>
          <w:p w14:paraId="67479F3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-0.067</w:t>
            </w:r>
          </w:p>
        </w:tc>
      </w:tr>
      <w:tr w:rsidR="003273BD" w:rsidRPr="00245E91" w14:paraId="6F43511A" w14:textId="77777777" w:rsidTr="00D83DD8">
        <w:trPr>
          <w:trHeight w:val="144"/>
        </w:trPr>
        <w:tc>
          <w:tcPr>
            <w:tcW w:w="683" w:type="pct"/>
            <w:tcBorders>
              <w:top w:val="nil"/>
              <w:left w:val="nil"/>
              <w:bottom w:val="nil"/>
              <w:right w:val="nil"/>
            </w:tcBorders>
            <w:shd w:val="clear" w:color="auto" w:fill="auto"/>
            <w:noWrap/>
            <w:vAlign w:val="bottom"/>
            <w:hideMark/>
          </w:tcPr>
          <w:p w14:paraId="313F5E04"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40" w:type="pct"/>
            <w:tcBorders>
              <w:top w:val="nil"/>
              <w:left w:val="nil"/>
              <w:bottom w:val="nil"/>
              <w:right w:val="nil"/>
            </w:tcBorders>
            <w:shd w:val="clear" w:color="auto" w:fill="auto"/>
            <w:noWrap/>
            <w:vAlign w:val="bottom"/>
            <w:hideMark/>
          </w:tcPr>
          <w:p w14:paraId="6706876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(0.97)</w:t>
            </w:r>
          </w:p>
        </w:tc>
        <w:tc>
          <w:tcPr>
            <w:tcW w:w="540" w:type="pct"/>
            <w:tcBorders>
              <w:top w:val="nil"/>
              <w:left w:val="nil"/>
              <w:bottom w:val="nil"/>
              <w:right w:val="nil"/>
            </w:tcBorders>
            <w:shd w:val="clear" w:color="auto" w:fill="auto"/>
            <w:noWrap/>
            <w:vAlign w:val="bottom"/>
            <w:hideMark/>
          </w:tcPr>
          <w:p w14:paraId="0084A2D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(0.95)</w:t>
            </w:r>
          </w:p>
        </w:tc>
        <w:tc>
          <w:tcPr>
            <w:tcW w:w="540" w:type="pct"/>
            <w:tcBorders>
              <w:top w:val="nil"/>
              <w:left w:val="nil"/>
              <w:bottom w:val="nil"/>
              <w:right w:val="nil"/>
            </w:tcBorders>
            <w:shd w:val="clear" w:color="auto" w:fill="auto"/>
            <w:noWrap/>
            <w:vAlign w:val="bottom"/>
            <w:hideMark/>
          </w:tcPr>
          <w:p w14:paraId="7B676BE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(-1.61)</w:t>
            </w:r>
          </w:p>
        </w:tc>
        <w:tc>
          <w:tcPr>
            <w:tcW w:w="541" w:type="pct"/>
            <w:tcBorders>
              <w:top w:val="nil"/>
              <w:left w:val="nil"/>
              <w:bottom w:val="nil"/>
              <w:right w:val="single" w:sz="4" w:space="0" w:color="auto"/>
            </w:tcBorders>
            <w:shd w:val="clear" w:color="auto" w:fill="auto"/>
            <w:noWrap/>
            <w:vAlign w:val="bottom"/>
            <w:hideMark/>
          </w:tcPr>
          <w:p w14:paraId="49A2F19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(-1.72*)</w:t>
            </w:r>
          </w:p>
        </w:tc>
        <w:tc>
          <w:tcPr>
            <w:tcW w:w="540" w:type="pct"/>
            <w:tcBorders>
              <w:top w:val="nil"/>
              <w:left w:val="single" w:sz="4" w:space="0" w:color="auto"/>
              <w:bottom w:val="nil"/>
              <w:right w:val="nil"/>
            </w:tcBorders>
            <w:shd w:val="clear" w:color="auto" w:fill="auto"/>
            <w:noWrap/>
            <w:vAlign w:val="bottom"/>
            <w:hideMark/>
          </w:tcPr>
          <w:p w14:paraId="0B1B9C5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(1.83*)</w:t>
            </w:r>
          </w:p>
        </w:tc>
        <w:tc>
          <w:tcPr>
            <w:tcW w:w="540" w:type="pct"/>
            <w:tcBorders>
              <w:top w:val="nil"/>
              <w:left w:val="nil"/>
              <w:bottom w:val="nil"/>
              <w:right w:val="nil"/>
            </w:tcBorders>
            <w:shd w:val="clear" w:color="auto" w:fill="auto"/>
            <w:noWrap/>
            <w:vAlign w:val="bottom"/>
            <w:hideMark/>
          </w:tcPr>
          <w:p w14:paraId="3D4A08C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(0.98)</w:t>
            </w:r>
          </w:p>
        </w:tc>
        <w:tc>
          <w:tcPr>
            <w:tcW w:w="540" w:type="pct"/>
            <w:tcBorders>
              <w:top w:val="nil"/>
              <w:left w:val="nil"/>
              <w:bottom w:val="nil"/>
              <w:right w:val="nil"/>
            </w:tcBorders>
            <w:shd w:val="clear" w:color="auto" w:fill="auto"/>
            <w:noWrap/>
            <w:vAlign w:val="bottom"/>
            <w:hideMark/>
          </w:tcPr>
          <w:p w14:paraId="5C3EA8B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(-2.35**)</w:t>
            </w:r>
          </w:p>
        </w:tc>
        <w:tc>
          <w:tcPr>
            <w:tcW w:w="538" w:type="pct"/>
            <w:tcBorders>
              <w:top w:val="nil"/>
              <w:left w:val="nil"/>
              <w:bottom w:val="nil"/>
              <w:right w:val="nil"/>
            </w:tcBorders>
            <w:shd w:val="clear" w:color="auto" w:fill="auto"/>
            <w:noWrap/>
            <w:vAlign w:val="bottom"/>
            <w:hideMark/>
          </w:tcPr>
          <w:p w14:paraId="6ADB045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(-2.28**)</w:t>
            </w:r>
          </w:p>
        </w:tc>
      </w:tr>
      <w:tr w:rsidR="003273BD" w:rsidRPr="00245E91" w14:paraId="4C3F09A4" w14:textId="77777777" w:rsidTr="00D83DD8">
        <w:trPr>
          <w:trHeight w:val="144"/>
        </w:trPr>
        <w:tc>
          <w:tcPr>
            <w:tcW w:w="683" w:type="pct"/>
            <w:tcBorders>
              <w:top w:val="nil"/>
              <w:left w:val="nil"/>
              <w:bottom w:val="nil"/>
              <w:right w:val="nil"/>
            </w:tcBorders>
            <w:shd w:val="clear" w:color="auto" w:fill="auto"/>
            <w:noWrap/>
            <w:vAlign w:val="bottom"/>
            <w:hideMark/>
          </w:tcPr>
          <w:p w14:paraId="048B5340"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MKTSHARE</w:t>
            </w:r>
          </w:p>
        </w:tc>
        <w:tc>
          <w:tcPr>
            <w:tcW w:w="540" w:type="pct"/>
            <w:tcBorders>
              <w:top w:val="nil"/>
              <w:left w:val="nil"/>
              <w:bottom w:val="nil"/>
              <w:right w:val="nil"/>
            </w:tcBorders>
            <w:shd w:val="clear" w:color="auto" w:fill="auto"/>
            <w:noWrap/>
            <w:vAlign w:val="bottom"/>
            <w:hideMark/>
          </w:tcPr>
          <w:p w14:paraId="70057B0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0.037</w:t>
            </w:r>
          </w:p>
        </w:tc>
        <w:tc>
          <w:tcPr>
            <w:tcW w:w="540" w:type="pct"/>
            <w:tcBorders>
              <w:top w:val="nil"/>
              <w:left w:val="nil"/>
              <w:bottom w:val="nil"/>
              <w:right w:val="nil"/>
            </w:tcBorders>
            <w:shd w:val="clear" w:color="auto" w:fill="auto"/>
            <w:noWrap/>
            <w:vAlign w:val="bottom"/>
            <w:hideMark/>
          </w:tcPr>
          <w:p w14:paraId="1D4D2E3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0.056</w:t>
            </w:r>
          </w:p>
        </w:tc>
        <w:tc>
          <w:tcPr>
            <w:tcW w:w="540" w:type="pct"/>
            <w:tcBorders>
              <w:top w:val="nil"/>
              <w:left w:val="nil"/>
              <w:bottom w:val="nil"/>
              <w:right w:val="nil"/>
            </w:tcBorders>
            <w:shd w:val="clear" w:color="auto" w:fill="auto"/>
            <w:noWrap/>
            <w:vAlign w:val="bottom"/>
            <w:hideMark/>
          </w:tcPr>
          <w:p w14:paraId="34F2748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-0.015</w:t>
            </w:r>
          </w:p>
        </w:tc>
        <w:tc>
          <w:tcPr>
            <w:tcW w:w="541" w:type="pct"/>
            <w:tcBorders>
              <w:top w:val="nil"/>
              <w:left w:val="nil"/>
              <w:bottom w:val="nil"/>
              <w:right w:val="single" w:sz="4" w:space="0" w:color="auto"/>
            </w:tcBorders>
            <w:shd w:val="clear" w:color="auto" w:fill="auto"/>
            <w:noWrap/>
            <w:vAlign w:val="bottom"/>
            <w:hideMark/>
          </w:tcPr>
          <w:p w14:paraId="546C5D1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-0.011</w:t>
            </w:r>
          </w:p>
        </w:tc>
        <w:tc>
          <w:tcPr>
            <w:tcW w:w="540" w:type="pct"/>
            <w:tcBorders>
              <w:top w:val="nil"/>
              <w:left w:val="single" w:sz="4" w:space="0" w:color="auto"/>
              <w:bottom w:val="nil"/>
              <w:right w:val="nil"/>
            </w:tcBorders>
            <w:shd w:val="clear" w:color="auto" w:fill="auto"/>
            <w:noWrap/>
            <w:vAlign w:val="bottom"/>
            <w:hideMark/>
          </w:tcPr>
          <w:p w14:paraId="5C3D231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0.090</w:t>
            </w:r>
          </w:p>
        </w:tc>
        <w:tc>
          <w:tcPr>
            <w:tcW w:w="540" w:type="pct"/>
            <w:tcBorders>
              <w:top w:val="nil"/>
              <w:left w:val="nil"/>
              <w:bottom w:val="nil"/>
              <w:right w:val="nil"/>
            </w:tcBorders>
            <w:shd w:val="clear" w:color="auto" w:fill="auto"/>
            <w:noWrap/>
            <w:vAlign w:val="bottom"/>
            <w:hideMark/>
          </w:tcPr>
          <w:p w14:paraId="3077DF0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0.094</w:t>
            </w:r>
          </w:p>
        </w:tc>
        <w:tc>
          <w:tcPr>
            <w:tcW w:w="540" w:type="pct"/>
            <w:tcBorders>
              <w:top w:val="nil"/>
              <w:left w:val="nil"/>
              <w:bottom w:val="nil"/>
              <w:right w:val="nil"/>
            </w:tcBorders>
            <w:shd w:val="clear" w:color="auto" w:fill="auto"/>
            <w:noWrap/>
            <w:vAlign w:val="bottom"/>
            <w:hideMark/>
          </w:tcPr>
          <w:p w14:paraId="01B3054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0.034</w:t>
            </w:r>
          </w:p>
        </w:tc>
        <w:tc>
          <w:tcPr>
            <w:tcW w:w="538" w:type="pct"/>
            <w:tcBorders>
              <w:top w:val="nil"/>
              <w:left w:val="nil"/>
              <w:bottom w:val="nil"/>
              <w:right w:val="nil"/>
            </w:tcBorders>
            <w:shd w:val="clear" w:color="auto" w:fill="auto"/>
            <w:noWrap/>
            <w:vAlign w:val="bottom"/>
            <w:hideMark/>
          </w:tcPr>
          <w:p w14:paraId="4BDF2FF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0.036</w:t>
            </w:r>
          </w:p>
        </w:tc>
      </w:tr>
      <w:tr w:rsidR="003273BD" w:rsidRPr="00245E91" w14:paraId="07997F82" w14:textId="77777777" w:rsidTr="00D83DD8">
        <w:trPr>
          <w:trHeight w:val="144"/>
        </w:trPr>
        <w:tc>
          <w:tcPr>
            <w:tcW w:w="683" w:type="pct"/>
            <w:tcBorders>
              <w:top w:val="nil"/>
              <w:left w:val="nil"/>
              <w:bottom w:val="nil"/>
              <w:right w:val="nil"/>
            </w:tcBorders>
            <w:shd w:val="clear" w:color="auto" w:fill="auto"/>
            <w:noWrap/>
            <w:vAlign w:val="bottom"/>
            <w:hideMark/>
          </w:tcPr>
          <w:p w14:paraId="2961C84C"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40" w:type="pct"/>
            <w:tcBorders>
              <w:top w:val="nil"/>
              <w:left w:val="nil"/>
              <w:bottom w:val="nil"/>
              <w:right w:val="nil"/>
            </w:tcBorders>
            <w:shd w:val="clear" w:color="auto" w:fill="auto"/>
            <w:noWrap/>
            <w:vAlign w:val="bottom"/>
            <w:hideMark/>
          </w:tcPr>
          <w:p w14:paraId="274DDEC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(0.98)</w:t>
            </w:r>
          </w:p>
        </w:tc>
        <w:tc>
          <w:tcPr>
            <w:tcW w:w="540" w:type="pct"/>
            <w:tcBorders>
              <w:top w:val="nil"/>
              <w:left w:val="nil"/>
              <w:bottom w:val="nil"/>
              <w:right w:val="nil"/>
            </w:tcBorders>
            <w:shd w:val="clear" w:color="auto" w:fill="auto"/>
            <w:noWrap/>
            <w:vAlign w:val="bottom"/>
            <w:hideMark/>
          </w:tcPr>
          <w:p w14:paraId="716869F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(1.85*)</w:t>
            </w:r>
          </w:p>
        </w:tc>
        <w:tc>
          <w:tcPr>
            <w:tcW w:w="540" w:type="pct"/>
            <w:tcBorders>
              <w:top w:val="nil"/>
              <w:left w:val="nil"/>
              <w:bottom w:val="nil"/>
              <w:right w:val="nil"/>
            </w:tcBorders>
            <w:shd w:val="clear" w:color="auto" w:fill="auto"/>
            <w:noWrap/>
            <w:vAlign w:val="bottom"/>
            <w:hideMark/>
          </w:tcPr>
          <w:p w14:paraId="4DB5CAE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(-1.11)</w:t>
            </w:r>
          </w:p>
        </w:tc>
        <w:tc>
          <w:tcPr>
            <w:tcW w:w="541" w:type="pct"/>
            <w:tcBorders>
              <w:top w:val="nil"/>
              <w:left w:val="nil"/>
              <w:bottom w:val="nil"/>
              <w:right w:val="single" w:sz="4" w:space="0" w:color="auto"/>
            </w:tcBorders>
            <w:shd w:val="clear" w:color="auto" w:fill="auto"/>
            <w:noWrap/>
            <w:vAlign w:val="bottom"/>
            <w:hideMark/>
          </w:tcPr>
          <w:p w14:paraId="5235ACC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(-0.73)</w:t>
            </w:r>
          </w:p>
        </w:tc>
        <w:tc>
          <w:tcPr>
            <w:tcW w:w="540" w:type="pct"/>
            <w:tcBorders>
              <w:top w:val="nil"/>
              <w:left w:val="single" w:sz="4" w:space="0" w:color="auto"/>
              <w:bottom w:val="nil"/>
              <w:right w:val="nil"/>
            </w:tcBorders>
            <w:shd w:val="clear" w:color="auto" w:fill="auto"/>
            <w:noWrap/>
            <w:vAlign w:val="bottom"/>
            <w:hideMark/>
          </w:tcPr>
          <w:p w14:paraId="703306B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(1.91*)</w:t>
            </w:r>
          </w:p>
        </w:tc>
        <w:tc>
          <w:tcPr>
            <w:tcW w:w="540" w:type="pct"/>
            <w:tcBorders>
              <w:top w:val="nil"/>
              <w:left w:val="nil"/>
              <w:bottom w:val="nil"/>
              <w:right w:val="nil"/>
            </w:tcBorders>
            <w:shd w:val="clear" w:color="auto" w:fill="auto"/>
            <w:noWrap/>
            <w:vAlign w:val="bottom"/>
            <w:hideMark/>
          </w:tcPr>
          <w:p w14:paraId="709691C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(2.10**)</w:t>
            </w:r>
          </w:p>
        </w:tc>
        <w:tc>
          <w:tcPr>
            <w:tcW w:w="540" w:type="pct"/>
            <w:tcBorders>
              <w:top w:val="nil"/>
              <w:left w:val="nil"/>
              <w:bottom w:val="nil"/>
              <w:right w:val="nil"/>
            </w:tcBorders>
            <w:shd w:val="clear" w:color="auto" w:fill="auto"/>
            <w:noWrap/>
            <w:vAlign w:val="bottom"/>
            <w:hideMark/>
          </w:tcPr>
          <w:p w14:paraId="5B6412C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(0.90)</w:t>
            </w:r>
          </w:p>
        </w:tc>
        <w:tc>
          <w:tcPr>
            <w:tcW w:w="538" w:type="pct"/>
            <w:tcBorders>
              <w:top w:val="nil"/>
              <w:left w:val="nil"/>
              <w:bottom w:val="nil"/>
              <w:right w:val="nil"/>
            </w:tcBorders>
            <w:shd w:val="clear" w:color="auto" w:fill="auto"/>
            <w:noWrap/>
            <w:vAlign w:val="bottom"/>
            <w:hideMark/>
          </w:tcPr>
          <w:p w14:paraId="29323EA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(0.93)</w:t>
            </w:r>
          </w:p>
        </w:tc>
      </w:tr>
      <w:tr w:rsidR="003273BD" w:rsidRPr="00245E91" w14:paraId="2C5A401D" w14:textId="77777777" w:rsidTr="00D83DD8">
        <w:trPr>
          <w:trHeight w:val="144"/>
        </w:trPr>
        <w:tc>
          <w:tcPr>
            <w:tcW w:w="683" w:type="pct"/>
            <w:tcBorders>
              <w:top w:val="nil"/>
              <w:left w:val="nil"/>
              <w:bottom w:val="nil"/>
              <w:right w:val="nil"/>
            </w:tcBorders>
            <w:shd w:val="clear" w:color="auto" w:fill="auto"/>
            <w:noWrap/>
            <w:vAlign w:val="bottom"/>
            <w:hideMark/>
          </w:tcPr>
          <w:p w14:paraId="26BD499D"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DEBT</w:t>
            </w:r>
          </w:p>
        </w:tc>
        <w:tc>
          <w:tcPr>
            <w:tcW w:w="540" w:type="pct"/>
            <w:tcBorders>
              <w:top w:val="nil"/>
              <w:left w:val="nil"/>
              <w:bottom w:val="nil"/>
              <w:right w:val="nil"/>
            </w:tcBorders>
            <w:shd w:val="clear" w:color="auto" w:fill="auto"/>
            <w:noWrap/>
            <w:vAlign w:val="bottom"/>
            <w:hideMark/>
          </w:tcPr>
          <w:p w14:paraId="46BDC60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0.081</w:t>
            </w:r>
          </w:p>
        </w:tc>
        <w:tc>
          <w:tcPr>
            <w:tcW w:w="540" w:type="pct"/>
            <w:tcBorders>
              <w:top w:val="nil"/>
              <w:left w:val="nil"/>
              <w:bottom w:val="nil"/>
              <w:right w:val="nil"/>
            </w:tcBorders>
            <w:shd w:val="clear" w:color="auto" w:fill="auto"/>
            <w:noWrap/>
            <w:vAlign w:val="bottom"/>
            <w:hideMark/>
          </w:tcPr>
          <w:p w14:paraId="7962EB0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0.085</w:t>
            </w:r>
          </w:p>
        </w:tc>
        <w:tc>
          <w:tcPr>
            <w:tcW w:w="540" w:type="pct"/>
            <w:tcBorders>
              <w:top w:val="nil"/>
              <w:left w:val="nil"/>
              <w:bottom w:val="nil"/>
              <w:right w:val="nil"/>
            </w:tcBorders>
            <w:shd w:val="clear" w:color="auto" w:fill="auto"/>
            <w:noWrap/>
            <w:vAlign w:val="bottom"/>
            <w:hideMark/>
          </w:tcPr>
          <w:p w14:paraId="62DE9E3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-0.016</w:t>
            </w:r>
          </w:p>
        </w:tc>
        <w:tc>
          <w:tcPr>
            <w:tcW w:w="541" w:type="pct"/>
            <w:tcBorders>
              <w:top w:val="nil"/>
              <w:left w:val="nil"/>
              <w:bottom w:val="nil"/>
              <w:right w:val="single" w:sz="4" w:space="0" w:color="auto"/>
            </w:tcBorders>
            <w:shd w:val="clear" w:color="auto" w:fill="auto"/>
            <w:noWrap/>
            <w:vAlign w:val="bottom"/>
            <w:hideMark/>
          </w:tcPr>
          <w:p w14:paraId="116892C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-0.010</w:t>
            </w:r>
          </w:p>
        </w:tc>
        <w:tc>
          <w:tcPr>
            <w:tcW w:w="540" w:type="pct"/>
            <w:tcBorders>
              <w:top w:val="nil"/>
              <w:left w:val="single" w:sz="4" w:space="0" w:color="auto"/>
              <w:bottom w:val="nil"/>
              <w:right w:val="nil"/>
            </w:tcBorders>
            <w:shd w:val="clear" w:color="auto" w:fill="auto"/>
            <w:noWrap/>
            <w:vAlign w:val="bottom"/>
            <w:hideMark/>
          </w:tcPr>
          <w:p w14:paraId="73D48EB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0.118</w:t>
            </w:r>
          </w:p>
        </w:tc>
        <w:tc>
          <w:tcPr>
            <w:tcW w:w="540" w:type="pct"/>
            <w:tcBorders>
              <w:top w:val="nil"/>
              <w:left w:val="nil"/>
              <w:bottom w:val="nil"/>
              <w:right w:val="nil"/>
            </w:tcBorders>
            <w:shd w:val="clear" w:color="auto" w:fill="auto"/>
            <w:noWrap/>
            <w:vAlign w:val="bottom"/>
            <w:hideMark/>
          </w:tcPr>
          <w:p w14:paraId="3C75322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0.134</w:t>
            </w:r>
          </w:p>
        </w:tc>
        <w:tc>
          <w:tcPr>
            <w:tcW w:w="540" w:type="pct"/>
            <w:tcBorders>
              <w:top w:val="nil"/>
              <w:left w:val="nil"/>
              <w:bottom w:val="nil"/>
              <w:right w:val="nil"/>
            </w:tcBorders>
            <w:shd w:val="clear" w:color="auto" w:fill="auto"/>
            <w:noWrap/>
            <w:vAlign w:val="bottom"/>
            <w:hideMark/>
          </w:tcPr>
          <w:p w14:paraId="7711798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0.036</w:t>
            </w:r>
          </w:p>
        </w:tc>
        <w:tc>
          <w:tcPr>
            <w:tcW w:w="538" w:type="pct"/>
            <w:tcBorders>
              <w:top w:val="nil"/>
              <w:left w:val="nil"/>
              <w:bottom w:val="nil"/>
              <w:right w:val="nil"/>
            </w:tcBorders>
            <w:shd w:val="clear" w:color="auto" w:fill="auto"/>
            <w:noWrap/>
            <w:vAlign w:val="bottom"/>
            <w:hideMark/>
          </w:tcPr>
          <w:p w14:paraId="7470F45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0.035</w:t>
            </w:r>
          </w:p>
        </w:tc>
      </w:tr>
      <w:tr w:rsidR="003273BD" w:rsidRPr="00245E91" w14:paraId="498FB497" w14:textId="77777777" w:rsidTr="00D83DD8">
        <w:trPr>
          <w:trHeight w:val="144"/>
        </w:trPr>
        <w:tc>
          <w:tcPr>
            <w:tcW w:w="683" w:type="pct"/>
            <w:tcBorders>
              <w:top w:val="nil"/>
              <w:left w:val="nil"/>
              <w:bottom w:val="nil"/>
              <w:right w:val="nil"/>
            </w:tcBorders>
            <w:shd w:val="clear" w:color="auto" w:fill="auto"/>
            <w:noWrap/>
            <w:vAlign w:val="bottom"/>
            <w:hideMark/>
          </w:tcPr>
          <w:p w14:paraId="1D5A6D48"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40" w:type="pct"/>
            <w:tcBorders>
              <w:top w:val="nil"/>
              <w:left w:val="nil"/>
              <w:bottom w:val="nil"/>
              <w:right w:val="nil"/>
            </w:tcBorders>
            <w:shd w:val="clear" w:color="auto" w:fill="auto"/>
            <w:noWrap/>
            <w:vAlign w:val="bottom"/>
            <w:hideMark/>
          </w:tcPr>
          <w:p w14:paraId="311F275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(1.86*)</w:t>
            </w:r>
          </w:p>
        </w:tc>
        <w:tc>
          <w:tcPr>
            <w:tcW w:w="540" w:type="pct"/>
            <w:tcBorders>
              <w:top w:val="nil"/>
              <w:left w:val="nil"/>
              <w:bottom w:val="nil"/>
              <w:right w:val="nil"/>
            </w:tcBorders>
            <w:shd w:val="clear" w:color="auto" w:fill="auto"/>
            <w:noWrap/>
            <w:vAlign w:val="bottom"/>
            <w:hideMark/>
          </w:tcPr>
          <w:p w14:paraId="133519B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(1.98**)</w:t>
            </w:r>
          </w:p>
        </w:tc>
        <w:tc>
          <w:tcPr>
            <w:tcW w:w="540" w:type="pct"/>
            <w:tcBorders>
              <w:top w:val="nil"/>
              <w:left w:val="nil"/>
              <w:bottom w:val="nil"/>
              <w:right w:val="nil"/>
            </w:tcBorders>
            <w:shd w:val="clear" w:color="auto" w:fill="auto"/>
            <w:noWrap/>
            <w:vAlign w:val="bottom"/>
            <w:hideMark/>
          </w:tcPr>
          <w:p w14:paraId="772729A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(-0.50)</w:t>
            </w:r>
          </w:p>
        </w:tc>
        <w:tc>
          <w:tcPr>
            <w:tcW w:w="541" w:type="pct"/>
            <w:tcBorders>
              <w:top w:val="nil"/>
              <w:left w:val="nil"/>
              <w:bottom w:val="nil"/>
              <w:right w:val="single" w:sz="4" w:space="0" w:color="auto"/>
            </w:tcBorders>
            <w:shd w:val="clear" w:color="auto" w:fill="auto"/>
            <w:noWrap/>
            <w:vAlign w:val="bottom"/>
            <w:hideMark/>
          </w:tcPr>
          <w:p w14:paraId="347719F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(-0.31)</w:t>
            </w:r>
          </w:p>
        </w:tc>
        <w:tc>
          <w:tcPr>
            <w:tcW w:w="540" w:type="pct"/>
            <w:tcBorders>
              <w:top w:val="nil"/>
              <w:left w:val="single" w:sz="4" w:space="0" w:color="auto"/>
              <w:bottom w:val="nil"/>
              <w:right w:val="nil"/>
            </w:tcBorders>
            <w:shd w:val="clear" w:color="auto" w:fill="auto"/>
            <w:noWrap/>
            <w:vAlign w:val="bottom"/>
            <w:hideMark/>
          </w:tcPr>
          <w:p w14:paraId="582C925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(2.75***)</w:t>
            </w:r>
          </w:p>
        </w:tc>
        <w:tc>
          <w:tcPr>
            <w:tcW w:w="540" w:type="pct"/>
            <w:tcBorders>
              <w:top w:val="nil"/>
              <w:left w:val="nil"/>
              <w:bottom w:val="nil"/>
              <w:right w:val="nil"/>
            </w:tcBorders>
            <w:shd w:val="clear" w:color="auto" w:fill="auto"/>
            <w:noWrap/>
            <w:vAlign w:val="bottom"/>
            <w:hideMark/>
          </w:tcPr>
          <w:p w14:paraId="40F608F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(3.59***)</w:t>
            </w:r>
          </w:p>
        </w:tc>
        <w:tc>
          <w:tcPr>
            <w:tcW w:w="540" w:type="pct"/>
            <w:tcBorders>
              <w:top w:val="nil"/>
              <w:left w:val="nil"/>
              <w:bottom w:val="nil"/>
              <w:right w:val="nil"/>
            </w:tcBorders>
            <w:shd w:val="clear" w:color="auto" w:fill="auto"/>
            <w:noWrap/>
            <w:vAlign w:val="bottom"/>
            <w:hideMark/>
          </w:tcPr>
          <w:p w14:paraId="39C3AA6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(1.38)</w:t>
            </w:r>
          </w:p>
        </w:tc>
        <w:tc>
          <w:tcPr>
            <w:tcW w:w="538" w:type="pct"/>
            <w:tcBorders>
              <w:top w:val="nil"/>
              <w:left w:val="nil"/>
              <w:bottom w:val="nil"/>
              <w:right w:val="nil"/>
            </w:tcBorders>
            <w:shd w:val="clear" w:color="auto" w:fill="auto"/>
            <w:noWrap/>
            <w:vAlign w:val="bottom"/>
            <w:hideMark/>
          </w:tcPr>
          <w:p w14:paraId="226CF8C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(1.31)</w:t>
            </w:r>
          </w:p>
        </w:tc>
      </w:tr>
      <w:tr w:rsidR="003273BD" w:rsidRPr="00245E91" w14:paraId="0EE2476F" w14:textId="77777777" w:rsidTr="00D83DD8">
        <w:trPr>
          <w:trHeight w:val="144"/>
        </w:trPr>
        <w:tc>
          <w:tcPr>
            <w:tcW w:w="683" w:type="pct"/>
            <w:tcBorders>
              <w:top w:val="nil"/>
              <w:left w:val="nil"/>
              <w:bottom w:val="nil"/>
              <w:right w:val="nil"/>
            </w:tcBorders>
            <w:shd w:val="clear" w:color="auto" w:fill="auto"/>
            <w:noWrap/>
            <w:vAlign w:val="bottom"/>
            <w:hideMark/>
          </w:tcPr>
          <w:p w14:paraId="290FF2B4"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NOA</w:t>
            </w:r>
          </w:p>
        </w:tc>
        <w:tc>
          <w:tcPr>
            <w:tcW w:w="540" w:type="pct"/>
            <w:tcBorders>
              <w:top w:val="nil"/>
              <w:left w:val="nil"/>
              <w:bottom w:val="nil"/>
              <w:right w:val="nil"/>
            </w:tcBorders>
            <w:shd w:val="clear" w:color="auto" w:fill="auto"/>
            <w:noWrap/>
            <w:vAlign w:val="bottom"/>
            <w:hideMark/>
          </w:tcPr>
          <w:p w14:paraId="63DEA1C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0.078</w:t>
            </w:r>
          </w:p>
        </w:tc>
        <w:tc>
          <w:tcPr>
            <w:tcW w:w="540" w:type="pct"/>
            <w:tcBorders>
              <w:top w:val="nil"/>
              <w:left w:val="nil"/>
              <w:bottom w:val="nil"/>
              <w:right w:val="nil"/>
            </w:tcBorders>
            <w:shd w:val="clear" w:color="auto" w:fill="auto"/>
            <w:noWrap/>
            <w:vAlign w:val="bottom"/>
            <w:hideMark/>
          </w:tcPr>
          <w:p w14:paraId="6EF2417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0.019</w:t>
            </w:r>
          </w:p>
        </w:tc>
        <w:tc>
          <w:tcPr>
            <w:tcW w:w="540" w:type="pct"/>
            <w:tcBorders>
              <w:top w:val="nil"/>
              <w:left w:val="nil"/>
              <w:bottom w:val="nil"/>
              <w:right w:val="nil"/>
            </w:tcBorders>
            <w:shd w:val="clear" w:color="auto" w:fill="auto"/>
            <w:noWrap/>
            <w:vAlign w:val="bottom"/>
            <w:hideMark/>
          </w:tcPr>
          <w:p w14:paraId="5EC54B3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-0.050</w:t>
            </w:r>
          </w:p>
        </w:tc>
        <w:tc>
          <w:tcPr>
            <w:tcW w:w="541" w:type="pct"/>
            <w:tcBorders>
              <w:top w:val="nil"/>
              <w:left w:val="nil"/>
              <w:bottom w:val="nil"/>
              <w:right w:val="single" w:sz="4" w:space="0" w:color="auto"/>
            </w:tcBorders>
            <w:shd w:val="clear" w:color="auto" w:fill="auto"/>
            <w:noWrap/>
            <w:vAlign w:val="bottom"/>
            <w:hideMark/>
          </w:tcPr>
          <w:p w14:paraId="51E35B9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-0.055</w:t>
            </w:r>
          </w:p>
        </w:tc>
        <w:tc>
          <w:tcPr>
            <w:tcW w:w="540" w:type="pct"/>
            <w:tcBorders>
              <w:top w:val="nil"/>
              <w:left w:val="single" w:sz="4" w:space="0" w:color="auto"/>
              <w:bottom w:val="nil"/>
              <w:right w:val="nil"/>
            </w:tcBorders>
            <w:shd w:val="clear" w:color="auto" w:fill="auto"/>
            <w:noWrap/>
            <w:vAlign w:val="bottom"/>
            <w:hideMark/>
          </w:tcPr>
          <w:p w14:paraId="1A3E7FB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-0.015</w:t>
            </w:r>
          </w:p>
        </w:tc>
        <w:tc>
          <w:tcPr>
            <w:tcW w:w="540" w:type="pct"/>
            <w:tcBorders>
              <w:top w:val="nil"/>
              <w:left w:val="nil"/>
              <w:bottom w:val="nil"/>
              <w:right w:val="nil"/>
            </w:tcBorders>
            <w:shd w:val="clear" w:color="auto" w:fill="auto"/>
            <w:noWrap/>
            <w:vAlign w:val="bottom"/>
            <w:hideMark/>
          </w:tcPr>
          <w:p w14:paraId="6AB53AC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-0.046</w:t>
            </w:r>
          </w:p>
        </w:tc>
        <w:tc>
          <w:tcPr>
            <w:tcW w:w="540" w:type="pct"/>
            <w:tcBorders>
              <w:top w:val="nil"/>
              <w:left w:val="nil"/>
              <w:bottom w:val="nil"/>
              <w:right w:val="nil"/>
            </w:tcBorders>
            <w:shd w:val="clear" w:color="auto" w:fill="auto"/>
            <w:noWrap/>
            <w:vAlign w:val="bottom"/>
            <w:hideMark/>
          </w:tcPr>
          <w:p w14:paraId="459C0AA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-0.020</w:t>
            </w:r>
          </w:p>
        </w:tc>
        <w:tc>
          <w:tcPr>
            <w:tcW w:w="538" w:type="pct"/>
            <w:tcBorders>
              <w:top w:val="nil"/>
              <w:left w:val="nil"/>
              <w:bottom w:val="nil"/>
              <w:right w:val="nil"/>
            </w:tcBorders>
            <w:shd w:val="clear" w:color="auto" w:fill="auto"/>
            <w:noWrap/>
            <w:vAlign w:val="bottom"/>
            <w:hideMark/>
          </w:tcPr>
          <w:p w14:paraId="0E5285C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-0.024</w:t>
            </w:r>
          </w:p>
        </w:tc>
      </w:tr>
      <w:tr w:rsidR="003273BD" w:rsidRPr="00245E91" w14:paraId="439AC9B4" w14:textId="77777777" w:rsidTr="00D83DD8">
        <w:trPr>
          <w:trHeight w:val="144"/>
        </w:trPr>
        <w:tc>
          <w:tcPr>
            <w:tcW w:w="683" w:type="pct"/>
            <w:tcBorders>
              <w:top w:val="nil"/>
              <w:left w:val="nil"/>
              <w:bottom w:val="nil"/>
              <w:right w:val="nil"/>
            </w:tcBorders>
            <w:shd w:val="clear" w:color="auto" w:fill="auto"/>
            <w:noWrap/>
            <w:vAlign w:val="bottom"/>
            <w:hideMark/>
          </w:tcPr>
          <w:p w14:paraId="19DB2CA4"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40" w:type="pct"/>
            <w:tcBorders>
              <w:top w:val="nil"/>
              <w:left w:val="nil"/>
              <w:bottom w:val="nil"/>
              <w:right w:val="nil"/>
            </w:tcBorders>
            <w:shd w:val="clear" w:color="auto" w:fill="auto"/>
            <w:noWrap/>
            <w:vAlign w:val="bottom"/>
            <w:hideMark/>
          </w:tcPr>
          <w:p w14:paraId="084C55B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(1.88*)</w:t>
            </w:r>
          </w:p>
        </w:tc>
        <w:tc>
          <w:tcPr>
            <w:tcW w:w="540" w:type="pct"/>
            <w:tcBorders>
              <w:top w:val="nil"/>
              <w:left w:val="nil"/>
              <w:bottom w:val="nil"/>
              <w:right w:val="nil"/>
            </w:tcBorders>
            <w:shd w:val="clear" w:color="auto" w:fill="auto"/>
            <w:noWrap/>
            <w:vAlign w:val="bottom"/>
            <w:hideMark/>
          </w:tcPr>
          <w:p w14:paraId="7381018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(0.46)</w:t>
            </w:r>
          </w:p>
        </w:tc>
        <w:tc>
          <w:tcPr>
            <w:tcW w:w="540" w:type="pct"/>
            <w:tcBorders>
              <w:top w:val="nil"/>
              <w:left w:val="nil"/>
              <w:bottom w:val="nil"/>
              <w:right w:val="nil"/>
            </w:tcBorders>
            <w:shd w:val="clear" w:color="auto" w:fill="auto"/>
            <w:noWrap/>
            <w:vAlign w:val="bottom"/>
            <w:hideMark/>
          </w:tcPr>
          <w:p w14:paraId="372587A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(-1.71*)</w:t>
            </w:r>
          </w:p>
        </w:tc>
        <w:tc>
          <w:tcPr>
            <w:tcW w:w="541" w:type="pct"/>
            <w:tcBorders>
              <w:top w:val="nil"/>
              <w:left w:val="nil"/>
              <w:bottom w:val="nil"/>
              <w:right w:val="single" w:sz="4" w:space="0" w:color="auto"/>
            </w:tcBorders>
            <w:shd w:val="clear" w:color="auto" w:fill="auto"/>
            <w:noWrap/>
            <w:vAlign w:val="bottom"/>
            <w:hideMark/>
          </w:tcPr>
          <w:p w14:paraId="35D17D8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(-1.96*)</w:t>
            </w:r>
          </w:p>
        </w:tc>
        <w:tc>
          <w:tcPr>
            <w:tcW w:w="540" w:type="pct"/>
            <w:tcBorders>
              <w:top w:val="nil"/>
              <w:left w:val="single" w:sz="4" w:space="0" w:color="auto"/>
              <w:bottom w:val="nil"/>
              <w:right w:val="nil"/>
            </w:tcBorders>
            <w:shd w:val="clear" w:color="auto" w:fill="auto"/>
            <w:noWrap/>
            <w:vAlign w:val="bottom"/>
            <w:hideMark/>
          </w:tcPr>
          <w:p w14:paraId="40C8E9C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(-0.45)</w:t>
            </w:r>
          </w:p>
        </w:tc>
        <w:tc>
          <w:tcPr>
            <w:tcW w:w="540" w:type="pct"/>
            <w:tcBorders>
              <w:top w:val="nil"/>
              <w:left w:val="nil"/>
              <w:bottom w:val="nil"/>
              <w:right w:val="nil"/>
            </w:tcBorders>
            <w:shd w:val="clear" w:color="auto" w:fill="auto"/>
            <w:noWrap/>
            <w:vAlign w:val="bottom"/>
            <w:hideMark/>
          </w:tcPr>
          <w:p w14:paraId="76BC387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(-1.47)</w:t>
            </w:r>
          </w:p>
        </w:tc>
        <w:tc>
          <w:tcPr>
            <w:tcW w:w="540" w:type="pct"/>
            <w:tcBorders>
              <w:top w:val="nil"/>
              <w:left w:val="nil"/>
              <w:bottom w:val="nil"/>
              <w:right w:val="nil"/>
            </w:tcBorders>
            <w:shd w:val="clear" w:color="auto" w:fill="auto"/>
            <w:noWrap/>
            <w:vAlign w:val="bottom"/>
            <w:hideMark/>
          </w:tcPr>
          <w:p w14:paraId="2DCE7B7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(-0.96)</w:t>
            </w:r>
          </w:p>
        </w:tc>
        <w:tc>
          <w:tcPr>
            <w:tcW w:w="538" w:type="pct"/>
            <w:tcBorders>
              <w:top w:val="nil"/>
              <w:left w:val="nil"/>
              <w:bottom w:val="nil"/>
              <w:right w:val="nil"/>
            </w:tcBorders>
            <w:shd w:val="clear" w:color="auto" w:fill="auto"/>
            <w:noWrap/>
            <w:vAlign w:val="bottom"/>
            <w:hideMark/>
          </w:tcPr>
          <w:p w14:paraId="6563E02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(-1.11)</w:t>
            </w:r>
          </w:p>
        </w:tc>
      </w:tr>
      <w:tr w:rsidR="003273BD" w:rsidRPr="00245E91" w14:paraId="23F710CF" w14:textId="77777777" w:rsidTr="00D83DD8">
        <w:trPr>
          <w:trHeight w:val="144"/>
        </w:trPr>
        <w:tc>
          <w:tcPr>
            <w:tcW w:w="683" w:type="pct"/>
            <w:tcBorders>
              <w:top w:val="nil"/>
              <w:left w:val="nil"/>
              <w:bottom w:val="nil"/>
              <w:right w:val="nil"/>
            </w:tcBorders>
            <w:shd w:val="clear" w:color="auto" w:fill="auto"/>
            <w:noWrap/>
            <w:vAlign w:val="bottom"/>
            <w:hideMark/>
          </w:tcPr>
          <w:p w14:paraId="2438C533"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OPERCYCLE</w:t>
            </w:r>
          </w:p>
        </w:tc>
        <w:tc>
          <w:tcPr>
            <w:tcW w:w="540" w:type="pct"/>
            <w:tcBorders>
              <w:top w:val="nil"/>
              <w:left w:val="nil"/>
              <w:bottom w:val="nil"/>
              <w:right w:val="nil"/>
            </w:tcBorders>
            <w:shd w:val="clear" w:color="auto" w:fill="auto"/>
            <w:noWrap/>
            <w:vAlign w:val="bottom"/>
            <w:hideMark/>
          </w:tcPr>
          <w:p w14:paraId="30F201F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0.030</w:t>
            </w:r>
          </w:p>
        </w:tc>
        <w:tc>
          <w:tcPr>
            <w:tcW w:w="540" w:type="pct"/>
            <w:tcBorders>
              <w:top w:val="nil"/>
              <w:left w:val="nil"/>
              <w:bottom w:val="nil"/>
              <w:right w:val="nil"/>
            </w:tcBorders>
            <w:shd w:val="clear" w:color="auto" w:fill="auto"/>
            <w:noWrap/>
            <w:vAlign w:val="bottom"/>
            <w:hideMark/>
          </w:tcPr>
          <w:p w14:paraId="4F41D1F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0.039</w:t>
            </w:r>
          </w:p>
        </w:tc>
        <w:tc>
          <w:tcPr>
            <w:tcW w:w="540" w:type="pct"/>
            <w:tcBorders>
              <w:top w:val="nil"/>
              <w:left w:val="nil"/>
              <w:bottom w:val="nil"/>
              <w:right w:val="nil"/>
            </w:tcBorders>
            <w:shd w:val="clear" w:color="auto" w:fill="auto"/>
            <w:noWrap/>
            <w:vAlign w:val="bottom"/>
            <w:hideMark/>
          </w:tcPr>
          <w:p w14:paraId="2B20F94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0.022</w:t>
            </w:r>
          </w:p>
        </w:tc>
        <w:tc>
          <w:tcPr>
            <w:tcW w:w="541" w:type="pct"/>
            <w:tcBorders>
              <w:top w:val="nil"/>
              <w:left w:val="nil"/>
              <w:bottom w:val="nil"/>
              <w:right w:val="single" w:sz="4" w:space="0" w:color="auto"/>
            </w:tcBorders>
            <w:shd w:val="clear" w:color="auto" w:fill="auto"/>
            <w:noWrap/>
            <w:vAlign w:val="bottom"/>
            <w:hideMark/>
          </w:tcPr>
          <w:p w14:paraId="2B06E42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0.029</w:t>
            </w:r>
          </w:p>
        </w:tc>
        <w:tc>
          <w:tcPr>
            <w:tcW w:w="540" w:type="pct"/>
            <w:tcBorders>
              <w:top w:val="nil"/>
              <w:left w:val="single" w:sz="4" w:space="0" w:color="auto"/>
              <w:bottom w:val="nil"/>
              <w:right w:val="nil"/>
            </w:tcBorders>
            <w:shd w:val="clear" w:color="auto" w:fill="auto"/>
            <w:noWrap/>
            <w:vAlign w:val="bottom"/>
            <w:hideMark/>
          </w:tcPr>
          <w:p w14:paraId="426B156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0.080</w:t>
            </w:r>
          </w:p>
        </w:tc>
        <w:tc>
          <w:tcPr>
            <w:tcW w:w="540" w:type="pct"/>
            <w:tcBorders>
              <w:top w:val="nil"/>
              <w:left w:val="nil"/>
              <w:bottom w:val="nil"/>
              <w:right w:val="nil"/>
            </w:tcBorders>
            <w:shd w:val="clear" w:color="auto" w:fill="auto"/>
            <w:noWrap/>
            <w:vAlign w:val="bottom"/>
            <w:hideMark/>
          </w:tcPr>
          <w:p w14:paraId="21206EC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0.111</w:t>
            </w:r>
          </w:p>
        </w:tc>
        <w:tc>
          <w:tcPr>
            <w:tcW w:w="540" w:type="pct"/>
            <w:tcBorders>
              <w:top w:val="nil"/>
              <w:left w:val="nil"/>
              <w:bottom w:val="nil"/>
              <w:right w:val="nil"/>
            </w:tcBorders>
            <w:shd w:val="clear" w:color="auto" w:fill="auto"/>
            <w:noWrap/>
            <w:vAlign w:val="bottom"/>
            <w:hideMark/>
          </w:tcPr>
          <w:p w14:paraId="74468CC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0.010</w:t>
            </w:r>
          </w:p>
        </w:tc>
        <w:tc>
          <w:tcPr>
            <w:tcW w:w="538" w:type="pct"/>
            <w:tcBorders>
              <w:top w:val="nil"/>
              <w:left w:val="nil"/>
              <w:bottom w:val="nil"/>
              <w:right w:val="nil"/>
            </w:tcBorders>
            <w:shd w:val="clear" w:color="auto" w:fill="auto"/>
            <w:noWrap/>
            <w:vAlign w:val="bottom"/>
            <w:hideMark/>
          </w:tcPr>
          <w:p w14:paraId="519388E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0.010</w:t>
            </w:r>
          </w:p>
        </w:tc>
      </w:tr>
      <w:tr w:rsidR="003273BD" w:rsidRPr="00245E91" w14:paraId="5C71C039" w14:textId="77777777" w:rsidTr="00D83DD8">
        <w:trPr>
          <w:trHeight w:val="144"/>
        </w:trPr>
        <w:tc>
          <w:tcPr>
            <w:tcW w:w="683" w:type="pct"/>
            <w:tcBorders>
              <w:top w:val="nil"/>
              <w:left w:val="nil"/>
              <w:bottom w:val="nil"/>
              <w:right w:val="nil"/>
            </w:tcBorders>
            <w:shd w:val="clear" w:color="auto" w:fill="auto"/>
            <w:noWrap/>
            <w:vAlign w:val="bottom"/>
            <w:hideMark/>
          </w:tcPr>
          <w:p w14:paraId="584C8C58"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40" w:type="pct"/>
            <w:tcBorders>
              <w:top w:val="nil"/>
              <w:left w:val="nil"/>
              <w:bottom w:val="nil"/>
              <w:right w:val="nil"/>
            </w:tcBorders>
            <w:shd w:val="clear" w:color="auto" w:fill="auto"/>
            <w:noWrap/>
            <w:vAlign w:val="bottom"/>
            <w:hideMark/>
          </w:tcPr>
          <w:p w14:paraId="0BB1003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(0.92)</w:t>
            </w:r>
          </w:p>
        </w:tc>
        <w:tc>
          <w:tcPr>
            <w:tcW w:w="540" w:type="pct"/>
            <w:tcBorders>
              <w:top w:val="nil"/>
              <w:left w:val="nil"/>
              <w:bottom w:val="nil"/>
              <w:right w:val="nil"/>
            </w:tcBorders>
            <w:shd w:val="clear" w:color="auto" w:fill="auto"/>
            <w:noWrap/>
            <w:vAlign w:val="bottom"/>
            <w:hideMark/>
          </w:tcPr>
          <w:p w14:paraId="2060DA5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(1.25)</w:t>
            </w:r>
          </w:p>
        </w:tc>
        <w:tc>
          <w:tcPr>
            <w:tcW w:w="540" w:type="pct"/>
            <w:tcBorders>
              <w:top w:val="nil"/>
              <w:left w:val="nil"/>
              <w:bottom w:val="nil"/>
              <w:right w:val="nil"/>
            </w:tcBorders>
            <w:shd w:val="clear" w:color="auto" w:fill="auto"/>
            <w:noWrap/>
            <w:vAlign w:val="bottom"/>
            <w:hideMark/>
          </w:tcPr>
          <w:p w14:paraId="3EA568E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(0.94)</w:t>
            </w:r>
          </w:p>
        </w:tc>
        <w:tc>
          <w:tcPr>
            <w:tcW w:w="541" w:type="pct"/>
            <w:tcBorders>
              <w:top w:val="nil"/>
              <w:left w:val="nil"/>
              <w:bottom w:val="nil"/>
              <w:right w:val="single" w:sz="4" w:space="0" w:color="auto"/>
            </w:tcBorders>
            <w:shd w:val="clear" w:color="auto" w:fill="auto"/>
            <w:noWrap/>
            <w:vAlign w:val="bottom"/>
            <w:hideMark/>
          </w:tcPr>
          <w:p w14:paraId="6AB6B80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(1.28)</w:t>
            </w:r>
          </w:p>
        </w:tc>
        <w:tc>
          <w:tcPr>
            <w:tcW w:w="540" w:type="pct"/>
            <w:tcBorders>
              <w:top w:val="nil"/>
              <w:left w:val="single" w:sz="4" w:space="0" w:color="auto"/>
              <w:bottom w:val="nil"/>
              <w:right w:val="nil"/>
            </w:tcBorders>
            <w:shd w:val="clear" w:color="auto" w:fill="auto"/>
            <w:noWrap/>
            <w:vAlign w:val="bottom"/>
            <w:hideMark/>
          </w:tcPr>
          <w:p w14:paraId="7EBE579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(2.50**)</w:t>
            </w:r>
          </w:p>
        </w:tc>
        <w:tc>
          <w:tcPr>
            <w:tcW w:w="540" w:type="pct"/>
            <w:tcBorders>
              <w:top w:val="nil"/>
              <w:left w:val="nil"/>
              <w:bottom w:val="nil"/>
              <w:right w:val="nil"/>
            </w:tcBorders>
            <w:shd w:val="clear" w:color="auto" w:fill="auto"/>
            <w:noWrap/>
            <w:vAlign w:val="bottom"/>
            <w:hideMark/>
          </w:tcPr>
          <w:p w14:paraId="6732B8B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(3.83***)</w:t>
            </w:r>
          </w:p>
        </w:tc>
        <w:tc>
          <w:tcPr>
            <w:tcW w:w="540" w:type="pct"/>
            <w:tcBorders>
              <w:top w:val="nil"/>
              <w:left w:val="nil"/>
              <w:bottom w:val="nil"/>
              <w:right w:val="nil"/>
            </w:tcBorders>
            <w:shd w:val="clear" w:color="auto" w:fill="auto"/>
            <w:noWrap/>
            <w:vAlign w:val="bottom"/>
            <w:hideMark/>
          </w:tcPr>
          <w:p w14:paraId="1FE4DFF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(0.46)</w:t>
            </w:r>
          </w:p>
        </w:tc>
        <w:tc>
          <w:tcPr>
            <w:tcW w:w="538" w:type="pct"/>
            <w:tcBorders>
              <w:top w:val="nil"/>
              <w:left w:val="nil"/>
              <w:bottom w:val="nil"/>
              <w:right w:val="nil"/>
            </w:tcBorders>
            <w:shd w:val="clear" w:color="auto" w:fill="auto"/>
            <w:noWrap/>
            <w:vAlign w:val="bottom"/>
            <w:hideMark/>
          </w:tcPr>
          <w:p w14:paraId="2A716D1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(0.44)</w:t>
            </w:r>
          </w:p>
        </w:tc>
      </w:tr>
      <w:tr w:rsidR="003273BD" w:rsidRPr="00245E91" w14:paraId="66E9D4A3" w14:textId="77777777" w:rsidTr="00D83DD8">
        <w:trPr>
          <w:trHeight w:val="144"/>
        </w:trPr>
        <w:tc>
          <w:tcPr>
            <w:tcW w:w="683" w:type="pct"/>
            <w:tcBorders>
              <w:top w:val="nil"/>
              <w:left w:val="nil"/>
              <w:bottom w:val="nil"/>
              <w:right w:val="nil"/>
            </w:tcBorders>
            <w:shd w:val="clear" w:color="auto" w:fill="auto"/>
            <w:noWrap/>
            <w:vAlign w:val="bottom"/>
            <w:hideMark/>
          </w:tcPr>
          <w:p w14:paraId="12E83A81"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ROA</w:t>
            </w:r>
          </w:p>
        </w:tc>
        <w:tc>
          <w:tcPr>
            <w:tcW w:w="540" w:type="pct"/>
            <w:tcBorders>
              <w:top w:val="nil"/>
              <w:left w:val="nil"/>
              <w:bottom w:val="nil"/>
              <w:right w:val="nil"/>
            </w:tcBorders>
            <w:shd w:val="clear" w:color="auto" w:fill="auto"/>
            <w:noWrap/>
            <w:vAlign w:val="bottom"/>
            <w:hideMark/>
          </w:tcPr>
          <w:p w14:paraId="72191AA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-0.074</w:t>
            </w:r>
          </w:p>
        </w:tc>
        <w:tc>
          <w:tcPr>
            <w:tcW w:w="540" w:type="pct"/>
            <w:tcBorders>
              <w:top w:val="nil"/>
              <w:left w:val="nil"/>
              <w:bottom w:val="nil"/>
              <w:right w:val="nil"/>
            </w:tcBorders>
            <w:shd w:val="clear" w:color="auto" w:fill="auto"/>
            <w:noWrap/>
            <w:vAlign w:val="bottom"/>
            <w:hideMark/>
          </w:tcPr>
          <w:p w14:paraId="481FCCC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-0.262</w:t>
            </w:r>
          </w:p>
        </w:tc>
        <w:tc>
          <w:tcPr>
            <w:tcW w:w="540" w:type="pct"/>
            <w:tcBorders>
              <w:top w:val="nil"/>
              <w:left w:val="nil"/>
              <w:bottom w:val="nil"/>
              <w:right w:val="nil"/>
            </w:tcBorders>
            <w:shd w:val="clear" w:color="auto" w:fill="auto"/>
            <w:noWrap/>
            <w:vAlign w:val="bottom"/>
            <w:hideMark/>
          </w:tcPr>
          <w:p w14:paraId="06FF1DE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0.475</w:t>
            </w:r>
          </w:p>
        </w:tc>
        <w:tc>
          <w:tcPr>
            <w:tcW w:w="541" w:type="pct"/>
            <w:tcBorders>
              <w:top w:val="nil"/>
              <w:left w:val="nil"/>
              <w:bottom w:val="nil"/>
              <w:right w:val="single" w:sz="4" w:space="0" w:color="auto"/>
            </w:tcBorders>
            <w:shd w:val="clear" w:color="auto" w:fill="auto"/>
            <w:noWrap/>
            <w:vAlign w:val="bottom"/>
            <w:hideMark/>
          </w:tcPr>
          <w:p w14:paraId="042AB7D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0.475</w:t>
            </w:r>
          </w:p>
        </w:tc>
        <w:tc>
          <w:tcPr>
            <w:tcW w:w="540" w:type="pct"/>
            <w:tcBorders>
              <w:top w:val="nil"/>
              <w:left w:val="single" w:sz="4" w:space="0" w:color="auto"/>
              <w:bottom w:val="nil"/>
              <w:right w:val="nil"/>
            </w:tcBorders>
            <w:shd w:val="clear" w:color="auto" w:fill="auto"/>
            <w:noWrap/>
            <w:vAlign w:val="bottom"/>
            <w:hideMark/>
          </w:tcPr>
          <w:p w14:paraId="75DC01F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-0.201</w:t>
            </w:r>
          </w:p>
        </w:tc>
        <w:tc>
          <w:tcPr>
            <w:tcW w:w="540" w:type="pct"/>
            <w:tcBorders>
              <w:top w:val="nil"/>
              <w:left w:val="nil"/>
              <w:bottom w:val="nil"/>
              <w:right w:val="nil"/>
            </w:tcBorders>
            <w:shd w:val="clear" w:color="auto" w:fill="auto"/>
            <w:noWrap/>
            <w:vAlign w:val="bottom"/>
            <w:hideMark/>
          </w:tcPr>
          <w:p w14:paraId="1444E79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-0.291</w:t>
            </w:r>
          </w:p>
        </w:tc>
        <w:tc>
          <w:tcPr>
            <w:tcW w:w="540" w:type="pct"/>
            <w:tcBorders>
              <w:top w:val="nil"/>
              <w:left w:val="nil"/>
              <w:bottom w:val="nil"/>
              <w:right w:val="nil"/>
            </w:tcBorders>
            <w:shd w:val="clear" w:color="auto" w:fill="auto"/>
            <w:noWrap/>
            <w:vAlign w:val="bottom"/>
            <w:hideMark/>
          </w:tcPr>
          <w:p w14:paraId="3274FA1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0.463</w:t>
            </w:r>
          </w:p>
        </w:tc>
        <w:tc>
          <w:tcPr>
            <w:tcW w:w="538" w:type="pct"/>
            <w:tcBorders>
              <w:top w:val="nil"/>
              <w:left w:val="nil"/>
              <w:bottom w:val="nil"/>
              <w:right w:val="nil"/>
            </w:tcBorders>
            <w:shd w:val="clear" w:color="auto" w:fill="auto"/>
            <w:noWrap/>
            <w:vAlign w:val="bottom"/>
            <w:hideMark/>
          </w:tcPr>
          <w:p w14:paraId="4CAB690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0.456</w:t>
            </w:r>
          </w:p>
        </w:tc>
      </w:tr>
      <w:tr w:rsidR="003273BD" w:rsidRPr="00245E91" w14:paraId="1BA38754" w14:textId="77777777" w:rsidTr="00D83DD8">
        <w:trPr>
          <w:trHeight w:val="144"/>
        </w:trPr>
        <w:tc>
          <w:tcPr>
            <w:tcW w:w="683" w:type="pct"/>
            <w:tcBorders>
              <w:top w:val="nil"/>
              <w:left w:val="nil"/>
              <w:bottom w:val="nil"/>
              <w:right w:val="nil"/>
            </w:tcBorders>
            <w:shd w:val="clear" w:color="auto" w:fill="auto"/>
            <w:noWrap/>
            <w:vAlign w:val="bottom"/>
            <w:hideMark/>
          </w:tcPr>
          <w:p w14:paraId="338F64E8"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40" w:type="pct"/>
            <w:tcBorders>
              <w:top w:val="nil"/>
              <w:left w:val="nil"/>
              <w:bottom w:val="nil"/>
              <w:right w:val="nil"/>
            </w:tcBorders>
            <w:shd w:val="clear" w:color="auto" w:fill="auto"/>
            <w:noWrap/>
            <w:vAlign w:val="bottom"/>
            <w:hideMark/>
          </w:tcPr>
          <w:p w14:paraId="1F1EDD2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(-1.52)</w:t>
            </w:r>
          </w:p>
        </w:tc>
        <w:tc>
          <w:tcPr>
            <w:tcW w:w="540" w:type="pct"/>
            <w:tcBorders>
              <w:top w:val="nil"/>
              <w:left w:val="nil"/>
              <w:bottom w:val="nil"/>
              <w:right w:val="nil"/>
            </w:tcBorders>
            <w:shd w:val="clear" w:color="auto" w:fill="auto"/>
            <w:noWrap/>
            <w:vAlign w:val="bottom"/>
            <w:hideMark/>
          </w:tcPr>
          <w:p w14:paraId="7E16852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(-5.93***)</w:t>
            </w:r>
          </w:p>
        </w:tc>
        <w:tc>
          <w:tcPr>
            <w:tcW w:w="540" w:type="pct"/>
            <w:tcBorders>
              <w:top w:val="nil"/>
              <w:left w:val="nil"/>
              <w:bottom w:val="nil"/>
              <w:right w:val="nil"/>
            </w:tcBorders>
            <w:shd w:val="clear" w:color="auto" w:fill="auto"/>
            <w:noWrap/>
            <w:vAlign w:val="bottom"/>
            <w:hideMark/>
          </w:tcPr>
          <w:p w14:paraId="40FEB8D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(10.47***)</w:t>
            </w:r>
          </w:p>
        </w:tc>
        <w:tc>
          <w:tcPr>
            <w:tcW w:w="541" w:type="pct"/>
            <w:tcBorders>
              <w:top w:val="nil"/>
              <w:left w:val="nil"/>
              <w:bottom w:val="nil"/>
              <w:right w:val="single" w:sz="4" w:space="0" w:color="auto"/>
            </w:tcBorders>
            <w:shd w:val="clear" w:color="auto" w:fill="auto"/>
            <w:noWrap/>
            <w:vAlign w:val="bottom"/>
            <w:hideMark/>
          </w:tcPr>
          <w:p w14:paraId="0705758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(10.55***)</w:t>
            </w:r>
          </w:p>
        </w:tc>
        <w:tc>
          <w:tcPr>
            <w:tcW w:w="540" w:type="pct"/>
            <w:tcBorders>
              <w:top w:val="nil"/>
              <w:left w:val="single" w:sz="4" w:space="0" w:color="auto"/>
              <w:bottom w:val="nil"/>
              <w:right w:val="nil"/>
            </w:tcBorders>
            <w:shd w:val="clear" w:color="auto" w:fill="auto"/>
            <w:noWrap/>
            <w:vAlign w:val="bottom"/>
            <w:hideMark/>
          </w:tcPr>
          <w:p w14:paraId="7779C38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(-4.97***)</w:t>
            </w:r>
          </w:p>
        </w:tc>
        <w:tc>
          <w:tcPr>
            <w:tcW w:w="540" w:type="pct"/>
            <w:tcBorders>
              <w:top w:val="nil"/>
              <w:left w:val="nil"/>
              <w:bottom w:val="nil"/>
              <w:right w:val="nil"/>
            </w:tcBorders>
            <w:shd w:val="clear" w:color="auto" w:fill="auto"/>
            <w:noWrap/>
            <w:vAlign w:val="bottom"/>
            <w:hideMark/>
          </w:tcPr>
          <w:p w14:paraId="15501BC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(-9.58***)</w:t>
            </w:r>
          </w:p>
        </w:tc>
        <w:tc>
          <w:tcPr>
            <w:tcW w:w="540" w:type="pct"/>
            <w:tcBorders>
              <w:top w:val="nil"/>
              <w:left w:val="nil"/>
              <w:bottom w:val="nil"/>
              <w:right w:val="nil"/>
            </w:tcBorders>
            <w:shd w:val="clear" w:color="auto" w:fill="auto"/>
            <w:noWrap/>
            <w:vAlign w:val="bottom"/>
            <w:hideMark/>
          </w:tcPr>
          <w:p w14:paraId="3D47024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(15.95***)</w:t>
            </w:r>
          </w:p>
        </w:tc>
        <w:tc>
          <w:tcPr>
            <w:tcW w:w="538" w:type="pct"/>
            <w:tcBorders>
              <w:top w:val="nil"/>
              <w:left w:val="nil"/>
              <w:bottom w:val="nil"/>
              <w:right w:val="nil"/>
            </w:tcBorders>
            <w:shd w:val="clear" w:color="auto" w:fill="auto"/>
            <w:noWrap/>
            <w:vAlign w:val="bottom"/>
            <w:hideMark/>
          </w:tcPr>
          <w:p w14:paraId="68302FB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(15.39***)</w:t>
            </w:r>
          </w:p>
        </w:tc>
      </w:tr>
      <w:tr w:rsidR="003273BD" w:rsidRPr="00245E91" w14:paraId="3752EA2A" w14:textId="77777777" w:rsidTr="00D83DD8">
        <w:trPr>
          <w:trHeight w:val="144"/>
        </w:trPr>
        <w:tc>
          <w:tcPr>
            <w:tcW w:w="683" w:type="pct"/>
            <w:tcBorders>
              <w:top w:val="nil"/>
              <w:left w:val="nil"/>
              <w:bottom w:val="nil"/>
              <w:right w:val="nil"/>
            </w:tcBorders>
            <w:shd w:val="clear" w:color="auto" w:fill="auto"/>
            <w:noWrap/>
            <w:vAlign w:val="bottom"/>
            <w:hideMark/>
          </w:tcPr>
          <w:p w14:paraId="6B8B610D"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MKBK</w:t>
            </w:r>
          </w:p>
        </w:tc>
        <w:tc>
          <w:tcPr>
            <w:tcW w:w="540" w:type="pct"/>
            <w:tcBorders>
              <w:top w:val="nil"/>
              <w:left w:val="nil"/>
              <w:bottom w:val="nil"/>
              <w:right w:val="nil"/>
            </w:tcBorders>
            <w:shd w:val="clear" w:color="auto" w:fill="auto"/>
            <w:noWrap/>
            <w:vAlign w:val="bottom"/>
            <w:hideMark/>
          </w:tcPr>
          <w:p w14:paraId="5D17311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-0.029</w:t>
            </w:r>
          </w:p>
        </w:tc>
        <w:tc>
          <w:tcPr>
            <w:tcW w:w="540" w:type="pct"/>
            <w:tcBorders>
              <w:top w:val="nil"/>
              <w:left w:val="nil"/>
              <w:bottom w:val="nil"/>
              <w:right w:val="nil"/>
            </w:tcBorders>
            <w:shd w:val="clear" w:color="auto" w:fill="auto"/>
            <w:noWrap/>
            <w:vAlign w:val="bottom"/>
            <w:hideMark/>
          </w:tcPr>
          <w:p w14:paraId="5DC466C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-0.042</w:t>
            </w:r>
          </w:p>
        </w:tc>
        <w:tc>
          <w:tcPr>
            <w:tcW w:w="540" w:type="pct"/>
            <w:tcBorders>
              <w:top w:val="nil"/>
              <w:left w:val="nil"/>
              <w:bottom w:val="nil"/>
              <w:right w:val="nil"/>
            </w:tcBorders>
            <w:shd w:val="clear" w:color="auto" w:fill="auto"/>
            <w:noWrap/>
            <w:vAlign w:val="bottom"/>
            <w:hideMark/>
          </w:tcPr>
          <w:p w14:paraId="52A7A51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0.081</w:t>
            </w:r>
          </w:p>
        </w:tc>
        <w:tc>
          <w:tcPr>
            <w:tcW w:w="541" w:type="pct"/>
            <w:tcBorders>
              <w:top w:val="nil"/>
              <w:left w:val="nil"/>
              <w:bottom w:val="nil"/>
              <w:right w:val="single" w:sz="4" w:space="0" w:color="auto"/>
            </w:tcBorders>
            <w:shd w:val="clear" w:color="auto" w:fill="auto"/>
            <w:noWrap/>
            <w:vAlign w:val="bottom"/>
            <w:hideMark/>
          </w:tcPr>
          <w:p w14:paraId="0474C05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0.083</w:t>
            </w:r>
          </w:p>
        </w:tc>
        <w:tc>
          <w:tcPr>
            <w:tcW w:w="540" w:type="pct"/>
            <w:tcBorders>
              <w:top w:val="nil"/>
              <w:left w:val="single" w:sz="4" w:space="0" w:color="auto"/>
              <w:bottom w:val="nil"/>
              <w:right w:val="nil"/>
            </w:tcBorders>
            <w:shd w:val="clear" w:color="auto" w:fill="auto"/>
            <w:noWrap/>
            <w:vAlign w:val="bottom"/>
            <w:hideMark/>
          </w:tcPr>
          <w:p w14:paraId="0E04904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-0.008</w:t>
            </w:r>
          </w:p>
        </w:tc>
        <w:tc>
          <w:tcPr>
            <w:tcW w:w="540" w:type="pct"/>
            <w:tcBorders>
              <w:top w:val="nil"/>
              <w:left w:val="nil"/>
              <w:bottom w:val="nil"/>
              <w:right w:val="nil"/>
            </w:tcBorders>
            <w:shd w:val="clear" w:color="auto" w:fill="auto"/>
            <w:noWrap/>
            <w:vAlign w:val="bottom"/>
            <w:hideMark/>
          </w:tcPr>
          <w:p w14:paraId="6020654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-0.025</w:t>
            </w:r>
          </w:p>
        </w:tc>
        <w:tc>
          <w:tcPr>
            <w:tcW w:w="540" w:type="pct"/>
            <w:tcBorders>
              <w:top w:val="nil"/>
              <w:left w:val="nil"/>
              <w:bottom w:val="nil"/>
              <w:right w:val="nil"/>
            </w:tcBorders>
            <w:shd w:val="clear" w:color="auto" w:fill="auto"/>
            <w:noWrap/>
            <w:vAlign w:val="bottom"/>
            <w:hideMark/>
          </w:tcPr>
          <w:p w14:paraId="55DA8BC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-0.014</w:t>
            </w:r>
          </w:p>
        </w:tc>
        <w:tc>
          <w:tcPr>
            <w:tcW w:w="538" w:type="pct"/>
            <w:tcBorders>
              <w:top w:val="nil"/>
              <w:left w:val="nil"/>
              <w:bottom w:val="nil"/>
              <w:right w:val="nil"/>
            </w:tcBorders>
            <w:shd w:val="clear" w:color="auto" w:fill="auto"/>
            <w:noWrap/>
            <w:vAlign w:val="bottom"/>
            <w:hideMark/>
          </w:tcPr>
          <w:p w14:paraId="3C30CDC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-0.013</w:t>
            </w:r>
          </w:p>
        </w:tc>
      </w:tr>
      <w:tr w:rsidR="003273BD" w:rsidRPr="00245E91" w14:paraId="6FAA8D91" w14:textId="77777777" w:rsidTr="00D83DD8">
        <w:trPr>
          <w:trHeight w:val="144"/>
        </w:trPr>
        <w:tc>
          <w:tcPr>
            <w:tcW w:w="683" w:type="pct"/>
            <w:tcBorders>
              <w:top w:val="nil"/>
              <w:left w:val="nil"/>
              <w:bottom w:val="nil"/>
              <w:right w:val="nil"/>
            </w:tcBorders>
            <w:shd w:val="clear" w:color="auto" w:fill="auto"/>
            <w:noWrap/>
            <w:vAlign w:val="bottom"/>
            <w:hideMark/>
          </w:tcPr>
          <w:p w14:paraId="02EE20CF"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40" w:type="pct"/>
            <w:tcBorders>
              <w:top w:val="nil"/>
              <w:left w:val="nil"/>
              <w:bottom w:val="nil"/>
              <w:right w:val="nil"/>
            </w:tcBorders>
            <w:shd w:val="clear" w:color="auto" w:fill="auto"/>
            <w:noWrap/>
            <w:vAlign w:val="bottom"/>
            <w:hideMark/>
          </w:tcPr>
          <w:p w14:paraId="046D469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(-0.77)</w:t>
            </w:r>
          </w:p>
        </w:tc>
        <w:tc>
          <w:tcPr>
            <w:tcW w:w="540" w:type="pct"/>
            <w:tcBorders>
              <w:top w:val="nil"/>
              <w:left w:val="nil"/>
              <w:bottom w:val="nil"/>
              <w:right w:val="nil"/>
            </w:tcBorders>
            <w:shd w:val="clear" w:color="auto" w:fill="auto"/>
            <w:noWrap/>
            <w:vAlign w:val="bottom"/>
            <w:hideMark/>
          </w:tcPr>
          <w:p w14:paraId="6F3AF5B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(-1.11)</w:t>
            </w:r>
          </w:p>
        </w:tc>
        <w:tc>
          <w:tcPr>
            <w:tcW w:w="540" w:type="pct"/>
            <w:tcBorders>
              <w:top w:val="nil"/>
              <w:left w:val="nil"/>
              <w:bottom w:val="nil"/>
              <w:right w:val="nil"/>
            </w:tcBorders>
            <w:shd w:val="clear" w:color="auto" w:fill="auto"/>
            <w:noWrap/>
            <w:vAlign w:val="bottom"/>
            <w:hideMark/>
          </w:tcPr>
          <w:p w14:paraId="43F04D0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(2.13**)</w:t>
            </w:r>
          </w:p>
        </w:tc>
        <w:tc>
          <w:tcPr>
            <w:tcW w:w="541" w:type="pct"/>
            <w:tcBorders>
              <w:top w:val="nil"/>
              <w:left w:val="nil"/>
              <w:bottom w:val="nil"/>
              <w:right w:val="single" w:sz="4" w:space="0" w:color="auto"/>
            </w:tcBorders>
            <w:shd w:val="clear" w:color="auto" w:fill="auto"/>
            <w:noWrap/>
            <w:vAlign w:val="bottom"/>
            <w:hideMark/>
          </w:tcPr>
          <w:p w14:paraId="74C8BA7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(2.24**)</w:t>
            </w:r>
          </w:p>
        </w:tc>
        <w:tc>
          <w:tcPr>
            <w:tcW w:w="540" w:type="pct"/>
            <w:tcBorders>
              <w:top w:val="nil"/>
              <w:left w:val="single" w:sz="4" w:space="0" w:color="auto"/>
              <w:bottom w:val="nil"/>
              <w:right w:val="nil"/>
            </w:tcBorders>
            <w:shd w:val="clear" w:color="auto" w:fill="auto"/>
            <w:noWrap/>
            <w:vAlign w:val="bottom"/>
            <w:hideMark/>
          </w:tcPr>
          <w:p w14:paraId="53A68A2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(-0.21)</w:t>
            </w:r>
          </w:p>
        </w:tc>
        <w:tc>
          <w:tcPr>
            <w:tcW w:w="540" w:type="pct"/>
            <w:tcBorders>
              <w:top w:val="nil"/>
              <w:left w:val="nil"/>
              <w:bottom w:val="nil"/>
              <w:right w:val="nil"/>
            </w:tcBorders>
            <w:shd w:val="clear" w:color="auto" w:fill="auto"/>
            <w:noWrap/>
            <w:vAlign w:val="bottom"/>
            <w:hideMark/>
          </w:tcPr>
          <w:p w14:paraId="370DC34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(-0.97)</w:t>
            </w:r>
          </w:p>
        </w:tc>
        <w:tc>
          <w:tcPr>
            <w:tcW w:w="540" w:type="pct"/>
            <w:tcBorders>
              <w:top w:val="nil"/>
              <w:left w:val="nil"/>
              <w:bottom w:val="nil"/>
              <w:right w:val="nil"/>
            </w:tcBorders>
            <w:shd w:val="clear" w:color="auto" w:fill="auto"/>
            <w:noWrap/>
            <w:vAlign w:val="bottom"/>
            <w:hideMark/>
          </w:tcPr>
          <w:p w14:paraId="2608F92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(-0.53)</w:t>
            </w:r>
          </w:p>
        </w:tc>
        <w:tc>
          <w:tcPr>
            <w:tcW w:w="538" w:type="pct"/>
            <w:tcBorders>
              <w:top w:val="nil"/>
              <w:left w:val="nil"/>
              <w:bottom w:val="nil"/>
              <w:right w:val="nil"/>
            </w:tcBorders>
            <w:shd w:val="clear" w:color="auto" w:fill="auto"/>
            <w:noWrap/>
            <w:vAlign w:val="bottom"/>
            <w:hideMark/>
          </w:tcPr>
          <w:p w14:paraId="414ADA6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(-0.49)</w:t>
            </w:r>
          </w:p>
        </w:tc>
      </w:tr>
      <w:tr w:rsidR="003273BD" w:rsidRPr="00245E91" w14:paraId="69B3C47B" w14:textId="77777777" w:rsidTr="00D83DD8">
        <w:trPr>
          <w:trHeight w:val="144"/>
        </w:trPr>
        <w:tc>
          <w:tcPr>
            <w:tcW w:w="683" w:type="pct"/>
            <w:tcBorders>
              <w:top w:val="nil"/>
              <w:left w:val="nil"/>
              <w:bottom w:val="nil"/>
              <w:right w:val="nil"/>
            </w:tcBorders>
            <w:shd w:val="clear" w:color="auto" w:fill="auto"/>
            <w:noWrap/>
            <w:vAlign w:val="bottom"/>
          </w:tcPr>
          <w:p w14:paraId="7D05EB2F"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LIQUIDITY</w:t>
            </w:r>
          </w:p>
        </w:tc>
        <w:tc>
          <w:tcPr>
            <w:tcW w:w="540" w:type="pct"/>
            <w:tcBorders>
              <w:top w:val="nil"/>
              <w:left w:val="nil"/>
              <w:bottom w:val="nil"/>
              <w:right w:val="nil"/>
            </w:tcBorders>
            <w:shd w:val="clear" w:color="auto" w:fill="auto"/>
            <w:noWrap/>
            <w:vAlign w:val="bottom"/>
          </w:tcPr>
          <w:p w14:paraId="671C5F7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-0.071</w:t>
            </w:r>
          </w:p>
        </w:tc>
        <w:tc>
          <w:tcPr>
            <w:tcW w:w="540" w:type="pct"/>
            <w:tcBorders>
              <w:top w:val="nil"/>
              <w:left w:val="nil"/>
              <w:bottom w:val="nil"/>
              <w:right w:val="nil"/>
            </w:tcBorders>
            <w:shd w:val="clear" w:color="auto" w:fill="auto"/>
            <w:noWrap/>
            <w:vAlign w:val="bottom"/>
          </w:tcPr>
          <w:p w14:paraId="46880A2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-0.049</w:t>
            </w:r>
          </w:p>
        </w:tc>
        <w:tc>
          <w:tcPr>
            <w:tcW w:w="540" w:type="pct"/>
            <w:tcBorders>
              <w:top w:val="nil"/>
              <w:left w:val="nil"/>
              <w:bottom w:val="nil"/>
              <w:right w:val="nil"/>
            </w:tcBorders>
            <w:shd w:val="clear" w:color="auto" w:fill="auto"/>
            <w:noWrap/>
            <w:vAlign w:val="bottom"/>
          </w:tcPr>
          <w:p w14:paraId="6BFAB93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0.008</w:t>
            </w:r>
          </w:p>
        </w:tc>
        <w:tc>
          <w:tcPr>
            <w:tcW w:w="541" w:type="pct"/>
            <w:tcBorders>
              <w:top w:val="nil"/>
              <w:left w:val="nil"/>
              <w:bottom w:val="nil"/>
              <w:right w:val="single" w:sz="4" w:space="0" w:color="auto"/>
            </w:tcBorders>
            <w:shd w:val="clear" w:color="auto" w:fill="auto"/>
            <w:noWrap/>
            <w:vAlign w:val="bottom"/>
          </w:tcPr>
          <w:p w14:paraId="0CA113A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0.013</w:t>
            </w:r>
          </w:p>
        </w:tc>
        <w:tc>
          <w:tcPr>
            <w:tcW w:w="540" w:type="pct"/>
            <w:tcBorders>
              <w:top w:val="nil"/>
              <w:left w:val="single" w:sz="4" w:space="0" w:color="auto"/>
              <w:bottom w:val="nil"/>
              <w:right w:val="nil"/>
            </w:tcBorders>
            <w:shd w:val="clear" w:color="auto" w:fill="auto"/>
            <w:noWrap/>
            <w:vAlign w:val="bottom"/>
          </w:tcPr>
          <w:p w14:paraId="1A7CCEC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-0.012</w:t>
            </w:r>
          </w:p>
        </w:tc>
        <w:tc>
          <w:tcPr>
            <w:tcW w:w="540" w:type="pct"/>
            <w:tcBorders>
              <w:top w:val="nil"/>
              <w:left w:val="nil"/>
              <w:bottom w:val="nil"/>
              <w:right w:val="nil"/>
            </w:tcBorders>
            <w:shd w:val="clear" w:color="auto" w:fill="auto"/>
            <w:noWrap/>
            <w:vAlign w:val="bottom"/>
          </w:tcPr>
          <w:p w14:paraId="4116917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-0.000</w:t>
            </w:r>
          </w:p>
        </w:tc>
        <w:tc>
          <w:tcPr>
            <w:tcW w:w="540" w:type="pct"/>
            <w:tcBorders>
              <w:top w:val="nil"/>
              <w:left w:val="nil"/>
              <w:bottom w:val="nil"/>
              <w:right w:val="nil"/>
            </w:tcBorders>
            <w:shd w:val="clear" w:color="auto" w:fill="auto"/>
            <w:noWrap/>
            <w:vAlign w:val="bottom"/>
          </w:tcPr>
          <w:p w14:paraId="19D6AFB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0.004</w:t>
            </w:r>
          </w:p>
        </w:tc>
        <w:tc>
          <w:tcPr>
            <w:tcW w:w="538" w:type="pct"/>
            <w:tcBorders>
              <w:top w:val="nil"/>
              <w:left w:val="nil"/>
              <w:bottom w:val="nil"/>
              <w:right w:val="nil"/>
            </w:tcBorders>
            <w:shd w:val="clear" w:color="auto" w:fill="auto"/>
            <w:noWrap/>
            <w:vAlign w:val="bottom"/>
          </w:tcPr>
          <w:p w14:paraId="5C2099A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0.004</w:t>
            </w:r>
          </w:p>
        </w:tc>
      </w:tr>
      <w:tr w:rsidR="003273BD" w:rsidRPr="00245E91" w14:paraId="2BADA7D6" w14:textId="77777777" w:rsidTr="00D83DD8">
        <w:trPr>
          <w:trHeight w:val="144"/>
        </w:trPr>
        <w:tc>
          <w:tcPr>
            <w:tcW w:w="683" w:type="pct"/>
            <w:tcBorders>
              <w:top w:val="nil"/>
              <w:left w:val="nil"/>
              <w:bottom w:val="nil"/>
              <w:right w:val="nil"/>
            </w:tcBorders>
            <w:shd w:val="clear" w:color="auto" w:fill="auto"/>
            <w:noWrap/>
            <w:vAlign w:val="bottom"/>
          </w:tcPr>
          <w:p w14:paraId="30858597"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40" w:type="pct"/>
            <w:tcBorders>
              <w:top w:val="nil"/>
              <w:left w:val="nil"/>
              <w:bottom w:val="nil"/>
              <w:right w:val="nil"/>
            </w:tcBorders>
            <w:shd w:val="clear" w:color="auto" w:fill="auto"/>
            <w:noWrap/>
            <w:vAlign w:val="bottom"/>
          </w:tcPr>
          <w:p w14:paraId="0D62C2B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(-1.91*)</w:t>
            </w:r>
          </w:p>
        </w:tc>
        <w:tc>
          <w:tcPr>
            <w:tcW w:w="540" w:type="pct"/>
            <w:tcBorders>
              <w:top w:val="nil"/>
              <w:left w:val="nil"/>
              <w:bottom w:val="nil"/>
              <w:right w:val="nil"/>
            </w:tcBorders>
            <w:shd w:val="clear" w:color="auto" w:fill="auto"/>
            <w:noWrap/>
            <w:vAlign w:val="bottom"/>
          </w:tcPr>
          <w:p w14:paraId="20D44CD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(-1.34)</w:t>
            </w:r>
          </w:p>
        </w:tc>
        <w:tc>
          <w:tcPr>
            <w:tcW w:w="540" w:type="pct"/>
            <w:tcBorders>
              <w:top w:val="nil"/>
              <w:left w:val="nil"/>
              <w:bottom w:val="nil"/>
              <w:right w:val="nil"/>
            </w:tcBorders>
            <w:shd w:val="clear" w:color="auto" w:fill="auto"/>
            <w:noWrap/>
            <w:vAlign w:val="bottom"/>
          </w:tcPr>
          <w:p w14:paraId="0B9542C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(0.31)</w:t>
            </w:r>
          </w:p>
        </w:tc>
        <w:tc>
          <w:tcPr>
            <w:tcW w:w="541" w:type="pct"/>
            <w:tcBorders>
              <w:top w:val="nil"/>
              <w:left w:val="nil"/>
              <w:bottom w:val="nil"/>
              <w:right w:val="single" w:sz="4" w:space="0" w:color="auto"/>
            </w:tcBorders>
            <w:shd w:val="clear" w:color="auto" w:fill="auto"/>
            <w:noWrap/>
            <w:vAlign w:val="bottom"/>
          </w:tcPr>
          <w:p w14:paraId="782EADB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(0.52)</w:t>
            </w:r>
          </w:p>
        </w:tc>
        <w:tc>
          <w:tcPr>
            <w:tcW w:w="540" w:type="pct"/>
            <w:tcBorders>
              <w:top w:val="nil"/>
              <w:left w:val="single" w:sz="4" w:space="0" w:color="auto"/>
              <w:bottom w:val="nil"/>
              <w:right w:val="nil"/>
            </w:tcBorders>
            <w:shd w:val="clear" w:color="auto" w:fill="auto"/>
            <w:noWrap/>
            <w:vAlign w:val="bottom"/>
          </w:tcPr>
          <w:p w14:paraId="31CC44B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(-0.48)</w:t>
            </w:r>
          </w:p>
        </w:tc>
        <w:tc>
          <w:tcPr>
            <w:tcW w:w="540" w:type="pct"/>
            <w:tcBorders>
              <w:top w:val="nil"/>
              <w:left w:val="nil"/>
              <w:bottom w:val="nil"/>
              <w:right w:val="nil"/>
            </w:tcBorders>
            <w:shd w:val="clear" w:color="auto" w:fill="auto"/>
            <w:noWrap/>
            <w:vAlign w:val="bottom"/>
          </w:tcPr>
          <w:p w14:paraId="0475E41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w:t>
            </w:r>
          </w:p>
        </w:tc>
        <w:tc>
          <w:tcPr>
            <w:tcW w:w="540" w:type="pct"/>
            <w:tcBorders>
              <w:top w:val="nil"/>
              <w:left w:val="nil"/>
              <w:bottom w:val="nil"/>
              <w:right w:val="nil"/>
            </w:tcBorders>
            <w:shd w:val="clear" w:color="auto" w:fill="auto"/>
            <w:noWrap/>
            <w:vAlign w:val="bottom"/>
          </w:tcPr>
          <w:p w14:paraId="39BC59F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(0.13)</w:t>
            </w:r>
          </w:p>
        </w:tc>
        <w:tc>
          <w:tcPr>
            <w:tcW w:w="538" w:type="pct"/>
            <w:tcBorders>
              <w:top w:val="nil"/>
              <w:left w:val="nil"/>
              <w:bottom w:val="nil"/>
              <w:right w:val="nil"/>
            </w:tcBorders>
            <w:shd w:val="clear" w:color="auto" w:fill="auto"/>
            <w:noWrap/>
            <w:vAlign w:val="bottom"/>
          </w:tcPr>
          <w:p w14:paraId="09D42C2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(0.16)</w:t>
            </w:r>
          </w:p>
        </w:tc>
      </w:tr>
      <w:tr w:rsidR="003273BD" w:rsidRPr="00245E91" w14:paraId="1173DE8A" w14:textId="77777777" w:rsidTr="00D83DD8">
        <w:trPr>
          <w:trHeight w:val="144"/>
        </w:trPr>
        <w:tc>
          <w:tcPr>
            <w:tcW w:w="683" w:type="pct"/>
            <w:tcBorders>
              <w:top w:val="nil"/>
              <w:left w:val="nil"/>
              <w:bottom w:val="nil"/>
              <w:right w:val="nil"/>
            </w:tcBorders>
            <w:shd w:val="clear" w:color="auto" w:fill="auto"/>
            <w:noWrap/>
            <w:vAlign w:val="bottom"/>
          </w:tcPr>
          <w:p w14:paraId="400C78E9"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STOCKISSUE</w:t>
            </w:r>
          </w:p>
        </w:tc>
        <w:tc>
          <w:tcPr>
            <w:tcW w:w="540" w:type="pct"/>
            <w:tcBorders>
              <w:top w:val="nil"/>
              <w:left w:val="nil"/>
              <w:bottom w:val="nil"/>
              <w:right w:val="nil"/>
            </w:tcBorders>
            <w:shd w:val="clear" w:color="auto" w:fill="auto"/>
            <w:noWrap/>
            <w:vAlign w:val="bottom"/>
          </w:tcPr>
          <w:p w14:paraId="3987570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-0.006</w:t>
            </w:r>
          </w:p>
        </w:tc>
        <w:tc>
          <w:tcPr>
            <w:tcW w:w="540" w:type="pct"/>
            <w:tcBorders>
              <w:top w:val="nil"/>
              <w:left w:val="nil"/>
              <w:bottom w:val="nil"/>
              <w:right w:val="nil"/>
            </w:tcBorders>
            <w:shd w:val="clear" w:color="auto" w:fill="auto"/>
            <w:noWrap/>
            <w:vAlign w:val="bottom"/>
          </w:tcPr>
          <w:p w14:paraId="1821FC2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0.000</w:t>
            </w:r>
          </w:p>
        </w:tc>
        <w:tc>
          <w:tcPr>
            <w:tcW w:w="540" w:type="pct"/>
            <w:tcBorders>
              <w:top w:val="nil"/>
              <w:left w:val="nil"/>
              <w:bottom w:val="nil"/>
              <w:right w:val="nil"/>
            </w:tcBorders>
            <w:shd w:val="clear" w:color="auto" w:fill="auto"/>
            <w:noWrap/>
            <w:vAlign w:val="bottom"/>
          </w:tcPr>
          <w:p w14:paraId="6AD3843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-0.006</w:t>
            </w:r>
          </w:p>
        </w:tc>
        <w:tc>
          <w:tcPr>
            <w:tcW w:w="541" w:type="pct"/>
            <w:tcBorders>
              <w:top w:val="nil"/>
              <w:left w:val="nil"/>
              <w:bottom w:val="nil"/>
              <w:right w:val="single" w:sz="4" w:space="0" w:color="auto"/>
            </w:tcBorders>
            <w:shd w:val="clear" w:color="auto" w:fill="auto"/>
            <w:noWrap/>
            <w:vAlign w:val="bottom"/>
          </w:tcPr>
          <w:p w14:paraId="4F840B3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-0.007</w:t>
            </w:r>
          </w:p>
        </w:tc>
        <w:tc>
          <w:tcPr>
            <w:tcW w:w="540" w:type="pct"/>
            <w:tcBorders>
              <w:top w:val="nil"/>
              <w:left w:val="single" w:sz="4" w:space="0" w:color="auto"/>
              <w:bottom w:val="nil"/>
              <w:right w:val="nil"/>
            </w:tcBorders>
            <w:shd w:val="clear" w:color="auto" w:fill="auto"/>
            <w:noWrap/>
            <w:vAlign w:val="bottom"/>
          </w:tcPr>
          <w:p w14:paraId="17AF4A1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-0.033</w:t>
            </w:r>
          </w:p>
        </w:tc>
        <w:tc>
          <w:tcPr>
            <w:tcW w:w="540" w:type="pct"/>
            <w:tcBorders>
              <w:top w:val="nil"/>
              <w:left w:val="nil"/>
              <w:bottom w:val="nil"/>
              <w:right w:val="nil"/>
            </w:tcBorders>
            <w:shd w:val="clear" w:color="auto" w:fill="auto"/>
            <w:noWrap/>
            <w:vAlign w:val="bottom"/>
          </w:tcPr>
          <w:p w14:paraId="3AB96F8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-0.007</w:t>
            </w:r>
          </w:p>
        </w:tc>
        <w:tc>
          <w:tcPr>
            <w:tcW w:w="540" w:type="pct"/>
            <w:tcBorders>
              <w:top w:val="nil"/>
              <w:left w:val="nil"/>
              <w:bottom w:val="nil"/>
              <w:right w:val="nil"/>
            </w:tcBorders>
            <w:shd w:val="clear" w:color="auto" w:fill="auto"/>
            <w:noWrap/>
            <w:vAlign w:val="bottom"/>
          </w:tcPr>
          <w:p w14:paraId="76F76EF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0.054</w:t>
            </w:r>
          </w:p>
        </w:tc>
        <w:tc>
          <w:tcPr>
            <w:tcW w:w="538" w:type="pct"/>
            <w:tcBorders>
              <w:top w:val="nil"/>
              <w:left w:val="nil"/>
              <w:bottom w:val="nil"/>
              <w:right w:val="nil"/>
            </w:tcBorders>
            <w:shd w:val="clear" w:color="auto" w:fill="auto"/>
            <w:noWrap/>
            <w:vAlign w:val="bottom"/>
          </w:tcPr>
          <w:p w14:paraId="0D69086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0.053</w:t>
            </w:r>
          </w:p>
        </w:tc>
      </w:tr>
      <w:tr w:rsidR="003273BD" w:rsidRPr="00245E91" w14:paraId="78339108" w14:textId="77777777" w:rsidTr="00D83DD8">
        <w:trPr>
          <w:trHeight w:val="144"/>
        </w:trPr>
        <w:tc>
          <w:tcPr>
            <w:tcW w:w="683" w:type="pct"/>
            <w:tcBorders>
              <w:top w:val="nil"/>
              <w:left w:val="nil"/>
              <w:bottom w:val="nil"/>
              <w:right w:val="nil"/>
            </w:tcBorders>
            <w:shd w:val="clear" w:color="auto" w:fill="auto"/>
            <w:noWrap/>
            <w:vAlign w:val="bottom"/>
          </w:tcPr>
          <w:p w14:paraId="252D116D"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40" w:type="pct"/>
            <w:tcBorders>
              <w:top w:val="nil"/>
              <w:left w:val="nil"/>
              <w:bottom w:val="nil"/>
              <w:right w:val="nil"/>
            </w:tcBorders>
            <w:shd w:val="clear" w:color="auto" w:fill="auto"/>
            <w:noWrap/>
            <w:vAlign w:val="bottom"/>
          </w:tcPr>
          <w:p w14:paraId="4D024C6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(-0.17)</w:t>
            </w:r>
          </w:p>
        </w:tc>
        <w:tc>
          <w:tcPr>
            <w:tcW w:w="540" w:type="pct"/>
            <w:tcBorders>
              <w:top w:val="nil"/>
              <w:left w:val="nil"/>
              <w:bottom w:val="nil"/>
              <w:right w:val="nil"/>
            </w:tcBorders>
            <w:shd w:val="clear" w:color="auto" w:fill="auto"/>
            <w:noWrap/>
            <w:vAlign w:val="bottom"/>
          </w:tcPr>
          <w:p w14:paraId="6C39E20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w:t>
            </w:r>
          </w:p>
        </w:tc>
        <w:tc>
          <w:tcPr>
            <w:tcW w:w="540" w:type="pct"/>
            <w:tcBorders>
              <w:top w:val="nil"/>
              <w:left w:val="nil"/>
              <w:bottom w:val="nil"/>
              <w:right w:val="nil"/>
            </w:tcBorders>
            <w:shd w:val="clear" w:color="auto" w:fill="auto"/>
            <w:noWrap/>
            <w:vAlign w:val="bottom"/>
          </w:tcPr>
          <w:p w14:paraId="03A14C3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(-0.25)</w:t>
            </w:r>
          </w:p>
        </w:tc>
        <w:tc>
          <w:tcPr>
            <w:tcW w:w="541" w:type="pct"/>
            <w:tcBorders>
              <w:top w:val="nil"/>
              <w:left w:val="nil"/>
              <w:bottom w:val="nil"/>
              <w:right w:val="single" w:sz="4" w:space="0" w:color="auto"/>
            </w:tcBorders>
            <w:shd w:val="clear" w:color="auto" w:fill="auto"/>
            <w:noWrap/>
            <w:vAlign w:val="bottom"/>
          </w:tcPr>
          <w:p w14:paraId="5DF57E7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(-0.26)</w:t>
            </w:r>
          </w:p>
        </w:tc>
        <w:tc>
          <w:tcPr>
            <w:tcW w:w="540" w:type="pct"/>
            <w:tcBorders>
              <w:top w:val="nil"/>
              <w:left w:val="single" w:sz="4" w:space="0" w:color="auto"/>
              <w:bottom w:val="nil"/>
              <w:right w:val="nil"/>
            </w:tcBorders>
            <w:shd w:val="clear" w:color="auto" w:fill="auto"/>
            <w:noWrap/>
            <w:vAlign w:val="bottom"/>
          </w:tcPr>
          <w:p w14:paraId="2E01AD0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(-1.06)</w:t>
            </w:r>
          </w:p>
        </w:tc>
        <w:tc>
          <w:tcPr>
            <w:tcW w:w="540" w:type="pct"/>
            <w:tcBorders>
              <w:top w:val="nil"/>
              <w:left w:val="nil"/>
              <w:bottom w:val="nil"/>
              <w:right w:val="nil"/>
            </w:tcBorders>
            <w:shd w:val="clear" w:color="auto" w:fill="auto"/>
            <w:noWrap/>
            <w:vAlign w:val="bottom"/>
          </w:tcPr>
          <w:p w14:paraId="1158449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(-0.31)</w:t>
            </w:r>
          </w:p>
        </w:tc>
        <w:tc>
          <w:tcPr>
            <w:tcW w:w="540" w:type="pct"/>
            <w:tcBorders>
              <w:top w:val="nil"/>
              <w:left w:val="nil"/>
              <w:bottom w:val="nil"/>
              <w:right w:val="nil"/>
            </w:tcBorders>
            <w:shd w:val="clear" w:color="auto" w:fill="auto"/>
            <w:noWrap/>
            <w:vAlign w:val="bottom"/>
          </w:tcPr>
          <w:p w14:paraId="024CBE5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(2.54**)</w:t>
            </w:r>
          </w:p>
        </w:tc>
        <w:tc>
          <w:tcPr>
            <w:tcW w:w="538" w:type="pct"/>
            <w:tcBorders>
              <w:top w:val="nil"/>
              <w:left w:val="nil"/>
              <w:bottom w:val="nil"/>
              <w:right w:val="nil"/>
            </w:tcBorders>
            <w:shd w:val="clear" w:color="auto" w:fill="auto"/>
            <w:noWrap/>
            <w:vAlign w:val="bottom"/>
          </w:tcPr>
          <w:p w14:paraId="552E9C6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(2.44**)</w:t>
            </w:r>
          </w:p>
        </w:tc>
      </w:tr>
      <w:tr w:rsidR="003273BD" w:rsidRPr="00245E91" w14:paraId="7B2D3F9F" w14:textId="77777777" w:rsidTr="00D83DD8">
        <w:trPr>
          <w:trHeight w:val="144"/>
        </w:trPr>
        <w:tc>
          <w:tcPr>
            <w:tcW w:w="683" w:type="pct"/>
            <w:tcBorders>
              <w:top w:val="nil"/>
              <w:left w:val="nil"/>
              <w:bottom w:val="nil"/>
              <w:right w:val="nil"/>
            </w:tcBorders>
            <w:shd w:val="clear" w:color="auto" w:fill="auto"/>
            <w:noWrap/>
            <w:vAlign w:val="bottom"/>
          </w:tcPr>
          <w:p w14:paraId="6D4FE0C8"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DEBTISSUE</w:t>
            </w:r>
          </w:p>
        </w:tc>
        <w:tc>
          <w:tcPr>
            <w:tcW w:w="540" w:type="pct"/>
            <w:tcBorders>
              <w:top w:val="nil"/>
              <w:left w:val="nil"/>
              <w:bottom w:val="nil"/>
              <w:right w:val="nil"/>
            </w:tcBorders>
            <w:shd w:val="clear" w:color="auto" w:fill="auto"/>
            <w:noWrap/>
            <w:vAlign w:val="bottom"/>
          </w:tcPr>
          <w:p w14:paraId="2C6F42A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-0.017</w:t>
            </w:r>
          </w:p>
        </w:tc>
        <w:tc>
          <w:tcPr>
            <w:tcW w:w="540" w:type="pct"/>
            <w:tcBorders>
              <w:top w:val="nil"/>
              <w:left w:val="nil"/>
              <w:bottom w:val="nil"/>
              <w:right w:val="nil"/>
            </w:tcBorders>
            <w:shd w:val="clear" w:color="auto" w:fill="auto"/>
            <w:noWrap/>
            <w:vAlign w:val="bottom"/>
          </w:tcPr>
          <w:p w14:paraId="435DE7F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-0.041</w:t>
            </w:r>
          </w:p>
        </w:tc>
        <w:tc>
          <w:tcPr>
            <w:tcW w:w="540" w:type="pct"/>
            <w:tcBorders>
              <w:top w:val="nil"/>
              <w:left w:val="nil"/>
              <w:bottom w:val="nil"/>
              <w:right w:val="nil"/>
            </w:tcBorders>
            <w:shd w:val="clear" w:color="auto" w:fill="auto"/>
            <w:noWrap/>
            <w:vAlign w:val="bottom"/>
          </w:tcPr>
          <w:p w14:paraId="04982DD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-0.050</w:t>
            </w:r>
          </w:p>
        </w:tc>
        <w:tc>
          <w:tcPr>
            <w:tcW w:w="541" w:type="pct"/>
            <w:tcBorders>
              <w:top w:val="nil"/>
              <w:left w:val="nil"/>
              <w:bottom w:val="nil"/>
              <w:right w:val="single" w:sz="4" w:space="0" w:color="auto"/>
            </w:tcBorders>
            <w:shd w:val="clear" w:color="auto" w:fill="auto"/>
            <w:noWrap/>
            <w:vAlign w:val="bottom"/>
          </w:tcPr>
          <w:p w14:paraId="5D2385C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-0.048</w:t>
            </w:r>
          </w:p>
        </w:tc>
        <w:tc>
          <w:tcPr>
            <w:tcW w:w="540" w:type="pct"/>
            <w:tcBorders>
              <w:top w:val="nil"/>
              <w:left w:val="single" w:sz="4" w:space="0" w:color="auto"/>
              <w:bottom w:val="nil"/>
              <w:right w:val="nil"/>
            </w:tcBorders>
            <w:shd w:val="clear" w:color="auto" w:fill="auto"/>
            <w:noWrap/>
            <w:vAlign w:val="bottom"/>
          </w:tcPr>
          <w:p w14:paraId="36CFA94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0.002</w:t>
            </w:r>
          </w:p>
        </w:tc>
        <w:tc>
          <w:tcPr>
            <w:tcW w:w="540" w:type="pct"/>
            <w:tcBorders>
              <w:top w:val="nil"/>
              <w:left w:val="nil"/>
              <w:bottom w:val="nil"/>
              <w:right w:val="nil"/>
            </w:tcBorders>
            <w:shd w:val="clear" w:color="auto" w:fill="auto"/>
            <w:noWrap/>
            <w:vAlign w:val="bottom"/>
          </w:tcPr>
          <w:p w14:paraId="579E43B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-0.006</w:t>
            </w:r>
          </w:p>
        </w:tc>
        <w:tc>
          <w:tcPr>
            <w:tcW w:w="540" w:type="pct"/>
            <w:tcBorders>
              <w:top w:val="nil"/>
              <w:left w:val="nil"/>
              <w:bottom w:val="nil"/>
              <w:right w:val="nil"/>
            </w:tcBorders>
            <w:shd w:val="clear" w:color="auto" w:fill="auto"/>
            <w:noWrap/>
            <w:vAlign w:val="bottom"/>
          </w:tcPr>
          <w:p w14:paraId="6D998AE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-0.001</w:t>
            </w:r>
          </w:p>
        </w:tc>
        <w:tc>
          <w:tcPr>
            <w:tcW w:w="538" w:type="pct"/>
            <w:tcBorders>
              <w:top w:val="nil"/>
              <w:left w:val="nil"/>
              <w:bottom w:val="nil"/>
              <w:right w:val="nil"/>
            </w:tcBorders>
            <w:shd w:val="clear" w:color="auto" w:fill="auto"/>
            <w:noWrap/>
            <w:vAlign w:val="bottom"/>
          </w:tcPr>
          <w:p w14:paraId="36732A5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-0.000</w:t>
            </w:r>
          </w:p>
        </w:tc>
      </w:tr>
      <w:tr w:rsidR="003273BD" w:rsidRPr="00245E91" w14:paraId="7A7748D7" w14:textId="77777777" w:rsidTr="00D83DD8">
        <w:trPr>
          <w:trHeight w:val="144"/>
        </w:trPr>
        <w:tc>
          <w:tcPr>
            <w:tcW w:w="683" w:type="pct"/>
            <w:tcBorders>
              <w:top w:val="nil"/>
              <w:left w:val="nil"/>
              <w:bottom w:val="nil"/>
              <w:right w:val="nil"/>
            </w:tcBorders>
            <w:shd w:val="clear" w:color="auto" w:fill="auto"/>
            <w:noWrap/>
            <w:vAlign w:val="bottom"/>
          </w:tcPr>
          <w:p w14:paraId="11EEB10C"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40" w:type="pct"/>
            <w:tcBorders>
              <w:top w:val="nil"/>
              <w:left w:val="nil"/>
              <w:bottom w:val="nil"/>
              <w:right w:val="nil"/>
            </w:tcBorders>
            <w:shd w:val="clear" w:color="auto" w:fill="auto"/>
            <w:noWrap/>
            <w:vAlign w:val="bottom"/>
          </w:tcPr>
          <w:p w14:paraId="0D0ADD9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(-0.50)</w:t>
            </w:r>
          </w:p>
        </w:tc>
        <w:tc>
          <w:tcPr>
            <w:tcW w:w="540" w:type="pct"/>
            <w:tcBorders>
              <w:top w:val="nil"/>
              <w:left w:val="nil"/>
              <w:bottom w:val="nil"/>
              <w:right w:val="nil"/>
            </w:tcBorders>
            <w:shd w:val="clear" w:color="auto" w:fill="auto"/>
            <w:noWrap/>
            <w:vAlign w:val="bottom"/>
          </w:tcPr>
          <w:p w14:paraId="74E4E27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(-1.21)</w:t>
            </w:r>
          </w:p>
        </w:tc>
        <w:tc>
          <w:tcPr>
            <w:tcW w:w="540" w:type="pct"/>
            <w:tcBorders>
              <w:top w:val="nil"/>
              <w:left w:val="nil"/>
              <w:bottom w:val="nil"/>
              <w:right w:val="nil"/>
            </w:tcBorders>
            <w:shd w:val="clear" w:color="auto" w:fill="auto"/>
            <w:noWrap/>
            <w:vAlign w:val="bottom"/>
          </w:tcPr>
          <w:p w14:paraId="0BD0066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(-1.62)</w:t>
            </w:r>
          </w:p>
        </w:tc>
        <w:tc>
          <w:tcPr>
            <w:tcW w:w="541" w:type="pct"/>
            <w:tcBorders>
              <w:top w:val="nil"/>
              <w:left w:val="nil"/>
              <w:bottom w:val="nil"/>
              <w:right w:val="single" w:sz="4" w:space="0" w:color="auto"/>
            </w:tcBorders>
            <w:shd w:val="clear" w:color="auto" w:fill="auto"/>
            <w:noWrap/>
            <w:vAlign w:val="bottom"/>
          </w:tcPr>
          <w:p w14:paraId="4692994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(-1.56)</w:t>
            </w:r>
          </w:p>
        </w:tc>
        <w:tc>
          <w:tcPr>
            <w:tcW w:w="540" w:type="pct"/>
            <w:tcBorders>
              <w:top w:val="nil"/>
              <w:left w:val="single" w:sz="4" w:space="0" w:color="auto"/>
              <w:bottom w:val="nil"/>
              <w:right w:val="nil"/>
            </w:tcBorders>
            <w:shd w:val="clear" w:color="auto" w:fill="auto"/>
            <w:noWrap/>
            <w:vAlign w:val="bottom"/>
          </w:tcPr>
          <w:p w14:paraId="010EF5F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w:t>
            </w:r>
          </w:p>
        </w:tc>
        <w:tc>
          <w:tcPr>
            <w:tcW w:w="540" w:type="pct"/>
            <w:tcBorders>
              <w:top w:val="nil"/>
              <w:left w:val="nil"/>
              <w:bottom w:val="nil"/>
              <w:right w:val="nil"/>
            </w:tcBorders>
            <w:shd w:val="clear" w:color="auto" w:fill="auto"/>
            <w:noWrap/>
            <w:vAlign w:val="bottom"/>
          </w:tcPr>
          <w:p w14:paraId="35FDB40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(-0.18)</w:t>
            </w:r>
          </w:p>
        </w:tc>
        <w:tc>
          <w:tcPr>
            <w:tcW w:w="540" w:type="pct"/>
            <w:tcBorders>
              <w:top w:val="nil"/>
              <w:left w:val="nil"/>
              <w:bottom w:val="nil"/>
              <w:right w:val="nil"/>
            </w:tcBorders>
            <w:shd w:val="clear" w:color="auto" w:fill="auto"/>
            <w:noWrap/>
            <w:vAlign w:val="bottom"/>
          </w:tcPr>
          <w:p w14:paraId="60F15BF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w:t>
            </w:r>
          </w:p>
        </w:tc>
        <w:tc>
          <w:tcPr>
            <w:tcW w:w="538" w:type="pct"/>
            <w:tcBorders>
              <w:top w:val="nil"/>
              <w:left w:val="nil"/>
              <w:bottom w:val="nil"/>
              <w:right w:val="nil"/>
            </w:tcBorders>
            <w:shd w:val="clear" w:color="auto" w:fill="auto"/>
            <w:noWrap/>
            <w:vAlign w:val="bottom"/>
          </w:tcPr>
          <w:p w14:paraId="2661369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w:t>
            </w:r>
          </w:p>
        </w:tc>
      </w:tr>
      <w:tr w:rsidR="003273BD" w:rsidRPr="00245E91" w14:paraId="38A2CAC1" w14:textId="77777777" w:rsidTr="00D83DD8">
        <w:trPr>
          <w:trHeight w:val="144"/>
        </w:trPr>
        <w:tc>
          <w:tcPr>
            <w:tcW w:w="683" w:type="pct"/>
            <w:tcBorders>
              <w:top w:val="nil"/>
              <w:left w:val="nil"/>
              <w:bottom w:val="nil"/>
              <w:right w:val="nil"/>
            </w:tcBorders>
            <w:shd w:val="clear" w:color="auto" w:fill="auto"/>
            <w:noWrap/>
            <w:vAlign w:val="bottom"/>
            <w:hideMark/>
          </w:tcPr>
          <w:p w14:paraId="4D325D16"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BIG8</w:t>
            </w:r>
          </w:p>
        </w:tc>
        <w:tc>
          <w:tcPr>
            <w:tcW w:w="540" w:type="pct"/>
            <w:tcBorders>
              <w:top w:val="nil"/>
              <w:left w:val="nil"/>
              <w:bottom w:val="nil"/>
              <w:right w:val="nil"/>
            </w:tcBorders>
            <w:shd w:val="clear" w:color="auto" w:fill="auto"/>
            <w:noWrap/>
            <w:vAlign w:val="bottom"/>
            <w:hideMark/>
          </w:tcPr>
          <w:p w14:paraId="2029EDE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0.021</w:t>
            </w:r>
          </w:p>
        </w:tc>
        <w:tc>
          <w:tcPr>
            <w:tcW w:w="540" w:type="pct"/>
            <w:tcBorders>
              <w:top w:val="nil"/>
              <w:left w:val="nil"/>
              <w:bottom w:val="nil"/>
              <w:right w:val="nil"/>
            </w:tcBorders>
            <w:shd w:val="clear" w:color="auto" w:fill="auto"/>
            <w:noWrap/>
            <w:vAlign w:val="bottom"/>
            <w:hideMark/>
          </w:tcPr>
          <w:p w14:paraId="0399B49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0.005</w:t>
            </w:r>
          </w:p>
        </w:tc>
        <w:tc>
          <w:tcPr>
            <w:tcW w:w="540" w:type="pct"/>
            <w:tcBorders>
              <w:top w:val="nil"/>
              <w:left w:val="nil"/>
              <w:bottom w:val="nil"/>
              <w:right w:val="nil"/>
            </w:tcBorders>
            <w:shd w:val="clear" w:color="auto" w:fill="auto"/>
            <w:noWrap/>
            <w:vAlign w:val="bottom"/>
            <w:hideMark/>
          </w:tcPr>
          <w:p w14:paraId="3AB25C6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0.002</w:t>
            </w:r>
          </w:p>
        </w:tc>
        <w:tc>
          <w:tcPr>
            <w:tcW w:w="541" w:type="pct"/>
            <w:tcBorders>
              <w:top w:val="nil"/>
              <w:left w:val="nil"/>
              <w:bottom w:val="nil"/>
              <w:right w:val="single" w:sz="4" w:space="0" w:color="auto"/>
            </w:tcBorders>
            <w:shd w:val="clear" w:color="auto" w:fill="auto"/>
            <w:noWrap/>
            <w:vAlign w:val="bottom"/>
            <w:hideMark/>
          </w:tcPr>
          <w:p w14:paraId="67908B5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0.002</w:t>
            </w:r>
          </w:p>
        </w:tc>
        <w:tc>
          <w:tcPr>
            <w:tcW w:w="540" w:type="pct"/>
            <w:tcBorders>
              <w:top w:val="nil"/>
              <w:left w:val="single" w:sz="4" w:space="0" w:color="auto"/>
              <w:bottom w:val="nil"/>
              <w:right w:val="nil"/>
            </w:tcBorders>
            <w:shd w:val="clear" w:color="auto" w:fill="auto"/>
            <w:noWrap/>
            <w:vAlign w:val="bottom"/>
            <w:hideMark/>
          </w:tcPr>
          <w:p w14:paraId="2F3DE52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0.001</w:t>
            </w:r>
          </w:p>
        </w:tc>
        <w:tc>
          <w:tcPr>
            <w:tcW w:w="540" w:type="pct"/>
            <w:tcBorders>
              <w:top w:val="nil"/>
              <w:left w:val="nil"/>
              <w:bottom w:val="nil"/>
              <w:right w:val="nil"/>
            </w:tcBorders>
            <w:shd w:val="clear" w:color="auto" w:fill="auto"/>
            <w:noWrap/>
            <w:vAlign w:val="bottom"/>
            <w:hideMark/>
          </w:tcPr>
          <w:p w14:paraId="748D595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-0.005</w:t>
            </w:r>
          </w:p>
        </w:tc>
        <w:tc>
          <w:tcPr>
            <w:tcW w:w="540" w:type="pct"/>
            <w:tcBorders>
              <w:top w:val="nil"/>
              <w:left w:val="nil"/>
              <w:bottom w:val="nil"/>
              <w:right w:val="nil"/>
            </w:tcBorders>
            <w:shd w:val="clear" w:color="auto" w:fill="auto"/>
            <w:noWrap/>
            <w:vAlign w:val="bottom"/>
            <w:hideMark/>
          </w:tcPr>
          <w:p w14:paraId="6DA8693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-0.069</w:t>
            </w:r>
          </w:p>
        </w:tc>
        <w:tc>
          <w:tcPr>
            <w:tcW w:w="538" w:type="pct"/>
            <w:tcBorders>
              <w:top w:val="nil"/>
              <w:left w:val="nil"/>
              <w:bottom w:val="nil"/>
              <w:right w:val="nil"/>
            </w:tcBorders>
            <w:shd w:val="clear" w:color="auto" w:fill="auto"/>
            <w:noWrap/>
            <w:vAlign w:val="bottom"/>
            <w:hideMark/>
          </w:tcPr>
          <w:p w14:paraId="70D864E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-0.071</w:t>
            </w:r>
          </w:p>
        </w:tc>
      </w:tr>
      <w:tr w:rsidR="003273BD" w:rsidRPr="00245E91" w14:paraId="765D46FE" w14:textId="77777777" w:rsidTr="00D83DD8">
        <w:trPr>
          <w:trHeight w:val="144"/>
        </w:trPr>
        <w:tc>
          <w:tcPr>
            <w:tcW w:w="683" w:type="pct"/>
            <w:tcBorders>
              <w:top w:val="nil"/>
              <w:left w:val="nil"/>
              <w:bottom w:val="nil"/>
              <w:right w:val="nil"/>
            </w:tcBorders>
            <w:shd w:val="clear" w:color="auto" w:fill="auto"/>
            <w:noWrap/>
            <w:vAlign w:val="bottom"/>
            <w:hideMark/>
          </w:tcPr>
          <w:p w14:paraId="58491ECF"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40" w:type="pct"/>
            <w:tcBorders>
              <w:top w:val="nil"/>
              <w:left w:val="nil"/>
              <w:bottom w:val="nil"/>
              <w:right w:val="nil"/>
            </w:tcBorders>
            <w:shd w:val="clear" w:color="auto" w:fill="auto"/>
            <w:noWrap/>
            <w:vAlign w:val="bottom"/>
            <w:hideMark/>
          </w:tcPr>
          <w:p w14:paraId="082FDD1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(0.46)</w:t>
            </w:r>
          </w:p>
        </w:tc>
        <w:tc>
          <w:tcPr>
            <w:tcW w:w="540" w:type="pct"/>
            <w:tcBorders>
              <w:top w:val="nil"/>
              <w:left w:val="nil"/>
              <w:bottom w:val="nil"/>
              <w:right w:val="nil"/>
            </w:tcBorders>
            <w:shd w:val="clear" w:color="auto" w:fill="auto"/>
            <w:noWrap/>
            <w:vAlign w:val="bottom"/>
            <w:hideMark/>
          </w:tcPr>
          <w:p w14:paraId="2F4198C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(0.10)</w:t>
            </w:r>
          </w:p>
        </w:tc>
        <w:tc>
          <w:tcPr>
            <w:tcW w:w="540" w:type="pct"/>
            <w:tcBorders>
              <w:top w:val="nil"/>
              <w:left w:val="nil"/>
              <w:bottom w:val="nil"/>
              <w:right w:val="nil"/>
            </w:tcBorders>
            <w:shd w:val="clear" w:color="auto" w:fill="auto"/>
            <w:noWrap/>
            <w:vAlign w:val="bottom"/>
            <w:hideMark/>
          </w:tcPr>
          <w:p w14:paraId="028F6AA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w:t>
            </w:r>
          </w:p>
        </w:tc>
        <w:tc>
          <w:tcPr>
            <w:tcW w:w="541" w:type="pct"/>
            <w:tcBorders>
              <w:top w:val="nil"/>
              <w:left w:val="nil"/>
              <w:bottom w:val="nil"/>
              <w:right w:val="single" w:sz="4" w:space="0" w:color="auto"/>
            </w:tcBorders>
            <w:shd w:val="clear" w:color="auto" w:fill="auto"/>
            <w:noWrap/>
            <w:vAlign w:val="bottom"/>
            <w:hideMark/>
          </w:tcPr>
          <w:p w14:paraId="52FA75E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w:t>
            </w:r>
          </w:p>
        </w:tc>
        <w:tc>
          <w:tcPr>
            <w:tcW w:w="540" w:type="pct"/>
            <w:tcBorders>
              <w:top w:val="nil"/>
              <w:left w:val="single" w:sz="4" w:space="0" w:color="auto"/>
              <w:bottom w:val="nil"/>
              <w:right w:val="nil"/>
            </w:tcBorders>
            <w:shd w:val="clear" w:color="auto" w:fill="auto"/>
            <w:noWrap/>
            <w:vAlign w:val="bottom"/>
            <w:hideMark/>
          </w:tcPr>
          <w:p w14:paraId="6D893F4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w:t>
            </w:r>
          </w:p>
        </w:tc>
        <w:tc>
          <w:tcPr>
            <w:tcW w:w="540" w:type="pct"/>
            <w:tcBorders>
              <w:top w:val="nil"/>
              <w:left w:val="nil"/>
              <w:bottom w:val="nil"/>
              <w:right w:val="nil"/>
            </w:tcBorders>
            <w:shd w:val="clear" w:color="auto" w:fill="auto"/>
            <w:noWrap/>
            <w:vAlign w:val="bottom"/>
            <w:hideMark/>
          </w:tcPr>
          <w:p w14:paraId="454EB33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(-0.15)</w:t>
            </w:r>
          </w:p>
        </w:tc>
        <w:tc>
          <w:tcPr>
            <w:tcW w:w="540" w:type="pct"/>
            <w:tcBorders>
              <w:top w:val="nil"/>
              <w:left w:val="nil"/>
              <w:bottom w:val="nil"/>
              <w:right w:val="nil"/>
            </w:tcBorders>
            <w:shd w:val="clear" w:color="auto" w:fill="auto"/>
            <w:noWrap/>
            <w:vAlign w:val="bottom"/>
            <w:hideMark/>
          </w:tcPr>
          <w:p w14:paraId="773ED03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(-2.55**)</w:t>
            </w:r>
          </w:p>
        </w:tc>
        <w:tc>
          <w:tcPr>
            <w:tcW w:w="538" w:type="pct"/>
            <w:tcBorders>
              <w:top w:val="nil"/>
              <w:left w:val="nil"/>
              <w:bottom w:val="nil"/>
              <w:right w:val="nil"/>
            </w:tcBorders>
            <w:shd w:val="clear" w:color="auto" w:fill="auto"/>
            <w:noWrap/>
            <w:vAlign w:val="bottom"/>
            <w:hideMark/>
          </w:tcPr>
          <w:p w14:paraId="3FC7FDB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(-2.60***)</w:t>
            </w:r>
          </w:p>
        </w:tc>
      </w:tr>
      <w:tr w:rsidR="003273BD" w:rsidRPr="00245E91" w14:paraId="72A1DFED" w14:textId="77777777" w:rsidTr="00D83DD8">
        <w:trPr>
          <w:trHeight w:val="144"/>
        </w:trPr>
        <w:tc>
          <w:tcPr>
            <w:tcW w:w="683" w:type="pct"/>
            <w:tcBorders>
              <w:top w:val="nil"/>
              <w:left w:val="nil"/>
              <w:bottom w:val="nil"/>
              <w:right w:val="nil"/>
            </w:tcBorders>
            <w:shd w:val="clear" w:color="auto" w:fill="auto"/>
            <w:noWrap/>
            <w:vAlign w:val="bottom"/>
            <w:hideMark/>
          </w:tcPr>
          <w:p w14:paraId="73798597"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TENURE</w:t>
            </w:r>
          </w:p>
        </w:tc>
        <w:tc>
          <w:tcPr>
            <w:tcW w:w="540" w:type="pct"/>
            <w:tcBorders>
              <w:top w:val="nil"/>
              <w:left w:val="nil"/>
              <w:bottom w:val="nil"/>
              <w:right w:val="nil"/>
            </w:tcBorders>
            <w:shd w:val="clear" w:color="auto" w:fill="auto"/>
            <w:noWrap/>
            <w:vAlign w:val="bottom"/>
            <w:hideMark/>
          </w:tcPr>
          <w:p w14:paraId="1806F3D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0.041</w:t>
            </w:r>
          </w:p>
        </w:tc>
        <w:tc>
          <w:tcPr>
            <w:tcW w:w="540" w:type="pct"/>
            <w:tcBorders>
              <w:top w:val="nil"/>
              <w:left w:val="nil"/>
              <w:bottom w:val="nil"/>
              <w:right w:val="nil"/>
            </w:tcBorders>
            <w:shd w:val="clear" w:color="auto" w:fill="auto"/>
            <w:noWrap/>
            <w:vAlign w:val="bottom"/>
            <w:hideMark/>
          </w:tcPr>
          <w:p w14:paraId="5DC5F81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0.061</w:t>
            </w:r>
          </w:p>
        </w:tc>
        <w:tc>
          <w:tcPr>
            <w:tcW w:w="540" w:type="pct"/>
            <w:tcBorders>
              <w:top w:val="nil"/>
              <w:left w:val="nil"/>
              <w:bottom w:val="nil"/>
              <w:right w:val="nil"/>
            </w:tcBorders>
            <w:shd w:val="clear" w:color="auto" w:fill="auto"/>
            <w:noWrap/>
            <w:vAlign w:val="bottom"/>
            <w:hideMark/>
          </w:tcPr>
          <w:p w14:paraId="0ECB7AE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0.061</w:t>
            </w:r>
          </w:p>
        </w:tc>
        <w:tc>
          <w:tcPr>
            <w:tcW w:w="541" w:type="pct"/>
            <w:tcBorders>
              <w:top w:val="nil"/>
              <w:left w:val="nil"/>
              <w:bottom w:val="nil"/>
              <w:right w:val="single" w:sz="4" w:space="0" w:color="auto"/>
            </w:tcBorders>
            <w:shd w:val="clear" w:color="auto" w:fill="auto"/>
            <w:noWrap/>
            <w:vAlign w:val="bottom"/>
            <w:hideMark/>
          </w:tcPr>
          <w:p w14:paraId="2F369CA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0.059</w:t>
            </w:r>
          </w:p>
        </w:tc>
        <w:tc>
          <w:tcPr>
            <w:tcW w:w="540" w:type="pct"/>
            <w:tcBorders>
              <w:top w:val="nil"/>
              <w:left w:val="single" w:sz="4" w:space="0" w:color="auto"/>
              <w:bottom w:val="nil"/>
              <w:right w:val="nil"/>
            </w:tcBorders>
            <w:shd w:val="clear" w:color="auto" w:fill="auto"/>
            <w:noWrap/>
            <w:vAlign w:val="bottom"/>
            <w:hideMark/>
          </w:tcPr>
          <w:p w14:paraId="5D24770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0.059</w:t>
            </w:r>
          </w:p>
        </w:tc>
        <w:tc>
          <w:tcPr>
            <w:tcW w:w="540" w:type="pct"/>
            <w:tcBorders>
              <w:top w:val="nil"/>
              <w:left w:val="nil"/>
              <w:bottom w:val="nil"/>
              <w:right w:val="nil"/>
            </w:tcBorders>
            <w:shd w:val="clear" w:color="auto" w:fill="auto"/>
            <w:noWrap/>
            <w:vAlign w:val="bottom"/>
            <w:hideMark/>
          </w:tcPr>
          <w:p w14:paraId="5AF62E0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0.049</w:t>
            </w:r>
          </w:p>
        </w:tc>
        <w:tc>
          <w:tcPr>
            <w:tcW w:w="540" w:type="pct"/>
            <w:tcBorders>
              <w:top w:val="nil"/>
              <w:left w:val="nil"/>
              <w:bottom w:val="nil"/>
              <w:right w:val="nil"/>
            </w:tcBorders>
            <w:shd w:val="clear" w:color="auto" w:fill="auto"/>
            <w:noWrap/>
            <w:vAlign w:val="bottom"/>
            <w:hideMark/>
          </w:tcPr>
          <w:p w14:paraId="3150225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0.013</w:t>
            </w:r>
          </w:p>
        </w:tc>
        <w:tc>
          <w:tcPr>
            <w:tcW w:w="538" w:type="pct"/>
            <w:tcBorders>
              <w:top w:val="nil"/>
              <w:left w:val="nil"/>
              <w:bottom w:val="nil"/>
              <w:right w:val="nil"/>
            </w:tcBorders>
            <w:shd w:val="clear" w:color="auto" w:fill="auto"/>
            <w:noWrap/>
            <w:vAlign w:val="bottom"/>
            <w:hideMark/>
          </w:tcPr>
          <w:p w14:paraId="6A419FF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0.015</w:t>
            </w:r>
          </w:p>
        </w:tc>
      </w:tr>
      <w:tr w:rsidR="003273BD" w:rsidRPr="00245E91" w14:paraId="5C1FBFBA" w14:textId="77777777" w:rsidTr="00D83DD8">
        <w:trPr>
          <w:trHeight w:val="144"/>
        </w:trPr>
        <w:tc>
          <w:tcPr>
            <w:tcW w:w="683" w:type="pct"/>
            <w:tcBorders>
              <w:top w:val="nil"/>
              <w:left w:val="nil"/>
              <w:bottom w:val="nil"/>
              <w:right w:val="nil"/>
            </w:tcBorders>
            <w:shd w:val="clear" w:color="auto" w:fill="auto"/>
            <w:noWrap/>
            <w:vAlign w:val="bottom"/>
            <w:hideMark/>
          </w:tcPr>
          <w:p w14:paraId="47187F35"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40" w:type="pct"/>
            <w:tcBorders>
              <w:top w:val="nil"/>
              <w:left w:val="nil"/>
              <w:bottom w:val="nil"/>
              <w:right w:val="nil"/>
            </w:tcBorders>
            <w:shd w:val="clear" w:color="auto" w:fill="auto"/>
            <w:noWrap/>
            <w:vAlign w:val="bottom"/>
            <w:hideMark/>
          </w:tcPr>
          <w:p w14:paraId="11D4F4B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(1.34)</w:t>
            </w:r>
          </w:p>
        </w:tc>
        <w:tc>
          <w:tcPr>
            <w:tcW w:w="540" w:type="pct"/>
            <w:tcBorders>
              <w:top w:val="nil"/>
              <w:left w:val="nil"/>
              <w:bottom w:val="nil"/>
              <w:right w:val="nil"/>
            </w:tcBorders>
            <w:shd w:val="clear" w:color="auto" w:fill="auto"/>
            <w:noWrap/>
            <w:vAlign w:val="bottom"/>
            <w:hideMark/>
          </w:tcPr>
          <w:p w14:paraId="31BBD50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(2.14**)</w:t>
            </w:r>
          </w:p>
        </w:tc>
        <w:tc>
          <w:tcPr>
            <w:tcW w:w="540" w:type="pct"/>
            <w:tcBorders>
              <w:top w:val="nil"/>
              <w:left w:val="nil"/>
              <w:bottom w:val="nil"/>
              <w:right w:val="nil"/>
            </w:tcBorders>
            <w:shd w:val="clear" w:color="auto" w:fill="auto"/>
            <w:noWrap/>
            <w:vAlign w:val="bottom"/>
            <w:hideMark/>
          </w:tcPr>
          <w:p w14:paraId="0DE79C1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(2.75***)</w:t>
            </w:r>
          </w:p>
        </w:tc>
        <w:tc>
          <w:tcPr>
            <w:tcW w:w="541" w:type="pct"/>
            <w:tcBorders>
              <w:top w:val="nil"/>
              <w:left w:val="nil"/>
              <w:bottom w:val="nil"/>
              <w:right w:val="single" w:sz="4" w:space="0" w:color="auto"/>
            </w:tcBorders>
            <w:shd w:val="clear" w:color="auto" w:fill="auto"/>
            <w:noWrap/>
            <w:vAlign w:val="bottom"/>
            <w:hideMark/>
          </w:tcPr>
          <w:p w14:paraId="095C33E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(2.69***)</w:t>
            </w:r>
          </w:p>
        </w:tc>
        <w:tc>
          <w:tcPr>
            <w:tcW w:w="540" w:type="pct"/>
            <w:tcBorders>
              <w:top w:val="nil"/>
              <w:left w:val="single" w:sz="4" w:space="0" w:color="auto"/>
              <w:bottom w:val="nil"/>
              <w:right w:val="nil"/>
            </w:tcBorders>
            <w:shd w:val="clear" w:color="auto" w:fill="auto"/>
            <w:noWrap/>
            <w:vAlign w:val="bottom"/>
            <w:hideMark/>
          </w:tcPr>
          <w:p w14:paraId="314060C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(1.63)</w:t>
            </w:r>
          </w:p>
        </w:tc>
        <w:tc>
          <w:tcPr>
            <w:tcW w:w="540" w:type="pct"/>
            <w:tcBorders>
              <w:top w:val="nil"/>
              <w:left w:val="nil"/>
              <w:bottom w:val="nil"/>
              <w:right w:val="nil"/>
            </w:tcBorders>
            <w:shd w:val="clear" w:color="auto" w:fill="auto"/>
            <w:noWrap/>
            <w:vAlign w:val="bottom"/>
            <w:hideMark/>
          </w:tcPr>
          <w:p w14:paraId="0DCD00F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(1.61)</w:t>
            </w:r>
          </w:p>
        </w:tc>
        <w:tc>
          <w:tcPr>
            <w:tcW w:w="540" w:type="pct"/>
            <w:tcBorders>
              <w:top w:val="nil"/>
              <w:left w:val="nil"/>
              <w:bottom w:val="nil"/>
              <w:right w:val="nil"/>
            </w:tcBorders>
            <w:shd w:val="clear" w:color="auto" w:fill="auto"/>
            <w:noWrap/>
            <w:vAlign w:val="bottom"/>
            <w:hideMark/>
          </w:tcPr>
          <w:p w14:paraId="0CABD62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(0.63)</w:t>
            </w:r>
          </w:p>
        </w:tc>
        <w:tc>
          <w:tcPr>
            <w:tcW w:w="538" w:type="pct"/>
            <w:tcBorders>
              <w:top w:val="nil"/>
              <w:left w:val="nil"/>
              <w:bottom w:val="nil"/>
              <w:right w:val="nil"/>
            </w:tcBorders>
            <w:shd w:val="clear" w:color="auto" w:fill="auto"/>
            <w:noWrap/>
            <w:vAlign w:val="bottom"/>
            <w:hideMark/>
          </w:tcPr>
          <w:p w14:paraId="37448E9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(0.64)</w:t>
            </w:r>
          </w:p>
        </w:tc>
      </w:tr>
      <w:tr w:rsidR="003273BD" w:rsidRPr="00245E91" w14:paraId="0BB7F6EF" w14:textId="77777777" w:rsidTr="00D83DD8">
        <w:trPr>
          <w:trHeight w:val="144"/>
        </w:trPr>
        <w:tc>
          <w:tcPr>
            <w:tcW w:w="683" w:type="pct"/>
            <w:tcBorders>
              <w:top w:val="nil"/>
              <w:left w:val="nil"/>
              <w:bottom w:val="nil"/>
              <w:right w:val="nil"/>
            </w:tcBorders>
            <w:shd w:val="clear" w:color="auto" w:fill="auto"/>
            <w:noWrap/>
            <w:vAlign w:val="bottom"/>
            <w:hideMark/>
          </w:tcPr>
          <w:p w14:paraId="490B203B"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INSTOWN</w:t>
            </w:r>
          </w:p>
        </w:tc>
        <w:tc>
          <w:tcPr>
            <w:tcW w:w="540" w:type="pct"/>
            <w:tcBorders>
              <w:top w:val="nil"/>
              <w:left w:val="nil"/>
              <w:bottom w:val="nil"/>
              <w:right w:val="nil"/>
            </w:tcBorders>
            <w:shd w:val="clear" w:color="auto" w:fill="auto"/>
            <w:noWrap/>
            <w:vAlign w:val="bottom"/>
            <w:hideMark/>
          </w:tcPr>
          <w:p w14:paraId="4AE0533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0.068</w:t>
            </w:r>
          </w:p>
        </w:tc>
        <w:tc>
          <w:tcPr>
            <w:tcW w:w="540" w:type="pct"/>
            <w:tcBorders>
              <w:top w:val="nil"/>
              <w:left w:val="nil"/>
              <w:bottom w:val="nil"/>
              <w:right w:val="nil"/>
            </w:tcBorders>
            <w:shd w:val="clear" w:color="auto" w:fill="auto"/>
            <w:noWrap/>
            <w:vAlign w:val="bottom"/>
            <w:hideMark/>
          </w:tcPr>
          <w:p w14:paraId="1AE578B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0.072</w:t>
            </w:r>
          </w:p>
        </w:tc>
        <w:tc>
          <w:tcPr>
            <w:tcW w:w="540" w:type="pct"/>
            <w:tcBorders>
              <w:top w:val="nil"/>
              <w:left w:val="nil"/>
              <w:bottom w:val="nil"/>
              <w:right w:val="nil"/>
            </w:tcBorders>
            <w:shd w:val="clear" w:color="auto" w:fill="auto"/>
            <w:noWrap/>
            <w:vAlign w:val="bottom"/>
            <w:hideMark/>
          </w:tcPr>
          <w:p w14:paraId="7055CBF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-0.050</w:t>
            </w:r>
          </w:p>
        </w:tc>
        <w:tc>
          <w:tcPr>
            <w:tcW w:w="541" w:type="pct"/>
            <w:tcBorders>
              <w:top w:val="nil"/>
              <w:left w:val="nil"/>
              <w:bottom w:val="nil"/>
              <w:right w:val="single" w:sz="4" w:space="0" w:color="auto"/>
            </w:tcBorders>
            <w:shd w:val="clear" w:color="auto" w:fill="auto"/>
            <w:noWrap/>
            <w:vAlign w:val="bottom"/>
            <w:hideMark/>
          </w:tcPr>
          <w:p w14:paraId="267FA73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-0.055</w:t>
            </w:r>
          </w:p>
        </w:tc>
        <w:tc>
          <w:tcPr>
            <w:tcW w:w="540" w:type="pct"/>
            <w:tcBorders>
              <w:top w:val="nil"/>
              <w:left w:val="single" w:sz="4" w:space="0" w:color="auto"/>
              <w:bottom w:val="nil"/>
              <w:right w:val="nil"/>
            </w:tcBorders>
            <w:shd w:val="clear" w:color="auto" w:fill="auto"/>
            <w:noWrap/>
            <w:vAlign w:val="bottom"/>
            <w:hideMark/>
          </w:tcPr>
          <w:p w14:paraId="0A3FB29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0.064</w:t>
            </w:r>
          </w:p>
        </w:tc>
        <w:tc>
          <w:tcPr>
            <w:tcW w:w="540" w:type="pct"/>
            <w:tcBorders>
              <w:top w:val="nil"/>
              <w:left w:val="nil"/>
              <w:bottom w:val="nil"/>
              <w:right w:val="nil"/>
            </w:tcBorders>
            <w:shd w:val="clear" w:color="auto" w:fill="auto"/>
            <w:noWrap/>
            <w:vAlign w:val="bottom"/>
            <w:hideMark/>
          </w:tcPr>
          <w:p w14:paraId="48B3261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0.045</w:t>
            </w:r>
          </w:p>
        </w:tc>
        <w:tc>
          <w:tcPr>
            <w:tcW w:w="540" w:type="pct"/>
            <w:tcBorders>
              <w:top w:val="nil"/>
              <w:left w:val="nil"/>
              <w:bottom w:val="nil"/>
              <w:right w:val="nil"/>
            </w:tcBorders>
            <w:shd w:val="clear" w:color="auto" w:fill="auto"/>
            <w:noWrap/>
            <w:vAlign w:val="bottom"/>
            <w:hideMark/>
          </w:tcPr>
          <w:p w14:paraId="1BCA2FE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-0.005</w:t>
            </w:r>
          </w:p>
        </w:tc>
        <w:tc>
          <w:tcPr>
            <w:tcW w:w="538" w:type="pct"/>
            <w:tcBorders>
              <w:top w:val="nil"/>
              <w:left w:val="nil"/>
              <w:bottom w:val="nil"/>
              <w:right w:val="nil"/>
            </w:tcBorders>
            <w:shd w:val="clear" w:color="auto" w:fill="auto"/>
            <w:noWrap/>
            <w:vAlign w:val="bottom"/>
            <w:hideMark/>
          </w:tcPr>
          <w:p w14:paraId="369BA28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-0.004</w:t>
            </w:r>
          </w:p>
        </w:tc>
      </w:tr>
      <w:tr w:rsidR="003273BD" w:rsidRPr="00245E91" w14:paraId="4403BF45" w14:textId="77777777" w:rsidTr="00D83DD8">
        <w:trPr>
          <w:trHeight w:val="144"/>
        </w:trPr>
        <w:tc>
          <w:tcPr>
            <w:tcW w:w="683" w:type="pct"/>
            <w:tcBorders>
              <w:top w:val="nil"/>
              <w:left w:val="nil"/>
              <w:bottom w:val="nil"/>
              <w:right w:val="nil"/>
            </w:tcBorders>
            <w:shd w:val="clear" w:color="auto" w:fill="auto"/>
            <w:noWrap/>
            <w:vAlign w:val="bottom"/>
            <w:hideMark/>
          </w:tcPr>
          <w:p w14:paraId="2B88DE08"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40" w:type="pct"/>
            <w:tcBorders>
              <w:top w:val="nil"/>
              <w:left w:val="nil"/>
              <w:bottom w:val="nil"/>
              <w:right w:val="nil"/>
            </w:tcBorders>
            <w:shd w:val="clear" w:color="auto" w:fill="auto"/>
            <w:noWrap/>
            <w:vAlign w:val="bottom"/>
            <w:hideMark/>
          </w:tcPr>
          <w:p w14:paraId="3CBA9D0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(1.31)</w:t>
            </w:r>
          </w:p>
        </w:tc>
        <w:tc>
          <w:tcPr>
            <w:tcW w:w="540" w:type="pct"/>
            <w:tcBorders>
              <w:top w:val="nil"/>
              <w:left w:val="nil"/>
              <w:bottom w:val="nil"/>
              <w:right w:val="nil"/>
            </w:tcBorders>
            <w:shd w:val="clear" w:color="auto" w:fill="auto"/>
            <w:noWrap/>
            <w:vAlign w:val="bottom"/>
            <w:hideMark/>
          </w:tcPr>
          <w:p w14:paraId="5E26809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(1.62)</w:t>
            </w:r>
          </w:p>
        </w:tc>
        <w:tc>
          <w:tcPr>
            <w:tcW w:w="540" w:type="pct"/>
            <w:tcBorders>
              <w:top w:val="nil"/>
              <w:left w:val="nil"/>
              <w:bottom w:val="nil"/>
              <w:right w:val="nil"/>
            </w:tcBorders>
            <w:shd w:val="clear" w:color="auto" w:fill="auto"/>
            <w:noWrap/>
            <w:vAlign w:val="bottom"/>
            <w:hideMark/>
          </w:tcPr>
          <w:p w14:paraId="061EF38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(-1.70*)</w:t>
            </w:r>
          </w:p>
        </w:tc>
        <w:tc>
          <w:tcPr>
            <w:tcW w:w="541" w:type="pct"/>
            <w:tcBorders>
              <w:top w:val="nil"/>
              <w:left w:val="nil"/>
              <w:bottom w:val="nil"/>
              <w:right w:val="single" w:sz="4" w:space="0" w:color="auto"/>
            </w:tcBorders>
            <w:shd w:val="clear" w:color="auto" w:fill="auto"/>
            <w:noWrap/>
            <w:vAlign w:val="bottom"/>
            <w:hideMark/>
          </w:tcPr>
          <w:p w14:paraId="6C72168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(-1.91*)</w:t>
            </w:r>
          </w:p>
        </w:tc>
        <w:tc>
          <w:tcPr>
            <w:tcW w:w="540" w:type="pct"/>
            <w:tcBorders>
              <w:top w:val="nil"/>
              <w:left w:val="single" w:sz="4" w:space="0" w:color="auto"/>
              <w:bottom w:val="nil"/>
              <w:right w:val="nil"/>
            </w:tcBorders>
            <w:shd w:val="clear" w:color="auto" w:fill="auto"/>
            <w:noWrap/>
            <w:vAlign w:val="bottom"/>
            <w:hideMark/>
          </w:tcPr>
          <w:p w14:paraId="6FD71C9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(1.62)</w:t>
            </w:r>
          </w:p>
        </w:tc>
        <w:tc>
          <w:tcPr>
            <w:tcW w:w="540" w:type="pct"/>
            <w:tcBorders>
              <w:top w:val="nil"/>
              <w:left w:val="nil"/>
              <w:bottom w:val="nil"/>
              <w:right w:val="nil"/>
            </w:tcBorders>
            <w:shd w:val="clear" w:color="auto" w:fill="auto"/>
            <w:noWrap/>
            <w:vAlign w:val="bottom"/>
            <w:hideMark/>
          </w:tcPr>
          <w:p w14:paraId="2A71E90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(1.62)</w:t>
            </w:r>
          </w:p>
        </w:tc>
        <w:tc>
          <w:tcPr>
            <w:tcW w:w="540" w:type="pct"/>
            <w:tcBorders>
              <w:top w:val="nil"/>
              <w:left w:val="nil"/>
              <w:bottom w:val="nil"/>
              <w:right w:val="nil"/>
            </w:tcBorders>
            <w:shd w:val="clear" w:color="auto" w:fill="auto"/>
            <w:noWrap/>
            <w:vAlign w:val="bottom"/>
            <w:hideMark/>
          </w:tcPr>
          <w:p w14:paraId="6F05E00C"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(-0.22)</w:t>
            </w:r>
          </w:p>
        </w:tc>
        <w:tc>
          <w:tcPr>
            <w:tcW w:w="538" w:type="pct"/>
            <w:tcBorders>
              <w:top w:val="nil"/>
              <w:left w:val="nil"/>
              <w:bottom w:val="nil"/>
              <w:right w:val="nil"/>
            </w:tcBorders>
            <w:shd w:val="clear" w:color="auto" w:fill="auto"/>
            <w:noWrap/>
            <w:vAlign w:val="bottom"/>
            <w:hideMark/>
          </w:tcPr>
          <w:p w14:paraId="4F712E2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(-0.20)</w:t>
            </w:r>
          </w:p>
        </w:tc>
      </w:tr>
      <w:tr w:rsidR="003273BD" w:rsidRPr="00245E91" w14:paraId="48A8DFD4" w14:textId="77777777" w:rsidTr="00D83DD8">
        <w:trPr>
          <w:trHeight w:val="144"/>
        </w:trPr>
        <w:tc>
          <w:tcPr>
            <w:tcW w:w="683" w:type="pct"/>
            <w:tcBorders>
              <w:top w:val="nil"/>
              <w:left w:val="nil"/>
              <w:bottom w:val="nil"/>
              <w:right w:val="nil"/>
            </w:tcBorders>
            <w:shd w:val="clear" w:color="auto" w:fill="auto"/>
            <w:noWrap/>
            <w:vAlign w:val="bottom"/>
            <w:hideMark/>
          </w:tcPr>
          <w:p w14:paraId="5ECD89A4"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NUMANALYST</w:t>
            </w:r>
          </w:p>
        </w:tc>
        <w:tc>
          <w:tcPr>
            <w:tcW w:w="540" w:type="pct"/>
            <w:tcBorders>
              <w:top w:val="nil"/>
              <w:left w:val="nil"/>
              <w:bottom w:val="nil"/>
              <w:right w:val="nil"/>
            </w:tcBorders>
            <w:shd w:val="clear" w:color="auto" w:fill="auto"/>
            <w:noWrap/>
            <w:vAlign w:val="bottom"/>
            <w:hideMark/>
          </w:tcPr>
          <w:p w14:paraId="0E262EA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-0.079</w:t>
            </w:r>
          </w:p>
        </w:tc>
        <w:tc>
          <w:tcPr>
            <w:tcW w:w="540" w:type="pct"/>
            <w:tcBorders>
              <w:top w:val="nil"/>
              <w:left w:val="nil"/>
              <w:bottom w:val="nil"/>
              <w:right w:val="nil"/>
            </w:tcBorders>
            <w:shd w:val="clear" w:color="auto" w:fill="auto"/>
            <w:noWrap/>
            <w:vAlign w:val="bottom"/>
            <w:hideMark/>
          </w:tcPr>
          <w:p w14:paraId="69D94B0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-0.088</w:t>
            </w:r>
          </w:p>
        </w:tc>
        <w:tc>
          <w:tcPr>
            <w:tcW w:w="540" w:type="pct"/>
            <w:tcBorders>
              <w:top w:val="nil"/>
              <w:left w:val="nil"/>
              <w:bottom w:val="nil"/>
              <w:right w:val="nil"/>
            </w:tcBorders>
            <w:shd w:val="clear" w:color="auto" w:fill="auto"/>
            <w:noWrap/>
            <w:vAlign w:val="bottom"/>
            <w:hideMark/>
          </w:tcPr>
          <w:p w14:paraId="501F735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0.018</w:t>
            </w:r>
          </w:p>
        </w:tc>
        <w:tc>
          <w:tcPr>
            <w:tcW w:w="541" w:type="pct"/>
            <w:tcBorders>
              <w:top w:val="nil"/>
              <w:left w:val="nil"/>
              <w:bottom w:val="nil"/>
              <w:right w:val="single" w:sz="4" w:space="0" w:color="auto"/>
            </w:tcBorders>
            <w:shd w:val="clear" w:color="auto" w:fill="auto"/>
            <w:noWrap/>
            <w:vAlign w:val="bottom"/>
            <w:hideMark/>
          </w:tcPr>
          <w:p w14:paraId="6199258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0.021</w:t>
            </w:r>
          </w:p>
        </w:tc>
        <w:tc>
          <w:tcPr>
            <w:tcW w:w="540" w:type="pct"/>
            <w:tcBorders>
              <w:top w:val="nil"/>
              <w:left w:val="single" w:sz="4" w:space="0" w:color="auto"/>
              <w:bottom w:val="nil"/>
              <w:right w:val="nil"/>
            </w:tcBorders>
            <w:shd w:val="clear" w:color="auto" w:fill="auto"/>
            <w:noWrap/>
            <w:vAlign w:val="bottom"/>
            <w:hideMark/>
          </w:tcPr>
          <w:p w14:paraId="4B42749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-0.057</w:t>
            </w:r>
          </w:p>
        </w:tc>
        <w:tc>
          <w:tcPr>
            <w:tcW w:w="540" w:type="pct"/>
            <w:tcBorders>
              <w:top w:val="nil"/>
              <w:left w:val="nil"/>
              <w:bottom w:val="nil"/>
              <w:right w:val="nil"/>
            </w:tcBorders>
            <w:shd w:val="clear" w:color="auto" w:fill="auto"/>
            <w:noWrap/>
            <w:vAlign w:val="bottom"/>
            <w:hideMark/>
          </w:tcPr>
          <w:p w14:paraId="4F8024B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-0.064</w:t>
            </w:r>
          </w:p>
        </w:tc>
        <w:tc>
          <w:tcPr>
            <w:tcW w:w="540" w:type="pct"/>
            <w:tcBorders>
              <w:top w:val="nil"/>
              <w:left w:val="nil"/>
              <w:bottom w:val="nil"/>
              <w:right w:val="nil"/>
            </w:tcBorders>
            <w:shd w:val="clear" w:color="auto" w:fill="auto"/>
            <w:noWrap/>
            <w:vAlign w:val="bottom"/>
            <w:hideMark/>
          </w:tcPr>
          <w:p w14:paraId="020E5CF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0.048</w:t>
            </w:r>
          </w:p>
        </w:tc>
        <w:tc>
          <w:tcPr>
            <w:tcW w:w="538" w:type="pct"/>
            <w:tcBorders>
              <w:top w:val="nil"/>
              <w:left w:val="nil"/>
              <w:bottom w:val="nil"/>
              <w:right w:val="nil"/>
            </w:tcBorders>
            <w:shd w:val="clear" w:color="auto" w:fill="auto"/>
            <w:noWrap/>
            <w:vAlign w:val="bottom"/>
            <w:hideMark/>
          </w:tcPr>
          <w:p w14:paraId="7C118F0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0.048</w:t>
            </w:r>
          </w:p>
        </w:tc>
      </w:tr>
      <w:tr w:rsidR="003273BD" w:rsidRPr="00245E91" w14:paraId="3C429683" w14:textId="77777777" w:rsidTr="00D83DD8">
        <w:trPr>
          <w:trHeight w:val="144"/>
        </w:trPr>
        <w:tc>
          <w:tcPr>
            <w:tcW w:w="683" w:type="pct"/>
            <w:tcBorders>
              <w:top w:val="nil"/>
              <w:left w:val="nil"/>
              <w:bottom w:val="nil"/>
              <w:right w:val="nil"/>
            </w:tcBorders>
            <w:shd w:val="clear" w:color="auto" w:fill="auto"/>
            <w:noWrap/>
            <w:vAlign w:val="bottom"/>
            <w:hideMark/>
          </w:tcPr>
          <w:p w14:paraId="119FA228"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40" w:type="pct"/>
            <w:tcBorders>
              <w:top w:val="nil"/>
              <w:left w:val="nil"/>
              <w:bottom w:val="nil"/>
              <w:right w:val="nil"/>
            </w:tcBorders>
            <w:shd w:val="clear" w:color="auto" w:fill="auto"/>
            <w:noWrap/>
            <w:vAlign w:val="bottom"/>
            <w:hideMark/>
          </w:tcPr>
          <w:p w14:paraId="341C9FB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(-1.84*)</w:t>
            </w:r>
          </w:p>
        </w:tc>
        <w:tc>
          <w:tcPr>
            <w:tcW w:w="540" w:type="pct"/>
            <w:tcBorders>
              <w:top w:val="nil"/>
              <w:left w:val="nil"/>
              <w:bottom w:val="nil"/>
              <w:right w:val="nil"/>
            </w:tcBorders>
            <w:shd w:val="clear" w:color="auto" w:fill="auto"/>
            <w:noWrap/>
            <w:vAlign w:val="bottom"/>
            <w:hideMark/>
          </w:tcPr>
          <w:p w14:paraId="4927F86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(-2.22**)</w:t>
            </w:r>
          </w:p>
        </w:tc>
        <w:tc>
          <w:tcPr>
            <w:tcW w:w="540" w:type="pct"/>
            <w:tcBorders>
              <w:top w:val="nil"/>
              <w:left w:val="nil"/>
              <w:bottom w:val="nil"/>
              <w:right w:val="nil"/>
            </w:tcBorders>
            <w:shd w:val="clear" w:color="auto" w:fill="auto"/>
            <w:noWrap/>
            <w:vAlign w:val="bottom"/>
            <w:hideMark/>
          </w:tcPr>
          <w:p w14:paraId="1D70BDB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(0.677)</w:t>
            </w:r>
          </w:p>
        </w:tc>
        <w:tc>
          <w:tcPr>
            <w:tcW w:w="541" w:type="pct"/>
            <w:tcBorders>
              <w:top w:val="nil"/>
              <w:left w:val="nil"/>
              <w:bottom w:val="nil"/>
              <w:right w:val="single" w:sz="4" w:space="0" w:color="auto"/>
            </w:tcBorders>
            <w:shd w:val="clear" w:color="auto" w:fill="auto"/>
            <w:noWrap/>
            <w:vAlign w:val="bottom"/>
            <w:hideMark/>
          </w:tcPr>
          <w:p w14:paraId="0929ECF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(0.82)</w:t>
            </w:r>
          </w:p>
        </w:tc>
        <w:tc>
          <w:tcPr>
            <w:tcW w:w="540" w:type="pct"/>
            <w:tcBorders>
              <w:top w:val="nil"/>
              <w:left w:val="single" w:sz="4" w:space="0" w:color="auto"/>
              <w:bottom w:val="nil"/>
              <w:right w:val="nil"/>
            </w:tcBorders>
            <w:shd w:val="clear" w:color="auto" w:fill="auto"/>
            <w:noWrap/>
            <w:vAlign w:val="bottom"/>
            <w:hideMark/>
          </w:tcPr>
          <w:p w14:paraId="2874AC6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(-1.60)</w:t>
            </w:r>
          </w:p>
        </w:tc>
        <w:tc>
          <w:tcPr>
            <w:tcW w:w="540" w:type="pct"/>
            <w:tcBorders>
              <w:top w:val="nil"/>
              <w:left w:val="nil"/>
              <w:bottom w:val="nil"/>
              <w:right w:val="nil"/>
            </w:tcBorders>
            <w:shd w:val="clear" w:color="auto" w:fill="auto"/>
            <w:noWrap/>
            <w:vAlign w:val="bottom"/>
            <w:hideMark/>
          </w:tcPr>
          <w:p w14:paraId="1F05C74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(-2.00**)</w:t>
            </w:r>
          </w:p>
        </w:tc>
        <w:tc>
          <w:tcPr>
            <w:tcW w:w="540" w:type="pct"/>
            <w:tcBorders>
              <w:top w:val="nil"/>
              <w:left w:val="nil"/>
              <w:bottom w:val="nil"/>
              <w:right w:val="nil"/>
            </w:tcBorders>
            <w:shd w:val="clear" w:color="auto" w:fill="auto"/>
            <w:noWrap/>
            <w:vAlign w:val="bottom"/>
            <w:hideMark/>
          </w:tcPr>
          <w:p w14:paraId="3BB9BD1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(2.31**)</w:t>
            </w:r>
          </w:p>
        </w:tc>
        <w:tc>
          <w:tcPr>
            <w:tcW w:w="538" w:type="pct"/>
            <w:tcBorders>
              <w:top w:val="nil"/>
              <w:left w:val="nil"/>
              <w:bottom w:val="nil"/>
              <w:right w:val="nil"/>
            </w:tcBorders>
            <w:shd w:val="clear" w:color="auto" w:fill="auto"/>
            <w:noWrap/>
            <w:vAlign w:val="bottom"/>
            <w:hideMark/>
          </w:tcPr>
          <w:p w14:paraId="5F96EE5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(2.28**)</w:t>
            </w:r>
          </w:p>
        </w:tc>
      </w:tr>
      <w:tr w:rsidR="003273BD" w:rsidRPr="00245E91" w14:paraId="74E98C99" w14:textId="77777777" w:rsidTr="00D83DD8">
        <w:trPr>
          <w:trHeight w:val="144"/>
        </w:trPr>
        <w:tc>
          <w:tcPr>
            <w:tcW w:w="683" w:type="pct"/>
            <w:tcBorders>
              <w:top w:val="nil"/>
              <w:left w:val="nil"/>
              <w:bottom w:val="nil"/>
              <w:right w:val="nil"/>
            </w:tcBorders>
            <w:shd w:val="clear" w:color="auto" w:fill="auto"/>
            <w:noWrap/>
            <w:vAlign w:val="bottom"/>
            <w:hideMark/>
          </w:tcPr>
          <w:p w14:paraId="6194F2AF"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RESID_RM1</w:t>
            </w:r>
          </w:p>
        </w:tc>
        <w:tc>
          <w:tcPr>
            <w:tcW w:w="540" w:type="pct"/>
            <w:tcBorders>
              <w:top w:val="nil"/>
              <w:left w:val="nil"/>
              <w:bottom w:val="nil"/>
              <w:right w:val="nil"/>
            </w:tcBorders>
            <w:shd w:val="clear" w:color="auto" w:fill="auto"/>
            <w:noWrap/>
            <w:vAlign w:val="bottom"/>
            <w:hideMark/>
          </w:tcPr>
          <w:p w14:paraId="2A2F0E46" w14:textId="77777777" w:rsidR="003273BD" w:rsidRPr="00245E91" w:rsidRDefault="003273BD" w:rsidP="003273BD">
            <w:pPr>
              <w:spacing w:line="240" w:lineRule="auto"/>
              <w:contextualSpacing/>
              <w:rPr>
                <w:rFonts w:ascii="Times New Roman" w:hAnsi="Times New Roman"/>
                <w:color w:val="000000"/>
                <w:sz w:val="15"/>
                <w:szCs w:val="15"/>
              </w:rPr>
            </w:pPr>
          </w:p>
        </w:tc>
        <w:tc>
          <w:tcPr>
            <w:tcW w:w="540" w:type="pct"/>
            <w:tcBorders>
              <w:top w:val="nil"/>
              <w:left w:val="nil"/>
              <w:bottom w:val="nil"/>
              <w:right w:val="nil"/>
            </w:tcBorders>
            <w:shd w:val="clear" w:color="auto" w:fill="auto"/>
            <w:noWrap/>
            <w:vAlign w:val="bottom"/>
            <w:hideMark/>
          </w:tcPr>
          <w:p w14:paraId="6A436014" w14:textId="77777777" w:rsidR="003273BD" w:rsidRPr="00245E91" w:rsidRDefault="003273BD" w:rsidP="003273BD">
            <w:pPr>
              <w:spacing w:line="240" w:lineRule="auto"/>
              <w:contextualSpacing/>
              <w:rPr>
                <w:rFonts w:ascii="Times New Roman" w:hAnsi="Times New Roman"/>
                <w:sz w:val="15"/>
                <w:szCs w:val="15"/>
              </w:rPr>
            </w:pPr>
          </w:p>
        </w:tc>
        <w:tc>
          <w:tcPr>
            <w:tcW w:w="540" w:type="pct"/>
            <w:tcBorders>
              <w:top w:val="nil"/>
              <w:left w:val="nil"/>
              <w:bottom w:val="nil"/>
              <w:right w:val="nil"/>
            </w:tcBorders>
            <w:shd w:val="clear" w:color="auto" w:fill="auto"/>
            <w:noWrap/>
            <w:vAlign w:val="bottom"/>
            <w:hideMark/>
          </w:tcPr>
          <w:p w14:paraId="35C9D88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0.031</w:t>
            </w:r>
          </w:p>
        </w:tc>
        <w:tc>
          <w:tcPr>
            <w:tcW w:w="541" w:type="pct"/>
            <w:tcBorders>
              <w:top w:val="nil"/>
              <w:left w:val="nil"/>
              <w:bottom w:val="nil"/>
              <w:right w:val="single" w:sz="4" w:space="0" w:color="auto"/>
            </w:tcBorders>
            <w:shd w:val="clear" w:color="auto" w:fill="auto"/>
            <w:noWrap/>
            <w:vAlign w:val="bottom"/>
            <w:hideMark/>
          </w:tcPr>
          <w:p w14:paraId="1B837C4C" w14:textId="77777777" w:rsidR="003273BD" w:rsidRPr="00245E91" w:rsidRDefault="003273BD" w:rsidP="003273BD">
            <w:pPr>
              <w:spacing w:line="240" w:lineRule="auto"/>
              <w:contextualSpacing/>
              <w:rPr>
                <w:rFonts w:ascii="Times New Roman" w:hAnsi="Times New Roman"/>
                <w:color w:val="000000"/>
                <w:sz w:val="15"/>
                <w:szCs w:val="15"/>
              </w:rPr>
            </w:pPr>
          </w:p>
        </w:tc>
        <w:tc>
          <w:tcPr>
            <w:tcW w:w="540" w:type="pct"/>
            <w:tcBorders>
              <w:top w:val="nil"/>
              <w:left w:val="single" w:sz="4" w:space="0" w:color="auto"/>
              <w:bottom w:val="nil"/>
              <w:right w:val="nil"/>
            </w:tcBorders>
            <w:shd w:val="clear" w:color="auto" w:fill="auto"/>
            <w:noWrap/>
            <w:vAlign w:val="bottom"/>
            <w:hideMark/>
          </w:tcPr>
          <w:p w14:paraId="1E442243" w14:textId="77777777" w:rsidR="003273BD" w:rsidRPr="00245E91" w:rsidRDefault="003273BD" w:rsidP="003273BD">
            <w:pPr>
              <w:spacing w:line="240" w:lineRule="auto"/>
              <w:contextualSpacing/>
              <w:rPr>
                <w:rFonts w:ascii="Times New Roman" w:hAnsi="Times New Roman"/>
                <w:sz w:val="15"/>
                <w:szCs w:val="15"/>
              </w:rPr>
            </w:pPr>
          </w:p>
        </w:tc>
        <w:tc>
          <w:tcPr>
            <w:tcW w:w="540" w:type="pct"/>
            <w:tcBorders>
              <w:top w:val="nil"/>
              <w:left w:val="nil"/>
              <w:bottom w:val="nil"/>
              <w:right w:val="nil"/>
            </w:tcBorders>
            <w:shd w:val="clear" w:color="auto" w:fill="auto"/>
            <w:noWrap/>
            <w:vAlign w:val="bottom"/>
            <w:hideMark/>
          </w:tcPr>
          <w:p w14:paraId="36E33616" w14:textId="77777777" w:rsidR="003273BD" w:rsidRPr="00245E91" w:rsidRDefault="003273BD" w:rsidP="003273BD">
            <w:pPr>
              <w:spacing w:line="240" w:lineRule="auto"/>
              <w:contextualSpacing/>
              <w:rPr>
                <w:rFonts w:ascii="Times New Roman" w:hAnsi="Times New Roman"/>
                <w:sz w:val="15"/>
                <w:szCs w:val="15"/>
              </w:rPr>
            </w:pPr>
          </w:p>
        </w:tc>
        <w:tc>
          <w:tcPr>
            <w:tcW w:w="540" w:type="pct"/>
            <w:tcBorders>
              <w:top w:val="nil"/>
              <w:left w:val="nil"/>
              <w:bottom w:val="nil"/>
              <w:right w:val="nil"/>
            </w:tcBorders>
            <w:shd w:val="clear" w:color="auto" w:fill="auto"/>
            <w:noWrap/>
            <w:vAlign w:val="bottom"/>
            <w:hideMark/>
          </w:tcPr>
          <w:p w14:paraId="459ECA5A"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0.180</w:t>
            </w:r>
          </w:p>
        </w:tc>
        <w:tc>
          <w:tcPr>
            <w:tcW w:w="538" w:type="pct"/>
            <w:tcBorders>
              <w:top w:val="nil"/>
              <w:left w:val="nil"/>
              <w:bottom w:val="nil"/>
              <w:right w:val="nil"/>
            </w:tcBorders>
            <w:shd w:val="clear" w:color="auto" w:fill="auto"/>
            <w:noWrap/>
            <w:vAlign w:val="bottom"/>
            <w:hideMark/>
          </w:tcPr>
          <w:p w14:paraId="77C5A8CC" w14:textId="77777777" w:rsidR="003273BD" w:rsidRPr="00245E91" w:rsidRDefault="003273BD" w:rsidP="003273BD">
            <w:pPr>
              <w:spacing w:line="240" w:lineRule="auto"/>
              <w:contextualSpacing/>
              <w:rPr>
                <w:rFonts w:ascii="Times New Roman" w:hAnsi="Times New Roman"/>
                <w:color w:val="000000"/>
                <w:sz w:val="15"/>
                <w:szCs w:val="15"/>
              </w:rPr>
            </w:pPr>
          </w:p>
        </w:tc>
      </w:tr>
      <w:tr w:rsidR="003273BD" w:rsidRPr="00245E91" w14:paraId="663F4BA2" w14:textId="77777777" w:rsidTr="00D83DD8">
        <w:trPr>
          <w:trHeight w:val="144"/>
        </w:trPr>
        <w:tc>
          <w:tcPr>
            <w:tcW w:w="683" w:type="pct"/>
            <w:tcBorders>
              <w:top w:val="nil"/>
              <w:left w:val="nil"/>
              <w:bottom w:val="nil"/>
              <w:right w:val="nil"/>
            </w:tcBorders>
            <w:shd w:val="clear" w:color="auto" w:fill="auto"/>
            <w:noWrap/>
            <w:vAlign w:val="bottom"/>
            <w:hideMark/>
          </w:tcPr>
          <w:p w14:paraId="3EC3B867"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p>
        </w:tc>
        <w:tc>
          <w:tcPr>
            <w:tcW w:w="540" w:type="pct"/>
            <w:tcBorders>
              <w:top w:val="nil"/>
              <w:left w:val="nil"/>
              <w:bottom w:val="nil"/>
              <w:right w:val="nil"/>
            </w:tcBorders>
            <w:shd w:val="clear" w:color="auto" w:fill="auto"/>
            <w:noWrap/>
            <w:vAlign w:val="bottom"/>
            <w:hideMark/>
          </w:tcPr>
          <w:p w14:paraId="758613C4" w14:textId="77777777" w:rsidR="003273BD" w:rsidRPr="00245E91" w:rsidRDefault="003273BD" w:rsidP="003273BD">
            <w:pPr>
              <w:spacing w:line="240" w:lineRule="auto"/>
              <w:contextualSpacing/>
              <w:rPr>
                <w:rFonts w:ascii="Times New Roman" w:hAnsi="Times New Roman"/>
                <w:sz w:val="15"/>
                <w:szCs w:val="15"/>
              </w:rPr>
            </w:pPr>
          </w:p>
        </w:tc>
        <w:tc>
          <w:tcPr>
            <w:tcW w:w="540" w:type="pct"/>
            <w:tcBorders>
              <w:top w:val="nil"/>
              <w:left w:val="nil"/>
              <w:bottom w:val="nil"/>
              <w:right w:val="nil"/>
            </w:tcBorders>
            <w:shd w:val="clear" w:color="auto" w:fill="auto"/>
            <w:noWrap/>
            <w:vAlign w:val="bottom"/>
            <w:hideMark/>
          </w:tcPr>
          <w:p w14:paraId="33B149EE" w14:textId="77777777" w:rsidR="003273BD" w:rsidRPr="00245E91" w:rsidRDefault="003273BD" w:rsidP="003273BD">
            <w:pPr>
              <w:spacing w:line="240" w:lineRule="auto"/>
              <w:contextualSpacing/>
              <w:rPr>
                <w:rFonts w:ascii="Times New Roman" w:hAnsi="Times New Roman"/>
                <w:sz w:val="15"/>
                <w:szCs w:val="15"/>
              </w:rPr>
            </w:pPr>
          </w:p>
        </w:tc>
        <w:tc>
          <w:tcPr>
            <w:tcW w:w="540" w:type="pct"/>
            <w:tcBorders>
              <w:top w:val="nil"/>
              <w:left w:val="nil"/>
              <w:bottom w:val="nil"/>
              <w:right w:val="nil"/>
            </w:tcBorders>
            <w:shd w:val="clear" w:color="auto" w:fill="auto"/>
            <w:noWrap/>
            <w:vAlign w:val="bottom"/>
            <w:hideMark/>
          </w:tcPr>
          <w:p w14:paraId="336DEF8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(0.97)</w:t>
            </w:r>
          </w:p>
        </w:tc>
        <w:tc>
          <w:tcPr>
            <w:tcW w:w="541" w:type="pct"/>
            <w:tcBorders>
              <w:top w:val="nil"/>
              <w:left w:val="nil"/>
              <w:bottom w:val="nil"/>
              <w:right w:val="single" w:sz="4" w:space="0" w:color="auto"/>
            </w:tcBorders>
            <w:shd w:val="clear" w:color="auto" w:fill="auto"/>
            <w:noWrap/>
            <w:vAlign w:val="bottom"/>
            <w:hideMark/>
          </w:tcPr>
          <w:p w14:paraId="1B8ACD23" w14:textId="77777777" w:rsidR="003273BD" w:rsidRPr="00245E91" w:rsidRDefault="003273BD" w:rsidP="003273BD">
            <w:pPr>
              <w:spacing w:line="240" w:lineRule="auto"/>
              <w:contextualSpacing/>
              <w:rPr>
                <w:rFonts w:ascii="Times New Roman" w:hAnsi="Times New Roman"/>
                <w:color w:val="000000"/>
                <w:sz w:val="15"/>
                <w:szCs w:val="15"/>
              </w:rPr>
            </w:pPr>
          </w:p>
        </w:tc>
        <w:tc>
          <w:tcPr>
            <w:tcW w:w="540" w:type="pct"/>
            <w:tcBorders>
              <w:top w:val="nil"/>
              <w:left w:val="single" w:sz="4" w:space="0" w:color="auto"/>
              <w:bottom w:val="nil"/>
              <w:right w:val="nil"/>
            </w:tcBorders>
            <w:shd w:val="clear" w:color="auto" w:fill="auto"/>
            <w:noWrap/>
            <w:vAlign w:val="bottom"/>
            <w:hideMark/>
          </w:tcPr>
          <w:p w14:paraId="36EC68F2" w14:textId="77777777" w:rsidR="003273BD" w:rsidRPr="00245E91" w:rsidRDefault="003273BD" w:rsidP="003273BD">
            <w:pPr>
              <w:spacing w:line="240" w:lineRule="auto"/>
              <w:contextualSpacing/>
              <w:rPr>
                <w:rFonts w:ascii="Times New Roman" w:hAnsi="Times New Roman"/>
                <w:sz w:val="15"/>
                <w:szCs w:val="15"/>
              </w:rPr>
            </w:pPr>
          </w:p>
        </w:tc>
        <w:tc>
          <w:tcPr>
            <w:tcW w:w="540" w:type="pct"/>
            <w:tcBorders>
              <w:top w:val="nil"/>
              <w:left w:val="nil"/>
              <w:bottom w:val="nil"/>
              <w:right w:val="nil"/>
            </w:tcBorders>
            <w:shd w:val="clear" w:color="auto" w:fill="auto"/>
            <w:noWrap/>
            <w:vAlign w:val="bottom"/>
            <w:hideMark/>
          </w:tcPr>
          <w:p w14:paraId="2682CC5B" w14:textId="77777777" w:rsidR="003273BD" w:rsidRPr="00245E91" w:rsidRDefault="003273BD" w:rsidP="003273BD">
            <w:pPr>
              <w:spacing w:line="240" w:lineRule="auto"/>
              <w:contextualSpacing/>
              <w:rPr>
                <w:rFonts w:ascii="Times New Roman" w:hAnsi="Times New Roman"/>
                <w:sz w:val="15"/>
                <w:szCs w:val="15"/>
              </w:rPr>
            </w:pPr>
          </w:p>
        </w:tc>
        <w:tc>
          <w:tcPr>
            <w:tcW w:w="540" w:type="pct"/>
            <w:tcBorders>
              <w:top w:val="nil"/>
              <w:left w:val="nil"/>
              <w:bottom w:val="nil"/>
              <w:right w:val="nil"/>
            </w:tcBorders>
            <w:shd w:val="clear" w:color="auto" w:fill="auto"/>
            <w:noWrap/>
            <w:vAlign w:val="bottom"/>
            <w:hideMark/>
          </w:tcPr>
          <w:p w14:paraId="02E67AA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(4.66***)</w:t>
            </w:r>
          </w:p>
        </w:tc>
        <w:tc>
          <w:tcPr>
            <w:tcW w:w="538" w:type="pct"/>
            <w:tcBorders>
              <w:top w:val="nil"/>
              <w:left w:val="nil"/>
              <w:bottom w:val="nil"/>
              <w:right w:val="nil"/>
            </w:tcBorders>
            <w:shd w:val="clear" w:color="auto" w:fill="auto"/>
            <w:noWrap/>
            <w:vAlign w:val="bottom"/>
            <w:hideMark/>
          </w:tcPr>
          <w:p w14:paraId="5EFB3579" w14:textId="77777777" w:rsidR="003273BD" w:rsidRPr="00245E91" w:rsidRDefault="003273BD" w:rsidP="003273BD">
            <w:pPr>
              <w:spacing w:line="240" w:lineRule="auto"/>
              <w:contextualSpacing/>
              <w:rPr>
                <w:rFonts w:ascii="Times New Roman" w:hAnsi="Times New Roman"/>
                <w:color w:val="000000"/>
                <w:sz w:val="15"/>
                <w:szCs w:val="15"/>
              </w:rPr>
            </w:pPr>
          </w:p>
        </w:tc>
      </w:tr>
      <w:tr w:rsidR="003273BD" w:rsidRPr="00245E91" w14:paraId="0DCD8BB4" w14:textId="77777777" w:rsidTr="00D83DD8">
        <w:trPr>
          <w:trHeight w:val="144"/>
        </w:trPr>
        <w:tc>
          <w:tcPr>
            <w:tcW w:w="683" w:type="pct"/>
            <w:tcBorders>
              <w:top w:val="nil"/>
              <w:left w:val="nil"/>
              <w:bottom w:val="nil"/>
              <w:right w:val="nil"/>
            </w:tcBorders>
            <w:shd w:val="clear" w:color="auto" w:fill="auto"/>
            <w:noWrap/>
            <w:vAlign w:val="bottom"/>
          </w:tcPr>
          <w:p w14:paraId="25456D2E" w14:textId="77777777" w:rsidR="003273BD" w:rsidRPr="00245E91" w:rsidRDefault="003273BD" w:rsidP="003273BD">
            <w:pPr>
              <w:spacing w:after="0" w:line="240" w:lineRule="auto"/>
              <w:contextualSpacing/>
              <w:rPr>
                <w:rFonts w:ascii="Times New Roman" w:eastAsia="Times New Roman" w:hAnsi="Times New Roman"/>
                <w:i/>
                <w:color w:val="000000"/>
                <w:sz w:val="15"/>
                <w:szCs w:val="15"/>
              </w:rPr>
            </w:pPr>
            <w:r w:rsidRPr="00245E91">
              <w:rPr>
                <w:rFonts w:ascii="Times New Roman" w:eastAsia="Times New Roman" w:hAnsi="Times New Roman"/>
                <w:i/>
                <w:color w:val="000000"/>
                <w:sz w:val="15"/>
                <w:szCs w:val="15"/>
              </w:rPr>
              <w:t>RESID_RM2</w:t>
            </w:r>
          </w:p>
        </w:tc>
        <w:tc>
          <w:tcPr>
            <w:tcW w:w="540" w:type="pct"/>
            <w:tcBorders>
              <w:top w:val="nil"/>
              <w:left w:val="nil"/>
              <w:bottom w:val="nil"/>
              <w:right w:val="nil"/>
            </w:tcBorders>
            <w:shd w:val="clear" w:color="auto" w:fill="auto"/>
            <w:noWrap/>
            <w:vAlign w:val="bottom"/>
            <w:hideMark/>
          </w:tcPr>
          <w:p w14:paraId="737A43B1" w14:textId="77777777" w:rsidR="003273BD" w:rsidRPr="00245E91" w:rsidRDefault="003273BD" w:rsidP="003273BD">
            <w:pPr>
              <w:spacing w:line="240" w:lineRule="auto"/>
              <w:contextualSpacing/>
              <w:rPr>
                <w:rFonts w:ascii="Times New Roman" w:hAnsi="Times New Roman"/>
                <w:sz w:val="15"/>
                <w:szCs w:val="15"/>
              </w:rPr>
            </w:pPr>
          </w:p>
        </w:tc>
        <w:tc>
          <w:tcPr>
            <w:tcW w:w="540" w:type="pct"/>
            <w:tcBorders>
              <w:top w:val="nil"/>
              <w:left w:val="nil"/>
              <w:bottom w:val="nil"/>
              <w:right w:val="nil"/>
            </w:tcBorders>
            <w:shd w:val="clear" w:color="auto" w:fill="auto"/>
            <w:noWrap/>
            <w:vAlign w:val="bottom"/>
            <w:hideMark/>
          </w:tcPr>
          <w:p w14:paraId="3483D02B" w14:textId="77777777" w:rsidR="003273BD" w:rsidRPr="00245E91" w:rsidRDefault="003273BD" w:rsidP="003273BD">
            <w:pPr>
              <w:spacing w:line="240" w:lineRule="auto"/>
              <w:contextualSpacing/>
              <w:rPr>
                <w:rFonts w:ascii="Times New Roman" w:hAnsi="Times New Roman"/>
                <w:sz w:val="15"/>
                <w:szCs w:val="15"/>
              </w:rPr>
            </w:pPr>
          </w:p>
        </w:tc>
        <w:tc>
          <w:tcPr>
            <w:tcW w:w="540" w:type="pct"/>
            <w:tcBorders>
              <w:top w:val="nil"/>
              <w:left w:val="nil"/>
              <w:bottom w:val="nil"/>
              <w:right w:val="nil"/>
            </w:tcBorders>
            <w:shd w:val="clear" w:color="auto" w:fill="auto"/>
            <w:noWrap/>
            <w:vAlign w:val="bottom"/>
            <w:hideMark/>
          </w:tcPr>
          <w:p w14:paraId="3FD5C6A1" w14:textId="77777777" w:rsidR="003273BD" w:rsidRPr="00245E91" w:rsidRDefault="003273BD" w:rsidP="003273BD">
            <w:pPr>
              <w:spacing w:line="240" w:lineRule="auto"/>
              <w:contextualSpacing/>
              <w:rPr>
                <w:rFonts w:ascii="Times New Roman" w:hAnsi="Times New Roman"/>
                <w:sz w:val="15"/>
                <w:szCs w:val="15"/>
              </w:rPr>
            </w:pPr>
          </w:p>
        </w:tc>
        <w:tc>
          <w:tcPr>
            <w:tcW w:w="541" w:type="pct"/>
            <w:tcBorders>
              <w:top w:val="nil"/>
              <w:left w:val="nil"/>
              <w:bottom w:val="nil"/>
              <w:right w:val="single" w:sz="4" w:space="0" w:color="auto"/>
            </w:tcBorders>
            <w:shd w:val="clear" w:color="auto" w:fill="auto"/>
            <w:noWrap/>
            <w:vAlign w:val="bottom"/>
            <w:hideMark/>
          </w:tcPr>
          <w:p w14:paraId="0731F37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0.148</w:t>
            </w:r>
          </w:p>
        </w:tc>
        <w:tc>
          <w:tcPr>
            <w:tcW w:w="540" w:type="pct"/>
            <w:tcBorders>
              <w:top w:val="nil"/>
              <w:left w:val="single" w:sz="4" w:space="0" w:color="auto"/>
              <w:bottom w:val="nil"/>
              <w:right w:val="nil"/>
            </w:tcBorders>
            <w:shd w:val="clear" w:color="auto" w:fill="auto"/>
            <w:noWrap/>
            <w:vAlign w:val="bottom"/>
            <w:hideMark/>
          </w:tcPr>
          <w:p w14:paraId="2256FCEC" w14:textId="77777777" w:rsidR="003273BD" w:rsidRPr="00245E91" w:rsidRDefault="003273BD" w:rsidP="003273BD">
            <w:pPr>
              <w:spacing w:line="240" w:lineRule="auto"/>
              <w:contextualSpacing/>
              <w:rPr>
                <w:rFonts w:ascii="Times New Roman" w:hAnsi="Times New Roman"/>
                <w:color w:val="000000"/>
                <w:sz w:val="15"/>
                <w:szCs w:val="15"/>
              </w:rPr>
            </w:pPr>
          </w:p>
        </w:tc>
        <w:tc>
          <w:tcPr>
            <w:tcW w:w="540" w:type="pct"/>
            <w:tcBorders>
              <w:top w:val="nil"/>
              <w:left w:val="nil"/>
              <w:bottom w:val="nil"/>
              <w:right w:val="nil"/>
            </w:tcBorders>
            <w:shd w:val="clear" w:color="auto" w:fill="auto"/>
            <w:noWrap/>
            <w:vAlign w:val="bottom"/>
            <w:hideMark/>
          </w:tcPr>
          <w:p w14:paraId="7E319C88" w14:textId="77777777" w:rsidR="003273BD" w:rsidRPr="00245E91" w:rsidRDefault="003273BD" w:rsidP="003273BD">
            <w:pPr>
              <w:spacing w:line="240" w:lineRule="auto"/>
              <w:contextualSpacing/>
              <w:rPr>
                <w:rFonts w:ascii="Times New Roman" w:hAnsi="Times New Roman"/>
                <w:sz w:val="15"/>
                <w:szCs w:val="15"/>
              </w:rPr>
            </w:pPr>
          </w:p>
        </w:tc>
        <w:tc>
          <w:tcPr>
            <w:tcW w:w="540" w:type="pct"/>
            <w:tcBorders>
              <w:top w:val="nil"/>
              <w:left w:val="nil"/>
              <w:bottom w:val="nil"/>
              <w:right w:val="nil"/>
            </w:tcBorders>
            <w:shd w:val="clear" w:color="auto" w:fill="auto"/>
            <w:noWrap/>
            <w:vAlign w:val="bottom"/>
            <w:hideMark/>
          </w:tcPr>
          <w:p w14:paraId="504F1374" w14:textId="77777777" w:rsidR="003273BD" w:rsidRPr="00245E91" w:rsidRDefault="003273BD" w:rsidP="003273BD">
            <w:pPr>
              <w:spacing w:line="240" w:lineRule="auto"/>
              <w:contextualSpacing/>
              <w:rPr>
                <w:rFonts w:ascii="Times New Roman" w:hAnsi="Times New Roman"/>
                <w:sz w:val="15"/>
                <w:szCs w:val="15"/>
              </w:rPr>
            </w:pPr>
          </w:p>
        </w:tc>
        <w:tc>
          <w:tcPr>
            <w:tcW w:w="538" w:type="pct"/>
            <w:tcBorders>
              <w:top w:val="nil"/>
              <w:left w:val="nil"/>
              <w:bottom w:val="nil"/>
              <w:right w:val="nil"/>
            </w:tcBorders>
            <w:shd w:val="clear" w:color="auto" w:fill="auto"/>
            <w:noWrap/>
            <w:vAlign w:val="bottom"/>
            <w:hideMark/>
          </w:tcPr>
          <w:p w14:paraId="04AA215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0.138</w:t>
            </w:r>
          </w:p>
        </w:tc>
      </w:tr>
      <w:tr w:rsidR="003273BD" w:rsidRPr="00245E91" w14:paraId="78D55FF1" w14:textId="77777777" w:rsidTr="00D83DD8">
        <w:trPr>
          <w:trHeight w:val="144"/>
        </w:trPr>
        <w:tc>
          <w:tcPr>
            <w:tcW w:w="683" w:type="pct"/>
            <w:tcBorders>
              <w:top w:val="nil"/>
              <w:left w:val="nil"/>
              <w:bottom w:val="nil"/>
              <w:right w:val="nil"/>
            </w:tcBorders>
            <w:shd w:val="clear" w:color="auto" w:fill="auto"/>
            <w:noWrap/>
            <w:vAlign w:val="bottom"/>
          </w:tcPr>
          <w:p w14:paraId="2175395B" w14:textId="77777777" w:rsidR="003273BD" w:rsidRPr="00245E91" w:rsidRDefault="003273BD" w:rsidP="003273BD">
            <w:pPr>
              <w:spacing w:after="0" w:line="240" w:lineRule="auto"/>
              <w:contextualSpacing/>
              <w:rPr>
                <w:rFonts w:ascii="Times New Roman" w:eastAsia="Times New Roman" w:hAnsi="Times New Roman"/>
                <w:i/>
                <w:sz w:val="15"/>
                <w:szCs w:val="15"/>
              </w:rPr>
            </w:pPr>
          </w:p>
        </w:tc>
        <w:tc>
          <w:tcPr>
            <w:tcW w:w="540" w:type="pct"/>
            <w:tcBorders>
              <w:top w:val="nil"/>
              <w:left w:val="nil"/>
              <w:bottom w:val="nil"/>
              <w:right w:val="nil"/>
            </w:tcBorders>
            <w:shd w:val="clear" w:color="auto" w:fill="auto"/>
            <w:noWrap/>
            <w:vAlign w:val="bottom"/>
            <w:hideMark/>
          </w:tcPr>
          <w:p w14:paraId="29261E0B" w14:textId="77777777" w:rsidR="003273BD" w:rsidRPr="00245E91" w:rsidRDefault="003273BD" w:rsidP="003273BD">
            <w:pPr>
              <w:spacing w:line="240" w:lineRule="auto"/>
              <w:contextualSpacing/>
              <w:rPr>
                <w:rFonts w:ascii="Times New Roman" w:hAnsi="Times New Roman"/>
                <w:color w:val="000000"/>
                <w:sz w:val="15"/>
                <w:szCs w:val="15"/>
              </w:rPr>
            </w:pPr>
          </w:p>
        </w:tc>
        <w:tc>
          <w:tcPr>
            <w:tcW w:w="540" w:type="pct"/>
            <w:tcBorders>
              <w:top w:val="nil"/>
              <w:left w:val="nil"/>
              <w:bottom w:val="nil"/>
              <w:right w:val="nil"/>
            </w:tcBorders>
            <w:shd w:val="clear" w:color="auto" w:fill="auto"/>
            <w:noWrap/>
            <w:vAlign w:val="bottom"/>
            <w:hideMark/>
          </w:tcPr>
          <w:p w14:paraId="365B5880" w14:textId="77777777" w:rsidR="003273BD" w:rsidRPr="00245E91" w:rsidRDefault="003273BD" w:rsidP="003273BD">
            <w:pPr>
              <w:spacing w:line="240" w:lineRule="auto"/>
              <w:contextualSpacing/>
              <w:rPr>
                <w:rFonts w:ascii="Times New Roman" w:hAnsi="Times New Roman"/>
                <w:sz w:val="15"/>
                <w:szCs w:val="15"/>
              </w:rPr>
            </w:pPr>
          </w:p>
        </w:tc>
        <w:tc>
          <w:tcPr>
            <w:tcW w:w="540" w:type="pct"/>
            <w:tcBorders>
              <w:top w:val="nil"/>
              <w:left w:val="nil"/>
              <w:bottom w:val="nil"/>
              <w:right w:val="nil"/>
            </w:tcBorders>
            <w:shd w:val="clear" w:color="auto" w:fill="auto"/>
            <w:noWrap/>
            <w:vAlign w:val="bottom"/>
            <w:hideMark/>
          </w:tcPr>
          <w:p w14:paraId="695EEB6F" w14:textId="77777777" w:rsidR="003273BD" w:rsidRPr="00245E91" w:rsidRDefault="003273BD" w:rsidP="003273BD">
            <w:pPr>
              <w:spacing w:line="240" w:lineRule="auto"/>
              <w:contextualSpacing/>
              <w:rPr>
                <w:rFonts w:ascii="Times New Roman" w:hAnsi="Times New Roman"/>
                <w:sz w:val="15"/>
                <w:szCs w:val="15"/>
              </w:rPr>
            </w:pPr>
          </w:p>
        </w:tc>
        <w:tc>
          <w:tcPr>
            <w:tcW w:w="541" w:type="pct"/>
            <w:tcBorders>
              <w:top w:val="nil"/>
              <w:left w:val="nil"/>
              <w:bottom w:val="nil"/>
              <w:right w:val="single" w:sz="4" w:space="0" w:color="auto"/>
            </w:tcBorders>
            <w:shd w:val="clear" w:color="auto" w:fill="auto"/>
            <w:noWrap/>
            <w:vAlign w:val="bottom"/>
            <w:hideMark/>
          </w:tcPr>
          <w:p w14:paraId="797ADF5B"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(4.45***)</w:t>
            </w:r>
          </w:p>
        </w:tc>
        <w:tc>
          <w:tcPr>
            <w:tcW w:w="540" w:type="pct"/>
            <w:tcBorders>
              <w:top w:val="nil"/>
              <w:left w:val="single" w:sz="4" w:space="0" w:color="auto"/>
              <w:bottom w:val="nil"/>
              <w:right w:val="nil"/>
            </w:tcBorders>
            <w:shd w:val="clear" w:color="auto" w:fill="auto"/>
            <w:noWrap/>
            <w:vAlign w:val="bottom"/>
            <w:hideMark/>
          </w:tcPr>
          <w:p w14:paraId="79D7A4AF" w14:textId="77777777" w:rsidR="003273BD" w:rsidRPr="00245E91" w:rsidRDefault="003273BD" w:rsidP="003273BD">
            <w:pPr>
              <w:spacing w:line="240" w:lineRule="auto"/>
              <w:contextualSpacing/>
              <w:rPr>
                <w:rFonts w:ascii="Times New Roman" w:hAnsi="Times New Roman"/>
                <w:color w:val="000000"/>
                <w:sz w:val="15"/>
                <w:szCs w:val="15"/>
              </w:rPr>
            </w:pPr>
          </w:p>
        </w:tc>
        <w:tc>
          <w:tcPr>
            <w:tcW w:w="540" w:type="pct"/>
            <w:tcBorders>
              <w:top w:val="nil"/>
              <w:left w:val="nil"/>
              <w:bottom w:val="nil"/>
              <w:right w:val="nil"/>
            </w:tcBorders>
            <w:shd w:val="clear" w:color="auto" w:fill="auto"/>
            <w:noWrap/>
            <w:vAlign w:val="bottom"/>
            <w:hideMark/>
          </w:tcPr>
          <w:p w14:paraId="60D5CCE0" w14:textId="77777777" w:rsidR="003273BD" w:rsidRPr="00245E91" w:rsidRDefault="003273BD" w:rsidP="003273BD">
            <w:pPr>
              <w:spacing w:line="240" w:lineRule="auto"/>
              <w:contextualSpacing/>
              <w:rPr>
                <w:rFonts w:ascii="Times New Roman" w:hAnsi="Times New Roman"/>
                <w:sz w:val="15"/>
                <w:szCs w:val="15"/>
              </w:rPr>
            </w:pPr>
          </w:p>
        </w:tc>
        <w:tc>
          <w:tcPr>
            <w:tcW w:w="540" w:type="pct"/>
            <w:tcBorders>
              <w:top w:val="nil"/>
              <w:left w:val="nil"/>
              <w:bottom w:val="nil"/>
              <w:right w:val="nil"/>
            </w:tcBorders>
            <w:shd w:val="clear" w:color="auto" w:fill="auto"/>
            <w:noWrap/>
            <w:vAlign w:val="bottom"/>
            <w:hideMark/>
          </w:tcPr>
          <w:p w14:paraId="05219E98" w14:textId="77777777" w:rsidR="003273BD" w:rsidRPr="00245E91" w:rsidRDefault="003273BD" w:rsidP="003273BD">
            <w:pPr>
              <w:spacing w:line="240" w:lineRule="auto"/>
              <w:contextualSpacing/>
              <w:rPr>
                <w:rFonts w:ascii="Times New Roman" w:hAnsi="Times New Roman"/>
                <w:sz w:val="15"/>
                <w:szCs w:val="15"/>
              </w:rPr>
            </w:pPr>
          </w:p>
        </w:tc>
        <w:tc>
          <w:tcPr>
            <w:tcW w:w="538" w:type="pct"/>
            <w:tcBorders>
              <w:top w:val="nil"/>
              <w:left w:val="nil"/>
              <w:bottom w:val="nil"/>
              <w:right w:val="nil"/>
            </w:tcBorders>
            <w:shd w:val="clear" w:color="auto" w:fill="auto"/>
            <w:noWrap/>
            <w:vAlign w:val="bottom"/>
            <w:hideMark/>
          </w:tcPr>
          <w:p w14:paraId="75CDF24D"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(4.83***)</w:t>
            </w:r>
          </w:p>
        </w:tc>
      </w:tr>
      <w:tr w:rsidR="003273BD" w:rsidRPr="00245E91" w14:paraId="208129A6" w14:textId="77777777" w:rsidTr="00D83DD8">
        <w:trPr>
          <w:trHeight w:val="144"/>
        </w:trPr>
        <w:tc>
          <w:tcPr>
            <w:tcW w:w="683" w:type="pct"/>
            <w:tcBorders>
              <w:top w:val="nil"/>
              <w:left w:val="nil"/>
              <w:bottom w:val="nil"/>
              <w:right w:val="nil"/>
            </w:tcBorders>
            <w:shd w:val="clear" w:color="auto" w:fill="auto"/>
            <w:noWrap/>
            <w:vAlign w:val="bottom"/>
            <w:hideMark/>
          </w:tcPr>
          <w:p w14:paraId="2CCE9704" w14:textId="77777777" w:rsidR="003273BD" w:rsidRPr="00245E91" w:rsidRDefault="003273BD" w:rsidP="003273BD">
            <w:pPr>
              <w:spacing w:before="120"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Adj. R-squared</w:t>
            </w:r>
          </w:p>
        </w:tc>
        <w:tc>
          <w:tcPr>
            <w:tcW w:w="540" w:type="pct"/>
            <w:tcBorders>
              <w:top w:val="nil"/>
              <w:left w:val="nil"/>
              <w:bottom w:val="nil"/>
              <w:right w:val="nil"/>
            </w:tcBorders>
            <w:shd w:val="clear" w:color="auto" w:fill="auto"/>
            <w:noWrap/>
            <w:vAlign w:val="bottom"/>
            <w:hideMark/>
          </w:tcPr>
          <w:p w14:paraId="0C842EAD" w14:textId="77777777" w:rsidR="003273BD" w:rsidRPr="00245E91" w:rsidRDefault="003273BD" w:rsidP="003273BD">
            <w:pPr>
              <w:spacing w:before="120"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0.12</w:t>
            </w:r>
          </w:p>
        </w:tc>
        <w:tc>
          <w:tcPr>
            <w:tcW w:w="540" w:type="pct"/>
            <w:tcBorders>
              <w:top w:val="nil"/>
              <w:left w:val="nil"/>
              <w:bottom w:val="nil"/>
              <w:right w:val="nil"/>
            </w:tcBorders>
            <w:shd w:val="clear" w:color="auto" w:fill="auto"/>
            <w:noWrap/>
            <w:vAlign w:val="bottom"/>
            <w:hideMark/>
          </w:tcPr>
          <w:p w14:paraId="45FF5B7E" w14:textId="77777777" w:rsidR="003273BD" w:rsidRPr="00245E91" w:rsidRDefault="003273BD" w:rsidP="003273BD">
            <w:pPr>
              <w:spacing w:before="120"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0.13</w:t>
            </w:r>
          </w:p>
        </w:tc>
        <w:tc>
          <w:tcPr>
            <w:tcW w:w="540" w:type="pct"/>
            <w:tcBorders>
              <w:top w:val="nil"/>
              <w:left w:val="nil"/>
              <w:bottom w:val="nil"/>
              <w:right w:val="nil"/>
            </w:tcBorders>
            <w:shd w:val="clear" w:color="auto" w:fill="auto"/>
            <w:noWrap/>
            <w:vAlign w:val="bottom"/>
            <w:hideMark/>
          </w:tcPr>
          <w:p w14:paraId="7065D6E6" w14:textId="77777777" w:rsidR="003273BD" w:rsidRPr="00245E91" w:rsidRDefault="003273BD" w:rsidP="003273BD">
            <w:pPr>
              <w:spacing w:before="120"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0.25</w:t>
            </w:r>
          </w:p>
        </w:tc>
        <w:tc>
          <w:tcPr>
            <w:tcW w:w="541" w:type="pct"/>
            <w:tcBorders>
              <w:top w:val="nil"/>
              <w:left w:val="nil"/>
              <w:bottom w:val="nil"/>
              <w:right w:val="single" w:sz="4" w:space="0" w:color="auto"/>
            </w:tcBorders>
            <w:shd w:val="clear" w:color="auto" w:fill="auto"/>
            <w:noWrap/>
            <w:vAlign w:val="bottom"/>
            <w:hideMark/>
          </w:tcPr>
          <w:p w14:paraId="0DF22580" w14:textId="77777777" w:rsidR="003273BD" w:rsidRPr="00245E91" w:rsidRDefault="003273BD" w:rsidP="003273BD">
            <w:pPr>
              <w:spacing w:before="120"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0.27</w:t>
            </w:r>
          </w:p>
        </w:tc>
        <w:tc>
          <w:tcPr>
            <w:tcW w:w="540" w:type="pct"/>
            <w:tcBorders>
              <w:top w:val="nil"/>
              <w:left w:val="single" w:sz="4" w:space="0" w:color="auto"/>
              <w:bottom w:val="nil"/>
              <w:right w:val="nil"/>
            </w:tcBorders>
            <w:shd w:val="clear" w:color="auto" w:fill="auto"/>
            <w:noWrap/>
            <w:vAlign w:val="bottom"/>
            <w:hideMark/>
          </w:tcPr>
          <w:p w14:paraId="1D95615D" w14:textId="77777777" w:rsidR="003273BD" w:rsidRPr="00245E91" w:rsidRDefault="003273BD" w:rsidP="003273BD">
            <w:pPr>
              <w:spacing w:before="120"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0.11</w:t>
            </w:r>
          </w:p>
        </w:tc>
        <w:tc>
          <w:tcPr>
            <w:tcW w:w="540" w:type="pct"/>
            <w:tcBorders>
              <w:top w:val="nil"/>
              <w:left w:val="nil"/>
              <w:bottom w:val="nil"/>
              <w:right w:val="nil"/>
            </w:tcBorders>
            <w:shd w:val="clear" w:color="auto" w:fill="auto"/>
            <w:noWrap/>
            <w:vAlign w:val="bottom"/>
            <w:hideMark/>
          </w:tcPr>
          <w:p w14:paraId="06C4F9AA" w14:textId="77777777" w:rsidR="003273BD" w:rsidRPr="00245E91" w:rsidRDefault="003273BD" w:rsidP="003273BD">
            <w:pPr>
              <w:spacing w:before="120"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0.16</w:t>
            </w:r>
          </w:p>
        </w:tc>
        <w:tc>
          <w:tcPr>
            <w:tcW w:w="540" w:type="pct"/>
            <w:tcBorders>
              <w:top w:val="nil"/>
              <w:left w:val="nil"/>
              <w:bottom w:val="nil"/>
              <w:right w:val="nil"/>
            </w:tcBorders>
            <w:shd w:val="clear" w:color="auto" w:fill="auto"/>
            <w:noWrap/>
            <w:vAlign w:val="bottom"/>
            <w:hideMark/>
          </w:tcPr>
          <w:p w14:paraId="4DAAB02B" w14:textId="77777777" w:rsidR="003273BD" w:rsidRPr="00245E91" w:rsidRDefault="003273BD" w:rsidP="003273BD">
            <w:pPr>
              <w:spacing w:before="120" w:line="240" w:lineRule="auto"/>
              <w:contextualSpacing/>
              <w:rPr>
                <w:rFonts w:ascii="Times New Roman" w:hAnsi="Times New Roman"/>
                <w:color w:val="000000"/>
                <w:sz w:val="15"/>
                <w:szCs w:val="15"/>
              </w:rPr>
            </w:pPr>
            <w:r w:rsidRPr="00245E91">
              <w:rPr>
                <w:rFonts w:ascii="Times New Roman" w:hAnsi="Times New Roman"/>
                <w:color w:val="000000"/>
                <w:sz w:val="15"/>
                <w:szCs w:val="15"/>
              </w:rPr>
              <w:t>0.20</w:t>
            </w:r>
          </w:p>
        </w:tc>
        <w:tc>
          <w:tcPr>
            <w:tcW w:w="538" w:type="pct"/>
            <w:tcBorders>
              <w:top w:val="nil"/>
              <w:left w:val="nil"/>
              <w:bottom w:val="nil"/>
              <w:right w:val="nil"/>
            </w:tcBorders>
            <w:shd w:val="clear" w:color="auto" w:fill="auto"/>
            <w:noWrap/>
            <w:vAlign w:val="bottom"/>
            <w:hideMark/>
          </w:tcPr>
          <w:p w14:paraId="2835516A" w14:textId="77777777" w:rsidR="003273BD" w:rsidRPr="00245E91" w:rsidRDefault="003273BD" w:rsidP="003273BD">
            <w:pPr>
              <w:spacing w:before="120" w:line="240" w:lineRule="auto"/>
              <w:contextualSpacing/>
              <w:rPr>
                <w:rFonts w:ascii="Times New Roman" w:hAnsi="Times New Roman"/>
                <w:color w:val="000000"/>
                <w:sz w:val="15"/>
                <w:szCs w:val="15"/>
              </w:rPr>
            </w:pPr>
            <w:r w:rsidRPr="00245E91">
              <w:rPr>
                <w:rFonts w:ascii="Times New Roman" w:hAnsi="Times New Roman"/>
                <w:color w:val="000000"/>
                <w:sz w:val="15"/>
                <w:szCs w:val="15"/>
              </w:rPr>
              <w:t>0.18</w:t>
            </w:r>
          </w:p>
        </w:tc>
      </w:tr>
      <w:tr w:rsidR="003273BD" w:rsidRPr="00245E91" w14:paraId="21C6ADFA" w14:textId="77777777" w:rsidTr="00D83DD8">
        <w:trPr>
          <w:trHeight w:val="144"/>
        </w:trPr>
        <w:tc>
          <w:tcPr>
            <w:tcW w:w="683" w:type="pct"/>
            <w:tcBorders>
              <w:top w:val="nil"/>
              <w:left w:val="nil"/>
              <w:bottom w:val="nil"/>
              <w:right w:val="nil"/>
            </w:tcBorders>
            <w:shd w:val="clear" w:color="auto" w:fill="auto"/>
            <w:noWrap/>
            <w:vAlign w:val="bottom"/>
            <w:hideMark/>
          </w:tcPr>
          <w:p w14:paraId="16278C7D" w14:textId="77777777" w:rsidR="003273BD" w:rsidRPr="00245E91" w:rsidRDefault="003273BD" w:rsidP="003273BD">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Year fixed effect</w:t>
            </w:r>
          </w:p>
        </w:tc>
        <w:tc>
          <w:tcPr>
            <w:tcW w:w="540" w:type="pct"/>
            <w:tcBorders>
              <w:top w:val="nil"/>
              <w:left w:val="nil"/>
              <w:bottom w:val="nil"/>
              <w:right w:val="nil"/>
            </w:tcBorders>
            <w:shd w:val="clear" w:color="auto" w:fill="auto"/>
            <w:noWrap/>
            <w:vAlign w:val="bottom"/>
            <w:hideMark/>
          </w:tcPr>
          <w:p w14:paraId="0645605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40" w:type="pct"/>
            <w:tcBorders>
              <w:top w:val="nil"/>
              <w:left w:val="nil"/>
              <w:bottom w:val="nil"/>
              <w:right w:val="nil"/>
            </w:tcBorders>
            <w:shd w:val="clear" w:color="auto" w:fill="auto"/>
            <w:noWrap/>
            <w:vAlign w:val="bottom"/>
            <w:hideMark/>
          </w:tcPr>
          <w:p w14:paraId="2E8CD32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40" w:type="pct"/>
            <w:tcBorders>
              <w:top w:val="nil"/>
              <w:left w:val="nil"/>
              <w:bottom w:val="nil"/>
              <w:right w:val="nil"/>
            </w:tcBorders>
            <w:shd w:val="clear" w:color="auto" w:fill="auto"/>
            <w:noWrap/>
            <w:vAlign w:val="bottom"/>
            <w:hideMark/>
          </w:tcPr>
          <w:p w14:paraId="6B8D3CD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41" w:type="pct"/>
            <w:tcBorders>
              <w:top w:val="nil"/>
              <w:left w:val="nil"/>
              <w:bottom w:val="nil"/>
              <w:right w:val="single" w:sz="4" w:space="0" w:color="auto"/>
            </w:tcBorders>
            <w:shd w:val="clear" w:color="auto" w:fill="auto"/>
            <w:noWrap/>
            <w:vAlign w:val="bottom"/>
            <w:hideMark/>
          </w:tcPr>
          <w:p w14:paraId="2463A407"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40" w:type="pct"/>
            <w:tcBorders>
              <w:top w:val="nil"/>
              <w:left w:val="single" w:sz="4" w:space="0" w:color="auto"/>
              <w:bottom w:val="nil"/>
              <w:right w:val="nil"/>
            </w:tcBorders>
            <w:shd w:val="clear" w:color="auto" w:fill="auto"/>
            <w:noWrap/>
            <w:vAlign w:val="bottom"/>
            <w:hideMark/>
          </w:tcPr>
          <w:p w14:paraId="1D9862B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40" w:type="pct"/>
            <w:tcBorders>
              <w:top w:val="nil"/>
              <w:left w:val="nil"/>
              <w:bottom w:val="nil"/>
              <w:right w:val="nil"/>
            </w:tcBorders>
            <w:shd w:val="clear" w:color="auto" w:fill="auto"/>
            <w:noWrap/>
            <w:vAlign w:val="bottom"/>
            <w:hideMark/>
          </w:tcPr>
          <w:p w14:paraId="7A0F7C2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40" w:type="pct"/>
            <w:tcBorders>
              <w:top w:val="nil"/>
              <w:left w:val="nil"/>
              <w:bottom w:val="nil"/>
              <w:right w:val="nil"/>
            </w:tcBorders>
            <w:shd w:val="clear" w:color="auto" w:fill="auto"/>
            <w:noWrap/>
            <w:vAlign w:val="bottom"/>
            <w:hideMark/>
          </w:tcPr>
          <w:p w14:paraId="3F1A485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8" w:type="pct"/>
            <w:tcBorders>
              <w:top w:val="nil"/>
              <w:left w:val="nil"/>
              <w:bottom w:val="nil"/>
              <w:right w:val="nil"/>
            </w:tcBorders>
            <w:shd w:val="clear" w:color="auto" w:fill="auto"/>
            <w:noWrap/>
            <w:vAlign w:val="bottom"/>
            <w:hideMark/>
          </w:tcPr>
          <w:p w14:paraId="6E572F8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r>
      <w:tr w:rsidR="003273BD" w:rsidRPr="00245E91" w14:paraId="5B077F8A" w14:textId="77777777" w:rsidTr="00D83DD8">
        <w:trPr>
          <w:trHeight w:val="144"/>
        </w:trPr>
        <w:tc>
          <w:tcPr>
            <w:tcW w:w="683" w:type="pct"/>
            <w:tcBorders>
              <w:top w:val="nil"/>
              <w:left w:val="nil"/>
              <w:right w:val="nil"/>
            </w:tcBorders>
            <w:shd w:val="clear" w:color="auto" w:fill="auto"/>
            <w:noWrap/>
            <w:vAlign w:val="bottom"/>
          </w:tcPr>
          <w:p w14:paraId="5E0D0D2F" w14:textId="77777777" w:rsidR="003273BD" w:rsidRPr="00245E91" w:rsidRDefault="003273BD" w:rsidP="003273BD">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Clustered by firm</w:t>
            </w:r>
          </w:p>
        </w:tc>
        <w:tc>
          <w:tcPr>
            <w:tcW w:w="540" w:type="pct"/>
            <w:tcBorders>
              <w:top w:val="nil"/>
              <w:left w:val="nil"/>
              <w:right w:val="nil"/>
            </w:tcBorders>
            <w:shd w:val="clear" w:color="auto" w:fill="auto"/>
            <w:noWrap/>
            <w:vAlign w:val="bottom"/>
          </w:tcPr>
          <w:p w14:paraId="35BFBB36"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40" w:type="pct"/>
            <w:tcBorders>
              <w:top w:val="nil"/>
              <w:left w:val="nil"/>
              <w:right w:val="nil"/>
            </w:tcBorders>
            <w:shd w:val="clear" w:color="auto" w:fill="auto"/>
            <w:noWrap/>
            <w:vAlign w:val="bottom"/>
          </w:tcPr>
          <w:p w14:paraId="177DD91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40" w:type="pct"/>
            <w:tcBorders>
              <w:top w:val="nil"/>
              <w:left w:val="nil"/>
              <w:right w:val="nil"/>
            </w:tcBorders>
            <w:shd w:val="clear" w:color="auto" w:fill="auto"/>
            <w:noWrap/>
            <w:vAlign w:val="bottom"/>
          </w:tcPr>
          <w:p w14:paraId="51FF06D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41" w:type="pct"/>
            <w:tcBorders>
              <w:top w:val="nil"/>
              <w:left w:val="nil"/>
              <w:right w:val="single" w:sz="4" w:space="0" w:color="auto"/>
            </w:tcBorders>
            <w:shd w:val="clear" w:color="auto" w:fill="auto"/>
            <w:noWrap/>
            <w:vAlign w:val="bottom"/>
          </w:tcPr>
          <w:p w14:paraId="3FB6A07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40" w:type="pct"/>
            <w:tcBorders>
              <w:top w:val="nil"/>
              <w:left w:val="single" w:sz="4" w:space="0" w:color="auto"/>
              <w:right w:val="nil"/>
            </w:tcBorders>
            <w:shd w:val="clear" w:color="auto" w:fill="auto"/>
            <w:noWrap/>
            <w:vAlign w:val="bottom"/>
          </w:tcPr>
          <w:p w14:paraId="5C365203"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40" w:type="pct"/>
            <w:tcBorders>
              <w:top w:val="nil"/>
              <w:left w:val="nil"/>
              <w:right w:val="nil"/>
            </w:tcBorders>
            <w:shd w:val="clear" w:color="auto" w:fill="auto"/>
            <w:noWrap/>
            <w:vAlign w:val="bottom"/>
          </w:tcPr>
          <w:p w14:paraId="2AF52F0F"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40" w:type="pct"/>
            <w:tcBorders>
              <w:top w:val="nil"/>
              <w:left w:val="nil"/>
              <w:right w:val="nil"/>
            </w:tcBorders>
            <w:shd w:val="clear" w:color="auto" w:fill="auto"/>
            <w:noWrap/>
            <w:vAlign w:val="bottom"/>
          </w:tcPr>
          <w:p w14:paraId="1B1B107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c>
          <w:tcPr>
            <w:tcW w:w="538" w:type="pct"/>
            <w:tcBorders>
              <w:top w:val="nil"/>
              <w:left w:val="nil"/>
              <w:right w:val="nil"/>
            </w:tcBorders>
            <w:shd w:val="clear" w:color="auto" w:fill="auto"/>
            <w:noWrap/>
            <w:vAlign w:val="bottom"/>
          </w:tcPr>
          <w:p w14:paraId="78547488"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Yes</w:t>
            </w:r>
          </w:p>
        </w:tc>
      </w:tr>
      <w:tr w:rsidR="003273BD" w:rsidRPr="00245E91" w14:paraId="0FA49B47" w14:textId="77777777" w:rsidTr="00D83DD8">
        <w:trPr>
          <w:trHeight w:val="144"/>
        </w:trPr>
        <w:tc>
          <w:tcPr>
            <w:tcW w:w="683" w:type="pct"/>
            <w:tcBorders>
              <w:top w:val="nil"/>
              <w:left w:val="nil"/>
              <w:bottom w:val="single" w:sz="4" w:space="0" w:color="auto"/>
              <w:right w:val="nil"/>
            </w:tcBorders>
            <w:shd w:val="clear" w:color="auto" w:fill="auto"/>
            <w:noWrap/>
            <w:vAlign w:val="bottom"/>
          </w:tcPr>
          <w:p w14:paraId="49B4ADF8" w14:textId="77777777" w:rsidR="003273BD" w:rsidRPr="00245E91" w:rsidRDefault="003273BD" w:rsidP="003273BD">
            <w:pPr>
              <w:spacing w:after="0" w:line="240" w:lineRule="auto"/>
              <w:contextualSpacing/>
              <w:rPr>
                <w:rFonts w:ascii="Times New Roman" w:eastAsia="Times New Roman" w:hAnsi="Times New Roman"/>
                <w:color w:val="000000"/>
                <w:sz w:val="15"/>
                <w:szCs w:val="15"/>
              </w:rPr>
            </w:pPr>
            <w:r w:rsidRPr="00245E91">
              <w:rPr>
                <w:rFonts w:ascii="Times New Roman" w:eastAsia="Times New Roman" w:hAnsi="Times New Roman"/>
                <w:color w:val="000000"/>
                <w:sz w:val="15"/>
                <w:szCs w:val="15"/>
              </w:rPr>
              <w:t>Observations</w:t>
            </w:r>
          </w:p>
        </w:tc>
        <w:tc>
          <w:tcPr>
            <w:tcW w:w="540" w:type="pct"/>
            <w:tcBorders>
              <w:top w:val="nil"/>
              <w:left w:val="nil"/>
              <w:bottom w:val="single" w:sz="4" w:space="0" w:color="auto"/>
              <w:right w:val="nil"/>
            </w:tcBorders>
            <w:shd w:val="clear" w:color="auto" w:fill="auto"/>
            <w:noWrap/>
            <w:vAlign w:val="bottom"/>
            <w:hideMark/>
          </w:tcPr>
          <w:p w14:paraId="3382DEF5"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2,293</w:t>
            </w:r>
          </w:p>
        </w:tc>
        <w:tc>
          <w:tcPr>
            <w:tcW w:w="540" w:type="pct"/>
            <w:tcBorders>
              <w:top w:val="nil"/>
              <w:left w:val="nil"/>
              <w:bottom w:val="single" w:sz="4" w:space="0" w:color="auto"/>
              <w:right w:val="nil"/>
            </w:tcBorders>
            <w:shd w:val="clear" w:color="auto" w:fill="auto"/>
            <w:noWrap/>
            <w:vAlign w:val="bottom"/>
            <w:hideMark/>
          </w:tcPr>
          <w:p w14:paraId="3EB02B01"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2,249</w:t>
            </w:r>
          </w:p>
        </w:tc>
        <w:tc>
          <w:tcPr>
            <w:tcW w:w="540" w:type="pct"/>
            <w:tcBorders>
              <w:top w:val="nil"/>
              <w:left w:val="nil"/>
              <w:bottom w:val="single" w:sz="4" w:space="0" w:color="auto"/>
              <w:right w:val="nil"/>
            </w:tcBorders>
            <w:shd w:val="clear" w:color="auto" w:fill="auto"/>
            <w:noWrap/>
            <w:vAlign w:val="bottom"/>
            <w:hideMark/>
          </w:tcPr>
          <w:p w14:paraId="076EA294"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2,242</w:t>
            </w:r>
          </w:p>
        </w:tc>
        <w:tc>
          <w:tcPr>
            <w:tcW w:w="541" w:type="pct"/>
            <w:tcBorders>
              <w:top w:val="nil"/>
              <w:left w:val="nil"/>
              <w:bottom w:val="single" w:sz="4" w:space="0" w:color="auto"/>
              <w:right w:val="single" w:sz="4" w:space="0" w:color="auto"/>
            </w:tcBorders>
            <w:shd w:val="clear" w:color="auto" w:fill="auto"/>
            <w:noWrap/>
            <w:vAlign w:val="bottom"/>
            <w:hideMark/>
          </w:tcPr>
          <w:p w14:paraId="3A5FB9B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2,242</w:t>
            </w:r>
          </w:p>
        </w:tc>
        <w:tc>
          <w:tcPr>
            <w:tcW w:w="540" w:type="pct"/>
            <w:tcBorders>
              <w:top w:val="nil"/>
              <w:left w:val="single" w:sz="4" w:space="0" w:color="auto"/>
              <w:bottom w:val="single" w:sz="4" w:space="0" w:color="auto"/>
              <w:right w:val="nil"/>
            </w:tcBorders>
            <w:shd w:val="clear" w:color="auto" w:fill="auto"/>
            <w:noWrap/>
            <w:vAlign w:val="bottom"/>
            <w:hideMark/>
          </w:tcPr>
          <w:p w14:paraId="05658DC9"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3,684</w:t>
            </w:r>
          </w:p>
        </w:tc>
        <w:tc>
          <w:tcPr>
            <w:tcW w:w="540" w:type="pct"/>
            <w:tcBorders>
              <w:top w:val="nil"/>
              <w:left w:val="nil"/>
              <w:bottom w:val="single" w:sz="4" w:space="0" w:color="auto"/>
              <w:right w:val="nil"/>
            </w:tcBorders>
            <w:shd w:val="clear" w:color="auto" w:fill="auto"/>
            <w:noWrap/>
            <w:vAlign w:val="bottom"/>
            <w:hideMark/>
          </w:tcPr>
          <w:p w14:paraId="23FD10BE"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3,682</w:t>
            </w:r>
          </w:p>
        </w:tc>
        <w:tc>
          <w:tcPr>
            <w:tcW w:w="540" w:type="pct"/>
            <w:tcBorders>
              <w:top w:val="nil"/>
              <w:left w:val="nil"/>
              <w:bottom w:val="single" w:sz="4" w:space="0" w:color="auto"/>
              <w:right w:val="nil"/>
            </w:tcBorders>
            <w:shd w:val="clear" w:color="auto" w:fill="auto"/>
            <w:noWrap/>
            <w:vAlign w:val="bottom"/>
            <w:hideMark/>
          </w:tcPr>
          <w:p w14:paraId="3E780FC2"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3,671</w:t>
            </w:r>
          </w:p>
        </w:tc>
        <w:tc>
          <w:tcPr>
            <w:tcW w:w="538" w:type="pct"/>
            <w:tcBorders>
              <w:top w:val="nil"/>
              <w:left w:val="nil"/>
              <w:bottom w:val="single" w:sz="4" w:space="0" w:color="auto"/>
              <w:right w:val="nil"/>
            </w:tcBorders>
            <w:shd w:val="clear" w:color="auto" w:fill="auto"/>
            <w:noWrap/>
            <w:vAlign w:val="bottom"/>
            <w:hideMark/>
          </w:tcPr>
          <w:p w14:paraId="1F014AF0" w14:textId="77777777" w:rsidR="003273BD" w:rsidRPr="00245E91" w:rsidRDefault="003273BD" w:rsidP="003273BD">
            <w:pPr>
              <w:spacing w:line="240" w:lineRule="auto"/>
              <w:contextualSpacing/>
              <w:rPr>
                <w:rFonts w:ascii="Times New Roman" w:hAnsi="Times New Roman"/>
                <w:color w:val="000000"/>
                <w:sz w:val="15"/>
                <w:szCs w:val="15"/>
              </w:rPr>
            </w:pPr>
            <w:r w:rsidRPr="00245E91">
              <w:rPr>
                <w:rFonts w:ascii="Times New Roman" w:hAnsi="Times New Roman"/>
                <w:color w:val="000000"/>
                <w:sz w:val="15"/>
                <w:szCs w:val="15"/>
              </w:rPr>
              <w:t>3,671</w:t>
            </w:r>
          </w:p>
        </w:tc>
      </w:tr>
    </w:tbl>
    <w:p w14:paraId="7D69E439" w14:textId="77777777" w:rsidR="002F2D6E" w:rsidRPr="00245E91" w:rsidRDefault="002F2D6E" w:rsidP="0042373A">
      <w:pPr>
        <w:rPr>
          <w:rFonts w:ascii="Times New Roman" w:hAnsi="Times New Roman"/>
          <w:sz w:val="15"/>
          <w:szCs w:val="15"/>
        </w:rPr>
      </w:pPr>
    </w:p>
    <w:sectPr w:rsidR="002F2D6E" w:rsidRPr="00245E91" w:rsidSect="002D69B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EA30E" w14:textId="77777777" w:rsidR="0036000C" w:rsidRDefault="0036000C" w:rsidP="001C637D">
      <w:pPr>
        <w:spacing w:after="0" w:line="240" w:lineRule="auto"/>
      </w:pPr>
      <w:r>
        <w:separator/>
      </w:r>
    </w:p>
  </w:endnote>
  <w:endnote w:type="continuationSeparator" w:id="0">
    <w:p w14:paraId="25A1B938" w14:textId="77777777" w:rsidR="0036000C" w:rsidRDefault="0036000C" w:rsidP="001C6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DengXian">
    <w:altName w:val="等线"/>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0411043"/>
      <w:docPartObj>
        <w:docPartGallery w:val="Page Numbers (Bottom of Page)"/>
        <w:docPartUnique/>
      </w:docPartObj>
    </w:sdtPr>
    <w:sdtEndPr>
      <w:rPr>
        <w:noProof/>
      </w:rPr>
    </w:sdtEndPr>
    <w:sdtContent>
      <w:p w14:paraId="238FDD0D" w14:textId="0E8226D3" w:rsidR="007021A9" w:rsidRPr="0095029D" w:rsidRDefault="007021A9">
        <w:pPr>
          <w:pStyle w:val="Footer"/>
          <w:jc w:val="center"/>
        </w:pPr>
        <w:r w:rsidRPr="0095029D">
          <w:rPr>
            <w:rFonts w:ascii="Times New Roman" w:hAnsi="Times New Roman"/>
          </w:rPr>
          <w:fldChar w:fldCharType="begin"/>
        </w:r>
        <w:r w:rsidRPr="0095029D">
          <w:rPr>
            <w:rFonts w:ascii="Times New Roman" w:hAnsi="Times New Roman"/>
          </w:rPr>
          <w:instrText xml:space="preserve"> PAGE   \* MERGEFORMAT </w:instrText>
        </w:r>
        <w:r w:rsidRPr="0095029D">
          <w:rPr>
            <w:rFonts w:ascii="Times New Roman" w:hAnsi="Times New Roman"/>
          </w:rPr>
          <w:fldChar w:fldCharType="separate"/>
        </w:r>
        <w:r w:rsidR="008912C0">
          <w:rPr>
            <w:rFonts w:ascii="Times New Roman" w:hAnsi="Times New Roman"/>
            <w:noProof/>
          </w:rPr>
          <w:t>1</w:t>
        </w:r>
        <w:r w:rsidRPr="0095029D">
          <w:rPr>
            <w:rFonts w:ascii="Times New Roman" w:hAnsi="Times New Roman"/>
            <w:noProof/>
          </w:rPr>
          <w:fldChar w:fldCharType="end"/>
        </w:r>
      </w:p>
    </w:sdtContent>
  </w:sdt>
  <w:p w14:paraId="380684AC" w14:textId="77777777" w:rsidR="007021A9" w:rsidRDefault="007021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BD114" w14:textId="77777777" w:rsidR="0036000C" w:rsidRDefault="0036000C" w:rsidP="001C637D">
      <w:pPr>
        <w:spacing w:after="0" w:line="240" w:lineRule="auto"/>
      </w:pPr>
      <w:r>
        <w:separator/>
      </w:r>
    </w:p>
  </w:footnote>
  <w:footnote w:type="continuationSeparator" w:id="0">
    <w:p w14:paraId="39DD10F3" w14:textId="77777777" w:rsidR="0036000C" w:rsidRDefault="0036000C" w:rsidP="001C637D">
      <w:pPr>
        <w:spacing w:after="0" w:line="240" w:lineRule="auto"/>
      </w:pPr>
      <w:r>
        <w:continuationSeparator/>
      </w:r>
    </w:p>
  </w:footnote>
  <w:footnote w:id="1">
    <w:p w14:paraId="43F93290" w14:textId="0E8D133B" w:rsidR="007021A9" w:rsidRPr="00737977" w:rsidRDefault="007021A9" w:rsidP="00737977">
      <w:pPr>
        <w:pStyle w:val="FootnoteText"/>
        <w:spacing w:line="360" w:lineRule="auto"/>
        <w:jc w:val="both"/>
        <w:rPr>
          <w:rFonts w:ascii="Times New Roman" w:hAnsi="Times New Roman"/>
          <w:sz w:val="22"/>
          <w:szCs w:val="22"/>
          <w:lang w:val="en-GB"/>
        </w:rPr>
      </w:pPr>
      <w:r w:rsidRPr="00737977">
        <w:rPr>
          <w:rStyle w:val="FootnoteReference"/>
          <w:rFonts w:ascii="Times New Roman" w:hAnsi="Times New Roman"/>
          <w:sz w:val="22"/>
          <w:szCs w:val="22"/>
        </w:rPr>
        <w:footnoteRef/>
      </w:r>
      <w:r w:rsidRPr="00737977">
        <w:rPr>
          <w:rFonts w:ascii="Times New Roman" w:hAnsi="Times New Roman"/>
          <w:sz w:val="22"/>
          <w:szCs w:val="22"/>
        </w:rPr>
        <w:t xml:space="preserve"> </w:t>
      </w:r>
      <w:r>
        <w:rPr>
          <w:rFonts w:ascii="Times New Roman" w:hAnsi="Times New Roman"/>
          <w:sz w:val="22"/>
          <w:szCs w:val="22"/>
        </w:rPr>
        <w:t>We acknowledge that t</w:t>
      </w:r>
      <w:r w:rsidRPr="00737977">
        <w:rPr>
          <w:rFonts w:ascii="Times New Roman" w:hAnsi="Times New Roman"/>
          <w:sz w:val="22"/>
          <w:szCs w:val="22"/>
          <w:lang w:val="en-GB"/>
        </w:rPr>
        <w:t xml:space="preserve">he interpretation of the abnormal level of cash flows as a proxy for real earnings management is not clear-cut. For instance, earnings management measures to increase abnormal production costs </w:t>
      </w:r>
      <w:r>
        <w:rPr>
          <w:rFonts w:ascii="Times New Roman" w:hAnsi="Times New Roman"/>
          <w:sz w:val="22"/>
          <w:szCs w:val="22"/>
          <w:lang w:val="en-GB"/>
        </w:rPr>
        <w:t xml:space="preserve">could </w:t>
      </w:r>
      <w:r w:rsidRPr="00737977">
        <w:rPr>
          <w:rFonts w:ascii="Times New Roman" w:hAnsi="Times New Roman"/>
          <w:sz w:val="22"/>
          <w:szCs w:val="22"/>
          <w:lang w:val="en-GB"/>
        </w:rPr>
        <w:t>lead to a decrease in cash flows. Conversely, earnings management measures to decrease abnormally discretionary expenditure would produce the opposite effect, i.e. they tend to increase cash flows. Thus, not all firms engaging in real activities manipulations would be associated with abnormally low levels of cash flows from operations.</w:t>
      </w:r>
    </w:p>
  </w:footnote>
  <w:footnote w:id="2">
    <w:p w14:paraId="6766C225" w14:textId="241D4DCD" w:rsidR="007021A9" w:rsidRPr="007701E7" w:rsidRDefault="007021A9" w:rsidP="00844891">
      <w:pPr>
        <w:pStyle w:val="FootnoteText"/>
        <w:spacing w:line="360" w:lineRule="auto"/>
        <w:jc w:val="both"/>
        <w:rPr>
          <w:rFonts w:ascii="Times New Roman" w:hAnsi="Times New Roman"/>
          <w:sz w:val="22"/>
          <w:szCs w:val="22"/>
        </w:rPr>
      </w:pPr>
      <w:r w:rsidRPr="007701E7">
        <w:rPr>
          <w:rStyle w:val="FootnoteReference"/>
          <w:rFonts w:ascii="Times New Roman" w:hAnsi="Times New Roman"/>
          <w:sz w:val="22"/>
          <w:szCs w:val="22"/>
        </w:rPr>
        <w:footnoteRef/>
      </w:r>
      <w:r w:rsidRPr="007701E7">
        <w:rPr>
          <w:rFonts w:ascii="Times New Roman" w:hAnsi="Times New Roman"/>
          <w:sz w:val="22"/>
          <w:szCs w:val="22"/>
        </w:rPr>
        <w:t xml:space="preserve"> </w:t>
      </w:r>
      <w:r>
        <w:rPr>
          <w:rFonts w:ascii="Times New Roman" w:hAnsi="Times New Roman"/>
          <w:sz w:val="22"/>
          <w:szCs w:val="22"/>
        </w:rPr>
        <w:t xml:space="preserve">The results remain qualitatively unchanged when </w:t>
      </w:r>
      <w:r w:rsidRPr="007701E7">
        <w:rPr>
          <w:rFonts w:ascii="Times New Roman" w:hAnsi="Times New Roman"/>
          <w:sz w:val="22"/>
          <w:szCs w:val="22"/>
        </w:rPr>
        <w:t xml:space="preserve">we </w:t>
      </w:r>
      <w:r>
        <w:rPr>
          <w:rFonts w:ascii="Times New Roman" w:hAnsi="Times New Roman"/>
          <w:sz w:val="22"/>
          <w:szCs w:val="22"/>
        </w:rPr>
        <w:t xml:space="preserve">repeat the analyses in the two subsamples that only contain </w:t>
      </w:r>
      <w:r w:rsidRPr="007701E7">
        <w:rPr>
          <w:rFonts w:ascii="Times New Roman" w:hAnsi="Times New Roman"/>
          <w:sz w:val="22"/>
          <w:szCs w:val="22"/>
        </w:rPr>
        <w:t>the top 5 and top 10 non-MLP firms closest in size</w:t>
      </w:r>
      <w:r>
        <w:rPr>
          <w:rFonts w:ascii="Times New Roman" w:hAnsi="Times New Roman"/>
          <w:sz w:val="22"/>
          <w:szCs w:val="22"/>
        </w:rPr>
        <w:t>, respectively</w:t>
      </w:r>
      <w:r w:rsidRPr="007701E7">
        <w:rPr>
          <w:rFonts w:ascii="Times New Roman" w:hAnsi="Times New Roman"/>
          <w:sz w:val="22"/>
          <w:szCs w:val="22"/>
        </w:rPr>
        <w:t>.</w:t>
      </w:r>
      <w:r w:rsidRPr="00C72E09">
        <w:rPr>
          <w:rFonts w:ascii="Times New Roman" w:hAnsi="Times New Roman"/>
          <w:sz w:val="22"/>
          <w:szCs w:val="22"/>
        </w:rPr>
        <w:t xml:space="preserve"> </w:t>
      </w:r>
      <w:r w:rsidRPr="007701E7">
        <w:rPr>
          <w:rFonts w:ascii="Times New Roman" w:hAnsi="Times New Roman"/>
          <w:sz w:val="22"/>
          <w:szCs w:val="22"/>
        </w:rPr>
        <w:t>For the sake of brevity,</w:t>
      </w:r>
      <w:r>
        <w:rPr>
          <w:rFonts w:ascii="Times New Roman" w:hAnsi="Times New Roman"/>
          <w:sz w:val="22"/>
          <w:szCs w:val="22"/>
        </w:rPr>
        <w:t xml:space="preserve"> we do not report them in the paper but are available upon request.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845DE"/>
    <w:multiLevelType w:val="hybridMultilevel"/>
    <w:tmpl w:val="64BA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33FC5"/>
    <w:multiLevelType w:val="hybridMultilevel"/>
    <w:tmpl w:val="44F25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0B3379"/>
    <w:multiLevelType w:val="multilevel"/>
    <w:tmpl w:val="5B08A1E4"/>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i/>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467F413A"/>
    <w:multiLevelType w:val="hybridMultilevel"/>
    <w:tmpl w:val="FD682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A9280C"/>
    <w:multiLevelType w:val="hybridMultilevel"/>
    <w:tmpl w:val="B0A88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741D74"/>
    <w:multiLevelType w:val="hybridMultilevel"/>
    <w:tmpl w:val="48C4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2F53FC"/>
    <w:multiLevelType w:val="multilevel"/>
    <w:tmpl w:val="B27E136C"/>
    <w:lvl w:ilvl="0">
      <w:start w:val="1"/>
      <w:numFmt w:val="decimal"/>
      <w:lvlText w:val="%1."/>
      <w:lvlJc w:val="left"/>
      <w:pPr>
        <w:ind w:left="144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6"/>
  </w:num>
  <w:num w:numId="3">
    <w:abstractNumId w:val="2"/>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QwMTMxMLY0NDU3sjRS0lEKTi0uzszPAykwqgUA9xk9eywAAAA="/>
    <w:docVar w:name="APWAFVersion" w:val="5.0"/>
  </w:docVars>
  <w:rsids>
    <w:rsidRoot w:val="001C637D"/>
    <w:rsid w:val="000003BC"/>
    <w:rsid w:val="0000085C"/>
    <w:rsid w:val="00000F0E"/>
    <w:rsid w:val="000014C1"/>
    <w:rsid w:val="00004DB0"/>
    <w:rsid w:val="00005481"/>
    <w:rsid w:val="00012D11"/>
    <w:rsid w:val="000140C9"/>
    <w:rsid w:val="00020947"/>
    <w:rsid w:val="000233BB"/>
    <w:rsid w:val="0002363C"/>
    <w:rsid w:val="000243EE"/>
    <w:rsid w:val="00025C3F"/>
    <w:rsid w:val="000263B4"/>
    <w:rsid w:val="000310B1"/>
    <w:rsid w:val="00031F70"/>
    <w:rsid w:val="000416D5"/>
    <w:rsid w:val="00044FE9"/>
    <w:rsid w:val="00046662"/>
    <w:rsid w:val="0004781D"/>
    <w:rsid w:val="0005091F"/>
    <w:rsid w:val="000518C8"/>
    <w:rsid w:val="00051C07"/>
    <w:rsid w:val="000522ED"/>
    <w:rsid w:val="0005330E"/>
    <w:rsid w:val="000561DD"/>
    <w:rsid w:val="0005725E"/>
    <w:rsid w:val="0005736C"/>
    <w:rsid w:val="00061D43"/>
    <w:rsid w:val="000627AA"/>
    <w:rsid w:val="000731C0"/>
    <w:rsid w:val="00074E65"/>
    <w:rsid w:val="00077B2C"/>
    <w:rsid w:val="000840EE"/>
    <w:rsid w:val="00084D4E"/>
    <w:rsid w:val="0008604F"/>
    <w:rsid w:val="00086358"/>
    <w:rsid w:val="000906A0"/>
    <w:rsid w:val="00093B13"/>
    <w:rsid w:val="00095207"/>
    <w:rsid w:val="00096163"/>
    <w:rsid w:val="000961D6"/>
    <w:rsid w:val="000A2DB3"/>
    <w:rsid w:val="000A3158"/>
    <w:rsid w:val="000A48C9"/>
    <w:rsid w:val="000A5031"/>
    <w:rsid w:val="000A71BF"/>
    <w:rsid w:val="000A77E8"/>
    <w:rsid w:val="000A7A9D"/>
    <w:rsid w:val="000B1DAA"/>
    <w:rsid w:val="000B317A"/>
    <w:rsid w:val="000C15AD"/>
    <w:rsid w:val="000C1864"/>
    <w:rsid w:val="000C260D"/>
    <w:rsid w:val="000C4E43"/>
    <w:rsid w:val="000C7749"/>
    <w:rsid w:val="000C7EA0"/>
    <w:rsid w:val="000D1C5D"/>
    <w:rsid w:val="000D43C6"/>
    <w:rsid w:val="000D519D"/>
    <w:rsid w:val="000D5929"/>
    <w:rsid w:val="000D5B72"/>
    <w:rsid w:val="000D714B"/>
    <w:rsid w:val="000E0024"/>
    <w:rsid w:val="000E6102"/>
    <w:rsid w:val="000E6482"/>
    <w:rsid w:val="000E6E1F"/>
    <w:rsid w:val="000F239E"/>
    <w:rsid w:val="000F2CDA"/>
    <w:rsid w:val="000F607F"/>
    <w:rsid w:val="000F6C3C"/>
    <w:rsid w:val="000F743A"/>
    <w:rsid w:val="00100288"/>
    <w:rsid w:val="00101409"/>
    <w:rsid w:val="00103F1F"/>
    <w:rsid w:val="00104109"/>
    <w:rsid w:val="001068D1"/>
    <w:rsid w:val="0010769D"/>
    <w:rsid w:val="00116237"/>
    <w:rsid w:val="00116862"/>
    <w:rsid w:val="00116DBB"/>
    <w:rsid w:val="001175FD"/>
    <w:rsid w:val="0012070F"/>
    <w:rsid w:val="00124388"/>
    <w:rsid w:val="001311D6"/>
    <w:rsid w:val="001362FB"/>
    <w:rsid w:val="00136C76"/>
    <w:rsid w:val="001533FC"/>
    <w:rsid w:val="00154406"/>
    <w:rsid w:val="001555A2"/>
    <w:rsid w:val="0015673F"/>
    <w:rsid w:val="001614CE"/>
    <w:rsid w:val="00162C86"/>
    <w:rsid w:val="0017140D"/>
    <w:rsid w:val="00173BFF"/>
    <w:rsid w:val="00173CC7"/>
    <w:rsid w:val="00180EC0"/>
    <w:rsid w:val="00181245"/>
    <w:rsid w:val="00183499"/>
    <w:rsid w:val="00184CEB"/>
    <w:rsid w:val="001850C3"/>
    <w:rsid w:val="0018647D"/>
    <w:rsid w:val="001877BB"/>
    <w:rsid w:val="00190232"/>
    <w:rsid w:val="00192E6F"/>
    <w:rsid w:val="00194092"/>
    <w:rsid w:val="00195F13"/>
    <w:rsid w:val="001A026A"/>
    <w:rsid w:val="001A151F"/>
    <w:rsid w:val="001A3E25"/>
    <w:rsid w:val="001A42B8"/>
    <w:rsid w:val="001A4D98"/>
    <w:rsid w:val="001A53BC"/>
    <w:rsid w:val="001A5E0F"/>
    <w:rsid w:val="001A7BA5"/>
    <w:rsid w:val="001B0E64"/>
    <w:rsid w:val="001B25DB"/>
    <w:rsid w:val="001B3593"/>
    <w:rsid w:val="001B367B"/>
    <w:rsid w:val="001B55B5"/>
    <w:rsid w:val="001B60A7"/>
    <w:rsid w:val="001B7867"/>
    <w:rsid w:val="001C1D15"/>
    <w:rsid w:val="001C2D4E"/>
    <w:rsid w:val="001C637D"/>
    <w:rsid w:val="001D23B4"/>
    <w:rsid w:val="001E310C"/>
    <w:rsid w:val="001E49E5"/>
    <w:rsid w:val="001E4D98"/>
    <w:rsid w:val="001E7034"/>
    <w:rsid w:val="001F0B4A"/>
    <w:rsid w:val="001F3636"/>
    <w:rsid w:val="001F5FA9"/>
    <w:rsid w:val="00204730"/>
    <w:rsid w:val="0020532A"/>
    <w:rsid w:val="00210935"/>
    <w:rsid w:val="0021406F"/>
    <w:rsid w:val="00214EF3"/>
    <w:rsid w:val="0021585A"/>
    <w:rsid w:val="00216010"/>
    <w:rsid w:val="00216B0C"/>
    <w:rsid w:val="002204AA"/>
    <w:rsid w:val="00223CCA"/>
    <w:rsid w:val="0022489E"/>
    <w:rsid w:val="00224E8E"/>
    <w:rsid w:val="00225EFC"/>
    <w:rsid w:val="00233025"/>
    <w:rsid w:val="00235267"/>
    <w:rsid w:val="00236849"/>
    <w:rsid w:val="00241996"/>
    <w:rsid w:val="00242B75"/>
    <w:rsid w:val="00245E91"/>
    <w:rsid w:val="00250605"/>
    <w:rsid w:val="002506F4"/>
    <w:rsid w:val="002607AA"/>
    <w:rsid w:val="002649D1"/>
    <w:rsid w:val="00265529"/>
    <w:rsid w:val="002702DA"/>
    <w:rsid w:val="00277EE5"/>
    <w:rsid w:val="002808D7"/>
    <w:rsid w:val="00282D07"/>
    <w:rsid w:val="00283A50"/>
    <w:rsid w:val="002844EF"/>
    <w:rsid w:val="00286E0F"/>
    <w:rsid w:val="00292AB0"/>
    <w:rsid w:val="00292CA8"/>
    <w:rsid w:val="00294A67"/>
    <w:rsid w:val="00294BA1"/>
    <w:rsid w:val="00296928"/>
    <w:rsid w:val="00297B04"/>
    <w:rsid w:val="002A028B"/>
    <w:rsid w:val="002A0AA6"/>
    <w:rsid w:val="002A0D31"/>
    <w:rsid w:val="002A40D0"/>
    <w:rsid w:val="002A66BC"/>
    <w:rsid w:val="002A71E4"/>
    <w:rsid w:val="002B03B2"/>
    <w:rsid w:val="002B0ADB"/>
    <w:rsid w:val="002B12BF"/>
    <w:rsid w:val="002B3F39"/>
    <w:rsid w:val="002B4144"/>
    <w:rsid w:val="002B4C45"/>
    <w:rsid w:val="002B7163"/>
    <w:rsid w:val="002C6606"/>
    <w:rsid w:val="002C7254"/>
    <w:rsid w:val="002D17D9"/>
    <w:rsid w:val="002D3CA5"/>
    <w:rsid w:val="002D472E"/>
    <w:rsid w:val="002D5AAC"/>
    <w:rsid w:val="002D69B5"/>
    <w:rsid w:val="002E4894"/>
    <w:rsid w:val="002E50B0"/>
    <w:rsid w:val="002F2D6E"/>
    <w:rsid w:val="002F5C0C"/>
    <w:rsid w:val="002F79D0"/>
    <w:rsid w:val="00300582"/>
    <w:rsid w:val="00313E18"/>
    <w:rsid w:val="00314302"/>
    <w:rsid w:val="0032090B"/>
    <w:rsid w:val="00320FB2"/>
    <w:rsid w:val="003228B8"/>
    <w:rsid w:val="003273BD"/>
    <w:rsid w:val="0033125C"/>
    <w:rsid w:val="00334A6C"/>
    <w:rsid w:val="00337600"/>
    <w:rsid w:val="00343AFE"/>
    <w:rsid w:val="00344BFB"/>
    <w:rsid w:val="00352132"/>
    <w:rsid w:val="00352D46"/>
    <w:rsid w:val="0035633F"/>
    <w:rsid w:val="003571F0"/>
    <w:rsid w:val="0036000C"/>
    <w:rsid w:val="00362F27"/>
    <w:rsid w:val="003636AF"/>
    <w:rsid w:val="00363A78"/>
    <w:rsid w:val="00364AC3"/>
    <w:rsid w:val="003652D1"/>
    <w:rsid w:val="00366AE3"/>
    <w:rsid w:val="00370626"/>
    <w:rsid w:val="003709CB"/>
    <w:rsid w:val="00370A4E"/>
    <w:rsid w:val="00370F03"/>
    <w:rsid w:val="00371189"/>
    <w:rsid w:val="00373733"/>
    <w:rsid w:val="003737FF"/>
    <w:rsid w:val="003746E5"/>
    <w:rsid w:val="00376768"/>
    <w:rsid w:val="00376CBA"/>
    <w:rsid w:val="00377FBB"/>
    <w:rsid w:val="003826A5"/>
    <w:rsid w:val="003857E1"/>
    <w:rsid w:val="003A24B7"/>
    <w:rsid w:val="003A6E8F"/>
    <w:rsid w:val="003B15DA"/>
    <w:rsid w:val="003B29AF"/>
    <w:rsid w:val="003B4268"/>
    <w:rsid w:val="003B5332"/>
    <w:rsid w:val="003C6486"/>
    <w:rsid w:val="003D16BE"/>
    <w:rsid w:val="003D1BCB"/>
    <w:rsid w:val="003D2B8A"/>
    <w:rsid w:val="003D30F7"/>
    <w:rsid w:val="003D4888"/>
    <w:rsid w:val="003D5803"/>
    <w:rsid w:val="003D6880"/>
    <w:rsid w:val="003E1771"/>
    <w:rsid w:val="003E193A"/>
    <w:rsid w:val="003E2657"/>
    <w:rsid w:val="003E3567"/>
    <w:rsid w:val="003E5336"/>
    <w:rsid w:val="003E6958"/>
    <w:rsid w:val="003E70BE"/>
    <w:rsid w:val="003F164D"/>
    <w:rsid w:val="003F429F"/>
    <w:rsid w:val="003F4EDE"/>
    <w:rsid w:val="003F5A86"/>
    <w:rsid w:val="00403841"/>
    <w:rsid w:val="004064B4"/>
    <w:rsid w:val="00407982"/>
    <w:rsid w:val="00413EAB"/>
    <w:rsid w:val="00415173"/>
    <w:rsid w:val="004165E0"/>
    <w:rsid w:val="004166AB"/>
    <w:rsid w:val="00420CD6"/>
    <w:rsid w:val="00421A99"/>
    <w:rsid w:val="00421AAB"/>
    <w:rsid w:val="0042251E"/>
    <w:rsid w:val="0042373A"/>
    <w:rsid w:val="004238A3"/>
    <w:rsid w:val="004253F6"/>
    <w:rsid w:val="00425DB2"/>
    <w:rsid w:val="004303F7"/>
    <w:rsid w:val="004347F9"/>
    <w:rsid w:val="00442FD8"/>
    <w:rsid w:val="0044309D"/>
    <w:rsid w:val="00444CF9"/>
    <w:rsid w:val="004552B9"/>
    <w:rsid w:val="00456006"/>
    <w:rsid w:val="0045729D"/>
    <w:rsid w:val="004575F6"/>
    <w:rsid w:val="00460807"/>
    <w:rsid w:val="00464707"/>
    <w:rsid w:val="00464E52"/>
    <w:rsid w:val="00472167"/>
    <w:rsid w:val="00473595"/>
    <w:rsid w:val="00473926"/>
    <w:rsid w:val="00475B8F"/>
    <w:rsid w:val="00483E89"/>
    <w:rsid w:val="00486B20"/>
    <w:rsid w:val="00491F6E"/>
    <w:rsid w:val="004959D3"/>
    <w:rsid w:val="004A2733"/>
    <w:rsid w:val="004A291F"/>
    <w:rsid w:val="004A5987"/>
    <w:rsid w:val="004A79CB"/>
    <w:rsid w:val="004B0DC5"/>
    <w:rsid w:val="004B3377"/>
    <w:rsid w:val="004C0EA8"/>
    <w:rsid w:val="004C1C04"/>
    <w:rsid w:val="004C5C53"/>
    <w:rsid w:val="004C6532"/>
    <w:rsid w:val="004C698A"/>
    <w:rsid w:val="004D1A59"/>
    <w:rsid w:val="004D37E3"/>
    <w:rsid w:val="004D7318"/>
    <w:rsid w:val="004D75EB"/>
    <w:rsid w:val="004D7B46"/>
    <w:rsid w:val="004E1373"/>
    <w:rsid w:val="004F3F8D"/>
    <w:rsid w:val="004F480B"/>
    <w:rsid w:val="004F4E7B"/>
    <w:rsid w:val="004F5328"/>
    <w:rsid w:val="0050094D"/>
    <w:rsid w:val="005029A5"/>
    <w:rsid w:val="005030DE"/>
    <w:rsid w:val="00505A61"/>
    <w:rsid w:val="00513D6C"/>
    <w:rsid w:val="00516586"/>
    <w:rsid w:val="00521FB1"/>
    <w:rsid w:val="00523296"/>
    <w:rsid w:val="00525D91"/>
    <w:rsid w:val="00526048"/>
    <w:rsid w:val="00526C0F"/>
    <w:rsid w:val="00527FAB"/>
    <w:rsid w:val="005306BB"/>
    <w:rsid w:val="005330C5"/>
    <w:rsid w:val="00533393"/>
    <w:rsid w:val="005338F8"/>
    <w:rsid w:val="005339A7"/>
    <w:rsid w:val="00533D91"/>
    <w:rsid w:val="00535702"/>
    <w:rsid w:val="0054060B"/>
    <w:rsid w:val="0054190B"/>
    <w:rsid w:val="00542EC4"/>
    <w:rsid w:val="00543222"/>
    <w:rsid w:val="005434C3"/>
    <w:rsid w:val="005510C5"/>
    <w:rsid w:val="00555F93"/>
    <w:rsid w:val="005573FC"/>
    <w:rsid w:val="00557405"/>
    <w:rsid w:val="00562CBC"/>
    <w:rsid w:val="0056410F"/>
    <w:rsid w:val="0056572C"/>
    <w:rsid w:val="00572648"/>
    <w:rsid w:val="00574988"/>
    <w:rsid w:val="00577C89"/>
    <w:rsid w:val="00580471"/>
    <w:rsid w:val="00580CCC"/>
    <w:rsid w:val="00581DD7"/>
    <w:rsid w:val="0058542C"/>
    <w:rsid w:val="00586C2C"/>
    <w:rsid w:val="0058729B"/>
    <w:rsid w:val="00594881"/>
    <w:rsid w:val="00597D27"/>
    <w:rsid w:val="005A022A"/>
    <w:rsid w:val="005A4284"/>
    <w:rsid w:val="005B0E97"/>
    <w:rsid w:val="005B5E40"/>
    <w:rsid w:val="005B7570"/>
    <w:rsid w:val="005C65B6"/>
    <w:rsid w:val="005D0133"/>
    <w:rsid w:val="005D0B01"/>
    <w:rsid w:val="005D226A"/>
    <w:rsid w:val="005D7170"/>
    <w:rsid w:val="005D7B06"/>
    <w:rsid w:val="005E126D"/>
    <w:rsid w:val="005E1B0C"/>
    <w:rsid w:val="005E4148"/>
    <w:rsid w:val="005E4689"/>
    <w:rsid w:val="005E5A10"/>
    <w:rsid w:val="005F3E30"/>
    <w:rsid w:val="005F5F67"/>
    <w:rsid w:val="005F63A4"/>
    <w:rsid w:val="005F6FBC"/>
    <w:rsid w:val="005F738B"/>
    <w:rsid w:val="00602258"/>
    <w:rsid w:val="00617D6F"/>
    <w:rsid w:val="006206FC"/>
    <w:rsid w:val="00624E71"/>
    <w:rsid w:val="00625CA5"/>
    <w:rsid w:val="00627B65"/>
    <w:rsid w:val="00631E28"/>
    <w:rsid w:val="006334FD"/>
    <w:rsid w:val="00640013"/>
    <w:rsid w:val="006412E2"/>
    <w:rsid w:val="00646805"/>
    <w:rsid w:val="006471E6"/>
    <w:rsid w:val="0064774A"/>
    <w:rsid w:val="0065108E"/>
    <w:rsid w:val="00652DD5"/>
    <w:rsid w:val="00665811"/>
    <w:rsid w:val="00672311"/>
    <w:rsid w:val="0067447D"/>
    <w:rsid w:val="00675819"/>
    <w:rsid w:val="006769C2"/>
    <w:rsid w:val="00686AC6"/>
    <w:rsid w:val="006870E8"/>
    <w:rsid w:val="00690CA7"/>
    <w:rsid w:val="00696384"/>
    <w:rsid w:val="006975A3"/>
    <w:rsid w:val="006A1BDF"/>
    <w:rsid w:val="006A2015"/>
    <w:rsid w:val="006A355E"/>
    <w:rsid w:val="006A417F"/>
    <w:rsid w:val="006B03CF"/>
    <w:rsid w:val="006B2C03"/>
    <w:rsid w:val="006B57EA"/>
    <w:rsid w:val="006B6E59"/>
    <w:rsid w:val="006C3FEB"/>
    <w:rsid w:val="006C42E4"/>
    <w:rsid w:val="006C44C3"/>
    <w:rsid w:val="006D3FA2"/>
    <w:rsid w:val="006E160D"/>
    <w:rsid w:val="006E2E96"/>
    <w:rsid w:val="006E4BEB"/>
    <w:rsid w:val="006F0A62"/>
    <w:rsid w:val="006F394E"/>
    <w:rsid w:val="006F7C33"/>
    <w:rsid w:val="00700976"/>
    <w:rsid w:val="007021A9"/>
    <w:rsid w:val="00703D4B"/>
    <w:rsid w:val="00706BF4"/>
    <w:rsid w:val="0071012D"/>
    <w:rsid w:val="00712A2C"/>
    <w:rsid w:val="00712C34"/>
    <w:rsid w:val="0072035B"/>
    <w:rsid w:val="00720A70"/>
    <w:rsid w:val="00721E21"/>
    <w:rsid w:val="0072239D"/>
    <w:rsid w:val="00726AAD"/>
    <w:rsid w:val="00727A7C"/>
    <w:rsid w:val="00727DB4"/>
    <w:rsid w:val="00731C62"/>
    <w:rsid w:val="007322EC"/>
    <w:rsid w:val="0073243E"/>
    <w:rsid w:val="00734A5B"/>
    <w:rsid w:val="00737408"/>
    <w:rsid w:val="00737977"/>
    <w:rsid w:val="00742DF6"/>
    <w:rsid w:val="00746DA6"/>
    <w:rsid w:val="00753E3A"/>
    <w:rsid w:val="007565C9"/>
    <w:rsid w:val="00756B1C"/>
    <w:rsid w:val="00757D7F"/>
    <w:rsid w:val="00760720"/>
    <w:rsid w:val="00761F8F"/>
    <w:rsid w:val="0076527F"/>
    <w:rsid w:val="0076536C"/>
    <w:rsid w:val="007701E7"/>
    <w:rsid w:val="0077070D"/>
    <w:rsid w:val="00772C6C"/>
    <w:rsid w:val="007743F5"/>
    <w:rsid w:val="00774838"/>
    <w:rsid w:val="007758DC"/>
    <w:rsid w:val="00777F4F"/>
    <w:rsid w:val="00797356"/>
    <w:rsid w:val="007A32E6"/>
    <w:rsid w:val="007A62BB"/>
    <w:rsid w:val="007A7546"/>
    <w:rsid w:val="007B0EFD"/>
    <w:rsid w:val="007B3C92"/>
    <w:rsid w:val="007B5F8F"/>
    <w:rsid w:val="007B6AFE"/>
    <w:rsid w:val="007C007B"/>
    <w:rsid w:val="007C15A6"/>
    <w:rsid w:val="007C516B"/>
    <w:rsid w:val="007C569B"/>
    <w:rsid w:val="007D241F"/>
    <w:rsid w:val="007D68C9"/>
    <w:rsid w:val="007E54D8"/>
    <w:rsid w:val="007E78A4"/>
    <w:rsid w:val="007F0108"/>
    <w:rsid w:val="007F3447"/>
    <w:rsid w:val="0080087C"/>
    <w:rsid w:val="00803922"/>
    <w:rsid w:val="008052D4"/>
    <w:rsid w:val="00805602"/>
    <w:rsid w:val="0080790F"/>
    <w:rsid w:val="008150AE"/>
    <w:rsid w:val="00815B67"/>
    <w:rsid w:val="00816E59"/>
    <w:rsid w:val="00821250"/>
    <w:rsid w:val="00822291"/>
    <w:rsid w:val="0082470E"/>
    <w:rsid w:val="008302C4"/>
    <w:rsid w:val="00833AC9"/>
    <w:rsid w:val="00833BA5"/>
    <w:rsid w:val="00837C7A"/>
    <w:rsid w:val="00844891"/>
    <w:rsid w:val="00846230"/>
    <w:rsid w:val="00861B4B"/>
    <w:rsid w:val="00865642"/>
    <w:rsid w:val="0087564A"/>
    <w:rsid w:val="00881879"/>
    <w:rsid w:val="00882523"/>
    <w:rsid w:val="00887F87"/>
    <w:rsid w:val="00890420"/>
    <w:rsid w:val="008909C3"/>
    <w:rsid w:val="008912C0"/>
    <w:rsid w:val="0089443C"/>
    <w:rsid w:val="008A0BD1"/>
    <w:rsid w:val="008A1540"/>
    <w:rsid w:val="008A19F8"/>
    <w:rsid w:val="008A58CA"/>
    <w:rsid w:val="008B0380"/>
    <w:rsid w:val="008B2761"/>
    <w:rsid w:val="008B509D"/>
    <w:rsid w:val="008B74A1"/>
    <w:rsid w:val="008C1660"/>
    <w:rsid w:val="008C4E59"/>
    <w:rsid w:val="008C77C8"/>
    <w:rsid w:val="008D1EB1"/>
    <w:rsid w:val="008D2AB0"/>
    <w:rsid w:val="008D40E5"/>
    <w:rsid w:val="008E1806"/>
    <w:rsid w:val="008E2428"/>
    <w:rsid w:val="008E25EF"/>
    <w:rsid w:val="008E3889"/>
    <w:rsid w:val="008E5E92"/>
    <w:rsid w:val="008E7843"/>
    <w:rsid w:val="008F09AB"/>
    <w:rsid w:val="008F584D"/>
    <w:rsid w:val="008F6783"/>
    <w:rsid w:val="008F6791"/>
    <w:rsid w:val="009040F1"/>
    <w:rsid w:val="00905426"/>
    <w:rsid w:val="0091120D"/>
    <w:rsid w:val="009121EE"/>
    <w:rsid w:val="009128C3"/>
    <w:rsid w:val="00913231"/>
    <w:rsid w:val="00914D6F"/>
    <w:rsid w:val="00914F4F"/>
    <w:rsid w:val="00915EDD"/>
    <w:rsid w:val="00917126"/>
    <w:rsid w:val="00922D0B"/>
    <w:rsid w:val="009270C7"/>
    <w:rsid w:val="00927918"/>
    <w:rsid w:val="00932A2A"/>
    <w:rsid w:val="0093390B"/>
    <w:rsid w:val="00934678"/>
    <w:rsid w:val="009348CC"/>
    <w:rsid w:val="0094192F"/>
    <w:rsid w:val="0094621B"/>
    <w:rsid w:val="0094687A"/>
    <w:rsid w:val="0094719D"/>
    <w:rsid w:val="00950017"/>
    <w:rsid w:val="0095029D"/>
    <w:rsid w:val="00950C8E"/>
    <w:rsid w:val="00951CF8"/>
    <w:rsid w:val="009549EB"/>
    <w:rsid w:val="00956274"/>
    <w:rsid w:val="0095763B"/>
    <w:rsid w:val="00960AF9"/>
    <w:rsid w:val="00965286"/>
    <w:rsid w:val="0096752F"/>
    <w:rsid w:val="00970B59"/>
    <w:rsid w:val="00974115"/>
    <w:rsid w:val="00974735"/>
    <w:rsid w:val="00976673"/>
    <w:rsid w:val="00984055"/>
    <w:rsid w:val="009902B7"/>
    <w:rsid w:val="00990C23"/>
    <w:rsid w:val="00991139"/>
    <w:rsid w:val="00993726"/>
    <w:rsid w:val="00993A38"/>
    <w:rsid w:val="00996B09"/>
    <w:rsid w:val="00997997"/>
    <w:rsid w:val="009A3A7A"/>
    <w:rsid w:val="009A6745"/>
    <w:rsid w:val="009A6854"/>
    <w:rsid w:val="009A7C3C"/>
    <w:rsid w:val="009B06C5"/>
    <w:rsid w:val="009B1EBB"/>
    <w:rsid w:val="009B4D6C"/>
    <w:rsid w:val="009B7B44"/>
    <w:rsid w:val="009C2A48"/>
    <w:rsid w:val="009C4EF5"/>
    <w:rsid w:val="009C62B8"/>
    <w:rsid w:val="009C7512"/>
    <w:rsid w:val="009D1783"/>
    <w:rsid w:val="009D28C2"/>
    <w:rsid w:val="009D31A3"/>
    <w:rsid w:val="009D4CEB"/>
    <w:rsid w:val="009D586F"/>
    <w:rsid w:val="009D5E2D"/>
    <w:rsid w:val="009D6B61"/>
    <w:rsid w:val="009E05C9"/>
    <w:rsid w:val="009E4618"/>
    <w:rsid w:val="009E48F4"/>
    <w:rsid w:val="009E53F7"/>
    <w:rsid w:val="009E5494"/>
    <w:rsid w:val="009E59CF"/>
    <w:rsid w:val="009E6ED5"/>
    <w:rsid w:val="009E7BA3"/>
    <w:rsid w:val="009F6135"/>
    <w:rsid w:val="009F659E"/>
    <w:rsid w:val="009F7A97"/>
    <w:rsid w:val="009F7F6B"/>
    <w:rsid w:val="00A00DA6"/>
    <w:rsid w:val="00A056FB"/>
    <w:rsid w:val="00A0582C"/>
    <w:rsid w:val="00A0606F"/>
    <w:rsid w:val="00A102B4"/>
    <w:rsid w:val="00A10E33"/>
    <w:rsid w:val="00A137C5"/>
    <w:rsid w:val="00A229F4"/>
    <w:rsid w:val="00A23801"/>
    <w:rsid w:val="00A24C3D"/>
    <w:rsid w:val="00A3203B"/>
    <w:rsid w:val="00A34F03"/>
    <w:rsid w:val="00A47A94"/>
    <w:rsid w:val="00A507A1"/>
    <w:rsid w:val="00A51501"/>
    <w:rsid w:val="00A51DD1"/>
    <w:rsid w:val="00A56360"/>
    <w:rsid w:val="00A56CBF"/>
    <w:rsid w:val="00A73182"/>
    <w:rsid w:val="00A738BC"/>
    <w:rsid w:val="00A771CA"/>
    <w:rsid w:val="00A876C7"/>
    <w:rsid w:val="00A94A64"/>
    <w:rsid w:val="00A957AC"/>
    <w:rsid w:val="00A96E99"/>
    <w:rsid w:val="00AA0DB9"/>
    <w:rsid w:val="00AB0E51"/>
    <w:rsid w:val="00AB50BC"/>
    <w:rsid w:val="00AB58AB"/>
    <w:rsid w:val="00AC040B"/>
    <w:rsid w:val="00AC2173"/>
    <w:rsid w:val="00AC4256"/>
    <w:rsid w:val="00AC5362"/>
    <w:rsid w:val="00AD2F56"/>
    <w:rsid w:val="00AD6AD5"/>
    <w:rsid w:val="00AE163F"/>
    <w:rsid w:val="00AE1B4B"/>
    <w:rsid w:val="00AE4035"/>
    <w:rsid w:val="00AE5E50"/>
    <w:rsid w:val="00AE6057"/>
    <w:rsid w:val="00AE683E"/>
    <w:rsid w:val="00AF5F5B"/>
    <w:rsid w:val="00AF73BB"/>
    <w:rsid w:val="00B00AAB"/>
    <w:rsid w:val="00B03B6F"/>
    <w:rsid w:val="00B04D99"/>
    <w:rsid w:val="00B05A30"/>
    <w:rsid w:val="00B101BB"/>
    <w:rsid w:val="00B104CB"/>
    <w:rsid w:val="00B11B94"/>
    <w:rsid w:val="00B11DBF"/>
    <w:rsid w:val="00B20065"/>
    <w:rsid w:val="00B301FC"/>
    <w:rsid w:val="00B309E9"/>
    <w:rsid w:val="00B31821"/>
    <w:rsid w:val="00B33D63"/>
    <w:rsid w:val="00B34DEE"/>
    <w:rsid w:val="00B36B30"/>
    <w:rsid w:val="00B427BE"/>
    <w:rsid w:val="00B44239"/>
    <w:rsid w:val="00B534E2"/>
    <w:rsid w:val="00B53743"/>
    <w:rsid w:val="00B53A7D"/>
    <w:rsid w:val="00B54F6D"/>
    <w:rsid w:val="00B57411"/>
    <w:rsid w:val="00B6241F"/>
    <w:rsid w:val="00B62832"/>
    <w:rsid w:val="00B62DCD"/>
    <w:rsid w:val="00B6644E"/>
    <w:rsid w:val="00B72BD5"/>
    <w:rsid w:val="00B81F6A"/>
    <w:rsid w:val="00B82125"/>
    <w:rsid w:val="00B827C0"/>
    <w:rsid w:val="00B82914"/>
    <w:rsid w:val="00B83CFE"/>
    <w:rsid w:val="00B85457"/>
    <w:rsid w:val="00B87557"/>
    <w:rsid w:val="00B9020E"/>
    <w:rsid w:val="00B95020"/>
    <w:rsid w:val="00B97882"/>
    <w:rsid w:val="00BA0835"/>
    <w:rsid w:val="00BA0948"/>
    <w:rsid w:val="00BA35FE"/>
    <w:rsid w:val="00BA737E"/>
    <w:rsid w:val="00BB138B"/>
    <w:rsid w:val="00BB1625"/>
    <w:rsid w:val="00BB62C5"/>
    <w:rsid w:val="00BC230F"/>
    <w:rsid w:val="00BC6EFF"/>
    <w:rsid w:val="00BC7D1D"/>
    <w:rsid w:val="00BD0185"/>
    <w:rsid w:val="00BD1E91"/>
    <w:rsid w:val="00BD4C92"/>
    <w:rsid w:val="00BE083B"/>
    <w:rsid w:val="00BE145A"/>
    <w:rsid w:val="00BE5CF1"/>
    <w:rsid w:val="00BE64FE"/>
    <w:rsid w:val="00BF0B8E"/>
    <w:rsid w:val="00BF32F7"/>
    <w:rsid w:val="00BF3B8B"/>
    <w:rsid w:val="00BF4A1D"/>
    <w:rsid w:val="00BF65AB"/>
    <w:rsid w:val="00C00E18"/>
    <w:rsid w:val="00C035ED"/>
    <w:rsid w:val="00C03715"/>
    <w:rsid w:val="00C03E15"/>
    <w:rsid w:val="00C12CDB"/>
    <w:rsid w:val="00C148D2"/>
    <w:rsid w:val="00C1496F"/>
    <w:rsid w:val="00C14DAC"/>
    <w:rsid w:val="00C15B62"/>
    <w:rsid w:val="00C166C5"/>
    <w:rsid w:val="00C20D38"/>
    <w:rsid w:val="00C260E2"/>
    <w:rsid w:val="00C27B27"/>
    <w:rsid w:val="00C31062"/>
    <w:rsid w:val="00C339C4"/>
    <w:rsid w:val="00C3483E"/>
    <w:rsid w:val="00C3662B"/>
    <w:rsid w:val="00C37661"/>
    <w:rsid w:val="00C37AF5"/>
    <w:rsid w:val="00C424BB"/>
    <w:rsid w:val="00C56415"/>
    <w:rsid w:val="00C61BB9"/>
    <w:rsid w:val="00C63B19"/>
    <w:rsid w:val="00C64B28"/>
    <w:rsid w:val="00C653C6"/>
    <w:rsid w:val="00C663F4"/>
    <w:rsid w:val="00C67E79"/>
    <w:rsid w:val="00C703EA"/>
    <w:rsid w:val="00C72E09"/>
    <w:rsid w:val="00C73D95"/>
    <w:rsid w:val="00C77920"/>
    <w:rsid w:val="00C80BFA"/>
    <w:rsid w:val="00C8204A"/>
    <w:rsid w:val="00C86A68"/>
    <w:rsid w:val="00C87486"/>
    <w:rsid w:val="00C87990"/>
    <w:rsid w:val="00C91F31"/>
    <w:rsid w:val="00C92EA3"/>
    <w:rsid w:val="00C9320F"/>
    <w:rsid w:val="00C945B1"/>
    <w:rsid w:val="00C95789"/>
    <w:rsid w:val="00C95E7F"/>
    <w:rsid w:val="00C96F12"/>
    <w:rsid w:val="00CA0F16"/>
    <w:rsid w:val="00CB0C78"/>
    <w:rsid w:val="00CB1B27"/>
    <w:rsid w:val="00CB5F7E"/>
    <w:rsid w:val="00CB668B"/>
    <w:rsid w:val="00CC124C"/>
    <w:rsid w:val="00CC17F1"/>
    <w:rsid w:val="00CC4E39"/>
    <w:rsid w:val="00CC57EE"/>
    <w:rsid w:val="00CC60ED"/>
    <w:rsid w:val="00CD10A7"/>
    <w:rsid w:val="00CD1F95"/>
    <w:rsid w:val="00CE369E"/>
    <w:rsid w:val="00CE3B93"/>
    <w:rsid w:val="00CF05AF"/>
    <w:rsid w:val="00CF22E7"/>
    <w:rsid w:val="00CF3AF5"/>
    <w:rsid w:val="00CF3C13"/>
    <w:rsid w:val="00CF7DEF"/>
    <w:rsid w:val="00D00DF2"/>
    <w:rsid w:val="00D020B8"/>
    <w:rsid w:val="00D05DE3"/>
    <w:rsid w:val="00D05DE9"/>
    <w:rsid w:val="00D064EC"/>
    <w:rsid w:val="00D06CFC"/>
    <w:rsid w:val="00D10341"/>
    <w:rsid w:val="00D11201"/>
    <w:rsid w:val="00D13476"/>
    <w:rsid w:val="00D13ED1"/>
    <w:rsid w:val="00D15157"/>
    <w:rsid w:val="00D17E78"/>
    <w:rsid w:val="00D2022A"/>
    <w:rsid w:val="00D208CC"/>
    <w:rsid w:val="00D23685"/>
    <w:rsid w:val="00D23B47"/>
    <w:rsid w:val="00D31026"/>
    <w:rsid w:val="00D334CD"/>
    <w:rsid w:val="00D34BED"/>
    <w:rsid w:val="00D34CAB"/>
    <w:rsid w:val="00D436D4"/>
    <w:rsid w:val="00D464D4"/>
    <w:rsid w:val="00D50D6E"/>
    <w:rsid w:val="00D51BB7"/>
    <w:rsid w:val="00D53793"/>
    <w:rsid w:val="00D55ACE"/>
    <w:rsid w:val="00D63C62"/>
    <w:rsid w:val="00D70DF8"/>
    <w:rsid w:val="00D7685B"/>
    <w:rsid w:val="00D81B6D"/>
    <w:rsid w:val="00D81BCC"/>
    <w:rsid w:val="00D83DD8"/>
    <w:rsid w:val="00D8504C"/>
    <w:rsid w:val="00D85C9B"/>
    <w:rsid w:val="00D91BFF"/>
    <w:rsid w:val="00D93906"/>
    <w:rsid w:val="00D9441A"/>
    <w:rsid w:val="00D955E6"/>
    <w:rsid w:val="00D962A7"/>
    <w:rsid w:val="00DA05FF"/>
    <w:rsid w:val="00DA34C0"/>
    <w:rsid w:val="00DA5F8C"/>
    <w:rsid w:val="00DA7151"/>
    <w:rsid w:val="00DA7158"/>
    <w:rsid w:val="00DA7BCD"/>
    <w:rsid w:val="00DB4639"/>
    <w:rsid w:val="00DC71D5"/>
    <w:rsid w:val="00DC746D"/>
    <w:rsid w:val="00DD2370"/>
    <w:rsid w:val="00DD245D"/>
    <w:rsid w:val="00DD4C86"/>
    <w:rsid w:val="00DE5271"/>
    <w:rsid w:val="00DF2C31"/>
    <w:rsid w:val="00DF53E2"/>
    <w:rsid w:val="00DF7935"/>
    <w:rsid w:val="00DF7D26"/>
    <w:rsid w:val="00E00572"/>
    <w:rsid w:val="00E05732"/>
    <w:rsid w:val="00E12191"/>
    <w:rsid w:val="00E14462"/>
    <w:rsid w:val="00E157A2"/>
    <w:rsid w:val="00E21AA8"/>
    <w:rsid w:val="00E25F53"/>
    <w:rsid w:val="00E26318"/>
    <w:rsid w:val="00E3370A"/>
    <w:rsid w:val="00E344E6"/>
    <w:rsid w:val="00E35F16"/>
    <w:rsid w:val="00E37017"/>
    <w:rsid w:val="00E37992"/>
    <w:rsid w:val="00E432ED"/>
    <w:rsid w:val="00E43517"/>
    <w:rsid w:val="00E473D9"/>
    <w:rsid w:val="00E47617"/>
    <w:rsid w:val="00E54836"/>
    <w:rsid w:val="00E553BB"/>
    <w:rsid w:val="00E55A1A"/>
    <w:rsid w:val="00E577C5"/>
    <w:rsid w:val="00E63EF4"/>
    <w:rsid w:val="00E7593E"/>
    <w:rsid w:val="00E77B63"/>
    <w:rsid w:val="00E81BD0"/>
    <w:rsid w:val="00E81D3F"/>
    <w:rsid w:val="00E81ECD"/>
    <w:rsid w:val="00E827C2"/>
    <w:rsid w:val="00E84BB3"/>
    <w:rsid w:val="00E851E6"/>
    <w:rsid w:val="00E934B4"/>
    <w:rsid w:val="00E9356A"/>
    <w:rsid w:val="00E93BC8"/>
    <w:rsid w:val="00E97713"/>
    <w:rsid w:val="00EA0A13"/>
    <w:rsid w:val="00EA5EAB"/>
    <w:rsid w:val="00EA6EFC"/>
    <w:rsid w:val="00EB1F5C"/>
    <w:rsid w:val="00EB31BD"/>
    <w:rsid w:val="00EB58D1"/>
    <w:rsid w:val="00EB5AFF"/>
    <w:rsid w:val="00EB7C2F"/>
    <w:rsid w:val="00EC0DDE"/>
    <w:rsid w:val="00ED1342"/>
    <w:rsid w:val="00ED2BEE"/>
    <w:rsid w:val="00ED38D6"/>
    <w:rsid w:val="00ED48D6"/>
    <w:rsid w:val="00EE1CBD"/>
    <w:rsid w:val="00EE364F"/>
    <w:rsid w:val="00EE429C"/>
    <w:rsid w:val="00EE4A1C"/>
    <w:rsid w:val="00EF488D"/>
    <w:rsid w:val="00EF7288"/>
    <w:rsid w:val="00EF7CD6"/>
    <w:rsid w:val="00F0281E"/>
    <w:rsid w:val="00F03181"/>
    <w:rsid w:val="00F055E7"/>
    <w:rsid w:val="00F05D79"/>
    <w:rsid w:val="00F05E18"/>
    <w:rsid w:val="00F144EF"/>
    <w:rsid w:val="00F15DF4"/>
    <w:rsid w:val="00F172F4"/>
    <w:rsid w:val="00F20F10"/>
    <w:rsid w:val="00F232C6"/>
    <w:rsid w:val="00F2552F"/>
    <w:rsid w:val="00F303EC"/>
    <w:rsid w:val="00F30C32"/>
    <w:rsid w:val="00F34314"/>
    <w:rsid w:val="00F346FA"/>
    <w:rsid w:val="00F353F8"/>
    <w:rsid w:val="00F3785E"/>
    <w:rsid w:val="00F37C36"/>
    <w:rsid w:val="00F416AD"/>
    <w:rsid w:val="00F436C8"/>
    <w:rsid w:val="00F448C3"/>
    <w:rsid w:val="00F44B58"/>
    <w:rsid w:val="00F44CD7"/>
    <w:rsid w:val="00F52624"/>
    <w:rsid w:val="00F560FF"/>
    <w:rsid w:val="00F61D5E"/>
    <w:rsid w:val="00F63200"/>
    <w:rsid w:val="00F6625C"/>
    <w:rsid w:val="00F66E79"/>
    <w:rsid w:val="00F67ED4"/>
    <w:rsid w:val="00F7043C"/>
    <w:rsid w:val="00F71BDB"/>
    <w:rsid w:val="00F7612D"/>
    <w:rsid w:val="00F76507"/>
    <w:rsid w:val="00F76611"/>
    <w:rsid w:val="00F777AC"/>
    <w:rsid w:val="00F77AAB"/>
    <w:rsid w:val="00F818C7"/>
    <w:rsid w:val="00F84BF1"/>
    <w:rsid w:val="00F853BC"/>
    <w:rsid w:val="00F855F9"/>
    <w:rsid w:val="00F91D82"/>
    <w:rsid w:val="00F93698"/>
    <w:rsid w:val="00F95AF0"/>
    <w:rsid w:val="00F96319"/>
    <w:rsid w:val="00F972F3"/>
    <w:rsid w:val="00FA67DE"/>
    <w:rsid w:val="00FB0FD1"/>
    <w:rsid w:val="00FB13A1"/>
    <w:rsid w:val="00FB1AC0"/>
    <w:rsid w:val="00FB1F6B"/>
    <w:rsid w:val="00FC47C7"/>
    <w:rsid w:val="00FD1E9E"/>
    <w:rsid w:val="00FD4825"/>
    <w:rsid w:val="00FD4CAD"/>
    <w:rsid w:val="00FD5B68"/>
    <w:rsid w:val="00FD68BE"/>
    <w:rsid w:val="00FE0D24"/>
    <w:rsid w:val="00FE3678"/>
    <w:rsid w:val="00FF39E4"/>
    <w:rsid w:val="00FF4C9E"/>
    <w:rsid w:val="00FF53BC"/>
    <w:rsid w:val="00FF583F"/>
    <w:rsid w:val="00FF5A46"/>
    <w:rsid w:val="00FF61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9AC2B8"/>
  <w15:chartTrackingRefBased/>
  <w15:docId w15:val="{257854EE-21F8-430B-B4E3-5BC1BE8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A5B"/>
    <w:pPr>
      <w:spacing w:after="160" w:line="259" w:lineRule="auto"/>
    </w:pPr>
    <w:rPr>
      <w:sz w:val="22"/>
      <w:szCs w:val="22"/>
      <w:lang w:val="en-US" w:eastAsia="zh-CN"/>
    </w:rPr>
  </w:style>
  <w:style w:type="paragraph" w:styleId="Heading1">
    <w:name w:val="heading 1"/>
    <w:basedOn w:val="Normal"/>
    <w:link w:val="Heading1Char"/>
    <w:uiPriority w:val="9"/>
    <w:qFormat/>
    <w:rsid w:val="008B509D"/>
    <w:pPr>
      <w:spacing w:before="100" w:beforeAutospacing="1" w:after="100" w:afterAutospacing="1" w:line="240" w:lineRule="auto"/>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uiPriority w:val="9"/>
    <w:semiHidden/>
    <w:unhideWhenUsed/>
    <w:qFormat/>
    <w:rsid w:val="005029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1C637D"/>
    <w:rPr>
      <w:sz w:val="16"/>
      <w:szCs w:val="16"/>
    </w:rPr>
  </w:style>
  <w:style w:type="paragraph" w:styleId="CommentText">
    <w:name w:val="annotation text"/>
    <w:basedOn w:val="Normal"/>
    <w:link w:val="CommentTextChar"/>
    <w:uiPriority w:val="99"/>
    <w:unhideWhenUsed/>
    <w:rsid w:val="001C637D"/>
    <w:pPr>
      <w:spacing w:line="240" w:lineRule="auto"/>
    </w:pPr>
    <w:rPr>
      <w:rFonts w:eastAsia="Calibri"/>
      <w:sz w:val="20"/>
      <w:szCs w:val="20"/>
      <w:lang w:eastAsia="en-US"/>
    </w:rPr>
  </w:style>
  <w:style w:type="character" w:customStyle="1" w:styleId="CommentTextChar">
    <w:name w:val="Comment Text Char"/>
    <w:link w:val="CommentText"/>
    <w:uiPriority w:val="99"/>
    <w:rsid w:val="001C637D"/>
    <w:rPr>
      <w:sz w:val="20"/>
      <w:szCs w:val="20"/>
    </w:rPr>
  </w:style>
  <w:style w:type="paragraph" w:styleId="BalloonText">
    <w:name w:val="Balloon Text"/>
    <w:basedOn w:val="Normal"/>
    <w:link w:val="BalloonTextChar"/>
    <w:uiPriority w:val="99"/>
    <w:semiHidden/>
    <w:unhideWhenUsed/>
    <w:rsid w:val="001C637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C637D"/>
    <w:rPr>
      <w:rFonts w:ascii="Segoe UI" w:eastAsia="SimSun" w:hAnsi="Segoe UI" w:cs="Segoe UI"/>
      <w:sz w:val="18"/>
      <w:szCs w:val="18"/>
      <w:lang w:eastAsia="zh-CN"/>
    </w:rPr>
  </w:style>
  <w:style w:type="paragraph" w:styleId="ListParagraph">
    <w:name w:val="List Paragraph"/>
    <w:basedOn w:val="Normal"/>
    <w:uiPriority w:val="34"/>
    <w:qFormat/>
    <w:rsid w:val="001C637D"/>
    <w:pPr>
      <w:ind w:left="720"/>
      <w:contextualSpacing/>
    </w:pPr>
  </w:style>
  <w:style w:type="paragraph" w:styleId="FootnoteText">
    <w:name w:val="footnote text"/>
    <w:basedOn w:val="Normal"/>
    <w:link w:val="FootnoteTextChar"/>
    <w:uiPriority w:val="99"/>
    <w:unhideWhenUsed/>
    <w:rsid w:val="001C637D"/>
    <w:pPr>
      <w:spacing w:after="0" w:line="240" w:lineRule="auto"/>
    </w:pPr>
    <w:rPr>
      <w:sz w:val="20"/>
      <w:szCs w:val="20"/>
    </w:rPr>
  </w:style>
  <w:style w:type="character" w:customStyle="1" w:styleId="FootnoteTextChar">
    <w:name w:val="Footnote Text Char"/>
    <w:link w:val="FootnoteText"/>
    <w:uiPriority w:val="99"/>
    <w:rsid w:val="001C637D"/>
    <w:rPr>
      <w:rFonts w:eastAsia="SimSun"/>
      <w:sz w:val="20"/>
      <w:szCs w:val="20"/>
      <w:lang w:eastAsia="zh-CN"/>
    </w:rPr>
  </w:style>
  <w:style w:type="character" w:styleId="FootnoteReference">
    <w:name w:val="footnote reference"/>
    <w:uiPriority w:val="99"/>
    <w:unhideWhenUsed/>
    <w:rsid w:val="001C637D"/>
    <w:rPr>
      <w:vertAlign w:val="superscript"/>
    </w:rPr>
  </w:style>
  <w:style w:type="character" w:customStyle="1" w:styleId="st">
    <w:name w:val="st"/>
    <w:basedOn w:val="DefaultParagraphFont"/>
    <w:rsid w:val="001C637D"/>
  </w:style>
  <w:style w:type="character" w:styleId="Emphasis">
    <w:name w:val="Emphasis"/>
    <w:uiPriority w:val="20"/>
    <w:qFormat/>
    <w:rsid w:val="001C637D"/>
    <w:rPr>
      <w:i/>
      <w:iCs/>
    </w:rPr>
  </w:style>
  <w:style w:type="table" w:styleId="TableGrid">
    <w:name w:val="Table Grid"/>
    <w:basedOn w:val="TableNormal"/>
    <w:uiPriority w:val="59"/>
    <w:rsid w:val="00E81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974115"/>
    <w:rPr>
      <w:color w:val="808080"/>
    </w:rPr>
  </w:style>
  <w:style w:type="character" w:styleId="Hyperlink">
    <w:name w:val="Hyperlink"/>
    <w:uiPriority w:val="99"/>
    <w:unhideWhenUsed/>
    <w:rsid w:val="00E934B4"/>
    <w:rPr>
      <w:color w:val="0563C1"/>
      <w:u w:val="single"/>
    </w:rPr>
  </w:style>
  <w:style w:type="character" w:customStyle="1" w:styleId="UnresolvedMention1">
    <w:name w:val="Unresolved Mention1"/>
    <w:uiPriority w:val="99"/>
    <w:semiHidden/>
    <w:unhideWhenUsed/>
    <w:rsid w:val="00E934B4"/>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E3370A"/>
    <w:rPr>
      <w:rFonts w:eastAsia="SimSun"/>
      <w:b/>
      <w:bCs/>
      <w:lang w:eastAsia="zh-CN"/>
    </w:rPr>
  </w:style>
  <w:style w:type="character" w:customStyle="1" w:styleId="CommentSubjectChar">
    <w:name w:val="Comment Subject Char"/>
    <w:link w:val="CommentSubject"/>
    <w:uiPriority w:val="99"/>
    <w:semiHidden/>
    <w:rsid w:val="00E3370A"/>
    <w:rPr>
      <w:rFonts w:eastAsia="SimSun"/>
      <w:b/>
      <w:bCs/>
      <w:sz w:val="20"/>
      <w:szCs w:val="20"/>
      <w:lang w:eastAsia="zh-CN"/>
    </w:rPr>
  </w:style>
  <w:style w:type="character" w:customStyle="1" w:styleId="Heading1Char">
    <w:name w:val="Heading 1 Char"/>
    <w:link w:val="Heading1"/>
    <w:uiPriority w:val="9"/>
    <w:rsid w:val="008B509D"/>
    <w:rPr>
      <w:rFonts w:ascii="Times New Roman" w:eastAsia="Times New Roman" w:hAnsi="Times New Roman" w:cs="Times New Roman"/>
      <w:b/>
      <w:bCs/>
      <w:kern w:val="36"/>
      <w:sz w:val="48"/>
      <w:szCs w:val="48"/>
    </w:rPr>
  </w:style>
  <w:style w:type="character" w:customStyle="1" w:styleId="title-text">
    <w:name w:val="title-text"/>
    <w:basedOn w:val="DefaultParagraphFont"/>
    <w:rsid w:val="008B509D"/>
  </w:style>
  <w:style w:type="character" w:customStyle="1" w:styleId="UnresolvedMention2">
    <w:name w:val="Unresolved Mention2"/>
    <w:uiPriority w:val="99"/>
    <w:semiHidden/>
    <w:unhideWhenUsed/>
    <w:rsid w:val="00BD0185"/>
    <w:rPr>
      <w:color w:val="808080"/>
      <w:shd w:val="clear" w:color="auto" w:fill="E6E6E6"/>
    </w:rPr>
  </w:style>
  <w:style w:type="paragraph" w:styleId="Header">
    <w:name w:val="header"/>
    <w:basedOn w:val="Normal"/>
    <w:link w:val="HeaderChar"/>
    <w:uiPriority w:val="99"/>
    <w:unhideWhenUsed/>
    <w:rsid w:val="008D4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0E5"/>
    <w:rPr>
      <w:rFonts w:eastAsia="SimSun"/>
      <w:sz w:val="22"/>
      <w:szCs w:val="22"/>
      <w:lang w:val="en-US" w:eastAsia="zh-CN"/>
    </w:rPr>
  </w:style>
  <w:style w:type="paragraph" w:styleId="Footer">
    <w:name w:val="footer"/>
    <w:basedOn w:val="Normal"/>
    <w:link w:val="FooterChar"/>
    <w:uiPriority w:val="99"/>
    <w:unhideWhenUsed/>
    <w:rsid w:val="008D4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0E5"/>
    <w:rPr>
      <w:rFonts w:eastAsia="SimSun"/>
      <w:sz w:val="22"/>
      <w:szCs w:val="22"/>
      <w:lang w:val="en-US" w:eastAsia="zh-CN"/>
    </w:rPr>
  </w:style>
  <w:style w:type="paragraph" w:styleId="Revision">
    <w:name w:val="Revision"/>
    <w:hidden/>
    <w:uiPriority w:val="99"/>
    <w:semiHidden/>
    <w:rsid w:val="007D241F"/>
    <w:rPr>
      <w:sz w:val="22"/>
      <w:szCs w:val="22"/>
      <w:lang w:val="en-US" w:eastAsia="zh-CN"/>
    </w:rPr>
  </w:style>
  <w:style w:type="character" w:customStyle="1" w:styleId="Heading2Char">
    <w:name w:val="Heading 2 Char"/>
    <w:basedOn w:val="DefaultParagraphFont"/>
    <w:link w:val="Heading2"/>
    <w:uiPriority w:val="9"/>
    <w:semiHidden/>
    <w:rsid w:val="005029A5"/>
    <w:rPr>
      <w:rFonts w:asciiTheme="majorHAnsi" w:eastAsiaTheme="majorEastAsia" w:hAnsiTheme="majorHAnsi" w:cstheme="majorBidi"/>
      <w:color w:val="2F5496" w:themeColor="accent1" w:themeShade="BF"/>
      <w:sz w:val="26"/>
      <w:szCs w:val="2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431614">
      <w:bodyDiv w:val="1"/>
      <w:marLeft w:val="0"/>
      <w:marRight w:val="0"/>
      <w:marTop w:val="0"/>
      <w:marBottom w:val="0"/>
      <w:divBdr>
        <w:top w:val="none" w:sz="0" w:space="0" w:color="auto"/>
        <w:left w:val="none" w:sz="0" w:space="0" w:color="auto"/>
        <w:bottom w:val="none" w:sz="0" w:space="0" w:color="auto"/>
        <w:right w:val="none" w:sz="0" w:space="0" w:color="auto"/>
      </w:divBdr>
    </w:div>
    <w:div w:id="611867617">
      <w:bodyDiv w:val="1"/>
      <w:marLeft w:val="0"/>
      <w:marRight w:val="0"/>
      <w:marTop w:val="0"/>
      <w:marBottom w:val="0"/>
      <w:divBdr>
        <w:top w:val="none" w:sz="0" w:space="0" w:color="auto"/>
        <w:left w:val="none" w:sz="0" w:space="0" w:color="auto"/>
        <w:bottom w:val="none" w:sz="0" w:space="0" w:color="auto"/>
        <w:right w:val="none" w:sz="0" w:space="0" w:color="auto"/>
      </w:divBdr>
    </w:div>
    <w:div w:id="843859521">
      <w:bodyDiv w:val="1"/>
      <w:marLeft w:val="0"/>
      <w:marRight w:val="0"/>
      <w:marTop w:val="0"/>
      <w:marBottom w:val="0"/>
      <w:divBdr>
        <w:top w:val="none" w:sz="0" w:space="0" w:color="auto"/>
        <w:left w:val="none" w:sz="0" w:space="0" w:color="auto"/>
        <w:bottom w:val="none" w:sz="0" w:space="0" w:color="auto"/>
        <w:right w:val="none" w:sz="0" w:space="0" w:color="auto"/>
      </w:divBdr>
    </w:div>
    <w:div w:id="1650330770">
      <w:bodyDiv w:val="1"/>
      <w:marLeft w:val="0"/>
      <w:marRight w:val="0"/>
      <w:marTop w:val="0"/>
      <w:marBottom w:val="0"/>
      <w:divBdr>
        <w:top w:val="none" w:sz="0" w:space="0" w:color="auto"/>
        <w:left w:val="none" w:sz="0" w:space="0" w:color="auto"/>
        <w:bottom w:val="none" w:sz="0" w:space="0" w:color="auto"/>
        <w:right w:val="none" w:sz="0" w:space="0" w:color="auto"/>
      </w:divBdr>
      <w:divsChild>
        <w:div w:id="483815678">
          <w:marLeft w:val="0"/>
          <w:marRight w:val="0"/>
          <w:marTop w:val="0"/>
          <w:marBottom w:val="0"/>
          <w:divBdr>
            <w:top w:val="none" w:sz="0" w:space="0" w:color="auto"/>
            <w:left w:val="none" w:sz="0" w:space="0" w:color="auto"/>
            <w:bottom w:val="none" w:sz="0" w:space="0" w:color="auto"/>
            <w:right w:val="none" w:sz="0" w:space="0" w:color="auto"/>
          </w:divBdr>
        </w:div>
        <w:div w:id="621034316">
          <w:marLeft w:val="0"/>
          <w:marRight w:val="0"/>
          <w:marTop w:val="0"/>
          <w:marBottom w:val="0"/>
          <w:divBdr>
            <w:top w:val="none" w:sz="0" w:space="0" w:color="auto"/>
            <w:left w:val="none" w:sz="0" w:space="0" w:color="auto"/>
            <w:bottom w:val="none" w:sz="0" w:space="0" w:color="auto"/>
            <w:right w:val="none" w:sz="0" w:space="0" w:color="auto"/>
          </w:divBdr>
        </w:div>
        <w:div w:id="651132066">
          <w:marLeft w:val="0"/>
          <w:marRight w:val="0"/>
          <w:marTop w:val="0"/>
          <w:marBottom w:val="0"/>
          <w:divBdr>
            <w:top w:val="none" w:sz="0" w:space="0" w:color="auto"/>
            <w:left w:val="none" w:sz="0" w:space="0" w:color="auto"/>
            <w:bottom w:val="none" w:sz="0" w:space="0" w:color="auto"/>
            <w:right w:val="none" w:sz="0" w:space="0" w:color="auto"/>
          </w:divBdr>
        </w:div>
        <w:div w:id="795876650">
          <w:marLeft w:val="0"/>
          <w:marRight w:val="0"/>
          <w:marTop w:val="0"/>
          <w:marBottom w:val="0"/>
          <w:divBdr>
            <w:top w:val="none" w:sz="0" w:space="0" w:color="auto"/>
            <w:left w:val="none" w:sz="0" w:space="0" w:color="auto"/>
            <w:bottom w:val="none" w:sz="0" w:space="0" w:color="auto"/>
            <w:right w:val="none" w:sz="0" w:space="0" w:color="auto"/>
          </w:divBdr>
        </w:div>
        <w:div w:id="876116454">
          <w:marLeft w:val="0"/>
          <w:marRight w:val="0"/>
          <w:marTop w:val="0"/>
          <w:marBottom w:val="0"/>
          <w:divBdr>
            <w:top w:val="none" w:sz="0" w:space="0" w:color="auto"/>
            <w:left w:val="none" w:sz="0" w:space="0" w:color="auto"/>
            <w:bottom w:val="none" w:sz="0" w:space="0" w:color="auto"/>
            <w:right w:val="none" w:sz="0" w:space="0" w:color="auto"/>
          </w:divBdr>
        </w:div>
        <w:div w:id="1929848919">
          <w:marLeft w:val="0"/>
          <w:marRight w:val="0"/>
          <w:marTop w:val="0"/>
          <w:marBottom w:val="0"/>
          <w:divBdr>
            <w:top w:val="none" w:sz="0" w:space="0" w:color="auto"/>
            <w:left w:val="none" w:sz="0" w:space="0" w:color="auto"/>
            <w:bottom w:val="none" w:sz="0" w:space="0" w:color="auto"/>
            <w:right w:val="none" w:sz="0" w:space="0" w:color="auto"/>
          </w:divBdr>
        </w:div>
        <w:div w:id="1955089071">
          <w:marLeft w:val="0"/>
          <w:marRight w:val="0"/>
          <w:marTop w:val="0"/>
          <w:marBottom w:val="0"/>
          <w:divBdr>
            <w:top w:val="none" w:sz="0" w:space="0" w:color="auto"/>
            <w:left w:val="none" w:sz="0" w:space="0" w:color="auto"/>
            <w:bottom w:val="none" w:sz="0" w:space="0" w:color="auto"/>
            <w:right w:val="none" w:sz="0" w:space="0" w:color="auto"/>
          </w:divBdr>
        </w:div>
        <w:div w:id="2143309417">
          <w:marLeft w:val="0"/>
          <w:marRight w:val="0"/>
          <w:marTop w:val="0"/>
          <w:marBottom w:val="0"/>
          <w:divBdr>
            <w:top w:val="none" w:sz="0" w:space="0" w:color="auto"/>
            <w:left w:val="none" w:sz="0" w:space="0" w:color="auto"/>
            <w:bottom w:val="none" w:sz="0" w:space="0" w:color="auto"/>
            <w:right w:val="none" w:sz="0" w:space="0" w:color="auto"/>
          </w:divBdr>
        </w:div>
      </w:divsChild>
    </w:div>
    <w:div w:id="1682930528">
      <w:bodyDiv w:val="1"/>
      <w:marLeft w:val="0"/>
      <w:marRight w:val="0"/>
      <w:marTop w:val="0"/>
      <w:marBottom w:val="0"/>
      <w:divBdr>
        <w:top w:val="none" w:sz="0" w:space="0" w:color="auto"/>
        <w:left w:val="none" w:sz="0" w:space="0" w:color="auto"/>
        <w:bottom w:val="none" w:sz="0" w:space="0" w:color="auto"/>
        <w:right w:val="none" w:sz="0" w:space="0" w:color="auto"/>
      </w:divBdr>
    </w:div>
    <w:div w:id="1751807553">
      <w:bodyDiv w:val="1"/>
      <w:marLeft w:val="0"/>
      <w:marRight w:val="0"/>
      <w:marTop w:val="0"/>
      <w:marBottom w:val="0"/>
      <w:divBdr>
        <w:top w:val="none" w:sz="0" w:space="0" w:color="auto"/>
        <w:left w:val="none" w:sz="0" w:space="0" w:color="auto"/>
        <w:bottom w:val="none" w:sz="0" w:space="0" w:color="auto"/>
        <w:right w:val="none" w:sz="0" w:space="0" w:color="auto"/>
      </w:divBdr>
      <w:divsChild>
        <w:div w:id="29497600">
          <w:marLeft w:val="0"/>
          <w:marRight w:val="0"/>
          <w:marTop w:val="0"/>
          <w:marBottom w:val="0"/>
          <w:divBdr>
            <w:top w:val="none" w:sz="0" w:space="0" w:color="auto"/>
            <w:left w:val="none" w:sz="0" w:space="0" w:color="auto"/>
            <w:bottom w:val="none" w:sz="0" w:space="0" w:color="auto"/>
            <w:right w:val="none" w:sz="0" w:space="0" w:color="auto"/>
          </w:divBdr>
        </w:div>
        <w:div w:id="144472388">
          <w:marLeft w:val="0"/>
          <w:marRight w:val="0"/>
          <w:marTop w:val="0"/>
          <w:marBottom w:val="0"/>
          <w:divBdr>
            <w:top w:val="none" w:sz="0" w:space="0" w:color="auto"/>
            <w:left w:val="none" w:sz="0" w:space="0" w:color="auto"/>
            <w:bottom w:val="none" w:sz="0" w:space="0" w:color="auto"/>
            <w:right w:val="none" w:sz="0" w:space="0" w:color="auto"/>
          </w:divBdr>
        </w:div>
        <w:div w:id="241529039">
          <w:marLeft w:val="0"/>
          <w:marRight w:val="0"/>
          <w:marTop w:val="0"/>
          <w:marBottom w:val="0"/>
          <w:divBdr>
            <w:top w:val="none" w:sz="0" w:space="0" w:color="auto"/>
            <w:left w:val="none" w:sz="0" w:space="0" w:color="auto"/>
            <w:bottom w:val="none" w:sz="0" w:space="0" w:color="auto"/>
            <w:right w:val="none" w:sz="0" w:space="0" w:color="auto"/>
          </w:divBdr>
        </w:div>
        <w:div w:id="341667979">
          <w:marLeft w:val="0"/>
          <w:marRight w:val="0"/>
          <w:marTop w:val="0"/>
          <w:marBottom w:val="0"/>
          <w:divBdr>
            <w:top w:val="none" w:sz="0" w:space="0" w:color="auto"/>
            <w:left w:val="none" w:sz="0" w:space="0" w:color="auto"/>
            <w:bottom w:val="none" w:sz="0" w:space="0" w:color="auto"/>
            <w:right w:val="none" w:sz="0" w:space="0" w:color="auto"/>
          </w:divBdr>
        </w:div>
        <w:div w:id="414086205">
          <w:marLeft w:val="0"/>
          <w:marRight w:val="0"/>
          <w:marTop w:val="0"/>
          <w:marBottom w:val="0"/>
          <w:divBdr>
            <w:top w:val="none" w:sz="0" w:space="0" w:color="auto"/>
            <w:left w:val="none" w:sz="0" w:space="0" w:color="auto"/>
            <w:bottom w:val="none" w:sz="0" w:space="0" w:color="auto"/>
            <w:right w:val="none" w:sz="0" w:space="0" w:color="auto"/>
          </w:divBdr>
        </w:div>
        <w:div w:id="477110525">
          <w:marLeft w:val="0"/>
          <w:marRight w:val="0"/>
          <w:marTop w:val="0"/>
          <w:marBottom w:val="0"/>
          <w:divBdr>
            <w:top w:val="none" w:sz="0" w:space="0" w:color="auto"/>
            <w:left w:val="none" w:sz="0" w:space="0" w:color="auto"/>
            <w:bottom w:val="none" w:sz="0" w:space="0" w:color="auto"/>
            <w:right w:val="none" w:sz="0" w:space="0" w:color="auto"/>
          </w:divBdr>
        </w:div>
        <w:div w:id="486479061">
          <w:marLeft w:val="0"/>
          <w:marRight w:val="0"/>
          <w:marTop w:val="0"/>
          <w:marBottom w:val="0"/>
          <w:divBdr>
            <w:top w:val="none" w:sz="0" w:space="0" w:color="auto"/>
            <w:left w:val="none" w:sz="0" w:space="0" w:color="auto"/>
            <w:bottom w:val="none" w:sz="0" w:space="0" w:color="auto"/>
            <w:right w:val="none" w:sz="0" w:space="0" w:color="auto"/>
          </w:divBdr>
        </w:div>
        <w:div w:id="573592860">
          <w:marLeft w:val="0"/>
          <w:marRight w:val="0"/>
          <w:marTop w:val="0"/>
          <w:marBottom w:val="0"/>
          <w:divBdr>
            <w:top w:val="none" w:sz="0" w:space="0" w:color="auto"/>
            <w:left w:val="none" w:sz="0" w:space="0" w:color="auto"/>
            <w:bottom w:val="none" w:sz="0" w:space="0" w:color="auto"/>
            <w:right w:val="none" w:sz="0" w:space="0" w:color="auto"/>
          </w:divBdr>
        </w:div>
        <w:div w:id="643781452">
          <w:marLeft w:val="0"/>
          <w:marRight w:val="0"/>
          <w:marTop w:val="0"/>
          <w:marBottom w:val="0"/>
          <w:divBdr>
            <w:top w:val="none" w:sz="0" w:space="0" w:color="auto"/>
            <w:left w:val="none" w:sz="0" w:space="0" w:color="auto"/>
            <w:bottom w:val="none" w:sz="0" w:space="0" w:color="auto"/>
            <w:right w:val="none" w:sz="0" w:space="0" w:color="auto"/>
          </w:divBdr>
        </w:div>
        <w:div w:id="727997411">
          <w:marLeft w:val="0"/>
          <w:marRight w:val="0"/>
          <w:marTop w:val="0"/>
          <w:marBottom w:val="0"/>
          <w:divBdr>
            <w:top w:val="none" w:sz="0" w:space="0" w:color="auto"/>
            <w:left w:val="none" w:sz="0" w:space="0" w:color="auto"/>
            <w:bottom w:val="none" w:sz="0" w:space="0" w:color="auto"/>
            <w:right w:val="none" w:sz="0" w:space="0" w:color="auto"/>
          </w:divBdr>
        </w:div>
        <w:div w:id="808135682">
          <w:marLeft w:val="0"/>
          <w:marRight w:val="0"/>
          <w:marTop w:val="0"/>
          <w:marBottom w:val="0"/>
          <w:divBdr>
            <w:top w:val="none" w:sz="0" w:space="0" w:color="auto"/>
            <w:left w:val="none" w:sz="0" w:space="0" w:color="auto"/>
            <w:bottom w:val="none" w:sz="0" w:space="0" w:color="auto"/>
            <w:right w:val="none" w:sz="0" w:space="0" w:color="auto"/>
          </w:divBdr>
        </w:div>
        <w:div w:id="840436766">
          <w:marLeft w:val="0"/>
          <w:marRight w:val="0"/>
          <w:marTop w:val="0"/>
          <w:marBottom w:val="0"/>
          <w:divBdr>
            <w:top w:val="none" w:sz="0" w:space="0" w:color="auto"/>
            <w:left w:val="none" w:sz="0" w:space="0" w:color="auto"/>
            <w:bottom w:val="none" w:sz="0" w:space="0" w:color="auto"/>
            <w:right w:val="none" w:sz="0" w:space="0" w:color="auto"/>
          </w:divBdr>
        </w:div>
        <w:div w:id="951478674">
          <w:marLeft w:val="0"/>
          <w:marRight w:val="0"/>
          <w:marTop w:val="0"/>
          <w:marBottom w:val="0"/>
          <w:divBdr>
            <w:top w:val="none" w:sz="0" w:space="0" w:color="auto"/>
            <w:left w:val="none" w:sz="0" w:space="0" w:color="auto"/>
            <w:bottom w:val="none" w:sz="0" w:space="0" w:color="auto"/>
            <w:right w:val="none" w:sz="0" w:space="0" w:color="auto"/>
          </w:divBdr>
        </w:div>
        <w:div w:id="963149627">
          <w:marLeft w:val="0"/>
          <w:marRight w:val="0"/>
          <w:marTop w:val="0"/>
          <w:marBottom w:val="0"/>
          <w:divBdr>
            <w:top w:val="none" w:sz="0" w:space="0" w:color="auto"/>
            <w:left w:val="none" w:sz="0" w:space="0" w:color="auto"/>
            <w:bottom w:val="none" w:sz="0" w:space="0" w:color="auto"/>
            <w:right w:val="none" w:sz="0" w:space="0" w:color="auto"/>
          </w:divBdr>
        </w:div>
        <w:div w:id="964845971">
          <w:marLeft w:val="0"/>
          <w:marRight w:val="0"/>
          <w:marTop w:val="0"/>
          <w:marBottom w:val="0"/>
          <w:divBdr>
            <w:top w:val="none" w:sz="0" w:space="0" w:color="auto"/>
            <w:left w:val="none" w:sz="0" w:space="0" w:color="auto"/>
            <w:bottom w:val="none" w:sz="0" w:space="0" w:color="auto"/>
            <w:right w:val="none" w:sz="0" w:space="0" w:color="auto"/>
          </w:divBdr>
        </w:div>
        <w:div w:id="996225487">
          <w:marLeft w:val="0"/>
          <w:marRight w:val="0"/>
          <w:marTop w:val="0"/>
          <w:marBottom w:val="0"/>
          <w:divBdr>
            <w:top w:val="none" w:sz="0" w:space="0" w:color="auto"/>
            <w:left w:val="none" w:sz="0" w:space="0" w:color="auto"/>
            <w:bottom w:val="none" w:sz="0" w:space="0" w:color="auto"/>
            <w:right w:val="none" w:sz="0" w:space="0" w:color="auto"/>
          </w:divBdr>
        </w:div>
        <w:div w:id="1067531351">
          <w:marLeft w:val="0"/>
          <w:marRight w:val="0"/>
          <w:marTop w:val="0"/>
          <w:marBottom w:val="0"/>
          <w:divBdr>
            <w:top w:val="none" w:sz="0" w:space="0" w:color="auto"/>
            <w:left w:val="none" w:sz="0" w:space="0" w:color="auto"/>
            <w:bottom w:val="none" w:sz="0" w:space="0" w:color="auto"/>
            <w:right w:val="none" w:sz="0" w:space="0" w:color="auto"/>
          </w:divBdr>
        </w:div>
        <w:div w:id="1118599417">
          <w:marLeft w:val="0"/>
          <w:marRight w:val="0"/>
          <w:marTop w:val="0"/>
          <w:marBottom w:val="0"/>
          <w:divBdr>
            <w:top w:val="none" w:sz="0" w:space="0" w:color="auto"/>
            <w:left w:val="none" w:sz="0" w:space="0" w:color="auto"/>
            <w:bottom w:val="none" w:sz="0" w:space="0" w:color="auto"/>
            <w:right w:val="none" w:sz="0" w:space="0" w:color="auto"/>
          </w:divBdr>
        </w:div>
        <w:div w:id="1121150521">
          <w:marLeft w:val="0"/>
          <w:marRight w:val="0"/>
          <w:marTop w:val="0"/>
          <w:marBottom w:val="0"/>
          <w:divBdr>
            <w:top w:val="none" w:sz="0" w:space="0" w:color="auto"/>
            <w:left w:val="none" w:sz="0" w:space="0" w:color="auto"/>
            <w:bottom w:val="none" w:sz="0" w:space="0" w:color="auto"/>
            <w:right w:val="none" w:sz="0" w:space="0" w:color="auto"/>
          </w:divBdr>
        </w:div>
        <w:div w:id="1157067486">
          <w:marLeft w:val="0"/>
          <w:marRight w:val="0"/>
          <w:marTop w:val="0"/>
          <w:marBottom w:val="0"/>
          <w:divBdr>
            <w:top w:val="none" w:sz="0" w:space="0" w:color="auto"/>
            <w:left w:val="none" w:sz="0" w:space="0" w:color="auto"/>
            <w:bottom w:val="none" w:sz="0" w:space="0" w:color="auto"/>
            <w:right w:val="none" w:sz="0" w:space="0" w:color="auto"/>
          </w:divBdr>
        </w:div>
        <w:div w:id="1179152968">
          <w:marLeft w:val="0"/>
          <w:marRight w:val="0"/>
          <w:marTop w:val="0"/>
          <w:marBottom w:val="0"/>
          <w:divBdr>
            <w:top w:val="none" w:sz="0" w:space="0" w:color="auto"/>
            <w:left w:val="none" w:sz="0" w:space="0" w:color="auto"/>
            <w:bottom w:val="none" w:sz="0" w:space="0" w:color="auto"/>
            <w:right w:val="none" w:sz="0" w:space="0" w:color="auto"/>
          </w:divBdr>
        </w:div>
        <w:div w:id="1187670053">
          <w:marLeft w:val="0"/>
          <w:marRight w:val="0"/>
          <w:marTop w:val="0"/>
          <w:marBottom w:val="0"/>
          <w:divBdr>
            <w:top w:val="none" w:sz="0" w:space="0" w:color="auto"/>
            <w:left w:val="none" w:sz="0" w:space="0" w:color="auto"/>
            <w:bottom w:val="none" w:sz="0" w:space="0" w:color="auto"/>
            <w:right w:val="none" w:sz="0" w:space="0" w:color="auto"/>
          </w:divBdr>
        </w:div>
        <w:div w:id="1211838882">
          <w:marLeft w:val="0"/>
          <w:marRight w:val="0"/>
          <w:marTop w:val="0"/>
          <w:marBottom w:val="0"/>
          <w:divBdr>
            <w:top w:val="none" w:sz="0" w:space="0" w:color="auto"/>
            <w:left w:val="none" w:sz="0" w:space="0" w:color="auto"/>
            <w:bottom w:val="none" w:sz="0" w:space="0" w:color="auto"/>
            <w:right w:val="none" w:sz="0" w:space="0" w:color="auto"/>
          </w:divBdr>
        </w:div>
        <w:div w:id="1280340207">
          <w:marLeft w:val="0"/>
          <w:marRight w:val="0"/>
          <w:marTop w:val="0"/>
          <w:marBottom w:val="0"/>
          <w:divBdr>
            <w:top w:val="none" w:sz="0" w:space="0" w:color="auto"/>
            <w:left w:val="none" w:sz="0" w:space="0" w:color="auto"/>
            <w:bottom w:val="none" w:sz="0" w:space="0" w:color="auto"/>
            <w:right w:val="none" w:sz="0" w:space="0" w:color="auto"/>
          </w:divBdr>
        </w:div>
        <w:div w:id="1333875978">
          <w:marLeft w:val="0"/>
          <w:marRight w:val="0"/>
          <w:marTop w:val="0"/>
          <w:marBottom w:val="0"/>
          <w:divBdr>
            <w:top w:val="none" w:sz="0" w:space="0" w:color="auto"/>
            <w:left w:val="none" w:sz="0" w:space="0" w:color="auto"/>
            <w:bottom w:val="none" w:sz="0" w:space="0" w:color="auto"/>
            <w:right w:val="none" w:sz="0" w:space="0" w:color="auto"/>
          </w:divBdr>
        </w:div>
        <w:div w:id="1336616421">
          <w:marLeft w:val="0"/>
          <w:marRight w:val="0"/>
          <w:marTop w:val="0"/>
          <w:marBottom w:val="0"/>
          <w:divBdr>
            <w:top w:val="none" w:sz="0" w:space="0" w:color="auto"/>
            <w:left w:val="none" w:sz="0" w:space="0" w:color="auto"/>
            <w:bottom w:val="none" w:sz="0" w:space="0" w:color="auto"/>
            <w:right w:val="none" w:sz="0" w:space="0" w:color="auto"/>
          </w:divBdr>
        </w:div>
        <w:div w:id="1407335275">
          <w:marLeft w:val="0"/>
          <w:marRight w:val="0"/>
          <w:marTop w:val="0"/>
          <w:marBottom w:val="0"/>
          <w:divBdr>
            <w:top w:val="none" w:sz="0" w:space="0" w:color="auto"/>
            <w:left w:val="none" w:sz="0" w:space="0" w:color="auto"/>
            <w:bottom w:val="none" w:sz="0" w:space="0" w:color="auto"/>
            <w:right w:val="none" w:sz="0" w:space="0" w:color="auto"/>
          </w:divBdr>
        </w:div>
        <w:div w:id="1445269659">
          <w:marLeft w:val="0"/>
          <w:marRight w:val="0"/>
          <w:marTop w:val="0"/>
          <w:marBottom w:val="0"/>
          <w:divBdr>
            <w:top w:val="none" w:sz="0" w:space="0" w:color="auto"/>
            <w:left w:val="none" w:sz="0" w:space="0" w:color="auto"/>
            <w:bottom w:val="none" w:sz="0" w:space="0" w:color="auto"/>
            <w:right w:val="none" w:sz="0" w:space="0" w:color="auto"/>
          </w:divBdr>
        </w:div>
        <w:div w:id="1614020736">
          <w:marLeft w:val="0"/>
          <w:marRight w:val="0"/>
          <w:marTop w:val="0"/>
          <w:marBottom w:val="0"/>
          <w:divBdr>
            <w:top w:val="none" w:sz="0" w:space="0" w:color="auto"/>
            <w:left w:val="none" w:sz="0" w:space="0" w:color="auto"/>
            <w:bottom w:val="none" w:sz="0" w:space="0" w:color="auto"/>
            <w:right w:val="none" w:sz="0" w:space="0" w:color="auto"/>
          </w:divBdr>
        </w:div>
        <w:div w:id="1614167236">
          <w:marLeft w:val="0"/>
          <w:marRight w:val="0"/>
          <w:marTop w:val="0"/>
          <w:marBottom w:val="0"/>
          <w:divBdr>
            <w:top w:val="none" w:sz="0" w:space="0" w:color="auto"/>
            <w:left w:val="none" w:sz="0" w:space="0" w:color="auto"/>
            <w:bottom w:val="none" w:sz="0" w:space="0" w:color="auto"/>
            <w:right w:val="none" w:sz="0" w:space="0" w:color="auto"/>
          </w:divBdr>
        </w:div>
        <w:div w:id="1674381978">
          <w:marLeft w:val="0"/>
          <w:marRight w:val="0"/>
          <w:marTop w:val="0"/>
          <w:marBottom w:val="0"/>
          <w:divBdr>
            <w:top w:val="none" w:sz="0" w:space="0" w:color="auto"/>
            <w:left w:val="none" w:sz="0" w:space="0" w:color="auto"/>
            <w:bottom w:val="none" w:sz="0" w:space="0" w:color="auto"/>
            <w:right w:val="none" w:sz="0" w:space="0" w:color="auto"/>
          </w:divBdr>
        </w:div>
        <w:div w:id="1686705573">
          <w:marLeft w:val="0"/>
          <w:marRight w:val="0"/>
          <w:marTop w:val="0"/>
          <w:marBottom w:val="0"/>
          <w:divBdr>
            <w:top w:val="none" w:sz="0" w:space="0" w:color="auto"/>
            <w:left w:val="none" w:sz="0" w:space="0" w:color="auto"/>
            <w:bottom w:val="none" w:sz="0" w:space="0" w:color="auto"/>
            <w:right w:val="none" w:sz="0" w:space="0" w:color="auto"/>
          </w:divBdr>
        </w:div>
        <w:div w:id="1687752481">
          <w:marLeft w:val="0"/>
          <w:marRight w:val="0"/>
          <w:marTop w:val="0"/>
          <w:marBottom w:val="0"/>
          <w:divBdr>
            <w:top w:val="none" w:sz="0" w:space="0" w:color="auto"/>
            <w:left w:val="none" w:sz="0" w:space="0" w:color="auto"/>
            <w:bottom w:val="none" w:sz="0" w:space="0" w:color="auto"/>
            <w:right w:val="none" w:sz="0" w:space="0" w:color="auto"/>
          </w:divBdr>
        </w:div>
        <w:div w:id="1702167444">
          <w:marLeft w:val="0"/>
          <w:marRight w:val="0"/>
          <w:marTop w:val="0"/>
          <w:marBottom w:val="0"/>
          <w:divBdr>
            <w:top w:val="none" w:sz="0" w:space="0" w:color="auto"/>
            <w:left w:val="none" w:sz="0" w:space="0" w:color="auto"/>
            <w:bottom w:val="none" w:sz="0" w:space="0" w:color="auto"/>
            <w:right w:val="none" w:sz="0" w:space="0" w:color="auto"/>
          </w:divBdr>
        </w:div>
        <w:div w:id="1705641694">
          <w:marLeft w:val="0"/>
          <w:marRight w:val="0"/>
          <w:marTop w:val="0"/>
          <w:marBottom w:val="0"/>
          <w:divBdr>
            <w:top w:val="none" w:sz="0" w:space="0" w:color="auto"/>
            <w:left w:val="none" w:sz="0" w:space="0" w:color="auto"/>
            <w:bottom w:val="none" w:sz="0" w:space="0" w:color="auto"/>
            <w:right w:val="none" w:sz="0" w:space="0" w:color="auto"/>
          </w:divBdr>
        </w:div>
        <w:div w:id="1873414821">
          <w:marLeft w:val="0"/>
          <w:marRight w:val="0"/>
          <w:marTop w:val="0"/>
          <w:marBottom w:val="0"/>
          <w:divBdr>
            <w:top w:val="none" w:sz="0" w:space="0" w:color="auto"/>
            <w:left w:val="none" w:sz="0" w:space="0" w:color="auto"/>
            <w:bottom w:val="none" w:sz="0" w:space="0" w:color="auto"/>
            <w:right w:val="none" w:sz="0" w:space="0" w:color="auto"/>
          </w:divBdr>
        </w:div>
        <w:div w:id="1951203720">
          <w:marLeft w:val="0"/>
          <w:marRight w:val="0"/>
          <w:marTop w:val="0"/>
          <w:marBottom w:val="0"/>
          <w:divBdr>
            <w:top w:val="none" w:sz="0" w:space="0" w:color="auto"/>
            <w:left w:val="none" w:sz="0" w:space="0" w:color="auto"/>
            <w:bottom w:val="none" w:sz="0" w:space="0" w:color="auto"/>
            <w:right w:val="none" w:sz="0" w:space="0" w:color="auto"/>
          </w:divBdr>
        </w:div>
        <w:div w:id="1998219434">
          <w:marLeft w:val="0"/>
          <w:marRight w:val="0"/>
          <w:marTop w:val="0"/>
          <w:marBottom w:val="0"/>
          <w:divBdr>
            <w:top w:val="none" w:sz="0" w:space="0" w:color="auto"/>
            <w:left w:val="none" w:sz="0" w:space="0" w:color="auto"/>
            <w:bottom w:val="none" w:sz="0" w:space="0" w:color="auto"/>
            <w:right w:val="none" w:sz="0" w:space="0" w:color="auto"/>
          </w:divBdr>
        </w:div>
        <w:div w:id="2009017836">
          <w:marLeft w:val="0"/>
          <w:marRight w:val="0"/>
          <w:marTop w:val="0"/>
          <w:marBottom w:val="0"/>
          <w:divBdr>
            <w:top w:val="none" w:sz="0" w:space="0" w:color="auto"/>
            <w:left w:val="none" w:sz="0" w:space="0" w:color="auto"/>
            <w:bottom w:val="none" w:sz="0" w:space="0" w:color="auto"/>
            <w:right w:val="none" w:sz="0" w:space="0" w:color="auto"/>
          </w:divBdr>
        </w:div>
        <w:div w:id="2085032806">
          <w:marLeft w:val="0"/>
          <w:marRight w:val="0"/>
          <w:marTop w:val="0"/>
          <w:marBottom w:val="0"/>
          <w:divBdr>
            <w:top w:val="none" w:sz="0" w:space="0" w:color="auto"/>
            <w:left w:val="none" w:sz="0" w:space="0" w:color="auto"/>
            <w:bottom w:val="none" w:sz="0" w:space="0" w:color="auto"/>
            <w:right w:val="none" w:sz="0" w:space="0" w:color="auto"/>
          </w:divBdr>
        </w:div>
        <w:div w:id="2140493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0877B8A-44C3-4A7A-84D7-5D5A2AA25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17301</Words>
  <Characters>98622</Characters>
  <Application>Microsoft Office Word</Application>
  <DocSecurity>4</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115692</CharactersWithSpaces>
  <SharedDoc>false</SharedDoc>
  <HLinks>
    <vt:vector size="18" baseType="variant">
      <vt:variant>
        <vt:i4>655404</vt:i4>
      </vt:variant>
      <vt:variant>
        <vt:i4>6</vt:i4>
      </vt:variant>
      <vt:variant>
        <vt:i4>0</vt:i4>
      </vt:variant>
      <vt:variant>
        <vt:i4>5</vt:i4>
      </vt:variant>
      <vt:variant>
        <vt:lpwstr>mailto:ngot@ecu.edu</vt:lpwstr>
      </vt:variant>
      <vt:variant>
        <vt:lpwstr/>
      </vt:variant>
      <vt:variant>
        <vt:i4>196730</vt:i4>
      </vt:variant>
      <vt:variant>
        <vt:i4>3</vt:i4>
      </vt:variant>
      <vt:variant>
        <vt:i4>0</vt:i4>
      </vt:variant>
      <vt:variant>
        <vt:i4>5</vt:i4>
      </vt:variant>
      <vt:variant>
        <vt:lpwstr>mailto:S.R.Jory@soton.ac.uk</vt:lpwstr>
      </vt:variant>
      <vt:variant>
        <vt:lpwstr/>
      </vt:variant>
      <vt:variant>
        <vt:i4>1966118</vt:i4>
      </vt:variant>
      <vt:variant>
        <vt:i4>0</vt:i4>
      </vt:variant>
      <vt:variant>
        <vt:i4>0</vt:i4>
      </vt:variant>
      <vt:variant>
        <vt:i4>5</vt:i4>
      </vt:variant>
      <vt:variant>
        <vt:lpwstr>mailto:hchen13@alaska.edu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ngo</dc:creator>
  <cp:keywords/>
  <dc:description/>
  <cp:lastModifiedBy>Edwards L.</cp:lastModifiedBy>
  <cp:revision>2</cp:revision>
  <cp:lastPrinted>2018-09-30T21:07:00Z</cp:lastPrinted>
  <dcterms:created xsi:type="dcterms:W3CDTF">2019-06-07T09:53:00Z</dcterms:created>
  <dcterms:modified xsi:type="dcterms:W3CDTF">2019-06-07T09:53:00Z</dcterms:modified>
</cp:coreProperties>
</file>