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E62A0" w14:textId="77777777" w:rsidR="003164C2" w:rsidRPr="005652E6" w:rsidRDefault="003164C2" w:rsidP="003164C2">
      <w:pPr>
        <w:shd w:val="clear" w:color="auto" w:fill="FFFFFF"/>
        <w:jc w:val="both"/>
        <w:rPr>
          <w:rFonts w:ascii="Garamond" w:eastAsia="Times New Roman" w:hAnsi="Garamond"/>
          <w:b/>
          <w:bCs/>
          <w:sz w:val="22"/>
          <w:szCs w:val="22"/>
          <w:lang w:val="en-GB"/>
        </w:rPr>
      </w:pPr>
      <w:r w:rsidRPr="005652E6">
        <w:rPr>
          <w:rFonts w:ascii="Garamond" w:eastAsia="Times New Roman" w:hAnsi="Garamond"/>
          <w:b/>
          <w:bCs/>
          <w:sz w:val="22"/>
          <w:szCs w:val="22"/>
          <w:lang w:val="en-GB"/>
        </w:rPr>
        <w:t xml:space="preserve">Lost in (mis-)translation: when IP law doesn’t always mean </w:t>
      </w:r>
      <w:r w:rsidR="0064483F" w:rsidRPr="005652E6">
        <w:rPr>
          <w:rFonts w:ascii="Garamond" w:eastAsia="Times New Roman" w:hAnsi="Garamond"/>
          <w:b/>
          <w:bCs/>
          <w:sz w:val="22"/>
          <w:szCs w:val="22"/>
          <w:lang w:val="en-GB"/>
        </w:rPr>
        <w:t>what it says</w:t>
      </w:r>
    </w:p>
    <w:p w14:paraId="381A5730" w14:textId="77777777" w:rsidR="003164C2" w:rsidRPr="005652E6" w:rsidRDefault="003164C2" w:rsidP="003164C2">
      <w:pPr>
        <w:shd w:val="clear" w:color="auto" w:fill="FFFFFF"/>
        <w:jc w:val="both"/>
        <w:rPr>
          <w:rFonts w:ascii="Garamond" w:eastAsia="Times New Roman" w:hAnsi="Garamond"/>
          <w:sz w:val="22"/>
          <w:szCs w:val="22"/>
          <w:lang w:val="en-GB"/>
        </w:rPr>
      </w:pPr>
    </w:p>
    <w:p w14:paraId="658F95B7" w14:textId="77777777" w:rsidR="003164C2" w:rsidRPr="005652E6" w:rsidRDefault="003164C2" w:rsidP="003164C2">
      <w:pPr>
        <w:shd w:val="clear" w:color="auto" w:fill="FFFFFF"/>
        <w:jc w:val="both"/>
        <w:rPr>
          <w:rFonts w:ascii="Garamond" w:eastAsia="Times New Roman" w:hAnsi="Garamond"/>
          <w:sz w:val="22"/>
          <w:szCs w:val="22"/>
          <w:lang w:val="en-GB"/>
        </w:rPr>
      </w:pPr>
      <w:r w:rsidRPr="005652E6">
        <w:rPr>
          <w:rFonts w:ascii="Garamond" w:eastAsia="Times New Roman" w:hAnsi="Garamond"/>
          <w:sz w:val="22"/>
          <w:szCs w:val="22"/>
          <w:lang w:val="en-GB"/>
        </w:rPr>
        <w:t>Eleonora Rosati</w:t>
      </w:r>
      <w:r w:rsidRPr="005652E6">
        <w:rPr>
          <w:rStyle w:val="Rimandonotaapidipagina"/>
          <w:rFonts w:ascii="Garamond" w:eastAsia="Times New Roman" w:hAnsi="Garamond"/>
          <w:sz w:val="22"/>
          <w:szCs w:val="22"/>
          <w:lang w:val="en-GB"/>
        </w:rPr>
        <w:footnoteReference w:customMarkFollows="1" w:id="1"/>
        <w:t>*</w:t>
      </w:r>
    </w:p>
    <w:p w14:paraId="506F800C" w14:textId="77777777" w:rsidR="003164C2" w:rsidRPr="005652E6" w:rsidRDefault="003164C2" w:rsidP="003164C2">
      <w:pPr>
        <w:shd w:val="clear" w:color="auto" w:fill="FFFFFF"/>
        <w:jc w:val="both"/>
        <w:rPr>
          <w:rFonts w:ascii="Garamond" w:eastAsia="Times New Roman" w:hAnsi="Garamond"/>
          <w:sz w:val="22"/>
          <w:szCs w:val="22"/>
          <w:lang w:val="en-GB"/>
        </w:rPr>
      </w:pPr>
    </w:p>
    <w:p w14:paraId="60901BC8" w14:textId="77777777" w:rsidR="0064483F" w:rsidRPr="005652E6" w:rsidRDefault="0064483F" w:rsidP="003164C2">
      <w:pPr>
        <w:shd w:val="clear" w:color="auto" w:fill="FFFFFF"/>
        <w:jc w:val="both"/>
        <w:rPr>
          <w:rFonts w:ascii="Garamond" w:eastAsia="Times New Roman" w:hAnsi="Garamond"/>
          <w:sz w:val="22"/>
          <w:szCs w:val="22"/>
          <w:lang w:val="en-GB"/>
        </w:rPr>
      </w:pPr>
    </w:p>
    <w:p w14:paraId="1386B62E" w14:textId="77777777" w:rsidR="0064483F" w:rsidRPr="005652E6" w:rsidRDefault="0064483F" w:rsidP="003164C2">
      <w:pPr>
        <w:shd w:val="clear" w:color="auto" w:fill="FFFFFF"/>
        <w:jc w:val="both"/>
        <w:rPr>
          <w:rFonts w:ascii="Garamond" w:eastAsia="Times New Roman" w:hAnsi="Garamond"/>
          <w:sz w:val="22"/>
          <w:szCs w:val="22"/>
          <w:lang w:val="en-GB"/>
        </w:rPr>
      </w:pPr>
    </w:p>
    <w:p w14:paraId="3207B31E" w14:textId="77777777" w:rsidR="003164C2" w:rsidRPr="005652E6" w:rsidRDefault="003164C2" w:rsidP="003164C2">
      <w:pPr>
        <w:shd w:val="clear" w:color="auto" w:fill="FFFFFF"/>
        <w:jc w:val="both"/>
        <w:rPr>
          <w:rFonts w:ascii="Garamond" w:eastAsia="Times New Roman" w:hAnsi="Garamond"/>
          <w:sz w:val="22"/>
          <w:szCs w:val="22"/>
          <w:lang w:val="en-GB"/>
        </w:rPr>
      </w:pPr>
      <w:r w:rsidRPr="005652E6">
        <w:rPr>
          <w:rFonts w:ascii="Garamond" w:eastAsia="Times New Roman" w:hAnsi="Garamond"/>
          <w:sz w:val="22"/>
          <w:szCs w:val="22"/>
          <w:lang w:val="en-GB"/>
        </w:rPr>
        <w:t>In June 2019</w:t>
      </w:r>
      <w:r w:rsidR="0064483F" w:rsidRPr="005652E6">
        <w:rPr>
          <w:rFonts w:ascii="Garamond" w:eastAsia="Times New Roman" w:hAnsi="Garamond"/>
          <w:sz w:val="22"/>
          <w:szCs w:val="22"/>
          <w:lang w:val="en-GB"/>
        </w:rPr>
        <w:t>,</w:t>
      </w:r>
      <w:r w:rsidRPr="005652E6">
        <w:rPr>
          <w:rFonts w:ascii="Garamond" w:eastAsia="Times New Roman" w:hAnsi="Garamond"/>
          <w:sz w:val="22"/>
          <w:szCs w:val="22"/>
          <w:lang w:val="en-GB"/>
        </w:rPr>
        <w:t xml:space="preserve"> Directive 2019/790, </w:t>
      </w:r>
      <w:r w:rsidR="0064483F" w:rsidRPr="005652E6">
        <w:rPr>
          <w:rFonts w:ascii="Garamond" w:eastAsia="Times New Roman" w:hAnsi="Garamond"/>
          <w:sz w:val="22"/>
          <w:szCs w:val="22"/>
          <w:lang w:val="en-GB"/>
        </w:rPr>
        <w:t>ie</w:t>
      </w:r>
      <w:r w:rsidRPr="005652E6">
        <w:rPr>
          <w:rFonts w:ascii="Garamond" w:eastAsia="Times New Roman" w:hAnsi="Garamond"/>
          <w:sz w:val="22"/>
          <w:szCs w:val="22"/>
          <w:lang w:val="en-GB"/>
        </w:rPr>
        <w:t xml:space="preserve"> the Directive on copyright in the Digital Single Market (DSM Directive), entered into force. Individual EU Member States will have 24 months to transpose it into their own laws. Like all other pieces of EU legislation, also the DSM Directive has been translated in all official EU languages. </w:t>
      </w:r>
      <w:r w:rsidR="0064483F" w:rsidRPr="005652E6">
        <w:rPr>
          <w:rFonts w:ascii="Garamond" w:eastAsia="Times New Roman" w:hAnsi="Garamond"/>
          <w:sz w:val="22"/>
          <w:szCs w:val="22"/>
          <w:lang w:val="en-GB"/>
        </w:rPr>
        <w:t>However, t</w:t>
      </w:r>
      <w:r w:rsidRPr="005652E6">
        <w:rPr>
          <w:rFonts w:ascii="Garamond" w:eastAsia="Times New Roman" w:hAnsi="Garamond"/>
          <w:sz w:val="22"/>
          <w:szCs w:val="22"/>
          <w:lang w:val="en-GB"/>
        </w:rPr>
        <w:t>he various language versions are not entirely consistent with the version of the directive that was negotiated and eventually adopted.</w:t>
      </w:r>
    </w:p>
    <w:p w14:paraId="6C6F4669" w14:textId="77777777" w:rsidR="003164C2" w:rsidRPr="005652E6" w:rsidRDefault="003164C2" w:rsidP="003164C2">
      <w:pPr>
        <w:shd w:val="clear" w:color="auto" w:fill="FFFFFF"/>
        <w:jc w:val="both"/>
        <w:rPr>
          <w:rFonts w:ascii="Garamond" w:eastAsia="Times New Roman" w:hAnsi="Garamond"/>
          <w:sz w:val="22"/>
          <w:szCs w:val="22"/>
          <w:lang w:val="en-GB"/>
        </w:rPr>
      </w:pPr>
    </w:p>
    <w:p w14:paraId="03ED130C" w14:textId="78DFD98C" w:rsidR="003164C2" w:rsidRPr="005652E6" w:rsidRDefault="003164C2" w:rsidP="003164C2">
      <w:pPr>
        <w:shd w:val="clear" w:color="auto" w:fill="FFFFFF"/>
        <w:jc w:val="both"/>
        <w:rPr>
          <w:rFonts w:ascii="Garamond" w:eastAsia="Times New Roman" w:hAnsi="Garamond"/>
          <w:sz w:val="22"/>
          <w:szCs w:val="22"/>
          <w:lang w:val="en-GB"/>
        </w:rPr>
      </w:pPr>
      <w:r w:rsidRPr="005652E6">
        <w:rPr>
          <w:rFonts w:ascii="Garamond" w:eastAsia="Times New Roman" w:hAnsi="Garamond"/>
          <w:sz w:val="22"/>
          <w:szCs w:val="22"/>
          <w:lang w:val="en-GB"/>
        </w:rPr>
        <w:t>First, there are instances of material errors in the translation</w:t>
      </w:r>
      <w:r w:rsidR="000A7D20">
        <w:rPr>
          <w:rFonts w:ascii="Garamond" w:eastAsia="Times New Roman" w:hAnsi="Garamond"/>
          <w:sz w:val="22"/>
          <w:szCs w:val="22"/>
          <w:lang w:val="en-GB"/>
        </w:rPr>
        <w:t>s</w:t>
      </w:r>
      <w:r w:rsidRPr="005652E6">
        <w:rPr>
          <w:rFonts w:ascii="Garamond" w:eastAsia="Times New Roman" w:hAnsi="Garamond"/>
          <w:sz w:val="22"/>
          <w:szCs w:val="22"/>
          <w:lang w:val="en-GB"/>
        </w:rPr>
        <w:t xml:space="preserve">. An example is the </w:t>
      </w:r>
      <w:r w:rsidR="0064483F" w:rsidRPr="005652E6">
        <w:rPr>
          <w:rFonts w:ascii="Garamond" w:eastAsia="Times New Roman" w:hAnsi="Garamond"/>
          <w:sz w:val="22"/>
          <w:szCs w:val="22"/>
          <w:lang w:val="en-GB"/>
        </w:rPr>
        <w:t xml:space="preserve">current </w:t>
      </w:r>
      <w:r w:rsidRPr="005652E6">
        <w:rPr>
          <w:rFonts w:ascii="Garamond" w:eastAsia="Times New Roman" w:hAnsi="Garamond"/>
          <w:sz w:val="22"/>
          <w:szCs w:val="22"/>
          <w:lang w:val="en-GB"/>
        </w:rPr>
        <w:t>Italian version of Article 17(7) of the DSM Directive. While the English version states that “[</w:t>
      </w:r>
      <w:proofErr w:type="gramStart"/>
      <w:r w:rsidRPr="005652E6">
        <w:rPr>
          <w:rFonts w:ascii="Garamond" w:eastAsia="Times New Roman" w:hAnsi="Garamond"/>
          <w:sz w:val="22"/>
          <w:szCs w:val="22"/>
          <w:lang w:val="en-GB"/>
        </w:rPr>
        <w:t>t]he</w:t>
      </w:r>
      <w:proofErr w:type="gramEnd"/>
      <w:r w:rsidRPr="005652E6">
        <w:rPr>
          <w:rFonts w:ascii="Garamond" w:eastAsia="Times New Roman" w:hAnsi="Garamond"/>
          <w:sz w:val="22"/>
          <w:szCs w:val="22"/>
          <w:lang w:val="en-GB"/>
        </w:rPr>
        <w:t xml:space="preserve"> cooperation between online content-sharing service providers and rightholders shall </w:t>
      </w:r>
      <w:r w:rsidRPr="005652E6">
        <w:rPr>
          <w:rFonts w:ascii="Garamond" w:eastAsia="Times New Roman" w:hAnsi="Garamond"/>
          <w:i/>
          <w:iCs/>
          <w:sz w:val="22"/>
          <w:szCs w:val="22"/>
          <w:lang w:val="en-GB"/>
        </w:rPr>
        <w:t>not</w:t>
      </w:r>
      <w:r w:rsidRPr="005652E6">
        <w:rPr>
          <w:rFonts w:ascii="Garamond" w:eastAsia="Times New Roman" w:hAnsi="Garamond"/>
          <w:sz w:val="22"/>
          <w:szCs w:val="22"/>
          <w:lang w:val="en-GB"/>
        </w:rPr>
        <w:t xml:space="preserve"> result in the prevention of the availability of works or other subject matter uploaded by users, which do not infringe copyright and related rights” (emphasis added), the Italian version mandates that said cooperation shall result in the prevention of the availability of lawful subject matter.</w:t>
      </w:r>
    </w:p>
    <w:p w14:paraId="3900723A" w14:textId="77777777" w:rsidR="003164C2" w:rsidRPr="005652E6" w:rsidRDefault="003164C2" w:rsidP="003164C2">
      <w:pPr>
        <w:shd w:val="clear" w:color="auto" w:fill="FFFFFF"/>
        <w:jc w:val="both"/>
        <w:rPr>
          <w:rFonts w:ascii="Garamond" w:eastAsia="Times New Roman" w:hAnsi="Garamond"/>
          <w:sz w:val="22"/>
          <w:szCs w:val="22"/>
          <w:lang w:val="en-GB"/>
        </w:rPr>
      </w:pPr>
    </w:p>
    <w:p w14:paraId="612ADDC1" w14:textId="7F9D661D" w:rsidR="0064483F" w:rsidRPr="005652E6" w:rsidRDefault="003164C2" w:rsidP="003164C2">
      <w:pPr>
        <w:shd w:val="clear" w:color="auto" w:fill="FFFFFF"/>
        <w:jc w:val="both"/>
        <w:rPr>
          <w:rFonts w:ascii="Garamond" w:eastAsia="Times New Roman" w:hAnsi="Garamond"/>
          <w:sz w:val="22"/>
          <w:szCs w:val="22"/>
          <w:lang w:val="en-GB"/>
        </w:rPr>
      </w:pPr>
      <w:r w:rsidRPr="005652E6">
        <w:rPr>
          <w:rFonts w:ascii="Garamond" w:eastAsia="Times New Roman" w:hAnsi="Garamond"/>
          <w:sz w:val="22"/>
          <w:szCs w:val="22"/>
          <w:lang w:val="en-GB"/>
        </w:rPr>
        <w:t xml:space="preserve">Second, the various language versions of the directive are not always literal translations of the negotiated English </w:t>
      </w:r>
      <w:r w:rsidR="0064483F" w:rsidRPr="005652E6">
        <w:rPr>
          <w:rFonts w:ascii="Garamond" w:eastAsia="Times New Roman" w:hAnsi="Garamond"/>
          <w:sz w:val="22"/>
          <w:szCs w:val="22"/>
          <w:lang w:val="en-GB"/>
        </w:rPr>
        <w:t>text</w:t>
      </w:r>
      <w:r w:rsidRPr="005652E6">
        <w:rPr>
          <w:rFonts w:ascii="Garamond" w:eastAsia="Times New Roman" w:hAnsi="Garamond"/>
          <w:sz w:val="22"/>
          <w:szCs w:val="22"/>
          <w:lang w:val="en-GB"/>
        </w:rPr>
        <w:t xml:space="preserve">. If one considers </w:t>
      </w:r>
      <w:r w:rsidR="005652E6">
        <w:rPr>
          <w:rFonts w:ascii="Garamond" w:eastAsia="Times New Roman" w:hAnsi="Garamond"/>
          <w:sz w:val="22"/>
          <w:szCs w:val="22"/>
          <w:lang w:val="en-GB"/>
        </w:rPr>
        <w:t>once</w:t>
      </w:r>
      <w:r w:rsidR="0064483F" w:rsidRPr="005652E6">
        <w:rPr>
          <w:rFonts w:ascii="Garamond" w:eastAsia="Times New Roman" w:hAnsi="Garamond"/>
          <w:sz w:val="22"/>
          <w:szCs w:val="22"/>
          <w:lang w:val="en-GB"/>
        </w:rPr>
        <w:t xml:space="preserve"> </w:t>
      </w:r>
      <w:r w:rsidRPr="005652E6">
        <w:rPr>
          <w:rFonts w:ascii="Garamond" w:eastAsia="Times New Roman" w:hAnsi="Garamond"/>
          <w:sz w:val="22"/>
          <w:szCs w:val="22"/>
          <w:lang w:val="en-GB"/>
        </w:rPr>
        <w:t xml:space="preserve">again Article 17, </w:t>
      </w:r>
      <w:r w:rsidRPr="005652E6">
        <w:rPr>
          <w:rFonts w:ascii="Garamond" w:eastAsia="Times New Roman" w:hAnsi="Garamond"/>
          <w:sz w:val="22"/>
          <w:szCs w:val="22"/>
          <w:shd w:val="clear" w:color="auto" w:fill="FFFFFF"/>
          <w:lang w:val="en-GB"/>
        </w:rPr>
        <w:t xml:space="preserve">a softer regime is provided for those online content sharing service providers (OCSSPs) that, together with satisfying other conditions, have "made best efforts to obtain an authorisation" from relevant rightholders for the making available of protected subject matter. Not all the language versions provide a literal translation of the concept of ‘best efforts’. </w:t>
      </w:r>
      <w:r w:rsidRPr="005652E6">
        <w:rPr>
          <w:rFonts w:ascii="Garamond" w:eastAsia="Times New Roman" w:hAnsi="Garamond"/>
          <w:sz w:val="22"/>
          <w:szCs w:val="22"/>
          <w:lang w:val="en-GB"/>
        </w:rPr>
        <w:t xml:space="preserve">While some language versions correspond to the 'best efforts'/'meilleurs efforts' concept, others entail something else: so, for instance, the Spanish version requires the making of 'greater' efforts, while the Bulgarian, Czech, Dutch, German, Greek, Hungarian, Latvian, Lithuanian, Polish, Portuguese, and Romanian versions require that 'all efforts' be made to obtain a licence. Also the Swedish version requires 'all efforts' be made, but the way the obligation is phrased appears to entail a direct proportionality between the ability to make such efforts and the efforts actually made. </w:t>
      </w:r>
      <w:r w:rsidRPr="005652E6">
        <w:rPr>
          <w:rFonts w:ascii="Garamond" w:eastAsia="Times New Roman" w:hAnsi="Garamond"/>
          <w:sz w:val="22"/>
          <w:szCs w:val="22"/>
          <w:shd w:val="clear" w:color="auto" w:fill="FFFFFF"/>
          <w:lang w:val="en-GB"/>
        </w:rPr>
        <w:t>The Italian version requires OCSSPs not just to have made their 'best' efforts, but actually their 'greatest' efforts. </w:t>
      </w:r>
      <w:r w:rsidRPr="005652E6">
        <w:rPr>
          <w:rFonts w:ascii="Garamond" w:eastAsia="Times New Roman" w:hAnsi="Garamond"/>
          <w:sz w:val="22"/>
          <w:szCs w:val="22"/>
          <w:lang w:val="en-GB"/>
        </w:rPr>
        <w:t>These differences might present challenges at different levels, including at the national transposition phase of the DSM Directive, compliance, judicial interpretation and application of resulting national provisions.</w:t>
      </w:r>
      <w:r w:rsidR="000A7D20">
        <w:rPr>
          <w:rStyle w:val="Rimandonotaapidipagina"/>
          <w:rFonts w:ascii="Garamond" w:eastAsia="Times New Roman" w:hAnsi="Garamond"/>
          <w:sz w:val="22"/>
          <w:szCs w:val="22"/>
          <w:lang w:val="en-GB"/>
        </w:rPr>
        <w:footnoteReference w:id="2"/>
      </w:r>
      <w:r w:rsidRPr="005652E6">
        <w:rPr>
          <w:rFonts w:ascii="Garamond" w:eastAsia="Times New Roman" w:hAnsi="Garamond"/>
          <w:sz w:val="22"/>
          <w:szCs w:val="22"/>
          <w:lang w:val="en-GB"/>
        </w:rPr>
        <w:t xml:space="preserve"> </w:t>
      </w:r>
    </w:p>
    <w:p w14:paraId="448A2847" w14:textId="77777777" w:rsidR="0064483F" w:rsidRPr="005652E6" w:rsidRDefault="0064483F" w:rsidP="003164C2">
      <w:pPr>
        <w:shd w:val="clear" w:color="auto" w:fill="FFFFFF"/>
        <w:jc w:val="both"/>
        <w:rPr>
          <w:rFonts w:ascii="Garamond" w:eastAsia="Times New Roman" w:hAnsi="Garamond"/>
          <w:sz w:val="22"/>
          <w:szCs w:val="22"/>
          <w:lang w:val="en-GB"/>
        </w:rPr>
      </w:pPr>
    </w:p>
    <w:p w14:paraId="03380C9B" w14:textId="77777777" w:rsidR="003164C2" w:rsidRPr="005652E6" w:rsidRDefault="003164C2" w:rsidP="003164C2">
      <w:pPr>
        <w:shd w:val="clear" w:color="auto" w:fill="FFFFFF"/>
        <w:jc w:val="both"/>
        <w:rPr>
          <w:rFonts w:ascii="Garamond" w:eastAsia="Times New Roman" w:hAnsi="Garamond"/>
          <w:sz w:val="22"/>
          <w:szCs w:val="22"/>
          <w:shd w:val="clear" w:color="auto" w:fill="FFFFFF"/>
          <w:lang w:val="en-GB"/>
        </w:rPr>
      </w:pPr>
      <w:r w:rsidRPr="005652E6">
        <w:rPr>
          <w:rFonts w:ascii="Garamond" w:eastAsia="Times New Roman" w:hAnsi="Garamond"/>
          <w:sz w:val="22"/>
          <w:szCs w:val="22"/>
          <w:lang w:val="en-GB"/>
        </w:rPr>
        <w:t>This would not be something new in the IP field.</w:t>
      </w:r>
    </w:p>
    <w:p w14:paraId="18483D80" w14:textId="77777777" w:rsidR="003164C2" w:rsidRPr="005652E6" w:rsidRDefault="003164C2" w:rsidP="003164C2">
      <w:pPr>
        <w:shd w:val="clear" w:color="auto" w:fill="FFFFFF"/>
        <w:jc w:val="both"/>
        <w:rPr>
          <w:rFonts w:ascii="Garamond" w:eastAsia="Times New Roman" w:hAnsi="Garamond"/>
          <w:sz w:val="22"/>
          <w:szCs w:val="22"/>
          <w:lang w:val="en-GB"/>
        </w:rPr>
      </w:pPr>
    </w:p>
    <w:p w14:paraId="266C0AE8" w14:textId="6550FB1F" w:rsidR="003164C2" w:rsidRPr="005652E6" w:rsidRDefault="003164C2" w:rsidP="003164C2">
      <w:pPr>
        <w:jc w:val="both"/>
        <w:rPr>
          <w:rFonts w:ascii="Garamond" w:eastAsia="Times New Roman" w:hAnsi="Garamond"/>
          <w:sz w:val="22"/>
          <w:szCs w:val="22"/>
          <w:shd w:val="clear" w:color="auto" w:fill="FFFFFF"/>
          <w:lang w:val="en-GB"/>
        </w:rPr>
      </w:pPr>
      <w:r w:rsidRPr="005652E6">
        <w:rPr>
          <w:rFonts w:ascii="Garamond" w:eastAsia="Times New Roman" w:hAnsi="Garamond"/>
          <w:sz w:val="22"/>
          <w:szCs w:val="22"/>
          <w:lang w:val="en-GB"/>
        </w:rPr>
        <w:t xml:space="preserve">A recent example can be drawn from trade mark law. The referral to the Court of Justice of the European Union </w:t>
      </w:r>
      <w:r w:rsidR="0064483F" w:rsidRPr="005652E6">
        <w:rPr>
          <w:rFonts w:ascii="Garamond" w:eastAsia="Times New Roman" w:hAnsi="Garamond"/>
          <w:sz w:val="22"/>
          <w:szCs w:val="22"/>
          <w:lang w:val="en-GB"/>
        </w:rPr>
        <w:t xml:space="preserve">(CJEU) </w:t>
      </w:r>
      <w:r w:rsidRPr="005652E6">
        <w:rPr>
          <w:rFonts w:ascii="Garamond" w:eastAsia="Times New Roman" w:hAnsi="Garamond"/>
          <w:sz w:val="22"/>
          <w:szCs w:val="22"/>
          <w:lang w:val="en-GB"/>
        </w:rPr>
        <w:t xml:space="preserve">in </w:t>
      </w:r>
      <w:r w:rsidRPr="005652E6">
        <w:rPr>
          <w:rFonts w:ascii="Garamond" w:eastAsia="Times New Roman" w:hAnsi="Garamond"/>
          <w:i/>
          <w:iCs/>
          <w:sz w:val="22"/>
          <w:szCs w:val="22"/>
          <w:lang w:val="en-GB"/>
        </w:rPr>
        <w:t>Louboutin</w:t>
      </w:r>
      <w:r w:rsidRPr="005652E6">
        <w:rPr>
          <w:rFonts w:ascii="Garamond" w:eastAsia="Times New Roman" w:hAnsi="Garamond"/>
          <w:sz w:val="22"/>
          <w:szCs w:val="22"/>
          <w:lang w:val="en-GB"/>
        </w:rPr>
        <w:t>, C-163/16 was made</w:t>
      </w:r>
      <w:r w:rsidR="0064483F" w:rsidRPr="005652E6">
        <w:rPr>
          <w:rFonts w:ascii="Garamond" w:eastAsia="Times New Roman" w:hAnsi="Garamond"/>
          <w:sz w:val="22"/>
          <w:szCs w:val="22"/>
          <w:lang w:val="en-GB"/>
        </w:rPr>
        <w:t xml:space="preserve"> </w:t>
      </w:r>
      <w:r w:rsidR="0064483F" w:rsidRPr="005652E6">
        <w:rPr>
          <w:rFonts w:ascii="Garamond" w:eastAsia="Times New Roman" w:hAnsi="Garamond"/>
          <w:i/>
          <w:sz w:val="22"/>
          <w:szCs w:val="22"/>
          <w:lang w:val="en-GB"/>
        </w:rPr>
        <w:t>because</w:t>
      </w:r>
      <w:r w:rsidRPr="005652E6">
        <w:rPr>
          <w:rFonts w:ascii="Garamond" w:eastAsia="Times New Roman" w:hAnsi="Garamond"/>
          <w:sz w:val="22"/>
          <w:szCs w:val="22"/>
          <w:lang w:val="en-GB"/>
        </w:rPr>
        <w:t xml:space="preserve"> </w:t>
      </w:r>
      <w:r w:rsidR="0064483F" w:rsidRPr="005652E6">
        <w:rPr>
          <w:rFonts w:ascii="Garamond" w:eastAsia="Times New Roman" w:hAnsi="Garamond"/>
          <w:sz w:val="22"/>
          <w:szCs w:val="22"/>
          <w:lang w:val="en-GB"/>
        </w:rPr>
        <w:t>of</w:t>
      </w:r>
      <w:r w:rsidRPr="005652E6">
        <w:rPr>
          <w:rFonts w:ascii="Garamond" w:eastAsia="Times New Roman" w:hAnsi="Garamond"/>
          <w:sz w:val="22"/>
          <w:szCs w:val="22"/>
          <w:lang w:val="en-GB"/>
        </w:rPr>
        <w:t xml:space="preserve"> uncertainties in the</w:t>
      </w:r>
      <w:r w:rsidR="0064483F" w:rsidRPr="005652E6">
        <w:rPr>
          <w:rFonts w:ascii="Garamond" w:eastAsia="Times New Roman" w:hAnsi="Garamond"/>
          <w:sz w:val="22"/>
          <w:szCs w:val="22"/>
          <w:lang w:val="en-GB"/>
        </w:rPr>
        <w:t xml:space="preserve"> interpretation of the</w:t>
      </w:r>
      <w:r w:rsidRPr="005652E6">
        <w:rPr>
          <w:rFonts w:ascii="Garamond" w:eastAsia="Times New Roman" w:hAnsi="Garamond"/>
          <w:sz w:val="22"/>
          <w:szCs w:val="22"/>
          <w:lang w:val="en-GB"/>
        </w:rPr>
        <w:t xml:space="preserve"> concept of ‘shape’ within </w:t>
      </w:r>
      <w:r w:rsidRPr="005652E6">
        <w:rPr>
          <w:rFonts w:ascii="Garamond" w:eastAsia="Times New Roman" w:hAnsi="Garamond"/>
          <w:sz w:val="22"/>
          <w:szCs w:val="22"/>
          <w:shd w:val="clear" w:color="auto" w:fill="FFFFFF"/>
          <w:lang w:val="en-GB"/>
        </w:rPr>
        <w:t>Article 3(1)(e)(iii) of the Trade Mark Directive 2008/95/EC </w:t>
      </w:r>
      <w:r w:rsidRPr="005652E6">
        <w:rPr>
          <w:rFonts w:ascii="Garamond" w:eastAsia="Times New Roman" w:hAnsi="Garamond"/>
          <w:sz w:val="22"/>
          <w:szCs w:val="22"/>
          <w:lang w:val="en-GB"/>
        </w:rPr>
        <w:t xml:space="preserve">(now Article 4(1)(e)(iii) Directive 2015/2436). Such uncertainties had been caused by discrepancies in the various language versions of </w:t>
      </w:r>
      <w:r w:rsidR="0064483F" w:rsidRPr="005652E6">
        <w:rPr>
          <w:rFonts w:ascii="Garamond" w:eastAsia="Times New Roman" w:hAnsi="Garamond"/>
          <w:sz w:val="22"/>
          <w:szCs w:val="22"/>
          <w:lang w:val="en-GB"/>
        </w:rPr>
        <w:t xml:space="preserve">that directive, notably </w:t>
      </w:r>
      <w:r w:rsidRPr="005652E6">
        <w:rPr>
          <w:rFonts w:ascii="Garamond" w:eastAsia="Times New Roman" w:hAnsi="Garamond"/>
          <w:sz w:val="22"/>
          <w:szCs w:val="22"/>
          <w:lang w:val="en-GB"/>
        </w:rPr>
        <w:t xml:space="preserve">whether the concept of ‘shape’ is limited to three-dimensional elements, or can also encompass two-dimensional elements, like a colour applied in a certain position of a product. The latter would appear to be the case if one considered the German, Dutch and French (but also Italian) versions of that directive. </w:t>
      </w:r>
      <w:r w:rsidRPr="005652E6">
        <w:rPr>
          <w:rFonts w:ascii="Garamond" w:eastAsia="Times New Roman" w:hAnsi="Garamond"/>
          <w:sz w:val="22"/>
          <w:szCs w:val="22"/>
          <w:shd w:val="clear" w:color="auto" w:fill="FFFFFF"/>
          <w:lang w:val="en-GB"/>
        </w:rPr>
        <w:t xml:space="preserve">The CJEU </w:t>
      </w:r>
      <w:bookmarkStart w:id="0" w:name="_GoBack"/>
      <w:bookmarkEnd w:id="0"/>
      <w:r w:rsidRPr="005652E6">
        <w:rPr>
          <w:rFonts w:ascii="Garamond" w:eastAsia="Times New Roman" w:hAnsi="Garamond"/>
          <w:sz w:val="22"/>
          <w:szCs w:val="22"/>
          <w:shd w:val="clear" w:color="auto" w:fill="FFFFFF"/>
          <w:lang w:val="en-GB"/>
        </w:rPr>
        <w:t>answered that the concept of ‘shape’ is not limited to three-dimensional elements. It appears that the referral could have been avoided in its entirety should the language versions of the Trade Mark Directive</w:t>
      </w:r>
      <w:r w:rsidR="000A7D20">
        <w:rPr>
          <w:rFonts w:ascii="Garamond" w:eastAsia="Times New Roman" w:hAnsi="Garamond"/>
          <w:sz w:val="22"/>
          <w:szCs w:val="22"/>
          <w:shd w:val="clear" w:color="auto" w:fill="FFFFFF"/>
          <w:lang w:val="en-GB"/>
        </w:rPr>
        <w:t xml:space="preserve"> have</w:t>
      </w:r>
      <w:r w:rsidRPr="005652E6">
        <w:rPr>
          <w:rFonts w:ascii="Garamond" w:eastAsia="Times New Roman" w:hAnsi="Garamond"/>
          <w:sz w:val="22"/>
          <w:szCs w:val="22"/>
          <w:shd w:val="clear" w:color="auto" w:fill="FFFFFF"/>
          <w:lang w:val="en-GB"/>
        </w:rPr>
        <w:t xml:space="preserve"> </w:t>
      </w:r>
      <w:r w:rsidR="0064483F" w:rsidRPr="005652E6">
        <w:rPr>
          <w:rFonts w:ascii="Garamond" w:eastAsia="Times New Roman" w:hAnsi="Garamond"/>
          <w:sz w:val="22"/>
          <w:szCs w:val="22"/>
          <w:shd w:val="clear" w:color="auto" w:fill="FFFFFF"/>
          <w:lang w:val="en-GB"/>
        </w:rPr>
        <w:t>left</w:t>
      </w:r>
      <w:r w:rsidRPr="005652E6">
        <w:rPr>
          <w:rFonts w:ascii="Garamond" w:eastAsia="Times New Roman" w:hAnsi="Garamond"/>
          <w:sz w:val="22"/>
          <w:szCs w:val="22"/>
          <w:shd w:val="clear" w:color="auto" w:fill="FFFFFF"/>
          <w:lang w:val="en-GB"/>
        </w:rPr>
        <w:t xml:space="preserve"> less room for ambiguity. </w:t>
      </w:r>
    </w:p>
    <w:p w14:paraId="19EB21A1" w14:textId="77777777" w:rsidR="003164C2" w:rsidRPr="005652E6" w:rsidRDefault="003164C2" w:rsidP="003164C2">
      <w:pPr>
        <w:jc w:val="both"/>
        <w:rPr>
          <w:rFonts w:ascii="Garamond" w:eastAsia="Times New Roman" w:hAnsi="Garamond"/>
          <w:sz w:val="22"/>
          <w:szCs w:val="22"/>
          <w:shd w:val="clear" w:color="auto" w:fill="FFFFFF"/>
          <w:lang w:val="en-GB"/>
        </w:rPr>
      </w:pPr>
    </w:p>
    <w:p w14:paraId="6C75CB91" w14:textId="77777777" w:rsidR="003164C2" w:rsidRPr="005652E6" w:rsidRDefault="003164C2" w:rsidP="003164C2">
      <w:pPr>
        <w:jc w:val="both"/>
        <w:rPr>
          <w:rFonts w:ascii="Garamond" w:eastAsia="Times New Roman" w:hAnsi="Garamond"/>
          <w:sz w:val="22"/>
          <w:szCs w:val="22"/>
          <w:shd w:val="clear" w:color="auto" w:fill="FFFFFF"/>
          <w:lang w:val="en-GB"/>
        </w:rPr>
      </w:pPr>
      <w:r w:rsidRPr="005652E6">
        <w:rPr>
          <w:rFonts w:ascii="Garamond" w:eastAsia="Times New Roman" w:hAnsi="Garamond"/>
          <w:sz w:val="22"/>
          <w:szCs w:val="22"/>
          <w:shd w:val="clear" w:color="auto" w:fill="FFFFFF"/>
          <w:lang w:val="en-GB"/>
        </w:rPr>
        <w:t>CJEU case law</w:t>
      </w:r>
      <w:r w:rsidR="0064483F" w:rsidRPr="005652E6">
        <w:rPr>
          <w:rFonts w:ascii="Garamond" w:eastAsia="Times New Roman" w:hAnsi="Garamond"/>
          <w:sz w:val="22"/>
          <w:szCs w:val="22"/>
          <w:shd w:val="clear" w:color="auto" w:fill="FFFFFF"/>
          <w:lang w:val="en-GB"/>
        </w:rPr>
        <w:t xml:space="preserve"> itself</w:t>
      </w:r>
      <w:r w:rsidRPr="005652E6">
        <w:rPr>
          <w:rFonts w:ascii="Garamond" w:eastAsia="Times New Roman" w:hAnsi="Garamond"/>
          <w:sz w:val="22"/>
          <w:szCs w:val="22"/>
          <w:shd w:val="clear" w:color="auto" w:fill="FFFFFF"/>
          <w:lang w:val="en-GB"/>
        </w:rPr>
        <w:t xml:space="preserve"> is not immune from problems arising from the various translations of the original French version of a judgment</w:t>
      </w:r>
      <w:r w:rsidR="0064483F" w:rsidRPr="005652E6">
        <w:rPr>
          <w:rFonts w:ascii="Garamond" w:eastAsia="Times New Roman" w:hAnsi="Garamond"/>
          <w:sz w:val="22"/>
          <w:szCs w:val="22"/>
          <w:shd w:val="clear" w:color="auto" w:fill="FFFFFF"/>
          <w:lang w:val="en-GB"/>
        </w:rPr>
        <w:t xml:space="preserve"> either</w:t>
      </w:r>
      <w:r w:rsidRPr="005652E6">
        <w:rPr>
          <w:rFonts w:ascii="Garamond" w:eastAsia="Times New Roman" w:hAnsi="Garamond"/>
          <w:sz w:val="22"/>
          <w:szCs w:val="22"/>
          <w:shd w:val="clear" w:color="auto" w:fill="FFFFFF"/>
          <w:lang w:val="en-GB"/>
        </w:rPr>
        <w:t>. So, for instance, in the case of the right of communication to the public in copyright law, from the inconsistent English translation</w:t>
      </w:r>
      <w:r w:rsidR="0064483F" w:rsidRPr="005652E6">
        <w:rPr>
          <w:rFonts w:ascii="Garamond" w:eastAsia="Times New Roman" w:hAnsi="Garamond"/>
          <w:sz w:val="22"/>
          <w:szCs w:val="22"/>
          <w:shd w:val="clear" w:color="auto" w:fill="FFFFFF"/>
          <w:lang w:val="en-GB"/>
        </w:rPr>
        <w:t>s</w:t>
      </w:r>
      <w:r w:rsidRPr="005652E6">
        <w:rPr>
          <w:rFonts w:ascii="Garamond" w:eastAsia="Times New Roman" w:hAnsi="Garamond"/>
          <w:sz w:val="22"/>
          <w:szCs w:val="22"/>
          <w:shd w:val="clear" w:color="auto" w:fill="FFFFFF"/>
          <w:lang w:val="en-GB"/>
        </w:rPr>
        <w:t xml:space="preserve"> of the adjective ‘incontournable’ in relation to one’s own intervention (alternatively</w:t>
      </w:r>
      <w:r w:rsidR="0064483F" w:rsidRPr="005652E6">
        <w:rPr>
          <w:rFonts w:ascii="Garamond" w:eastAsia="Times New Roman" w:hAnsi="Garamond"/>
          <w:sz w:val="22"/>
          <w:szCs w:val="22"/>
          <w:shd w:val="clear" w:color="auto" w:fill="FFFFFF"/>
          <w:lang w:val="en-GB"/>
        </w:rPr>
        <w:t xml:space="preserve"> translated</w:t>
      </w:r>
      <w:r w:rsidRPr="005652E6">
        <w:rPr>
          <w:rFonts w:ascii="Garamond" w:eastAsia="Times New Roman" w:hAnsi="Garamond"/>
          <w:sz w:val="22"/>
          <w:szCs w:val="22"/>
          <w:shd w:val="clear" w:color="auto" w:fill="FFFFFF"/>
          <w:lang w:val="en-GB"/>
        </w:rPr>
        <w:t xml:space="preserve"> as ‘essential’ </w:t>
      </w:r>
      <w:r w:rsidR="0064483F" w:rsidRPr="005652E6">
        <w:rPr>
          <w:rFonts w:ascii="Garamond" w:eastAsia="Times New Roman" w:hAnsi="Garamond"/>
          <w:sz w:val="22"/>
          <w:szCs w:val="22"/>
          <w:shd w:val="clear" w:color="auto" w:fill="FFFFFF"/>
          <w:lang w:val="en-GB"/>
        </w:rPr>
        <w:t>or</w:t>
      </w:r>
      <w:r w:rsidRPr="005652E6">
        <w:rPr>
          <w:rFonts w:ascii="Garamond" w:eastAsia="Times New Roman" w:hAnsi="Garamond"/>
          <w:sz w:val="22"/>
          <w:szCs w:val="22"/>
          <w:shd w:val="clear" w:color="auto" w:fill="FFFFFF"/>
          <w:lang w:val="en-GB"/>
        </w:rPr>
        <w:t xml:space="preserve"> ‘indispensable’ intervention), some commentators have inferred that this concept might have different meanings, depending on the adjective used in the English version of the judgment under consideration.</w:t>
      </w:r>
    </w:p>
    <w:p w14:paraId="7E0F6EB6" w14:textId="77777777" w:rsidR="003164C2" w:rsidRPr="005652E6" w:rsidRDefault="003164C2" w:rsidP="003164C2">
      <w:pPr>
        <w:jc w:val="both"/>
        <w:rPr>
          <w:rFonts w:ascii="Garamond" w:eastAsia="Times New Roman" w:hAnsi="Garamond"/>
          <w:sz w:val="22"/>
          <w:szCs w:val="22"/>
          <w:shd w:val="clear" w:color="auto" w:fill="FFFFFF"/>
          <w:lang w:val="en-GB"/>
        </w:rPr>
      </w:pPr>
    </w:p>
    <w:p w14:paraId="311731D5" w14:textId="77777777" w:rsidR="003A5A47" w:rsidRPr="005652E6" w:rsidRDefault="003164C2" w:rsidP="003164C2">
      <w:pPr>
        <w:jc w:val="both"/>
        <w:rPr>
          <w:lang w:val="en-GB"/>
        </w:rPr>
      </w:pPr>
      <w:r w:rsidRPr="005652E6">
        <w:rPr>
          <w:rFonts w:ascii="Garamond" w:eastAsia="Times New Roman" w:hAnsi="Garamond"/>
          <w:sz w:val="22"/>
          <w:szCs w:val="22"/>
          <w:shd w:val="clear" w:color="auto" w:fill="FFFFFF"/>
          <w:lang w:val="en-GB"/>
        </w:rPr>
        <w:t>Unsurprisingly,</w:t>
      </w:r>
      <w:r w:rsidR="0064483F" w:rsidRPr="005652E6">
        <w:rPr>
          <w:rFonts w:ascii="Garamond" w:eastAsia="Times New Roman" w:hAnsi="Garamond"/>
          <w:sz w:val="22"/>
          <w:szCs w:val="22"/>
          <w:shd w:val="clear" w:color="auto" w:fill="FFFFFF"/>
          <w:lang w:val="en-GB"/>
        </w:rPr>
        <w:t xml:space="preserve"> all this shows that</w:t>
      </w:r>
      <w:r w:rsidRPr="005652E6">
        <w:rPr>
          <w:rFonts w:ascii="Garamond" w:eastAsia="Times New Roman" w:hAnsi="Garamond"/>
          <w:sz w:val="22"/>
          <w:szCs w:val="22"/>
          <w:shd w:val="clear" w:color="auto" w:fill="FFFFFF"/>
          <w:lang w:val="en-GB"/>
        </w:rPr>
        <w:t xml:space="preserve"> in law </w:t>
      </w:r>
      <w:r w:rsidR="0064483F" w:rsidRPr="005652E6">
        <w:rPr>
          <w:rFonts w:ascii="Garamond" w:eastAsia="Times New Roman" w:hAnsi="Garamond"/>
          <w:sz w:val="22"/>
          <w:szCs w:val="22"/>
          <w:shd w:val="clear" w:color="auto" w:fill="FFFFFF"/>
          <w:lang w:val="en-GB"/>
        </w:rPr>
        <w:t xml:space="preserve">– including IP law – </w:t>
      </w:r>
      <w:r w:rsidRPr="005652E6">
        <w:rPr>
          <w:rFonts w:ascii="Garamond" w:eastAsia="Times New Roman" w:hAnsi="Garamond"/>
          <w:sz w:val="22"/>
          <w:szCs w:val="22"/>
          <w:shd w:val="clear" w:color="auto" w:fill="FFFFFF"/>
          <w:lang w:val="en-GB"/>
        </w:rPr>
        <w:t xml:space="preserve">words do matter. While in </w:t>
      </w:r>
      <w:r w:rsidR="0064483F" w:rsidRPr="005652E6">
        <w:rPr>
          <w:rFonts w:ascii="Garamond" w:eastAsia="Times New Roman" w:hAnsi="Garamond"/>
          <w:sz w:val="22"/>
          <w:szCs w:val="22"/>
          <w:shd w:val="clear" w:color="auto" w:fill="FFFFFF"/>
          <w:lang w:val="en-GB"/>
        </w:rPr>
        <w:t>ordinary</w:t>
      </w:r>
      <w:r w:rsidRPr="005652E6">
        <w:rPr>
          <w:rFonts w:ascii="Garamond" w:eastAsia="Times New Roman" w:hAnsi="Garamond"/>
          <w:sz w:val="22"/>
          <w:szCs w:val="22"/>
          <w:shd w:val="clear" w:color="auto" w:fill="FFFFFF"/>
          <w:lang w:val="en-GB"/>
        </w:rPr>
        <w:t xml:space="preserve"> contexts, the choice </w:t>
      </w:r>
      <w:r w:rsidR="0064483F" w:rsidRPr="005652E6">
        <w:rPr>
          <w:rFonts w:ascii="Garamond" w:eastAsia="Times New Roman" w:hAnsi="Garamond"/>
          <w:sz w:val="22"/>
          <w:szCs w:val="22"/>
          <w:shd w:val="clear" w:color="auto" w:fill="FFFFFF"/>
          <w:lang w:val="en-GB"/>
        </w:rPr>
        <w:t>between using</w:t>
      </w:r>
      <w:r w:rsidRPr="005652E6">
        <w:rPr>
          <w:rFonts w:ascii="Garamond" w:eastAsia="Times New Roman" w:hAnsi="Garamond"/>
          <w:sz w:val="22"/>
          <w:szCs w:val="22"/>
          <w:shd w:val="clear" w:color="auto" w:fill="FFFFFF"/>
          <w:lang w:val="en-GB"/>
        </w:rPr>
        <w:t xml:space="preserve"> a certain term or, instead, a synonym would not make much difference, in legal language choosing a synonym might not always mean choosing a </w:t>
      </w:r>
      <w:r w:rsidRPr="005652E6">
        <w:rPr>
          <w:rFonts w:ascii="Garamond" w:eastAsia="Times New Roman" w:hAnsi="Garamond" w:cs="Arial"/>
          <w:i/>
          <w:iCs/>
          <w:sz w:val="22"/>
          <w:szCs w:val="22"/>
          <w:shd w:val="clear" w:color="auto" w:fill="FFFFFF"/>
          <w:lang w:val="en-GB"/>
        </w:rPr>
        <w:t>syn</w:t>
      </w:r>
      <w:r w:rsidRPr="005652E6">
        <w:rPr>
          <w:rFonts w:ascii="Cambria" w:eastAsia="Times New Roman" w:hAnsi="Cambria" w:cs="Cambria"/>
          <w:i/>
          <w:iCs/>
          <w:sz w:val="22"/>
          <w:szCs w:val="22"/>
          <w:shd w:val="clear" w:color="auto" w:fill="FFFFFF"/>
          <w:lang w:val="en-GB"/>
        </w:rPr>
        <w:t>ṓ</w:t>
      </w:r>
      <w:r w:rsidRPr="005652E6">
        <w:rPr>
          <w:rFonts w:ascii="Garamond" w:eastAsia="Times New Roman" w:hAnsi="Garamond" w:cs="Arial"/>
          <w:i/>
          <w:iCs/>
          <w:sz w:val="22"/>
          <w:szCs w:val="22"/>
          <w:shd w:val="clear" w:color="auto" w:fill="FFFFFF"/>
          <w:lang w:val="en-GB"/>
        </w:rPr>
        <w:t>nymos</w:t>
      </w:r>
      <w:r w:rsidRPr="005652E6">
        <w:rPr>
          <w:rFonts w:ascii="Garamond" w:eastAsia="Times New Roman" w:hAnsi="Garamond"/>
          <w:sz w:val="22"/>
          <w:szCs w:val="22"/>
          <w:lang w:val="en-GB"/>
        </w:rPr>
        <w:t xml:space="preserve"> or, at least, it might not mean choosing a term whose meaning is uncontroversially understood by everyone … especially lawyers.</w:t>
      </w:r>
    </w:p>
    <w:sectPr w:rsidR="003A5A47" w:rsidRPr="005652E6" w:rsidSect="006D4CF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B4563" w14:textId="77777777" w:rsidR="00294670" w:rsidRDefault="00294670" w:rsidP="003164C2">
      <w:r>
        <w:separator/>
      </w:r>
    </w:p>
  </w:endnote>
  <w:endnote w:type="continuationSeparator" w:id="0">
    <w:p w14:paraId="45F79D0D" w14:textId="77777777" w:rsidR="00294670" w:rsidRDefault="00294670" w:rsidP="0031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F79A4" w14:textId="77777777" w:rsidR="00294670" w:rsidRDefault="00294670" w:rsidP="003164C2">
      <w:r>
        <w:separator/>
      </w:r>
    </w:p>
  </w:footnote>
  <w:footnote w:type="continuationSeparator" w:id="0">
    <w:p w14:paraId="22E206B5" w14:textId="77777777" w:rsidR="00294670" w:rsidRDefault="00294670" w:rsidP="003164C2">
      <w:r>
        <w:continuationSeparator/>
      </w:r>
    </w:p>
  </w:footnote>
  <w:footnote w:id="1">
    <w:p w14:paraId="1E2A67FA" w14:textId="77777777" w:rsidR="00294670" w:rsidRPr="000A7D20" w:rsidRDefault="00294670" w:rsidP="000A7D20">
      <w:pPr>
        <w:pStyle w:val="Testonotaapidipagina"/>
        <w:jc w:val="both"/>
        <w:rPr>
          <w:rFonts w:ascii="Garamond" w:hAnsi="Garamond"/>
          <w:lang w:val="en-US"/>
        </w:rPr>
      </w:pPr>
      <w:r w:rsidRPr="000A7D20">
        <w:rPr>
          <w:rStyle w:val="Rimandonotaapidipagina"/>
          <w:rFonts w:ascii="Garamond" w:hAnsi="Garamond"/>
          <w:lang w:val="en-US"/>
        </w:rPr>
        <w:t>*</w:t>
      </w:r>
      <w:r w:rsidRPr="000A7D20">
        <w:rPr>
          <w:rFonts w:ascii="Garamond" w:hAnsi="Garamond"/>
          <w:lang w:val="en-US"/>
        </w:rPr>
        <w:t xml:space="preserve"> Editor of the </w:t>
      </w:r>
      <w:r w:rsidRPr="000A7D20">
        <w:rPr>
          <w:rFonts w:ascii="Garamond" w:hAnsi="Garamond"/>
          <w:i/>
          <w:iCs/>
          <w:lang w:val="en-US"/>
        </w:rPr>
        <w:t>Journal of Intellectual Property Law &amp; Practice</w:t>
      </w:r>
      <w:r w:rsidRPr="000A7D20">
        <w:rPr>
          <w:rFonts w:ascii="Garamond" w:hAnsi="Garamond"/>
          <w:lang w:val="en-US"/>
        </w:rPr>
        <w:t>, Associate Professor in Intellectual Property Law at the University of Southampton and Of Counsel at Bird &amp; Bird. Email: eleonora@e-lawnora.com</w:t>
      </w:r>
    </w:p>
  </w:footnote>
  <w:footnote w:id="2">
    <w:p w14:paraId="54636CE1" w14:textId="3241AD8E" w:rsidR="00294670" w:rsidRPr="000A7D20" w:rsidRDefault="00294670" w:rsidP="000A7D20">
      <w:pPr>
        <w:jc w:val="both"/>
        <w:rPr>
          <w:rFonts w:ascii="Garamond" w:eastAsia="Times New Roman" w:hAnsi="Garamond"/>
          <w:sz w:val="20"/>
          <w:szCs w:val="20"/>
        </w:rPr>
      </w:pPr>
      <w:r w:rsidRPr="000A7D20">
        <w:rPr>
          <w:rStyle w:val="Rimandonotaapidipagina"/>
          <w:rFonts w:ascii="Garamond" w:hAnsi="Garamond"/>
          <w:sz w:val="20"/>
          <w:szCs w:val="20"/>
        </w:rPr>
        <w:footnoteRef/>
      </w:r>
      <w:r w:rsidRPr="000A7D20">
        <w:rPr>
          <w:rFonts w:ascii="Garamond" w:hAnsi="Garamond"/>
          <w:sz w:val="20"/>
          <w:szCs w:val="20"/>
        </w:rPr>
        <w:t xml:space="preserve"> </w:t>
      </w:r>
      <w:proofErr w:type="spellStart"/>
      <w:r w:rsidRPr="000A7D20">
        <w:rPr>
          <w:rFonts w:ascii="Garamond" w:hAnsi="Garamond"/>
          <w:sz w:val="20"/>
          <w:szCs w:val="20"/>
        </w:rPr>
        <w:t>See</w:t>
      </w:r>
      <w:proofErr w:type="spellEnd"/>
      <w:r w:rsidRPr="000A7D20">
        <w:rPr>
          <w:rFonts w:ascii="Garamond" w:hAnsi="Garamond"/>
          <w:sz w:val="20"/>
          <w:szCs w:val="20"/>
        </w:rPr>
        <w:t xml:space="preserve"> </w:t>
      </w:r>
      <w:proofErr w:type="spellStart"/>
      <w:r w:rsidRPr="000A7D20">
        <w:rPr>
          <w:rFonts w:ascii="Garamond" w:hAnsi="Garamond"/>
          <w:sz w:val="20"/>
          <w:szCs w:val="20"/>
        </w:rPr>
        <w:t>further</w:t>
      </w:r>
      <w:proofErr w:type="spellEnd"/>
      <w:r w:rsidRPr="000A7D20">
        <w:rPr>
          <w:rFonts w:ascii="Garamond" w:hAnsi="Garamond"/>
          <w:sz w:val="20"/>
          <w:szCs w:val="20"/>
        </w:rPr>
        <w:t xml:space="preserve"> </w:t>
      </w:r>
      <w:proofErr w:type="spellStart"/>
      <w:r w:rsidRPr="000A7D20">
        <w:rPr>
          <w:rFonts w:ascii="Garamond" w:hAnsi="Garamond"/>
          <w:sz w:val="20"/>
          <w:szCs w:val="20"/>
        </w:rPr>
        <w:t>at</w:t>
      </w:r>
      <w:proofErr w:type="spellEnd"/>
      <w:r w:rsidRPr="000A7D20">
        <w:rPr>
          <w:rFonts w:ascii="Garamond" w:hAnsi="Garamond"/>
          <w:sz w:val="20"/>
          <w:szCs w:val="20"/>
        </w:rPr>
        <w:t xml:space="preserve"> </w:t>
      </w:r>
      <w:hyperlink r:id="rId1" w:history="1">
        <w:r w:rsidRPr="000A7D20">
          <w:rPr>
            <w:rFonts w:ascii="Garamond" w:eastAsia="Times New Roman" w:hAnsi="Garamond"/>
            <w:color w:val="0000FF"/>
            <w:sz w:val="20"/>
            <w:szCs w:val="20"/>
            <w:u w:val="single"/>
          </w:rPr>
          <w:t>http://ipkitten.blogspot.com/2019/05/dsm-directive-series-5-does-dsm.html</w:t>
        </w:r>
      </w:hyperlink>
      <w:r w:rsidRPr="000A7D20">
        <w:rPr>
          <w:rFonts w:ascii="Garamond" w:eastAsia="Times New Roman" w:hAnsi="Garamond"/>
          <w:sz w:val="20"/>
          <w:szCs w:val="20"/>
        </w:rPr>
        <w:t xml:space="preserve"> (last </w:t>
      </w:r>
      <w:proofErr w:type="spellStart"/>
      <w:r w:rsidRPr="000A7D20">
        <w:rPr>
          <w:rFonts w:ascii="Garamond" w:eastAsia="Times New Roman" w:hAnsi="Garamond"/>
          <w:sz w:val="20"/>
          <w:szCs w:val="20"/>
        </w:rPr>
        <w:t>accessed</w:t>
      </w:r>
      <w:proofErr w:type="spellEnd"/>
      <w:r w:rsidRPr="000A7D20">
        <w:rPr>
          <w:rFonts w:ascii="Garamond" w:eastAsia="Times New Roman" w:hAnsi="Garamond"/>
          <w:sz w:val="20"/>
          <w:szCs w:val="20"/>
        </w:rPr>
        <w:t xml:space="preserve"> on 10 </w:t>
      </w:r>
      <w:proofErr w:type="spellStart"/>
      <w:r w:rsidRPr="000A7D20">
        <w:rPr>
          <w:rFonts w:ascii="Garamond" w:eastAsia="Times New Roman" w:hAnsi="Garamond"/>
          <w:sz w:val="20"/>
          <w:szCs w:val="20"/>
        </w:rPr>
        <w:t>June</w:t>
      </w:r>
      <w:proofErr w:type="spellEnd"/>
      <w:r w:rsidRPr="000A7D20">
        <w:rPr>
          <w:rFonts w:ascii="Garamond" w:eastAsia="Times New Roman" w:hAnsi="Garamond"/>
          <w:sz w:val="20"/>
          <w:szCs w:val="20"/>
        </w:rPr>
        <w:t xml:space="preserve">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C2"/>
    <w:rsid w:val="000A7D20"/>
    <w:rsid w:val="00294670"/>
    <w:rsid w:val="003164C2"/>
    <w:rsid w:val="003A5A47"/>
    <w:rsid w:val="005652E6"/>
    <w:rsid w:val="0064483F"/>
    <w:rsid w:val="006D4CF5"/>
    <w:rsid w:val="00BB4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CA4D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64C2"/>
    <w:rPr>
      <w:rFonts w:ascii="Calibri" w:eastAsia="Calibri" w:hAnsi="Calibri" w:cs="Times New Roman"/>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3164C2"/>
    <w:rPr>
      <w:sz w:val="20"/>
      <w:szCs w:val="20"/>
    </w:rPr>
  </w:style>
  <w:style w:type="character" w:customStyle="1" w:styleId="TestonotaapidipaginaCarattere">
    <w:name w:val="Testo nota a piè di pagina Carattere"/>
    <w:basedOn w:val="Caratterepredefinitoparagrafo"/>
    <w:link w:val="Testonotaapidipagina"/>
    <w:uiPriority w:val="99"/>
    <w:rsid w:val="003164C2"/>
    <w:rPr>
      <w:rFonts w:ascii="Calibri" w:eastAsia="Calibri" w:hAnsi="Calibri" w:cs="Times New Roman"/>
      <w:sz w:val="20"/>
      <w:szCs w:val="20"/>
      <w:lang w:val="it-IT"/>
    </w:rPr>
  </w:style>
  <w:style w:type="character" w:styleId="Rimandonotaapidipagina">
    <w:name w:val="footnote reference"/>
    <w:basedOn w:val="Caratterepredefinitoparagrafo"/>
    <w:uiPriority w:val="99"/>
    <w:unhideWhenUsed/>
    <w:rsid w:val="003164C2"/>
    <w:rPr>
      <w:vertAlign w:val="superscript"/>
    </w:rPr>
  </w:style>
  <w:style w:type="character" w:styleId="Collegamentoipertestuale">
    <w:name w:val="Hyperlink"/>
    <w:basedOn w:val="Caratterepredefinitoparagrafo"/>
    <w:uiPriority w:val="99"/>
    <w:semiHidden/>
    <w:unhideWhenUsed/>
    <w:rsid w:val="000A7D2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64C2"/>
    <w:rPr>
      <w:rFonts w:ascii="Calibri" w:eastAsia="Calibri" w:hAnsi="Calibri" w:cs="Times New Roman"/>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3164C2"/>
    <w:rPr>
      <w:sz w:val="20"/>
      <w:szCs w:val="20"/>
    </w:rPr>
  </w:style>
  <w:style w:type="character" w:customStyle="1" w:styleId="TestonotaapidipaginaCarattere">
    <w:name w:val="Testo nota a piè di pagina Carattere"/>
    <w:basedOn w:val="Caratterepredefinitoparagrafo"/>
    <w:link w:val="Testonotaapidipagina"/>
    <w:uiPriority w:val="99"/>
    <w:rsid w:val="003164C2"/>
    <w:rPr>
      <w:rFonts w:ascii="Calibri" w:eastAsia="Calibri" w:hAnsi="Calibri" w:cs="Times New Roman"/>
      <w:sz w:val="20"/>
      <w:szCs w:val="20"/>
      <w:lang w:val="it-IT"/>
    </w:rPr>
  </w:style>
  <w:style w:type="character" w:styleId="Rimandonotaapidipagina">
    <w:name w:val="footnote reference"/>
    <w:basedOn w:val="Caratterepredefinitoparagrafo"/>
    <w:uiPriority w:val="99"/>
    <w:unhideWhenUsed/>
    <w:rsid w:val="003164C2"/>
    <w:rPr>
      <w:vertAlign w:val="superscript"/>
    </w:rPr>
  </w:style>
  <w:style w:type="character" w:styleId="Collegamentoipertestuale">
    <w:name w:val="Hyperlink"/>
    <w:basedOn w:val="Caratterepredefinitoparagrafo"/>
    <w:uiPriority w:val="99"/>
    <w:semiHidden/>
    <w:unhideWhenUsed/>
    <w:rsid w:val="000A7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8708">
      <w:bodyDiv w:val="1"/>
      <w:marLeft w:val="0"/>
      <w:marRight w:val="0"/>
      <w:marTop w:val="0"/>
      <w:marBottom w:val="0"/>
      <w:divBdr>
        <w:top w:val="none" w:sz="0" w:space="0" w:color="auto"/>
        <w:left w:val="none" w:sz="0" w:space="0" w:color="auto"/>
        <w:bottom w:val="none" w:sz="0" w:space="0" w:color="auto"/>
        <w:right w:val="none" w:sz="0" w:space="0" w:color="auto"/>
      </w:divBdr>
    </w:div>
    <w:div w:id="1597902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ipkitten.blogspot.com/2019/05/dsm-directive-series-5-does-dsm.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657</Words>
  <Characters>4020</Characters>
  <Application>Microsoft Macintosh Word</Application>
  <DocSecurity>0</DocSecurity>
  <Lines>670</Lines>
  <Paragraphs>467</Paragraphs>
  <ScaleCrop>false</ScaleCrop>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Rosati</dc:creator>
  <cp:keywords/>
  <dc:description/>
  <cp:lastModifiedBy>Eleonora Rosati</cp:lastModifiedBy>
  <cp:revision>5</cp:revision>
  <dcterms:created xsi:type="dcterms:W3CDTF">2019-06-09T15:33:00Z</dcterms:created>
  <dcterms:modified xsi:type="dcterms:W3CDTF">2019-06-09T15:47:00Z</dcterms:modified>
</cp:coreProperties>
</file>