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3E2" w:rsidRPr="000F6A49" w:rsidRDefault="006313E2" w:rsidP="00CD2A01">
      <w:pPr>
        <w:jc w:val="both"/>
        <w:rPr>
          <w:rFonts w:ascii="Arial" w:hAnsi="Arial" w:cs="Arial"/>
          <w:b/>
          <w:sz w:val="28"/>
          <w:szCs w:val="28"/>
          <w:lang w:val="en-CA"/>
        </w:rPr>
      </w:pPr>
      <w:r w:rsidRPr="000F6A49">
        <w:rPr>
          <w:rFonts w:ascii="Arial" w:hAnsi="Arial" w:cs="Arial"/>
          <w:b/>
          <w:sz w:val="28"/>
          <w:szCs w:val="28"/>
          <w:lang w:val="en-CA"/>
        </w:rPr>
        <w:t xml:space="preserve">The intense anti-Stokes emission of erbium ions in </w:t>
      </w:r>
      <w:r w:rsidRPr="000F6A49">
        <w:rPr>
          <w:rFonts w:ascii="Arial" w:hAnsi="Arial" w:cs="Arial"/>
          <w:b/>
          <w:sz w:val="28"/>
          <w:szCs w:val="28"/>
        </w:rPr>
        <w:t>gallium lanthanum sulphide-oxide</w:t>
      </w:r>
      <w:r w:rsidRPr="000F6A49">
        <w:rPr>
          <w:rFonts w:ascii="Arial" w:hAnsi="Arial" w:cs="Arial"/>
          <w:b/>
          <w:sz w:val="28"/>
          <w:szCs w:val="28"/>
          <w:lang w:val="en-CA"/>
        </w:rPr>
        <w:t xml:space="preserve"> glass </w:t>
      </w:r>
      <w:proofErr w:type="gramStart"/>
      <w:r w:rsidRPr="000F6A49">
        <w:rPr>
          <w:rFonts w:ascii="Arial" w:hAnsi="Arial" w:cs="Arial"/>
          <w:b/>
          <w:sz w:val="28"/>
          <w:szCs w:val="28"/>
          <w:lang w:val="en-CA"/>
        </w:rPr>
        <w:t>GaLaS(</w:t>
      </w:r>
      <w:proofErr w:type="gramEnd"/>
      <w:r w:rsidRPr="000F6A49">
        <w:rPr>
          <w:rFonts w:ascii="Arial" w:hAnsi="Arial" w:cs="Arial"/>
          <w:b/>
          <w:sz w:val="28"/>
          <w:szCs w:val="28"/>
          <w:lang w:val="en-CA"/>
        </w:rPr>
        <w:t>O) in visible spectral range</w:t>
      </w:r>
    </w:p>
    <w:p w:rsidR="00D93137" w:rsidRDefault="005509C7" w:rsidP="005509C7">
      <w:pPr>
        <w:spacing w:before="120" w:after="120"/>
        <w:jc w:val="both"/>
        <w:rPr>
          <w:b/>
        </w:rPr>
      </w:pPr>
      <w:r w:rsidRPr="005509C7">
        <w:rPr>
          <w:b/>
          <w:lang w:val="en-CA"/>
        </w:rPr>
        <w:t>M.M. Voronov</w:t>
      </w:r>
      <w:r w:rsidRPr="005509C7">
        <w:rPr>
          <w:b/>
          <w:vertAlign w:val="superscript"/>
          <w:lang w:val="en-CA"/>
        </w:rPr>
        <w:t>1</w:t>
      </w:r>
      <w:r w:rsidRPr="005509C7">
        <w:rPr>
          <w:b/>
          <w:lang w:val="en-CA"/>
        </w:rPr>
        <w:t>, A.B. Pevtsov</w:t>
      </w:r>
      <w:r w:rsidRPr="005509C7">
        <w:rPr>
          <w:b/>
          <w:vertAlign w:val="superscript"/>
          <w:lang w:val="en-CA"/>
        </w:rPr>
        <w:t>1</w:t>
      </w:r>
      <w:r w:rsidRPr="005509C7">
        <w:rPr>
          <w:b/>
          <w:lang w:val="en-CA"/>
        </w:rPr>
        <w:t>, A.P. Skvortsov</w:t>
      </w:r>
      <w:r w:rsidRPr="005509C7">
        <w:rPr>
          <w:b/>
          <w:vertAlign w:val="superscript"/>
          <w:lang w:val="en-CA"/>
        </w:rPr>
        <w:t>1</w:t>
      </w:r>
      <w:r w:rsidRPr="005509C7">
        <w:rPr>
          <w:b/>
          <w:lang w:val="en-CA"/>
        </w:rPr>
        <w:t>, C. Koughia</w:t>
      </w:r>
      <w:r w:rsidRPr="005509C7">
        <w:rPr>
          <w:b/>
          <w:vertAlign w:val="superscript"/>
          <w:lang w:val="en-CA"/>
        </w:rPr>
        <w:t>2</w:t>
      </w:r>
      <w:r w:rsidRPr="005509C7">
        <w:rPr>
          <w:b/>
          <w:lang w:val="en-CA"/>
        </w:rPr>
        <w:t>, D.W. Hewak</w:t>
      </w:r>
      <w:r w:rsidRPr="005509C7">
        <w:rPr>
          <w:b/>
          <w:vertAlign w:val="superscript"/>
          <w:lang w:val="en-CA"/>
        </w:rPr>
        <w:t>3</w:t>
      </w:r>
      <w:r w:rsidRPr="005509C7">
        <w:rPr>
          <w:b/>
          <w:lang w:val="en-CA"/>
        </w:rPr>
        <w:t>, C.Craig</w:t>
      </w:r>
      <w:r w:rsidRPr="005509C7">
        <w:rPr>
          <w:b/>
          <w:vertAlign w:val="superscript"/>
          <w:lang w:val="en-CA"/>
        </w:rPr>
        <w:t>3</w:t>
      </w:r>
      <w:r w:rsidR="00D93137">
        <w:rPr>
          <w:b/>
        </w:rPr>
        <w:t>,</w:t>
      </w:r>
    </w:p>
    <w:p w:rsidR="006313E2" w:rsidRPr="00D93137" w:rsidRDefault="005509C7" w:rsidP="005509C7">
      <w:pPr>
        <w:spacing w:before="120" w:after="120"/>
        <w:jc w:val="both"/>
        <w:rPr>
          <w:b/>
          <w:lang w:val="en-CA"/>
        </w:rPr>
      </w:pPr>
      <w:r w:rsidRPr="005509C7">
        <w:rPr>
          <w:b/>
          <w:lang w:val="en-CA"/>
        </w:rPr>
        <w:t>S. Kasap</w:t>
      </w:r>
      <w:r w:rsidRPr="005509C7">
        <w:rPr>
          <w:b/>
          <w:vertAlign w:val="superscript"/>
          <w:lang w:val="en-CA"/>
        </w:rPr>
        <w:t>2</w:t>
      </w:r>
      <w:r w:rsidR="00D93137">
        <w:rPr>
          <w:b/>
          <w:lang w:val="en-CA"/>
        </w:rPr>
        <w:t xml:space="preserve"> and</w:t>
      </w:r>
      <w:r w:rsidR="00147F19">
        <w:rPr>
          <w:b/>
          <w:lang w:val="en-CA"/>
        </w:rPr>
        <w:t xml:space="preserve"> </w:t>
      </w:r>
      <w:r w:rsidR="00D93137" w:rsidRPr="005509C7">
        <w:rPr>
          <w:b/>
          <w:lang w:val="en-CA"/>
        </w:rPr>
        <w:t>V.G. Golubev</w:t>
      </w:r>
      <w:r w:rsidR="00D93137" w:rsidRPr="005509C7">
        <w:rPr>
          <w:b/>
          <w:vertAlign w:val="superscript"/>
          <w:lang w:val="en-CA"/>
        </w:rPr>
        <w:t>1</w:t>
      </w:r>
    </w:p>
    <w:p w:rsidR="005509C7" w:rsidRPr="000F6A49" w:rsidRDefault="005509C7" w:rsidP="005509C7">
      <w:pPr>
        <w:autoSpaceDE w:val="0"/>
        <w:autoSpaceDN w:val="0"/>
        <w:adjustRightInd w:val="0"/>
        <w:rPr>
          <w:rFonts w:cs="Times New Roman"/>
          <w:sz w:val="22"/>
        </w:rPr>
      </w:pPr>
      <w:r w:rsidRPr="000F6A49">
        <w:rPr>
          <w:rFonts w:cs="Times New Roman"/>
          <w:sz w:val="22"/>
          <w:vertAlign w:val="superscript"/>
        </w:rPr>
        <w:t>1</w:t>
      </w:r>
      <w:r w:rsidRPr="000F6A49">
        <w:rPr>
          <w:rFonts w:cs="Times New Roman"/>
          <w:sz w:val="22"/>
        </w:rPr>
        <w:t>Ioffe Institute, Politekhnicheskaya 26, St Petersburg, 194021 Russia</w:t>
      </w:r>
    </w:p>
    <w:p w:rsidR="005509C7" w:rsidRPr="000F6A49" w:rsidRDefault="005509C7" w:rsidP="005509C7">
      <w:pPr>
        <w:autoSpaceDE w:val="0"/>
        <w:autoSpaceDN w:val="0"/>
        <w:adjustRightInd w:val="0"/>
        <w:ind w:left="180" w:hanging="180"/>
        <w:rPr>
          <w:rFonts w:cs="Times New Roman"/>
          <w:sz w:val="22"/>
        </w:rPr>
      </w:pPr>
      <w:r w:rsidRPr="000F6A49">
        <w:rPr>
          <w:rFonts w:cs="Times New Roman"/>
          <w:sz w:val="22"/>
          <w:vertAlign w:val="superscript"/>
        </w:rPr>
        <w:t>2</w:t>
      </w:r>
      <w:r w:rsidRPr="000F6A49">
        <w:rPr>
          <w:rFonts w:cs="Times New Roman"/>
          <w:sz w:val="22"/>
        </w:rPr>
        <w:t>Department of Electrical and Computer Engineering, University of Saskatchewan, Saskatoon</w:t>
      </w:r>
      <w:proofErr w:type="gramStart"/>
      <w:r w:rsidRPr="000F6A49">
        <w:rPr>
          <w:rFonts w:cs="Times New Roman"/>
          <w:sz w:val="22"/>
        </w:rPr>
        <w:t>,Canada</w:t>
      </w:r>
      <w:proofErr w:type="gramEnd"/>
    </w:p>
    <w:p w:rsidR="005509C7" w:rsidRPr="000F6A49" w:rsidRDefault="005509C7" w:rsidP="005509C7">
      <w:pPr>
        <w:autoSpaceDE w:val="0"/>
        <w:autoSpaceDN w:val="0"/>
        <w:adjustRightInd w:val="0"/>
        <w:rPr>
          <w:rFonts w:cs="Times New Roman"/>
          <w:sz w:val="22"/>
        </w:rPr>
      </w:pPr>
      <w:r w:rsidRPr="000F6A49">
        <w:rPr>
          <w:rFonts w:cs="Times New Roman"/>
          <w:sz w:val="22"/>
          <w:vertAlign w:val="superscript"/>
        </w:rPr>
        <w:t>3</w:t>
      </w:r>
      <w:r w:rsidRPr="000F6A49">
        <w:rPr>
          <w:rFonts w:cs="Times New Roman"/>
          <w:sz w:val="22"/>
        </w:rPr>
        <w:t>Optoelectronics Research Centre, University of Southampton, Southampton, United Kingdom</w:t>
      </w:r>
    </w:p>
    <w:p w:rsidR="006313E2" w:rsidRPr="000F6A49" w:rsidRDefault="005509C7" w:rsidP="005509C7">
      <w:pPr>
        <w:spacing w:before="120" w:after="120"/>
        <w:ind w:firstLine="187"/>
        <w:jc w:val="both"/>
        <w:rPr>
          <w:rFonts w:cs="Times New Roman"/>
          <w:sz w:val="22"/>
          <w:lang w:val="en-CA"/>
        </w:rPr>
      </w:pPr>
      <w:r w:rsidRPr="000F6A49">
        <w:rPr>
          <w:rFonts w:cs="Times New Roman"/>
          <w:sz w:val="22"/>
        </w:rPr>
        <w:t>E-mail: pevtsov@gvg.ioffe.ru</w:t>
      </w:r>
    </w:p>
    <w:p w:rsidR="00EA02CA" w:rsidRDefault="00EA02CA" w:rsidP="00CD2A01">
      <w:pPr>
        <w:jc w:val="both"/>
        <w:rPr>
          <w:lang w:val="en-CA"/>
        </w:rPr>
      </w:pPr>
      <w:r>
        <w:rPr>
          <w:lang w:val="en-CA"/>
        </w:rPr>
        <w:t xml:space="preserve">Rare-earth doped chalcogenide glasses demonstrating effective up-conversion are </w:t>
      </w:r>
      <w:r w:rsidR="00AC0C16">
        <w:rPr>
          <w:lang w:val="en-CA"/>
        </w:rPr>
        <w:t>found</w:t>
      </w:r>
      <w:r>
        <w:rPr>
          <w:lang w:val="en-CA"/>
        </w:rPr>
        <w:t xml:space="preserve"> to be attractive for many practical applications including up-conversion fiberoptical lasers [1], up-converters for solar cell to convert Sun’s IR radiation into visible [2] and many others. These glasses also </w:t>
      </w:r>
      <w:proofErr w:type="gramStart"/>
      <w:r>
        <w:rPr>
          <w:lang w:val="en-CA"/>
        </w:rPr>
        <w:t xml:space="preserve">may be </w:t>
      </w:r>
      <w:r w:rsidR="008340A7">
        <w:rPr>
          <w:lang w:val="en-CA"/>
        </w:rPr>
        <w:t>used</w:t>
      </w:r>
      <w:proofErr w:type="gramEnd"/>
      <w:r w:rsidR="008340A7">
        <w:rPr>
          <w:lang w:val="en-CA"/>
        </w:rPr>
        <w:t xml:space="preserve"> as doped glasses</w:t>
      </w:r>
      <w:r>
        <w:rPr>
          <w:lang w:val="en-CA"/>
        </w:rPr>
        <w:t xml:space="preserve"> where</w:t>
      </w:r>
      <w:r w:rsidR="008340A7">
        <w:rPr>
          <w:lang w:val="en-CA"/>
        </w:rPr>
        <w:t>, due to their exceptionally low phonon energy,</w:t>
      </w:r>
      <w:r>
        <w:rPr>
          <w:lang w:val="en-CA"/>
        </w:rPr>
        <w:t xml:space="preserve"> the up-conversion effects may investigated at its fullest.</w:t>
      </w:r>
    </w:p>
    <w:p w:rsidR="00277ECB" w:rsidRDefault="00EA02CA" w:rsidP="00EA02CA">
      <w:pPr>
        <w:ind w:firstLine="720"/>
        <w:jc w:val="both"/>
        <w:rPr>
          <w:lang w:val="en-CA"/>
        </w:rPr>
      </w:pPr>
      <w:r>
        <w:rPr>
          <w:lang w:val="en-CA"/>
        </w:rPr>
        <w:t>In p</w:t>
      </w:r>
      <w:r w:rsidR="005677F1">
        <w:rPr>
          <w:lang w:val="en-CA"/>
        </w:rPr>
        <w:t xml:space="preserve">resent paper </w:t>
      </w:r>
      <w:r>
        <w:rPr>
          <w:lang w:val="en-CA"/>
        </w:rPr>
        <w:t>we investigate the</w:t>
      </w:r>
      <w:r w:rsidR="00377178">
        <w:rPr>
          <w:lang w:val="en-CA"/>
        </w:rPr>
        <w:t xml:space="preserve"> </w:t>
      </w:r>
      <w:r w:rsidR="00D77E0F">
        <w:rPr>
          <w:lang w:val="en-CA"/>
        </w:rPr>
        <w:t>intense</w:t>
      </w:r>
      <w:r w:rsidR="00377178">
        <w:rPr>
          <w:lang w:val="en-CA"/>
        </w:rPr>
        <w:t xml:space="preserve"> </w:t>
      </w:r>
      <w:r w:rsidR="00C65C97">
        <w:rPr>
          <w:lang w:val="en-CA"/>
        </w:rPr>
        <w:t xml:space="preserve">visible green and </w:t>
      </w:r>
      <w:r>
        <w:rPr>
          <w:lang w:val="en-CA"/>
        </w:rPr>
        <w:t xml:space="preserve">red </w:t>
      </w:r>
      <w:r w:rsidR="005677F1">
        <w:rPr>
          <w:lang w:val="en-CA"/>
        </w:rPr>
        <w:t>up-conversion in</w:t>
      </w:r>
      <w:r w:rsidR="0063360E">
        <w:rPr>
          <w:lang w:val="en-CA"/>
        </w:rPr>
        <w:t xml:space="preserve"> </w:t>
      </w:r>
      <w:r w:rsidR="008E499E" w:rsidRPr="00C77A72">
        <w:t xml:space="preserve">gallium lanthanum </w:t>
      </w:r>
      <w:proofErr w:type="spellStart"/>
      <w:r w:rsidR="008E499E" w:rsidRPr="00C77A72">
        <w:t>sulphide</w:t>
      </w:r>
      <w:proofErr w:type="spellEnd"/>
      <w:r w:rsidR="008E499E" w:rsidRPr="00C77A72">
        <w:t>-oxide</w:t>
      </w:r>
      <w:r w:rsidR="005677F1">
        <w:rPr>
          <w:lang w:val="en-CA"/>
        </w:rPr>
        <w:t xml:space="preserve"> glass </w:t>
      </w:r>
      <w:proofErr w:type="spellStart"/>
      <w:r w:rsidR="005677F1">
        <w:rPr>
          <w:lang w:val="en-CA"/>
        </w:rPr>
        <w:t>GaLaS</w:t>
      </w:r>
      <w:proofErr w:type="spellEnd"/>
      <w:r w:rsidR="005677F1">
        <w:rPr>
          <w:lang w:val="en-CA"/>
        </w:rPr>
        <w:t>(O) doped with trivalent erbium ions Er</w:t>
      </w:r>
      <w:r w:rsidR="005677F1" w:rsidRPr="005677F1">
        <w:rPr>
          <w:vertAlign w:val="superscript"/>
          <w:lang w:val="en-CA"/>
        </w:rPr>
        <w:t>3+</w:t>
      </w:r>
      <w:r w:rsidR="00D77E0F">
        <w:rPr>
          <w:lang w:val="en-CA"/>
        </w:rPr>
        <w:t xml:space="preserve"> (</w:t>
      </w:r>
      <w:r w:rsidR="00174344">
        <w:rPr>
          <w:lang w:val="en-CA"/>
        </w:rPr>
        <w:fldChar w:fldCharType="begin"/>
      </w:r>
      <w:r w:rsidR="00D77E0F">
        <w:rPr>
          <w:lang w:val="en-CA"/>
        </w:rPr>
        <w:instrText xml:space="preserve"> REF _Ref524903 \h </w:instrText>
      </w:r>
      <w:r w:rsidR="00174344">
        <w:rPr>
          <w:lang w:val="en-CA"/>
        </w:rPr>
      </w:r>
      <w:r w:rsidR="00174344">
        <w:rPr>
          <w:lang w:val="en-CA"/>
        </w:rPr>
        <w:fldChar w:fldCharType="separate"/>
      </w:r>
      <w:r w:rsidR="004C0396" w:rsidRPr="000437BF">
        <w:rPr>
          <w:sz w:val="22"/>
        </w:rPr>
        <w:t xml:space="preserve">Figure </w:t>
      </w:r>
      <w:r w:rsidR="004C0396">
        <w:rPr>
          <w:noProof/>
          <w:sz w:val="22"/>
        </w:rPr>
        <w:t>1</w:t>
      </w:r>
      <w:r w:rsidR="00174344">
        <w:rPr>
          <w:lang w:val="en-CA"/>
        </w:rPr>
        <w:fldChar w:fldCharType="end"/>
      </w:r>
      <w:r w:rsidR="00D77E0F">
        <w:rPr>
          <w:lang w:val="en-CA"/>
        </w:rPr>
        <w:t>)</w:t>
      </w:r>
      <w:r>
        <w:rPr>
          <w:lang w:val="en-CA"/>
        </w:rPr>
        <w:t xml:space="preserve">. These glasses </w:t>
      </w:r>
      <w:r w:rsidR="00C65C97">
        <w:rPr>
          <w:lang w:val="en-CA"/>
        </w:rPr>
        <w:t xml:space="preserve">may </w:t>
      </w:r>
      <w:r>
        <w:rPr>
          <w:lang w:val="en-CA"/>
        </w:rPr>
        <w:t>demonstrate high efficiency up-conversion</w:t>
      </w:r>
      <w:r w:rsidR="0063360E">
        <w:rPr>
          <w:lang w:val="en-CA"/>
        </w:rPr>
        <w:t xml:space="preserve"> </w:t>
      </w:r>
      <w:r>
        <w:rPr>
          <w:lang w:val="en-CA"/>
        </w:rPr>
        <w:t xml:space="preserve">as well as high quantum yield of “regular” photoluminescence (PL) </w:t>
      </w:r>
      <w:r w:rsidR="00C65C97">
        <w:rPr>
          <w:lang w:val="en-CA"/>
        </w:rPr>
        <w:t xml:space="preserve">presumably </w:t>
      </w:r>
      <w:r>
        <w:rPr>
          <w:lang w:val="en-CA"/>
        </w:rPr>
        <w:t xml:space="preserve">due to insignificant non-radiative </w:t>
      </w:r>
      <w:proofErr w:type="gramStart"/>
      <w:r>
        <w:rPr>
          <w:lang w:val="en-CA"/>
        </w:rPr>
        <w:t xml:space="preserve">losses </w:t>
      </w:r>
      <w:r w:rsidR="00C65C97">
        <w:rPr>
          <w:lang w:val="en-CA"/>
        </w:rPr>
        <w:t>which</w:t>
      </w:r>
      <w:proofErr w:type="gramEnd"/>
      <w:r w:rsidR="00C65C97">
        <w:rPr>
          <w:lang w:val="en-CA"/>
        </w:rPr>
        <w:t xml:space="preserve"> are </w:t>
      </w:r>
      <w:r>
        <w:rPr>
          <w:lang w:val="en-CA"/>
        </w:rPr>
        <w:t xml:space="preserve">typical for these glasses. </w:t>
      </w:r>
      <w:r w:rsidR="005677F1">
        <w:rPr>
          <w:lang w:val="en-CA"/>
        </w:rPr>
        <w:t xml:space="preserve">The addition of oxygen into </w:t>
      </w:r>
      <w:proofErr w:type="gramStart"/>
      <w:r w:rsidR="005677F1">
        <w:rPr>
          <w:lang w:val="en-CA"/>
        </w:rPr>
        <w:t>well studied</w:t>
      </w:r>
      <w:proofErr w:type="gramEnd"/>
      <w:r w:rsidR="005677F1">
        <w:rPr>
          <w:lang w:val="en-CA"/>
        </w:rPr>
        <w:t xml:space="preserve"> glass matrix GaLaS [3] shifts the </w:t>
      </w:r>
      <w:r w:rsidR="00CD2A01">
        <w:rPr>
          <w:lang w:val="en-CA"/>
        </w:rPr>
        <w:t>optical absorption edge towards higher energies improv</w:t>
      </w:r>
      <w:r>
        <w:rPr>
          <w:lang w:val="en-CA"/>
        </w:rPr>
        <w:t xml:space="preserve">ing </w:t>
      </w:r>
      <w:r w:rsidR="00C65C97">
        <w:rPr>
          <w:lang w:val="en-CA"/>
        </w:rPr>
        <w:t>further</w:t>
      </w:r>
      <w:r w:rsidR="00CD2A01">
        <w:rPr>
          <w:lang w:val="en-CA"/>
        </w:rPr>
        <w:t xml:space="preserve"> up-conversion conditions by suppressing </w:t>
      </w:r>
      <w:r>
        <w:rPr>
          <w:lang w:val="en-CA"/>
        </w:rPr>
        <w:t xml:space="preserve">losses due to </w:t>
      </w:r>
      <w:r w:rsidR="00CD2A01">
        <w:rPr>
          <w:lang w:val="en-CA"/>
        </w:rPr>
        <w:t>energy transfer from excited Er</w:t>
      </w:r>
      <w:r w:rsidR="00CD2A01" w:rsidRPr="00CD2A01">
        <w:rPr>
          <w:vertAlign w:val="superscript"/>
          <w:lang w:val="en-CA"/>
        </w:rPr>
        <w:t>3+</w:t>
      </w:r>
      <w:r w:rsidR="00CD2A01">
        <w:rPr>
          <w:lang w:val="en-CA"/>
        </w:rPr>
        <w:t xml:space="preserve"> ions to glass matrix [4].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5"/>
        <w:gridCol w:w="5935"/>
      </w:tblGrid>
      <w:tr w:rsidR="005509C7" w:rsidTr="005509C7">
        <w:tc>
          <w:tcPr>
            <w:tcW w:w="3415" w:type="dxa"/>
          </w:tcPr>
          <w:p w:rsidR="00517191" w:rsidRDefault="00517191" w:rsidP="00E8443C">
            <w:pPr>
              <w:pStyle w:val="NoSpacing"/>
              <w:jc w:val="center"/>
              <w:rPr>
                <w:lang w:val="en-CA"/>
              </w:rPr>
            </w:pPr>
          </w:p>
          <w:p w:rsidR="005509C7" w:rsidRDefault="005509C7" w:rsidP="00E8443C">
            <w:pPr>
              <w:pStyle w:val="NoSpacing"/>
              <w:jc w:val="center"/>
              <w:rPr>
                <w:lang w:val="en-CA"/>
              </w:rPr>
            </w:pPr>
            <w:r w:rsidRPr="00D77E0F">
              <w:rPr>
                <w:noProof/>
                <w:lang w:val="en-GB" w:eastAsia="en-GB"/>
              </w:rPr>
              <w:drawing>
                <wp:inline distT="0" distB="0" distL="0" distR="0">
                  <wp:extent cx="2743200" cy="1457325"/>
                  <wp:effectExtent l="0" t="647700" r="0" b="619125"/>
                  <wp:docPr id="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743200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5" w:type="dxa"/>
          </w:tcPr>
          <w:p w:rsidR="005509C7" w:rsidRDefault="0035056C" w:rsidP="00E8443C">
            <w:pPr>
              <w:pStyle w:val="NoSpacing"/>
              <w:jc w:val="center"/>
              <w:rPr>
                <w:lang w:val="en-CA"/>
              </w:rPr>
            </w:pPr>
            <w:r>
              <w:rPr>
                <w:noProof/>
                <w:lang w:eastAsia="ru-RU"/>
              </w:rPr>
              <w:t xml:space="preserve">        </w:t>
            </w:r>
            <w:bookmarkStart w:id="0" w:name="_GoBack"/>
            <w:r w:rsidRPr="0035056C">
              <w:rPr>
                <w:noProof/>
                <w:lang w:val="en-GB" w:eastAsia="en-GB"/>
              </w:rPr>
              <w:drawing>
                <wp:inline distT="0" distB="0" distL="0" distR="0">
                  <wp:extent cx="2994738" cy="3151650"/>
                  <wp:effectExtent l="19050" t="0" r="0" b="0"/>
                  <wp:docPr id="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4738" cy="3151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5509C7" w:rsidRPr="000437BF" w:rsidTr="005509C7">
        <w:tc>
          <w:tcPr>
            <w:tcW w:w="3415" w:type="dxa"/>
          </w:tcPr>
          <w:p w:rsidR="005509C7" w:rsidRPr="000437BF" w:rsidRDefault="005509C7" w:rsidP="000437BF">
            <w:pPr>
              <w:pStyle w:val="NoSpacing"/>
              <w:jc w:val="both"/>
              <w:rPr>
                <w:sz w:val="22"/>
                <w:lang w:val="en-CA"/>
              </w:rPr>
            </w:pPr>
            <w:bookmarkStart w:id="1" w:name="_Ref524903"/>
            <w:r w:rsidRPr="000437BF">
              <w:rPr>
                <w:sz w:val="22"/>
              </w:rPr>
              <w:lastRenderedPageBreak/>
              <w:t xml:space="preserve">Figure </w:t>
            </w:r>
            <w:r w:rsidR="00174344" w:rsidRPr="000437BF">
              <w:rPr>
                <w:sz w:val="22"/>
              </w:rPr>
              <w:fldChar w:fldCharType="begin"/>
            </w:r>
            <w:r w:rsidRPr="000437BF">
              <w:rPr>
                <w:sz w:val="22"/>
              </w:rPr>
              <w:instrText xml:space="preserve"> SEQ Figure \* ARABIC </w:instrText>
            </w:r>
            <w:r w:rsidR="00174344" w:rsidRPr="000437BF">
              <w:rPr>
                <w:sz w:val="22"/>
              </w:rPr>
              <w:fldChar w:fldCharType="separate"/>
            </w:r>
            <w:r w:rsidR="004C0396">
              <w:rPr>
                <w:noProof/>
                <w:sz w:val="22"/>
              </w:rPr>
              <w:t>1</w:t>
            </w:r>
            <w:r w:rsidR="00174344" w:rsidRPr="000437BF">
              <w:rPr>
                <w:sz w:val="22"/>
              </w:rPr>
              <w:fldChar w:fldCharType="end"/>
            </w:r>
            <w:bookmarkEnd w:id="1"/>
            <w:r w:rsidRPr="000437BF">
              <w:rPr>
                <w:sz w:val="22"/>
              </w:rPr>
              <w:t>. Vi</w:t>
            </w:r>
            <w:r w:rsidR="000437BF" w:rsidRPr="000437BF">
              <w:rPr>
                <w:sz w:val="22"/>
              </w:rPr>
              <w:t>sual impression of</w:t>
            </w:r>
            <w:r w:rsidRPr="000437BF">
              <w:rPr>
                <w:sz w:val="22"/>
              </w:rPr>
              <w:t xml:space="preserve"> </w:t>
            </w:r>
            <w:proofErr w:type="gramStart"/>
            <w:r w:rsidRPr="000437BF">
              <w:rPr>
                <w:sz w:val="22"/>
              </w:rPr>
              <w:t>GaLaS(</w:t>
            </w:r>
            <w:proofErr w:type="gramEnd"/>
            <w:r w:rsidRPr="000437BF">
              <w:rPr>
                <w:sz w:val="22"/>
              </w:rPr>
              <w:t>O):Er</w:t>
            </w:r>
            <w:r w:rsidRPr="000437BF">
              <w:rPr>
                <w:sz w:val="22"/>
                <w:vertAlign w:val="superscript"/>
              </w:rPr>
              <w:t>3+</w:t>
            </w:r>
            <w:r w:rsidR="000437BF" w:rsidRPr="000437BF">
              <w:rPr>
                <w:sz w:val="22"/>
              </w:rPr>
              <w:t>glass</w:t>
            </w:r>
            <w:r w:rsidRPr="000437BF">
              <w:rPr>
                <w:sz w:val="22"/>
              </w:rPr>
              <w:t xml:space="preserve"> under 808</w:t>
            </w:r>
            <w:r w:rsidR="00D128C2">
              <w:rPr>
                <w:sz w:val="22"/>
              </w:rPr>
              <w:t xml:space="preserve"> nm</w:t>
            </w:r>
            <w:r w:rsidRPr="000437BF">
              <w:rPr>
                <w:sz w:val="22"/>
              </w:rPr>
              <w:t xml:space="preserve"> excitation.</w:t>
            </w:r>
          </w:p>
        </w:tc>
        <w:tc>
          <w:tcPr>
            <w:tcW w:w="5935" w:type="dxa"/>
          </w:tcPr>
          <w:p w:rsidR="005509C7" w:rsidRPr="000437BF" w:rsidRDefault="005509C7" w:rsidP="00E8443C">
            <w:pPr>
              <w:pStyle w:val="NoSpacing"/>
              <w:keepNext/>
              <w:jc w:val="both"/>
              <w:rPr>
                <w:sz w:val="22"/>
                <w:lang w:val="en-CA"/>
              </w:rPr>
            </w:pPr>
            <w:bookmarkStart w:id="2" w:name="_Ref524909"/>
            <w:r w:rsidRPr="000437BF">
              <w:rPr>
                <w:sz w:val="22"/>
              </w:rPr>
              <w:t xml:space="preserve">Figure </w:t>
            </w:r>
            <w:r w:rsidR="00174344" w:rsidRPr="000437BF">
              <w:rPr>
                <w:sz w:val="22"/>
              </w:rPr>
              <w:fldChar w:fldCharType="begin"/>
            </w:r>
            <w:r w:rsidRPr="000437BF">
              <w:rPr>
                <w:sz w:val="22"/>
              </w:rPr>
              <w:instrText xml:space="preserve"> SEQ Figure \* ARABIC </w:instrText>
            </w:r>
            <w:r w:rsidR="00174344" w:rsidRPr="000437BF">
              <w:rPr>
                <w:sz w:val="22"/>
              </w:rPr>
              <w:fldChar w:fldCharType="separate"/>
            </w:r>
            <w:r w:rsidR="004C0396">
              <w:rPr>
                <w:noProof/>
                <w:sz w:val="22"/>
              </w:rPr>
              <w:t>2</w:t>
            </w:r>
            <w:r w:rsidR="00174344" w:rsidRPr="000437BF">
              <w:rPr>
                <w:sz w:val="22"/>
              </w:rPr>
              <w:fldChar w:fldCharType="end"/>
            </w:r>
            <w:bookmarkEnd w:id="2"/>
            <w:r w:rsidRPr="000437BF">
              <w:rPr>
                <w:sz w:val="22"/>
              </w:rPr>
              <w:t xml:space="preserve">. Comparison of PL spectrum (left scale) with optical transmittance (solid line, right scale). The insert shows tentative identification of PL bands. The values above bands allow </w:t>
            </w:r>
            <w:r w:rsidR="008340A7">
              <w:rPr>
                <w:sz w:val="22"/>
              </w:rPr>
              <w:t xml:space="preserve">us </w:t>
            </w:r>
            <w:r w:rsidRPr="000437BF">
              <w:rPr>
                <w:sz w:val="22"/>
              </w:rPr>
              <w:t>to compare their relative peak intensities.</w:t>
            </w:r>
          </w:p>
        </w:tc>
      </w:tr>
    </w:tbl>
    <w:p w:rsidR="0035056C" w:rsidRDefault="0035056C" w:rsidP="005509C7">
      <w:pPr>
        <w:pStyle w:val="Caption"/>
        <w:ind w:firstLine="720"/>
        <w:jc w:val="both"/>
      </w:pPr>
    </w:p>
    <w:p w:rsidR="0035056C" w:rsidRDefault="0035056C" w:rsidP="005509C7">
      <w:pPr>
        <w:pStyle w:val="Caption"/>
        <w:ind w:firstLine="720"/>
        <w:jc w:val="both"/>
      </w:pPr>
    </w:p>
    <w:p w:rsidR="006313E2" w:rsidRPr="006313E2" w:rsidRDefault="008E499E" w:rsidP="005509C7">
      <w:pPr>
        <w:pStyle w:val="Caption"/>
        <w:ind w:firstLine="720"/>
        <w:jc w:val="both"/>
        <w:rPr>
          <w:lang w:val="en-CA"/>
        </w:rPr>
      </w:pPr>
      <w:r w:rsidRPr="00C77A72">
        <w:t>The Er</w:t>
      </w:r>
      <w:r w:rsidRPr="00C77A72">
        <w:rPr>
          <w:vertAlign w:val="superscript"/>
        </w:rPr>
        <w:t>3+</w:t>
      </w:r>
      <w:r w:rsidRPr="00C77A72">
        <w:t xml:space="preserve"> doped gallium lanthanum sulphide-oxide glass </w:t>
      </w:r>
      <w:r>
        <w:t>was</w:t>
      </w:r>
      <w:r w:rsidRPr="00C77A72">
        <w:t xml:space="preserve"> prepared by melt quenching of raw materials </w:t>
      </w:r>
      <w:r>
        <w:t xml:space="preserve">mixed </w:t>
      </w:r>
      <w:r w:rsidRPr="00C77A72">
        <w:t>in the following proportions</w:t>
      </w:r>
      <w:r>
        <w:t xml:space="preserve">: </w:t>
      </w:r>
      <w:r w:rsidRPr="001F4883">
        <w:rPr>
          <w:lang w:val="en-GB"/>
        </w:rPr>
        <w:t>72.5%Ga</w:t>
      </w:r>
      <w:r w:rsidRPr="001F4883">
        <w:rPr>
          <w:vertAlign w:val="subscript"/>
          <w:lang w:val="en-GB"/>
        </w:rPr>
        <w:t>2</w:t>
      </w:r>
      <w:r w:rsidRPr="001F4883">
        <w:rPr>
          <w:lang w:val="en-GB"/>
        </w:rPr>
        <w:t>S</w:t>
      </w:r>
      <w:r w:rsidRPr="001F4883">
        <w:rPr>
          <w:vertAlign w:val="subscript"/>
          <w:lang w:val="en-GB"/>
        </w:rPr>
        <w:t>3</w:t>
      </w:r>
      <w:r>
        <w:rPr>
          <w:lang w:val="en-GB"/>
        </w:rPr>
        <w:t>, 2</w:t>
      </w:r>
      <w:r w:rsidRPr="001F4883">
        <w:rPr>
          <w:lang w:val="en-GB"/>
        </w:rPr>
        <w:t>7La</w:t>
      </w:r>
      <w:r w:rsidRPr="001F4883">
        <w:rPr>
          <w:vertAlign w:val="subscript"/>
          <w:lang w:val="en-GB"/>
        </w:rPr>
        <w:t>2</w:t>
      </w:r>
      <w:r w:rsidRPr="001F4883">
        <w:rPr>
          <w:lang w:val="en-GB"/>
        </w:rPr>
        <w:t>O</w:t>
      </w:r>
      <w:r w:rsidRPr="001F4883">
        <w:rPr>
          <w:vertAlign w:val="subscript"/>
          <w:lang w:val="en-GB"/>
        </w:rPr>
        <w:t>3</w:t>
      </w:r>
      <w:r>
        <w:rPr>
          <w:lang w:val="en-GB"/>
        </w:rPr>
        <w:t xml:space="preserve"> and </w:t>
      </w:r>
      <w:r>
        <w:t>doped with 0</w:t>
      </w:r>
      <w:r w:rsidRPr="00C77A72">
        <w:t>.5</w:t>
      </w:r>
      <w:r>
        <w:t>%</w:t>
      </w:r>
      <w:r w:rsidRPr="00C77A72">
        <w:t>Er</w:t>
      </w:r>
      <w:r w:rsidRPr="00C77A72">
        <w:rPr>
          <w:vertAlign w:val="subscript"/>
        </w:rPr>
        <w:t>2</w:t>
      </w:r>
      <w:r w:rsidRPr="00C77A72">
        <w:t>S</w:t>
      </w:r>
      <w:r w:rsidRPr="00C77A72">
        <w:rPr>
          <w:vertAlign w:val="subscript"/>
        </w:rPr>
        <w:t>3</w:t>
      </w:r>
      <w:r>
        <w:rPr>
          <w:vertAlign w:val="subscript"/>
        </w:rPr>
        <w:t>.</w:t>
      </w:r>
      <w:r>
        <w:t>All percent are molar.</w:t>
      </w:r>
      <w:r w:rsidRPr="00C77A72">
        <w:t xml:space="preserve">  Melting took place in a vitreous carbon crucible for 24 hours </w:t>
      </w:r>
      <w:r>
        <w:t xml:space="preserve">in dry flowing argon </w:t>
      </w:r>
      <w:r w:rsidRPr="00C77A72">
        <w:t>followed by annealing at 50</w:t>
      </w:r>
      <w:r>
        <w:t xml:space="preserve">0 </w:t>
      </w:r>
      <w:r>
        <w:sym w:font="Symbol" w:char="F0B0"/>
      </w:r>
      <w:r>
        <w:t>C,</w:t>
      </w:r>
      <w:r w:rsidRPr="00C77A72">
        <w:t xml:space="preserve"> ramping up and down at 1</w:t>
      </w:r>
      <w:r>
        <w:sym w:font="Symbol" w:char="F0B0"/>
      </w:r>
      <w:r>
        <w:t>C</w:t>
      </w:r>
      <w:r w:rsidRPr="00C77A72">
        <w:t xml:space="preserve"> per minute.</w:t>
      </w:r>
      <w:r>
        <w:rPr>
          <w:lang w:val="en-CA"/>
        </w:rPr>
        <w:t xml:space="preserve">The PL was excited by laser diode operating at wavelength of 808 nm coinciding with </w:t>
      </w:r>
      <w:r w:rsidRPr="008E499E">
        <w:rPr>
          <w:vertAlign w:val="superscript"/>
          <w:lang w:val="en-CA"/>
        </w:rPr>
        <w:t>4</w:t>
      </w:r>
      <w:r>
        <w:rPr>
          <w:lang w:val="en-CA"/>
        </w:rPr>
        <w:t>I</w:t>
      </w:r>
      <w:r w:rsidRPr="008E499E">
        <w:rPr>
          <w:vertAlign w:val="subscript"/>
          <w:lang w:val="en-CA"/>
        </w:rPr>
        <w:t>15/2</w:t>
      </w:r>
      <w:r>
        <w:rPr>
          <w:lang w:val="en-CA"/>
        </w:rPr>
        <w:t>-</w:t>
      </w:r>
      <w:r w:rsidRPr="008E499E">
        <w:rPr>
          <w:vertAlign w:val="superscript"/>
          <w:lang w:val="en-CA"/>
        </w:rPr>
        <w:t>4</w:t>
      </w:r>
      <w:r>
        <w:rPr>
          <w:lang w:val="en-CA"/>
        </w:rPr>
        <w:t>I</w:t>
      </w:r>
      <w:r w:rsidRPr="008E499E">
        <w:rPr>
          <w:vertAlign w:val="subscript"/>
          <w:lang w:val="en-CA"/>
        </w:rPr>
        <w:t>9/2</w:t>
      </w:r>
      <w:r>
        <w:rPr>
          <w:lang w:val="en-CA"/>
        </w:rPr>
        <w:t xml:space="preserve"> absorption band of Er</w:t>
      </w:r>
      <w:r w:rsidRPr="008E499E">
        <w:rPr>
          <w:vertAlign w:val="superscript"/>
          <w:lang w:val="en-CA"/>
        </w:rPr>
        <w:t>3+</w:t>
      </w:r>
      <w:r>
        <w:rPr>
          <w:lang w:val="en-CA"/>
        </w:rPr>
        <w:t xml:space="preserve">. </w:t>
      </w:r>
    </w:p>
    <w:p w:rsidR="006313E2" w:rsidRPr="006313E2" w:rsidRDefault="00174344" w:rsidP="005509C7">
      <w:pPr>
        <w:ind w:firstLine="720"/>
        <w:jc w:val="both"/>
        <w:rPr>
          <w:lang w:val="en-CA"/>
        </w:rPr>
      </w:pPr>
      <w:r>
        <w:rPr>
          <w:lang w:val="en-CA"/>
        </w:rPr>
        <w:fldChar w:fldCharType="begin"/>
      </w:r>
      <w:r w:rsidR="00D77E0F">
        <w:rPr>
          <w:lang w:val="en-CA"/>
        </w:rPr>
        <w:instrText xml:space="preserve"> REF _Ref524909 \h </w:instrText>
      </w:r>
      <w:r>
        <w:rPr>
          <w:lang w:val="en-CA"/>
        </w:rPr>
      </w:r>
      <w:r>
        <w:rPr>
          <w:lang w:val="en-CA"/>
        </w:rPr>
        <w:fldChar w:fldCharType="separate"/>
      </w:r>
      <w:r w:rsidR="004C0396" w:rsidRPr="000437BF">
        <w:rPr>
          <w:sz w:val="22"/>
        </w:rPr>
        <w:t xml:space="preserve">Figure </w:t>
      </w:r>
      <w:r w:rsidR="004C0396">
        <w:rPr>
          <w:noProof/>
          <w:sz w:val="22"/>
        </w:rPr>
        <w:t>2</w:t>
      </w:r>
      <w:r>
        <w:rPr>
          <w:lang w:val="en-CA"/>
        </w:rPr>
        <w:fldChar w:fldCharType="end"/>
      </w:r>
      <w:r w:rsidR="00147F19">
        <w:rPr>
          <w:lang w:val="en-CA"/>
        </w:rPr>
        <w:t xml:space="preserve"> </w:t>
      </w:r>
      <w:r w:rsidR="00921874">
        <w:rPr>
          <w:lang w:val="en-CA"/>
        </w:rPr>
        <w:t>gives an overview</w:t>
      </w:r>
      <w:r w:rsidR="003E05EE">
        <w:rPr>
          <w:lang w:val="en-CA"/>
        </w:rPr>
        <w:t xml:space="preserve"> of the experimental results</w:t>
      </w:r>
      <w:r w:rsidR="00BE4133">
        <w:rPr>
          <w:lang w:val="en-CA"/>
        </w:rPr>
        <w:t>. Under 808 nm excitation several PL bands with Stokes and anti-Stokes shifts</w:t>
      </w:r>
      <w:r w:rsidR="00921874">
        <w:rPr>
          <w:lang w:val="en-CA"/>
        </w:rPr>
        <w:t xml:space="preserve"> </w:t>
      </w:r>
      <w:proofErr w:type="gramStart"/>
      <w:r w:rsidR="00921874">
        <w:rPr>
          <w:lang w:val="en-CA"/>
        </w:rPr>
        <w:t>have been observed</w:t>
      </w:r>
      <w:proofErr w:type="gramEnd"/>
      <w:r w:rsidR="00BE4133">
        <w:rPr>
          <w:lang w:val="en-CA"/>
        </w:rPr>
        <w:t xml:space="preserve">. Two bands centered at 980 nm and 1535 nm </w:t>
      </w:r>
      <w:r w:rsidR="00921874">
        <w:rPr>
          <w:lang w:val="en-CA"/>
        </w:rPr>
        <w:t xml:space="preserve">have </w:t>
      </w:r>
      <w:r w:rsidR="00BE4133">
        <w:rPr>
          <w:lang w:val="en-CA"/>
        </w:rPr>
        <w:t xml:space="preserve">demonstrated “normal” Stokes shift and </w:t>
      </w:r>
      <w:proofErr w:type="gramStart"/>
      <w:r w:rsidR="00BE4133">
        <w:rPr>
          <w:lang w:val="en-CA"/>
        </w:rPr>
        <w:t>are easily assigned</w:t>
      </w:r>
      <w:proofErr w:type="gramEnd"/>
      <w:r w:rsidR="00BE4133">
        <w:rPr>
          <w:lang w:val="en-CA"/>
        </w:rPr>
        <w:t xml:space="preserve"> to </w:t>
      </w:r>
      <w:r w:rsidR="00BE4133" w:rsidRPr="008E499E">
        <w:rPr>
          <w:vertAlign w:val="superscript"/>
          <w:lang w:val="en-CA"/>
        </w:rPr>
        <w:t>4</w:t>
      </w:r>
      <w:r w:rsidR="00BE4133">
        <w:rPr>
          <w:lang w:val="en-CA"/>
        </w:rPr>
        <w:t>I</w:t>
      </w:r>
      <w:r w:rsidR="00BE4133">
        <w:rPr>
          <w:vertAlign w:val="subscript"/>
          <w:lang w:val="en-CA"/>
        </w:rPr>
        <w:t>11</w:t>
      </w:r>
      <w:r w:rsidR="00BE4133" w:rsidRPr="008E499E">
        <w:rPr>
          <w:vertAlign w:val="subscript"/>
          <w:lang w:val="en-CA"/>
        </w:rPr>
        <w:t>/2</w:t>
      </w:r>
      <w:r w:rsidR="00BE4133">
        <w:rPr>
          <w:lang w:val="en-CA"/>
        </w:rPr>
        <w:t>-</w:t>
      </w:r>
      <w:r w:rsidR="00BE4133" w:rsidRPr="008E499E">
        <w:rPr>
          <w:vertAlign w:val="superscript"/>
          <w:lang w:val="en-CA"/>
        </w:rPr>
        <w:t>4</w:t>
      </w:r>
      <w:r w:rsidR="00BE4133">
        <w:rPr>
          <w:lang w:val="en-CA"/>
        </w:rPr>
        <w:t>I</w:t>
      </w:r>
      <w:r w:rsidR="00BE4133">
        <w:rPr>
          <w:vertAlign w:val="subscript"/>
          <w:lang w:val="en-CA"/>
        </w:rPr>
        <w:t>15</w:t>
      </w:r>
      <w:r w:rsidR="00BE4133" w:rsidRPr="008E499E">
        <w:rPr>
          <w:vertAlign w:val="subscript"/>
          <w:lang w:val="en-CA"/>
        </w:rPr>
        <w:t>/2</w:t>
      </w:r>
      <w:r w:rsidR="00147F19">
        <w:rPr>
          <w:vertAlign w:val="subscript"/>
          <w:lang w:val="en-CA"/>
        </w:rPr>
        <w:t xml:space="preserve"> </w:t>
      </w:r>
      <w:r w:rsidR="00BE4133">
        <w:rPr>
          <w:lang w:val="en-CA"/>
        </w:rPr>
        <w:t xml:space="preserve">and </w:t>
      </w:r>
      <w:r w:rsidR="00BE4133" w:rsidRPr="008E499E">
        <w:rPr>
          <w:vertAlign w:val="superscript"/>
          <w:lang w:val="en-CA"/>
        </w:rPr>
        <w:t>4</w:t>
      </w:r>
      <w:r w:rsidR="00BE4133">
        <w:rPr>
          <w:lang w:val="en-CA"/>
        </w:rPr>
        <w:t>I</w:t>
      </w:r>
      <w:r w:rsidR="00BE4133">
        <w:rPr>
          <w:vertAlign w:val="subscript"/>
          <w:lang w:val="en-CA"/>
        </w:rPr>
        <w:t>13</w:t>
      </w:r>
      <w:r w:rsidR="00BE4133" w:rsidRPr="008E499E">
        <w:rPr>
          <w:vertAlign w:val="subscript"/>
          <w:lang w:val="en-CA"/>
        </w:rPr>
        <w:t>/2</w:t>
      </w:r>
      <w:r w:rsidR="00BE4133">
        <w:rPr>
          <w:lang w:val="en-CA"/>
        </w:rPr>
        <w:t>-</w:t>
      </w:r>
      <w:r w:rsidR="00BE4133" w:rsidRPr="008E499E">
        <w:rPr>
          <w:vertAlign w:val="superscript"/>
          <w:lang w:val="en-CA"/>
        </w:rPr>
        <w:t>4</w:t>
      </w:r>
      <w:r w:rsidR="00BE4133">
        <w:rPr>
          <w:lang w:val="en-CA"/>
        </w:rPr>
        <w:t>I</w:t>
      </w:r>
      <w:r w:rsidR="00BE4133">
        <w:rPr>
          <w:vertAlign w:val="subscript"/>
          <w:lang w:val="en-CA"/>
        </w:rPr>
        <w:t>15</w:t>
      </w:r>
      <w:r w:rsidR="00BE4133" w:rsidRPr="008E499E">
        <w:rPr>
          <w:vertAlign w:val="subscript"/>
          <w:lang w:val="en-CA"/>
        </w:rPr>
        <w:t>/2</w:t>
      </w:r>
      <w:r w:rsidR="00147F19">
        <w:rPr>
          <w:vertAlign w:val="subscript"/>
          <w:lang w:val="en-CA"/>
        </w:rPr>
        <w:t xml:space="preserve"> </w:t>
      </w:r>
      <w:r w:rsidR="00BE4133">
        <w:rPr>
          <w:lang w:val="en-CA"/>
        </w:rPr>
        <w:t>transitions, respectively.</w:t>
      </w:r>
      <w:r w:rsidR="00DE0510">
        <w:rPr>
          <w:lang w:val="en-CA"/>
        </w:rPr>
        <w:t xml:space="preserve"> The bands with anti-Stokes shift </w:t>
      </w:r>
      <w:r w:rsidR="00921874">
        <w:rPr>
          <w:lang w:val="en-CA"/>
        </w:rPr>
        <w:t>have been</w:t>
      </w:r>
      <w:r w:rsidR="00DE0510">
        <w:rPr>
          <w:lang w:val="en-CA"/>
        </w:rPr>
        <w:t xml:space="preserve"> “red” one centered at around 664 nm due to</w:t>
      </w:r>
      <w:r w:rsidR="009038EE">
        <w:rPr>
          <w:lang w:val="en-CA"/>
        </w:rPr>
        <w:t>,</w:t>
      </w:r>
      <w:r w:rsidR="00DE0510">
        <w:rPr>
          <w:lang w:val="en-CA"/>
        </w:rPr>
        <w:t xml:space="preserve"> presumably</w:t>
      </w:r>
      <w:r w:rsidR="009038EE">
        <w:rPr>
          <w:lang w:val="en-CA"/>
        </w:rPr>
        <w:t>,</w:t>
      </w:r>
      <w:r w:rsidR="00147F19">
        <w:rPr>
          <w:lang w:val="en-CA"/>
        </w:rPr>
        <w:t xml:space="preserve"> </w:t>
      </w:r>
      <w:r w:rsidR="00DE0510" w:rsidRPr="008E499E">
        <w:rPr>
          <w:vertAlign w:val="superscript"/>
          <w:lang w:val="en-CA"/>
        </w:rPr>
        <w:t>4</w:t>
      </w:r>
      <w:r w:rsidR="00DE0510">
        <w:rPr>
          <w:lang w:val="en-CA"/>
        </w:rPr>
        <w:t>F</w:t>
      </w:r>
      <w:r w:rsidR="00DE0510">
        <w:rPr>
          <w:vertAlign w:val="subscript"/>
          <w:lang w:val="en-CA"/>
        </w:rPr>
        <w:t>9</w:t>
      </w:r>
      <w:r w:rsidR="00DE0510" w:rsidRPr="008E499E">
        <w:rPr>
          <w:vertAlign w:val="subscript"/>
          <w:lang w:val="en-CA"/>
        </w:rPr>
        <w:t>/2</w:t>
      </w:r>
      <w:r w:rsidR="00DE0510">
        <w:rPr>
          <w:lang w:val="en-CA"/>
        </w:rPr>
        <w:t>-</w:t>
      </w:r>
      <w:r w:rsidR="00DE0510" w:rsidRPr="008E499E">
        <w:rPr>
          <w:vertAlign w:val="superscript"/>
          <w:lang w:val="en-CA"/>
        </w:rPr>
        <w:t>4</w:t>
      </w:r>
      <w:r w:rsidR="00DE0510">
        <w:rPr>
          <w:lang w:val="en-CA"/>
        </w:rPr>
        <w:t>I</w:t>
      </w:r>
      <w:r w:rsidR="00DE0510">
        <w:rPr>
          <w:vertAlign w:val="subscript"/>
          <w:lang w:val="en-CA"/>
        </w:rPr>
        <w:t>15</w:t>
      </w:r>
      <w:r w:rsidR="00DE0510" w:rsidRPr="008E499E">
        <w:rPr>
          <w:vertAlign w:val="subscript"/>
          <w:lang w:val="en-CA"/>
        </w:rPr>
        <w:t>/2</w:t>
      </w:r>
      <w:r w:rsidR="00DE0510">
        <w:rPr>
          <w:lang w:val="en-CA"/>
        </w:rPr>
        <w:t xml:space="preserve"> transition and </w:t>
      </w:r>
      <w:r w:rsidR="009038EE">
        <w:rPr>
          <w:lang w:val="en-CA"/>
        </w:rPr>
        <w:t xml:space="preserve">the </w:t>
      </w:r>
      <w:r w:rsidR="00DE0510">
        <w:rPr>
          <w:lang w:val="en-CA"/>
        </w:rPr>
        <w:t xml:space="preserve">“green” one consisting of two lines centered at 525 and 550 nm which may be related to </w:t>
      </w:r>
      <w:r w:rsidR="00DE0510">
        <w:rPr>
          <w:vertAlign w:val="superscript"/>
          <w:lang w:val="en-CA"/>
        </w:rPr>
        <w:t>2</w:t>
      </w:r>
      <w:r w:rsidR="00DE0510">
        <w:rPr>
          <w:lang w:val="en-CA"/>
        </w:rPr>
        <w:t>H</w:t>
      </w:r>
      <w:r w:rsidR="00DE0510">
        <w:rPr>
          <w:vertAlign w:val="subscript"/>
          <w:lang w:val="en-CA"/>
        </w:rPr>
        <w:t>11</w:t>
      </w:r>
      <w:r w:rsidR="00DE0510" w:rsidRPr="008E499E">
        <w:rPr>
          <w:vertAlign w:val="subscript"/>
          <w:lang w:val="en-CA"/>
        </w:rPr>
        <w:t>/2</w:t>
      </w:r>
      <w:r w:rsidR="00DE0510">
        <w:rPr>
          <w:lang w:val="en-CA"/>
        </w:rPr>
        <w:t>-</w:t>
      </w:r>
      <w:r w:rsidR="00DE0510" w:rsidRPr="008E499E">
        <w:rPr>
          <w:vertAlign w:val="superscript"/>
          <w:lang w:val="en-CA"/>
        </w:rPr>
        <w:t>4</w:t>
      </w:r>
      <w:r w:rsidR="00DE0510">
        <w:rPr>
          <w:lang w:val="en-CA"/>
        </w:rPr>
        <w:t>I</w:t>
      </w:r>
      <w:r w:rsidR="00DE0510">
        <w:rPr>
          <w:vertAlign w:val="subscript"/>
          <w:lang w:val="en-CA"/>
        </w:rPr>
        <w:t>15</w:t>
      </w:r>
      <w:r w:rsidR="00DE0510" w:rsidRPr="008E499E">
        <w:rPr>
          <w:vertAlign w:val="subscript"/>
          <w:lang w:val="en-CA"/>
        </w:rPr>
        <w:t>/2</w:t>
      </w:r>
      <w:r w:rsidR="00147F19">
        <w:rPr>
          <w:vertAlign w:val="subscript"/>
          <w:lang w:val="en-CA"/>
        </w:rPr>
        <w:t xml:space="preserve"> </w:t>
      </w:r>
      <w:proofErr w:type="gramStart"/>
      <w:r w:rsidR="00DE0510">
        <w:rPr>
          <w:lang w:val="en-CA"/>
        </w:rPr>
        <w:t xml:space="preserve">and </w:t>
      </w:r>
      <w:r w:rsidR="00147F19">
        <w:rPr>
          <w:lang w:val="en-CA"/>
        </w:rPr>
        <w:t xml:space="preserve"> </w:t>
      </w:r>
      <w:r w:rsidR="00DE0510" w:rsidRPr="008E499E">
        <w:rPr>
          <w:vertAlign w:val="superscript"/>
          <w:lang w:val="en-CA"/>
        </w:rPr>
        <w:t>4</w:t>
      </w:r>
      <w:r w:rsidR="00DE0510">
        <w:rPr>
          <w:lang w:val="en-CA"/>
        </w:rPr>
        <w:t>S</w:t>
      </w:r>
      <w:r w:rsidR="00DE0510">
        <w:rPr>
          <w:vertAlign w:val="subscript"/>
          <w:lang w:val="en-CA"/>
        </w:rPr>
        <w:t>3</w:t>
      </w:r>
      <w:proofErr w:type="gramEnd"/>
      <w:r w:rsidR="00DE0510" w:rsidRPr="008E499E">
        <w:rPr>
          <w:vertAlign w:val="subscript"/>
          <w:lang w:val="en-CA"/>
        </w:rPr>
        <w:t>/2</w:t>
      </w:r>
      <w:r w:rsidR="00DE0510">
        <w:rPr>
          <w:lang w:val="en-CA"/>
        </w:rPr>
        <w:t>-</w:t>
      </w:r>
      <w:r w:rsidR="00DE0510" w:rsidRPr="008E499E">
        <w:rPr>
          <w:vertAlign w:val="superscript"/>
          <w:lang w:val="en-CA"/>
        </w:rPr>
        <w:t>4</w:t>
      </w:r>
      <w:r w:rsidR="00DE0510">
        <w:rPr>
          <w:lang w:val="en-CA"/>
        </w:rPr>
        <w:t>I</w:t>
      </w:r>
      <w:r w:rsidR="00DE0510">
        <w:rPr>
          <w:vertAlign w:val="subscript"/>
          <w:lang w:val="en-CA"/>
        </w:rPr>
        <w:t>15</w:t>
      </w:r>
      <w:r w:rsidR="00DE0510" w:rsidRPr="008E499E">
        <w:rPr>
          <w:vertAlign w:val="subscript"/>
          <w:lang w:val="en-CA"/>
        </w:rPr>
        <w:t>/2</w:t>
      </w:r>
      <w:r w:rsidR="00377178">
        <w:rPr>
          <w:lang w:val="en-CA"/>
        </w:rPr>
        <w:t xml:space="preserve"> transitions, respectively</w:t>
      </w:r>
      <w:r w:rsidR="00DE0510">
        <w:rPr>
          <w:lang w:val="en-CA"/>
        </w:rPr>
        <w:t>.</w:t>
      </w:r>
      <w:r w:rsidR="00377178">
        <w:rPr>
          <w:lang w:val="en-CA"/>
        </w:rPr>
        <w:t xml:space="preserve"> </w:t>
      </w:r>
      <w:r w:rsidR="00DE0510">
        <w:rPr>
          <w:lang w:val="en-CA"/>
        </w:rPr>
        <w:t>We</w:t>
      </w:r>
      <w:r w:rsidR="00147F19">
        <w:rPr>
          <w:lang w:val="en-CA"/>
        </w:rPr>
        <w:t xml:space="preserve"> </w:t>
      </w:r>
      <w:r w:rsidR="005421BB">
        <w:rPr>
          <w:lang w:val="en-CA"/>
        </w:rPr>
        <w:t>measured</w:t>
      </w:r>
      <w:r w:rsidR="00147F19">
        <w:rPr>
          <w:lang w:val="en-CA"/>
        </w:rPr>
        <w:t xml:space="preserve"> </w:t>
      </w:r>
      <w:r w:rsidR="00B054E2">
        <w:rPr>
          <w:lang w:val="en-CA"/>
        </w:rPr>
        <w:t xml:space="preserve">the intensity of </w:t>
      </w:r>
      <w:r w:rsidR="0063360E">
        <w:rPr>
          <w:lang w:val="en-CA"/>
        </w:rPr>
        <w:t>up-conversion bands</w:t>
      </w:r>
      <w:r w:rsidR="00B054E2">
        <w:rPr>
          <w:lang w:val="en-CA"/>
        </w:rPr>
        <w:t xml:space="preserve"> </w:t>
      </w:r>
      <w:r w:rsidR="005421BB">
        <w:rPr>
          <w:lang w:val="en-CA"/>
        </w:rPr>
        <w:t xml:space="preserve">in </w:t>
      </w:r>
      <w:r w:rsidR="005421BB" w:rsidRPr="0063360E">
        <w:rPr>
          <w:szCs w:val="24"/>
          <w:lang w:val="en-CA"/>
        </w:rPr>
        <w:t>function of</w:t>
      </w:r>
      <w:r w:rsidR="00B054E2" w:rsidRPr="0063360E">
        <w:rPr>
          <w:szCs w:val="24"/>
          <w:lang w:val="en-CA"/>
        </w:rPr>
        <w:t xml:space="preserve"> pumping intensity (</w:t>
      </w:r>
      <w:r w:rsidR="00B054E2" w:rsidRPr="0063360E">
        <w:rPr>
          <w:i/>
          <w:szCs w:val="24"/>
          <w:lang w:val="en-CA"/>
        </w:rPr>
        <w:t>P</w:t>
      </w:r>
      <w:r w:rsidR="00B054E2" w:rsidRPr="0063360E">
        <w:rPr>
          <w:szCs w:val="24"/>
          <w:lang w:val="en-CA"/>
        </w:rPr>
        <w:t xml:space="preserve">) (see </w:t>
      </w:r>
      <w:r w:rsidRPr="0063360E">
        <w:rPr>
          <w:szCs w:val="24"/>
          <w:lang w:val="en-CA"/>
        </w:rPr>
        <w:fldChar w:fldCharType="begin"/>
      </w:r>
      <w:r w:rsidR="00B054E2" w:rsidRPr="0063360E">
        <w:rPr>
          <w:szCs w:val="24"/>
          <w:lang w:val="en-CA"/>
        </w:rPr>
        <w:instrText xml:space="preserve"> REF _Ref535195 \h </w:instrText>
      </w:r>
      <w:r w:rsidR="0063360E">
        <w:rPr>
          <w:szCs w:val="24"/>
          <w:lang w:val="en-CA"/>
        </w:rPr>
        <w:instrText xml:space="preserve"> \* MERGEFORMAT </w:instrText>
      </w:r>
      <w:r w:rsidRPr="0063360E">
        <w:rPr>
          <w:szCs w:val="24"/>
          <w:lang w:val="en-CA"/>
        </w:rPr>
      </w:r>
      <w:r w:rsidRPr="0063360E">
        <w:rPr>
          <w:szCs w:val="24"/>
          <w:lang w:val="en-CA"/>
        </w:rPr>
        <w:fldChar w:fldCharType="separate"/>
      </w:r>
      <w:r w:rsidR="004C0396" w:rsidRPr="0063360E">
        <w:rPr>
          <w:szCs w:val="24"/>
        </w:rPr>
        <w:t xml:space="preserve">Figure </w:t>
      </w:r>
      <w:r w:rsidR="004C0396" w:rsidRPr="0063360E">
        <w:rPr>
          <w:noProof/>
          <w:szCs w:val="24"/>
        </w:rPr>
        <w:t>3</w:t>
      </w:r>
      <w:r w:rsidRPr="0063360E">
        <w:rPr>
          <w:szCs w:val="24"/>
          <w:lang w:val="en-CA"/>
        </w:rPr>
        <w:fldChar w:fldCharType="end"/>
      </w:r>
      <w:r w:rsidR="00B054E2" w:rsidRPr="0063360E">
        <w:rPr>
          <w:szCs w:val="24"/>
          <w:lang w:val="en-CA"/>
        </w:rPr>
        <w:t>). At low</w:t>
      </w:r>
      <w:r w:rsidR="00147F19" w:rsidRPr="0063360E">
        <w:rPr>
          <w:szCs w:val="24"/>
          <w:lang w:val="en-CA"/>
        </w:rPr>
        <w:t xml:space="preserve"> </w:t>
      </w:r>
      <w:proofErr w:type="gramStart"/>
      <w:r w:rsidR="005421BB" w:rsidRPr="0063360E">
        <w:rPr>
          <w:i/>
          <w:szCs w:val="24"/>
          <w:lang w:val="en-CA"/>
        </w:rPr>
        <w:t>P</w:t>
      </w:r>
      <w:proofErr w:type="gramEnd"/>
      <w:r w:rsidR="00B054E2" w:rsidRPr="0063360E">
        <w:rPr>
          <w:szCs w:val="24"/>
          <w:lang w:val="en-CA"/>
        </w:rPr>
        <w:t xml:space="preserve"> the dependence seems to be linear and</w:t>
      </w:r>
      <w:r w:rsidR="00B054E2">
        <w:rPr>
          <w:lang w:val="en-CA"/>
        </w:rPr>
        <w:t xml:space="preserve"> tends to saturate at </w:t>
      </w:r>
      <w:r w:rsidR="005421BB">
        <w:rPr>
          <w:lang w:val="en-CA"/>
        </w:rPr>
        <w:t xml:space="preserve">high </w:t>
      </w:r>
      <w:r w:rsidR="00B054E2" w:rsidRPr="00B054E2">
        <w:rPr>
          <w:i/>
          <w:lang w:val="en-CA"/>
        </w:rPr>
        <w:t>P</w:t>
      </w:r>
      <w:r w:rsidR="00B054E2">
        <w:rPr>
          <w:lang w:val="en-CA"/>
        </w:rPr>
        <w:sym w:font="Symbol" w:char="F0BB"/>
      </w:r>
      <w:r w:rsidR="00B054E2">
        <w:rPr>
          <w:lang w:val="en-CA"/>
        </w:rPr>
        <w:t>1000 W/cm</w:t>
      </w:r>
      <w:r w:rsidR="00B054E2" w:rsidRPr="00B054E2">
        <w:rPr>
          <w:vertAlign w:val="superscript"/>
          <w:lang w:val="en-CA"/>
        </w:rPr>
        <w:t>2</w:t>
      </w:r>
      <w:r w:rsidR="009038EE">
        <w:rPr>
          <w:lang w:val="en-CA"/>
        </w:rPr>
        <w:t xml:space="preserve"> as shown in </w:t>
      </w:r>
      <w:r>
        <w:rPr>
          <w:lang w:val="en-CA"/>
        </w:rPr>
        <w:fldChar w:fldCharType="begin"/>
      </w:r>
      <w:r w:rsidR="009038EE">
        <w:rPr>
          <w:lang w:val="en-CA"/>
        </w:rPr>
        <w:instrText xml:space="preserve"> REF _Ref535195 \h </w:instrText>
      </w:r>
      <w:r>
        <w:rPr>
          <w:lang w:val="en-CA"/>
        </w:rPr>
      </w:r>
      <w:r>
        <w:rPr>
          <w:lang w:val="en-CA"/>
        </w:rPr>
        <w:fldChar w:fldCharType="separate"/>
      </w:r>
      <w:r w:rsidR="004C0396" w:rsidRPr="00347786">
        <w:rPr>
          <w:sz w:val="22"/>
        </w:rPr>
        <w:t xml:space="preserve">Figure </w:t>
      </w:r>
      <w:r w:rsidR="004C0396">
        <w:rPr>
          <w:noProof/>
          <w:sz w:val="22"/>
        </w:rPr>
        <w:t>3</w:t>
      </w:r>
      <w:r>
        <w:rPr>
          <w:lang w:val="en-CA"/>
        </w:rPr>
        <w:fldChar w:fldCharType="end"/>
      </w:r>
      <w:r w:rsidR="009038EE">
        <w:rPr>
          <w:lang w:val="en-CA"/>
        </w:rPr>
        <w:t>.</w:t>
      </w:r>
    </w:p>
    <w:p w:rsidR="00112ACB" w:rsidRDefault="00B97C1B" w:rsidP="00112ACB">
      <w:pPr>
        <w:pStyle w:val="NoSpacing"/>
        <w:ind w:firstLine="720"/>
        <w:jc w:val="both"/>
        <w:rPr>
          <w:lang w:val="en-CA"/>
        </w:rPr>
      </w:pPr>
      <w:r>
        <w:rPr>
          <w:lang w:val="en-CA"/>
        </w:rPr>
        <w:t xml:space="preserve">We offer the theoretical description of experimental results using the radiative and non-radiative transitions within </w:t>
      </w:r>
      <w:r w:rsidR="008340A7">
        <w:rPr>
          <w:lang w:val="en-CA"/>
        </w:rPr>
        <w:t>nine</w:t>
      </w:r>
      <w:r>
        <w:rPr>
          <w:lang w:val="en-CA"/>
        </w:rPr>
        <w:t xml:space="preserve"> excited </w:t>
      </w:r>
      <w:r w:rsidR="00A0637B">
        <w:rPr>
          <w:lang w:val="en-CA"/>
        </w:rPr>
        <w:t xml:space="preserve">and </w:t>
      </w:r>
      <w:proofErr w:type="gramStart"/>
      <w:r w:rsidR="00A0637B">
        <w:rPr>
          <w:lang w:val="en-CA"/>
        </w:rPr>
        <w:t>one ground</w:t>
      </w:r>
      <w:proofErr w:type="gramEnd"/>
      <w:r w:rsidR="00A0637B">
        <w:rPr>
          <w:lang w:val="en-CA"/>
        </w:rPr>
        <w:t xml:space="preserve"> </w:t>
      </w:r>
      <w:r>
        <w:rPr>
          <w:lang w:val="en-CA"/>
        </w:rPr>
        <w:t>manifolds of Er</w:t>
      </w:r>
      <w:r w:rsidRPr="00B97C1B">
        <w:rPr>
          <w:vertAlign w:val="superscript"/>
          <w:lang w:val="en-CA"/>
        </w:rPr>
        <w:t>3+</w:t>
      </w:r>
      <w:r>
        <w:rPr>
          <w:lang w:val="en-CA"/>
        </w:rPr>
        <w:t xml:space="preserve"> ion</w:t>
      </w:r>
      <w:r w:rsidR="00AB3893">
        <w:rPr>
          <w:lang w:val="en-CA"/>
        </w:rPr>
        <w:t xml:space="preserve"> (</w:t>
      </w:r>
      <w:r w:rsidR="00174344">
        <w:rPr>
          <w:color w:val="FF0000"/>
          <w:lang w:val="en-CA"/>
        </w:rPr>
        <w:fldChar w:fldCharType="begin"/>
      </w:r>
      <w:r w:rsidR="00D8242A">
        <w:rPr>
          <w:lang w:val="en-CA"/>
        </w:rPr>
        <w:instrText xml:space="preserve"> REF _Ref780024 \h </w:instrText>
      </w:r>
      <w:r w:rsidR="00174344">
        <w:rPr>
          <w:color w:val="FF0000"/>
          <w:lang w:val="en-CA"/>
        </w:rPr>
      </w:r>
      <w:r w:rsidR="00174344">
        <w:rPr>
          <w:color w:val="FF0000"/>
          <w:lang w:val="en-CA"/>
        </w:rPr>
        <w:fldChar w:fldCharType="separate"/>
      </w:r>
      <w:r w:rsidR="004C0396" w:rsidRPr="00347786">
        <w:t xml:space="preserve">Figure </w:t>
      </w:r>
      <w:r w:rsidR="004C0396">
        <w:rPr>
          <w:noProof/>
        </w:rPr>
        <w:t>4</w:t>
      </w:r>
      <w:r w:rsidR="00174344">
        <w:rPr>
          <w:color w:val="FF0000"/>
          <w:lang w:val="en-CA"/>
        </w:rPr>
        <w:fldChar w:fldCharType="end"/>
      </w:r>
      <w:r w:rsidR="00AB3893">
        <w:rPr>
          <w:lang w:val="en-CA"/>
        </w:rPr>
        <w:t>)</w:t>
      </w:r>
      <w:r>
        <w:rPr>
          <w:lang w:val="en-CA"/>
        </w:rPr>
        <w:t xml:space="preserve">. The pumping </w:t>
      </w:r>
      <w:proofErr w:type="gramStart"/>
      <w:r>
        <w:rPr>
          <w:lang w:val="en-CA"/>
        </w:rPr>
        <w:t>is considered</w:t>
      </w:r>
      <w:proofErr w:type="gramEnd"/>
      <w:r>
        <w:rPr>
          <w:lang w:val="en-CA"/>
        </w:rPr>
        <w:t xml:space="preserve"> to be to the manifold </w:t>
      </w:r>
      <w:r w:rsidRPr="00D8242A">
        <w:rPr>
          <w:vertAlign w:val="superscript"/>
          <w:lang w:val="en-CA"/>
        </w:rPr>
        <w:t>4</w:t>
      </w:r>
      <w:r>
        <w:rPr>
          <w:lang w:val="en-CA"/>
        </w:rPr>
        <w:t>I</w:t>
      </w:r>
      <w:r w:rsidRPr="00D8242A">
        <w:rPr>
          <w:vertAlign w:val="subscript"/>
          <w:lang w:val="en-CA"/>
        </w:rPr>
        <w:t>9/2</w:t>
      </w:r>
      <w:r w:rsidR="008340A7">
        <w:rPr>
          <w:vertAlign w:val="subscript"/>
          <w:lang w:val="en-CA"/>
        </w:rPr>
        <w:t xml:space="preserve"> </w:t>
      </w:r>
      <w:r>
        <w:rPr>
          <w:lang w:val="en-CA"/>
        </w:rPr>
        <w:t xml:space="preserve">corresponding to 808 nm </w:t>
      </w:r>
      <w:r w:rsidR="00D8242A">
        <w:rPr>
          <w:lang w:val="en-CA"/>
        </w:rPr>
        <w:t xml:space="preserve">excitation </w:t>
      </w:r>
      <w:r>
        <w:rPr>
          <w:lang w:val="en-CA"/>
        </w:rPr>
        <w:t xml:space="preserve">used in experiments. </w:t>
      </w:r>
      <w:r w:rsidR="00174344">
        <w:rPr>
          <w:color w:val="FF0000"/>
          <w:lang w:val="en-CA"/>
        </w:rPr>
        <w:fldChar w:fldCharType="begin"/>
      </w:r>
      <w:r w:rsidR="005A13CB">
        <w:rPr>
          <w:lang w:val="en-CA"/>
        </w:rPr>
        <w:instrText xml:space="preserve"> REF _Ref780024 \h </w:instrText>
      </w:r>
      <w:r w:rsidR="00174344">
        <w:rPr>
          <w:color w:val="FF0000"/>
          <w:lang w:val="en-CA"/>
        </w:rPr>
      </w:r>
      <w:r w:rsidR="00174344">
        <w:rPr>
          <w:color w:val="FF0000"/>
          <w:lang w:val="en-CA"/>
        </w:rPr>
        <w:fldChar w:fldCharType="separate"/>
      </w:r>
      <w:r w:rsidR="004C0396" w:rsidRPr="00347786">
        <w:t xml:space="preserve">Figure </w:t>
      </w:r>
      <w:r w:rsidR="004C0396">
        <w:rPr>
          <w:noProof/>
        </w:rPr>
        <w:t>4</w:t>
      </w:r>
      <w:r w:rsidR="00174344">
        <w:rPr>
          <w:color w:val="FF0000"/>
          <w:lang w:val="en-CA"/>
        </w:rPr>
        <w:fldChar w:fldCharType="end"/>
      </w:r>
      <w:r w:rsidR="00147F19">
        <w:rPr>
          <w:color w:val="FF0000"/>
          <w:lang w:val="en-CA"/>
        </w:rPr>
        <w:t xml:space="preserve"> </w:t>
      </w:r>
      <w:r w:rsidR="005A13CB">
        <w:rPr>
          <w:lang w:val="en-CA"/>
        </w:rPr>
        <w:t>shows th</w:t>
      </w:r>
      <w:r w:rsidR="00C801DC">
        <w:rPr>
          <w:lang w:val="en-CA"/>
        </w:rPr>
        <w:t>e existence of</w:t>
      </w:r>
      <w:r w:rsidR="00147F19">
        <w:rPr>
          <w:lang w:val="en-CA"/>
        </w:rPr>
        <w:t xml:space="preserve"> </w:t>
      </w:r>
      <w:r w:rsidR="005A13CB">
        <w:rPr>
          <w:lang w:val="en-CA"/>
        </w:rPr>
        <w:t>three</w:t>
      </w:r>
      <w:r w:rsidR="00147F19">
        <w:rPr>
          <w:lang w:val="en-CA"/>
        </w:rPr>
        <w:t xml:space="preserve"> </w:t>
      </w:r>
      <w:r w:rsidR="005421BB">
        <w:rPr>
          <w:lang w:val="en-CA"/>
        </w:rPr>
        <w:t xml:space="preserve">possible </w:t>
      </w:r>
      <w:r w:rsidR="005A13CB">
        <w:rPr>
          <w:lang w:val="en-CA"/>
        </w:rPr>
        <w:t>up-conversion transitions</w:t>
      </w:r>
      <w:r w:rsidR="00A0637B">
        <w:rPr>
          <w:lang w:val="en-CA"/>
        </w:rPr>
        <w:t xml:space="preserve"> (based on effect of ESA)</w:t>
      </w:r>
      <w:r w:rsidR="008340A7">
        <w:rPr>
          <w:lang w:val="en-CA"/>
        </w:rPr>
        <w:t xml:space="preserve"> </w:t>
      </w:r>
      <w:r w:rsidR="00A0637B">
        <w:rPr>
          <w:lang w:val="en-CA"/>
        </w:rPr>
        <w:t>via</w:t>
      </w:r>
      <w:r w:rsidR="005A13CB">
        <w:rPr>
          <w:lang w:val="en-CA"/>
        </w:rPr>
        <w:t xml:space="preserve"> excited states </w:t>
      </w:r>
      <w:r w:rsidR="005A13CB" w:rsidRPr="008E499E">
        <w:rPr>
          <w:vertAlign w:val="superscript"/>
          <w:lang w:val="en-CA"/>
        </w:rPr>
        <w:t>4</w:t>
      </w:r>
      <w:r w:rsidR="005A13CB">
        <w:rPr>
          <w:lang w:val="en-CA"/>
        </w:rPr>
        <w:t>I</w:t>
      </w:r>
      <w:r w:rsidR="005A13CB">
        <w:rPr>
          <w:vertAlign w:val="subscript"/>
          <w:lang w:val="en-CA"/>
        </w:rPr>
        <w:t>13</w:t>
      </w:r>
      <w:r w:rsidR="005A13CB" w:rsidRPr="008E499E">
        <w:rPr>
          <w:vertAlign w:val="subscript"/>
          <w:lang w:val="en-CA"/>
        </w:rPr>
        <w:t>/2</w:t>
      </w:r>
      <w:r w:rsidR="005A13CB">
        <w:rPr>
          <w:lang w:val="en-CA"/>
        </w:rPr>
        <w:t xml:space="preserve">, </w:t>
      </w:r>
      <w:r w:rsidR="005A13CB" w:rsidRPr="008E499E">
        <w:rPr>
          <w:vertAlign w:val="superscript"/>
          <w:lang w:val="en-CA"/>
        </w:rPr>
        <w:t>4</w:t>
      </w:r>
      <w:r w:rsidR="005A13CB">
        <w:rPr>
          <w:lang w:val="en-CA"/>
        </w:rPr>
        <w:t>I</w:t>
      </w:r>
      <w:r w:rsidR="005A13CB">
        <w:rPr>
          <w:vertAlign w:val="subscript"/>
          <w:lang w:val="en-CA"/>
        </w:rPr>
        <w:t>11</w:t>
      </w:r>
      <w:r w:rsidR="005A13CB" w:rsidRPr="008E499E">
        <w:rPr>
          <w:vertAlign w:val="subscript"/>
          <w:lang w:val="en-CA"/>
        </w:rPr>
        <w:t>/2</w:t>
      </w:r>
      <w:r w:rsidR="00147F19">
        <w:rPr>
          <w:vertAlign w:val="subscript"/>
          <w:lang w:val="en-CA"/>
        </w:rPr>
        <w:t xml:space="preserve"> </w:t>
      </w:r>
      <w:r w:rsidR="005A13CB">
        <w:rPr>
          <w:lang w:val="en-CA"/>
        </w:rPr>
        <w:t xml:space="preserve">and </w:t>
      </w:r>
      <w:r w:rsidR="005A13CB" w:rsidRPr="008E499E">
        <w:rPr>
          <w:vertAlign w:val="superscript"/>
          <w:lang w:val="en-CA"/>
        </w:rPr>
        <w:t>4</w:t>
      </w:r>
      <w:r w:rsidR="005A13CB">
        <w:rPr>
          <w:lang w:val="en-CA"/>
        </w:rPr>
        <w:t>I</w:t>
      </w:r>
      <w:r w:rsidR="005A13CB">
        <w:rPr>
          <w:vertAlign w:val="subscript"/>
          <w:lang w:val="en-CA"/>
        </w:rPr>
        <w:t>9</w:t>
      </w:r>
      <w:r w:rsidR="005A13CB" w:rsidRPr="008E499E">
        <w:rPr>
          <w:vertAlign w:val="subscript"/>
          <w:lang w:val="en-CA"/>
        </w:rPr>
        <w:t>/2</w:t>
      </w:r>
      <w:r w:rsidR="005A13CB">
        <w:rPr>
          <w:lang w:val="en-CA"/>
        </w:rPr>
        <w:t xml:space="preserve">. </w:t>
      </w:r>
      <w:proofErr w:type="gramStart"/>
      <w:r w:rsidR="005A13CB">
        <w:rPr>
          <w:lang w:val="en-CA"/>
        </w:rPr>
        <w:t xml:space="preserve">The corresponding system of rate equations </w:t>
      </w:r>
      <w:r w:rsidR="005421BB">
        <w:rPr>
          <w:lang w:val="en-CA"/>
        </w:rPr>
        <w:t xml:space="preserve">along </w:t>
      </w:r>
      <w:r w:rsidR="005A13CB">
        <w:rPr>
          <w:lang w:val="en-CA"/>
        </w:rPr>
        <w:t xml:space="preserve">with </w:t>
      </w:r>
      <w:r w:rsidR="00206176">
        <w:rPr>
          <w:lang w:val="en-CA"/>
        </w:rPr>
        <w:t>additional equation of conservation of total number of electrons</w:t>
      </w:r>
      <w:r w:rsidR="00147F19">
        <w:rPr>
          <w:lang w:val="en-CA"/>
        </w:rPr>
        <w:t xml:space="preserve"> </w:t>
      </w:r>
      <w:r w:rsidR="00206176">
        <w:rPr>
          <w:lang w:val="en-CA"/>
        </w:rPr>
        <w:t xml:space="preserve">may be presented in a matrix form as </w:t>
      </w:r>
      <w:r w:rsidR="00206176" w:rsidRPr="005A13CB">
        <w:rPr>
          <w:rFonts w:cs="Times New Roman"/>
          <w:i/>
          <w:lang w:val="en-CA"/>
        </w:rPr>
        <w:t>Ĝ</w:t>
      </w:r>
      <w:r w:rsidR="00206176" w:rsidRPr="005A13CB">
        <w:rPr>
          <w:b/>
          <w:lang w:val="en-CA"/>
        </w:rPr>
        <w:t>n</w:t>
      </w:r>
      <w:r w:rsidR="00206176">
        <w:rPr>
          <w:lang w:val="en-CA"/>
        </w:rPr>
        <w:t>=</w:t>
      </w:r>
      <w:r w:rsidR="00206176" w:rsidRPr="005A13CB">
        <w:rPr>
          <w:b/>
          <w:lang w:val="en-CA"/>
        </w:rPr>
        <w:t>b</w:t>
      </w:r>
      <w:r w:rsidR="00206176">
        <w:rPr>
          <w:lang w:val="en-CA"/>
        </w:rPr>
        <w:t xml:space="preserve"> where the vectors </w:t>
      </w:r>
      <w:r w:rsidR="00206176" w:rsidRPr="005A13CB">
        <w:rPr>
          <w:b/>
          <w:lang w:val="en-CA"/>
        </w:rPr>
        <w:t>n</w:t>
      </w:r>
      <w:r w:rsidR="00206176">
        <w:rPr>
          <w:lang w:val="en-CA"/>
        </w:rPr>
        <w:t xml:space="preserve"> and </w:t>
      </w:r>
      <w:r w:rsidR="00206176" w:rsidRPr="005A13CB">
        <w:rPr>
          <w:b/>
          <w:lang w:val="en-CA"/>
        </w:rPr>
        <w:t>b</w:t>
      </w:r>
      <w:r w:rsidR="00206176">
        <w:rPr>
          <w:lang w:val="en-CA"/>
        </w:rPr>
        <w:t xml:space="preserve"> are defined as n=(</w:t>
      </w:r>
      <w:r w:rsidR="00206176" w:rsidRPr="006A185C">
        <w:rPr>
          <w:i/>
          <w:lang w:val="en-CA"/>
        </w:rPr>
        <w:t>n</w:t>
      </w:r>
      <w:r w:rsidR="00206176" w:rsidRPr="006A185C">
        <w:rPr>
          <w:vertAlign w:val="subscript"/>
          <w:lang w:val="en-CA"/>
        </w:rPr>
        <w:t>9</w:t>
      </w:r>
      <w:r w:rsidR="00206176">
        <w:rPr>
          <w:lang w:val="en-CA"/>
        </w:rPr>
        <w:t>,</w:t>
      </w:r>
      <w:r w:rsidR="00147F19">
        <w:rPr>
          <w:lang w:val="en-CA"/>
        </w:rPr>
        <w:t xml:space="preserve"> </w:t>
      </w:r>
      <w:r w:rsidR="00206176" w:rsidRPr="006A185C">
        <w:rPr>
          <w:i/>
          <w:lang w:val="en-CA"/>
        </w:rPr>
        <w:t>n</w:t>
      </w:r>
      <w:r w:rsidR="00206176" w:rsidRPr="006A185C">
        <w:rPr>
          <w:vertAlign w:val="subscript"/>
          <w:lang w:val="en-CA"/>
        </w:rPr>
        <w:t>8</w:t>
      </w:r>
      <w:r w:rsidR="00206176">
        <w:rPr>
          <w:lang w:val="en-CA"/>
        </w:rPr>
        <w:t>,…</w:t>
      </w:r>
      <w:r w:rsidR="00206176" w:rsidRPr="006A185C">
        <w:rPr>
          <w:i/>
          <w:lang w:val="en-CA"/>
        </w:rPr>
        <w:t>n</w:t>
      </w:r>
      <w:r w:rsidR="00206176" w:rsidRPr="006A185C">
        <w:rPr>
          <w:vertAlign w:val="subscript"/>
          <w:lang w:val="en-CA"/>
        </w:rPr>
        <w:t>0</w:t>
      </w:r>
      <w:r w:rsidR="00206176">
        <w:rPr>
          <w:lang w:val="en-CA"/>
        </w:rPr>
        <w:t>)</w:t>
      </w:r>
      <w:r w:rsidR="00206176" w:rsidRPr="006A185C">
        <w:rPr>
          <w:i/>
          <w:vertAlign w:val="superscript"/>
          <w:lang w:val="en-CA"/>
        </w:rPr>
        <w:t>T</w:t>
      </w:r>
      <w:r w:rsidR="00C801DC">
        <w:rPr>
          <w:lang w:val="en-CA"/>
        </w:rPr>
        <w:t xml:space="preserve"> and</w:t>
      </w:r>
      <w:r w:rsidR="00206176">
        <w:rPr>
          <w:lang w:val="en-CA"/>
        </w:rPr>
        <w:t xml:space="preserve"> b=(0,0,…,0,1)</w:t>
      </w:r>
      <w:r w:rsidR="00206176" w:rsidRPr="006A185C">
        <w:rPr>
          <w:i/>
          <w:vertAlign w:val="superscript"/>
          <w:lang w:val="en-CA"/>
        </w:rPr>
        <w:t>T</w:t>
      </w:r>
      <w:r w:rsidR="00C801DC">
        <w:rPr>
          <w:lang w:val="en-CA"/>
        </w:rPr>
        <w:t>. M</w:t>
      </w:r>
      <w:r w:rsidR="00206176">
        <w:rPr>
          <w:lang w:val="en-CA"/>
        </w:rPr>
        <w:t xml:space="preserve">atrix </w:t>
      </w:r>
      <w:r w:rsidR="00206176" w:rsidRPr="005A13CB">
        <w:rPr>
          <w:rFonts w:cs="Times New Roman"/>
          <w:i/>
          <w:lang w:val="en-CA"/>
        </w:rPr>
        <w:t>Ĝ</w:t>
      </w:r>
      <w:r w:rsidR="00206176">
        <w:rPr>
          <w:lang w:val="en-CA"/>
        </w:rPr>
        <w:t xml:space="preserve"> has dimension 10</w:t>
      </w:r>
      <w:r w:rsidR="00206176">
        <w:rPr>
          <w:rFonts w:cs="Times New Roman"/>
          <w:lang w:val="en-CA"/>
        </w:rPr>
        <w:t>×</w:t>
      </w:r>
      <w:r w:rsidR="00206176">
        <w:rPr>
          <w:lang w:val="en-CA"/>
        </w:rPr>
        <w:t>10, that allows to solve the system of equations by using the Cramer’s rule.</w:t>
      </w:r>
      <w:proofErr w:type="gramEnd"/>
      <w:r w:rsidR="00147F19">
        <w:rPr>
          <w:lang w:val="en-CA"/>
        </w:rPr>
        <w:t xml:space="preserve"> </w:t>
      </w:r>
      <w:r w:rsidR="00112ACB">
        <w:rPr>
          <w:lang w:val="en-CA"/>
        </w:rPr>
        <w:t xml:space="preserve">This approach potentially allows </w:t>
      </w:r>
      <w:proofErr w:type="gramStart"/>
      <w:r w:rsidR="00112ACB">
        <w:rPr>
          <w:lang w:val="en-CA"/>
        </w:rPr>
        <w:t>to calculate</w:t>
      </w:r>
      <w:proofErr w:type="gramEnd"/>
      <w:r w:rsidR="00112ACB">
        <w:rPr>
          <w:lang w:val="en-CA"/>
        </w:rPr>
        <w:t xml:space="preserve"> the coefficients included in expressions for optical transition intensities. However, in multilevel ionic systems</w:t>
      </w:r>
      <w:r w:rsidR="00147F19">
        <w:rPr>
          <w:lang w:val="en-CA"/>
        </w:rPr>
        <w:t xml:space="preserve"> </w:t>
      </w:r>
      <w:r w:rsidR="00112ACB">
        <w:rPr>
          <w:lang w:val="en-CA"/>
        </w:rPr>
        <w:t xml:space="preserve">dozens or even hundreds of addends </w:t>
      </w:r>
      <w:proofErr w:type="gramStart"/>
      <w:r w:rsidR="00112ACB">
        <w:rPr>
          <w:lang w:val="en-CA"/>
        </w:rPr>
        <w:t>must be taken</w:t>
      </w:r>
      <w:proofErr w:type="gramEnd"/>
      <w:r w:rsidR="00112ACB">
        <w:rPr>
          <w:lang w:val="en-CA"/>
        </w:rPr>
        <w:t xml:space="preserve"> into account</w:t>
      </w:r>
      <w:r w:rsidR="00DD57D2">
        <w:rPr>
          <w:lang w:val="en-CA"/>
        </w:rPr>
        <w:t xml:space="preserve">, with every addend being a product of several parameters such as generation and relaxation rates. This type of calculations is quite sensitive to uncertainties of </w:t>
      </w:r>
      <w:proofErr w:type="gramStart"/>
      <w:r w:rsidR="00DD57D2">
        <w:rPr>
          <w:lang w:val="en-CA"/>
        </w:rPr>
        <w:t>above mentioned</w:t>
      </w:r>
      <w:proofErr w:type="gramEnd"/>
      <w:r w:rsidR="00DD57D2">
        <w:rPr>
          <w:lang w:val="en-CA"/>
        </w:rPr>
        <w:t xml:space="preserve"> parameters and may lead to considerable </w:t>
      </w:r>
      <w:r w:rsidR="00813BAA">
        <w:rPr>
          <w:lang w:val="en-CA"/>
        </w:rPr>
        <w:t>discrepancies</w:t>
      </w:r>
      <w:r w:rsidR="00DD57D2">
        <w:rPr>
          <w:lang w:val="en-CA"/>
        </w:rPr>
        <w:t>.</w:t>
      </w:r>
      <w:r w:rsidR="00813BAA">
        <w:rPr>
          <w:lang w:val="en-CA"/>
        </w:rPr>
        <w:t xml:space="preserve"> Instead, g</w:t>
      </w:r>
      <w:r w:rsidR="000960DB">
        <w:rPr>
          <w:lang w:val="en-CA"/>
        </w:rPr>
        <w:t>eneral</w:t>
      </w:r>
      <w:r w:rsidR="00147F19">
        <w:rPr>
          <w:lang w:val="en-CA"/>
        </w:rPr>
        <w:t xml:space="preserve"> </w:t>
      </w:r>
      <w:r w:rsidR="00813BAA">
        <w:rPr>
          <w:lang w:val="en-CA"/>
        </w:rPr>
        <w:t>equations</w:t>
      </w:r>
      <w:r w:rsidR="000960DB">
        <w:rPr>
          <w:lang w:val="en-CA"/>
        </w:rPr>
        <w:t xml:space="preserve"> for level population</w:t>
      </w:r>
      <w:r w:rsidR="00B240A8">
        <w:rPr>
          <w:lang w:val="en-CA"/>
        </w:rPr>
        <w:t xml:space="preserve">s </w:t>
      </w:r>
      <w:r w:rsidR="00112ACB">
        <w:rPr>
          <w:lang w:val="en-CA"/>
        </w:rPr>
        <w:t>may be may be approximated by ratios of polynomials (4</w:t>
      </w:r>
      <w:r w:rsidR="00112ACB" w:rsidRPr="00C801DC">
        <w:rPr>
          <w:vertAlign w:val="superscript"/>
          <w:lang w:val="en-CA"/>
        </w:rPr>
        <w:t>th</w:t>
      </w:r>
      <w:r w:rsidR="00112ACB">
        <w:rPr>
          <w:lang w:val="en-CA"/>
        </w:rPr>
        <w:t xml:space="preserve"> or 3</w:t>
      </w:r>
      <w:r w:rsidR="00112ACB" w:rsidRPr="00C801DC">
        <w:rPr>
          <w:vertAlign w:val="superscript"/>
          <w:lang w:val="en-CA"/>
        </w:rPr>
        <w:t>rd</w:t>
      </w:r>
      <w:r w:rsidR="00112ACB">
        <w:rPr>
          <w:lang w:val="en-CA"/>
        </w:rPr>
        <w:t xml:space="preserve"> orders)</w:t>
      </w:r>
      <w:r w:rsidR="00813BAA">
        <w:rPr>
          <w:lang w:val="en-CA"/>
        </w:rPr>
        <w:t>, which may be simplified further</w:t>
      </w:r>
      <w:r w:rsidR="00112ACB">
        <w:rPr>
          <w:lang w:val="en-CA"/>
        </w:rPr>
        <w:t xml:space="preserve"> by </w:t>
      </w:r>
      <w:r w:rsidR="00112ACB" w:rsidRPr="0083180C">
        <w:rPr>
          <w:lang w:val="en-CA"/>
        </w:rPr>
        <w:t>taking into account the small numbers of addends at zeroth and first degrees of generation rate.</w:t>
      </w:r>
      <w:r w:rsidR="00112ACB" w:rsidRPr="0047155F">
        <w:rPr>
          <w:lang w:val="en-CA"/>
        </w:rPr>
        <w:t xml:space="preserve"> As a result, t</w:t>
      </w:r>
      <w:r w:rsidR="00112ACB">
        <w:rPr>
          <w:lang w:val="en-CA"/>
        </w:rPr>
        <w:t xml:space="preserve">he general equation for radiative transition intensity </w:t>
      </w:r>
      <w:r w:rsidR="00112ACB" w:rsidRPr="006B5FB6">
        <w:rPr>
          <w:i/>
          <w:lang w:val="en-CA"/>
        </w:rPr>
        <w:t>J</w:t>
      </w:r>
      <w:r w:rsidR="00147F19">
        <w:rPr>
          <w:i/>
          <w:lang w:val="en-CA"/>
        </w:rPr>
        <w:t xml:space="preserve"> </w:t>
      </w:r>
      <w:proofErr w:type="gramStart"/>
      <w:r w:rsidR="00112ACB">
        <w:rPr>
          <w:lang w:val="en-CA"/>
        </w:rPr>
        <w:t xml:space="preserve">may be </w:t>
      </w:r>
      <w:r w:rsidR="00813BAA">
        <w:rPr>
          <w:lang w:val="en-CA"/>
        </w:rPr>
        <w:t>reduced</w:t>
      </w:r>
      <w:proofErr w:type="gramEnd"/>
      <w:r w:rsidR="00813BAA">
        <w:rPr>
          <w:lang w:val="en-CA"/>
        </w:rPr>
        <w:t xml:space="preserve"> to</w:t>
      </w:r>
    </w:p>
    <w:p w:rsidR="00112ACB" w:rsidRDefault="00112ACB" w:rsidP="00112ACB">
      <w:pPr>
        <w:pStyle w:val="NoSpacing"/>
        <w:ind w:firstLine="720"/>
        <w:jc w:val="right"/>
        <w:rPr>
          <w:lang w:val="en-CA"/>
        </w:rPr>
      </w:pPr>
      <w:r w:rsidRPr="006B5FB6">
        <w:rPr>
          <w:position w:val="-24"/>
        </w:rPr>
        <w:object w:dxaOrig="19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33pt" o:ole="" fillcolor="window">
            <v:imagedata r:id="rId7" o:title=""/>
          </v:shape>
          <o:OLEObject Type="Embed" ProgID="Equation.DSMT4" ShapeID="_x0000_i1025" DrawAspect="Content" ObjectID="_1621319088" r:id="rId8"/>
        </w:object>
      </w:r>
      <w:r>
        <w:tab/>
        <w:t>,</w:t>
      </w:r>
      <w:r>
        <w:tab/>
      </w:r>
      <w:r>
        <w:tab/>
      </w:r>
      <w:r>
        <w:tab/>
      </w:r>
      <w:r>
        <w:tab/>
      </w:r>
      <w:r>
        <w:tab/>
        <w:t>(1)</w:t>
      </w:r>
    </w:p>
    <w:p w:rsidR="00813BAA" w:rsidRDefault="00112ACB" w:rsidP="00112ACB">
      <w:pPr>
        <w:pStyle w:val="NoSpacing"/>
        <w:spacing w:before="120" w:after="120"/>
        <w:jc w:val="both"/>
      </w:pPr>
      <w:proofErr w:type="gramStart"/>
      <w:r w:rsidRPr="0083180C">
        <w:rPr>
          <w:lang w:val="en-CA"/>
        </w:rPr>
        <w:t>where</w:t>
      </w:r>
      <w:proofErr w:type="gramEnd"/>
      <w:r w:rsidRPr="0083180C">
        <w:rPr>
          <w:lang w:val="en-CA"/>
        </w:rPr>
        <w:t xml:space="preserve"> </w:t>
      </w:r>
      <w:r w:rsidRPr="0083180C">
        <w:rPr>
          <w:i/>
          <w:lang w:val="en-CA"/>
        </w:rPr>
        <w:t>I</w:t>
      </w:r>
      <w:r w:rsidR="00147F19">
        <w:rPr>
          <w:i/>
          <w:lang w:val="en-CA"/>
        </w:rPr>
        <w:t xml:space="preserve"> </w:t>
      </w:r>
      <w:r w:rsidRPr="0083180C">
        <w:rPr>
          <w:lang w:val="en-CA"/>
        </w:rPr>
        <w:t xml:space="preserve">is the pumping intensity and </w:t>
      </w:r>
      <w:r w:rsidRPr="0083180C">
        <w:rPr>
          <w:i/>
          <w:lang w:val="en-CA"/>
        </w:rPr>
        <w:t>A</w:t>
      </w:r>
      <w:r w:rsidRPr="0083180C">
        <w:rPr>
          <w:lang w:val="en-CA"/>
        </w:rPr>
        <w:t xml:space="preserve">, B, </w:t>
      </w:r>
      <w:r w:rsidRPr="0083180C">
        <w:rPr>
          <w:i/>
          <w:lang w:val="en-CA"/>
        </w:rPr>
        <w:t xml:space="preserve">C, D, E </w:t>
      </w:r>
      <w:r w:rsidRPr="0083180C">
        <w:rPr>
          <w:lang w:val="en-CA"/>
        </w:rPr>
        <w:t>and</w:t>
      </w:r>
      <w:r w:rsidRPr="0083180C">
        <w:rPr>
          <w:i/>
          <w:lang w:val="en-CA"/>
        </w:rPr>
        <w:t xml:space="preserve"> F</w:t>
      </w:r>
      <w:r w:rsidR="00147F19">
        <w:rPr>
          <w:i/>
          <w:lang w:val="en-CA"/>
        </w:rPr>
        <w:t xml:space="preserve"> </w:t>
      </w:r>
      <w:r w:rsidRPr="00FC1925">
        <w:rPr>
          <w:lang w:val="en-CA"/>
        </w:rPr>
        <w:t xml:space="preserve">are </w:t>
      </w:r>
      <w:r w:rsidRPr="00FC1925">
        <w:t>numerical</w:t>
      </w:r>
      <w:r w:rsidRPr="00FC1925">
        <w:rPr>
          <w:lang w:val="en-CA"/>
        </w:rPr>
        <w:t xml:space="preserve"> coefficients.</w:t>
      </w:r>
      <w:r w:rsidR="0063360E">
        <w:rPr>
          <w:lang w:val="en-CA"/>
        </w:rPr>
        <w:t xml:space="preserve"> </w:t>
      </w:r>
      <w:r w:rsidR="00813BAA">
        <w:t xml:space="preserve">Moreover, for </w:t>
      </w:r>
      <w:r w:rsidR="00813BAA" w:rsidRPr="00173AC1">
        <w:rPr>
          <w:rFonts w:eastAsia="Times New Roman" w:cs="Times New Roman"/>
          <w:color w:val="212121"/>
          <w:szCs w:val="24"/>
          <w:lang w:eastAsia="ru-RU"/>
        </w:rPr>
        <w:t xml:space="preserve">optical transitions </w:t>
      </w:r>
      <w:r w:rsidR="00813BAA">
        <w:rPr>
          <w:rFonts w:eastAsia="Times New Roman" w:cs="Times New Roman"/>
          <w:color w:val="212121"/>
          <w:szCs w:val="24"/>
          <w:lang w:eastAsia="ru-RU"/>
        </w:rPr>
        <w:t>involving</w:t>
      </w:r>
      <w:r w:rsidR="00813BAA" w:rsidRPr="00173AC1">
        <w:rPr>
          <w:rFonts w:eastAsia="Times New Roman" w:cs="Times New Roman"/>
          <w:color w:val="212121"/>
          <w:szCs w:val="24"/>
          <w:lang w:eastAsia="ru-RU"/>
        </w:rPr>
        <w:t xml:space="preserve"> lower </w:t>
      </w:r>
      <w:r w:rsidR="00813BAA">
        <w:rPr>
          <w:rFonts w:eastAsia="Times New Roman" w:cs="Times New Roman"/>
          <w:color w:val="212121"/>
          <w:szCs w:val="24"/>
          <w:lang w:eastAsia="ru-RU"/>
        </w:rPr>
        <w:t xml:space="preserve">three </w:t>
      </w:r>
      <w:r w:rsidR="00813BAA" w:rsidRPr="00173AC1">
        <w:rPr>
          <w:rFonts w:eastAsia="Times New Roman" w:cs="Times New Roman"/>
          <w:color w:val="212121"/>
          <w:szCs w:val="24"/>
          <w:lang w:eastAsia="ru-RU"/>
        </w:rPr>
        <w:t xml:space="preserve">levels the coefficient </w:t>
      </w:r>
      <w:r w:rsidR="00813BAA" w:rsidRPr="00173AC1">
        <w:rPr>
          <w:rFonts w:eastAsia="Times New Roman" w:cs="Times New Roman"/>
          <w:i/>
          <w:color w:val="212121"/>
          <w:szCs w:val="24"/>
          <w:lang w:eastAsia="ru-RU"/>
        </w:rPr>
        <w:t>A</w:t>
      </w:r>
      <w:r w:rsidR="00147F19">
        <w:rPr>
          <w:rFonts w:eastAsia="Times New Roman" w:cs="Times New Roman"/>
          <w:i/>
          <w:color w:val="212121"/>
          <w:szCs w:val="24"/>
          <w:lang w:eastAsia="ru-RU"/>
        </w:rPr>
        <w:t xml:space="preserve"> </w:t>
      </w:r>
      <w:r w:rsidR="004F0440">
        <w:rPr>
          <w:rFonts w:eastAsia="Times New Roman" w:cs="Times New Roman"/>
          <w:color w:val="212121"/>
          <w:szCs w:val="24"/>
          <w:lang w:eastAsia="ru-RU"/>
        </w:rPr>
        <w:t>is simply</w:t>
      </w:r>
      <w:r w:rsidR="00813BAA" w:rsidRPr="00173AC1">
        <w:rPr>
          <w:rFonts w:eastAsia="Times New Roman" w:cs="Times New Roman"/>
          <w:color w:val="212121"/>
          <w:szCs w:val="24"/>
          <w:lang w:eastAsia="ru-RU"/>
        </w:rPr>
        <w:t xml:space="preserve"> </w:t>
      </w:r>
      <w:proofErr w:type="gramStart"/>
      <w:r w:rsidR="00813BAA" w:rsidRPr="00173AC1">
        <w:rPr>
          <w:rFonts w:eastAsia="Times New Roman" w:cs="Times New Roman"/>
          <w:color w:val="212121"/>
          <w:szCs w:val="24"/>
          <w:lang w:eastAsia="ru-RU"/>
        </w:rPr>
        <w:t>0</w:t>
      </w:r>
      <w:proofErr w:type="gramEnd"/>
      <w:r w:rsidR="00813BAA">
        <w:rPr>
          <w:rFonts w:eastAsia="Times New Roman" w:cs="Times New Roman"/>
          <w:color w:val="212121"/>
          <w:szCs w:val="24"/>
          <w:lang w:eastAsia="ru-RU"/>
        </w:rPr>
        <w:t xml:space="preserve">, while for higher </w:t>
      </w:r>
      <w:r w:rsidR="00813BAA" w:rsidRPr="00813BAA">
        <w:rPr>
          <w:rFonts w:eastAsia="Times New Roman" w:cs="Times New Roman"/>
          <w:color w:val="212121"/>
          <w:szCs w:val="24"/>
          <w:lang w:eastAsia="ru-RU"/>
        </w:rPr>
        <w:t xml:space="preserve">levels with a high accuracy </w:t>
      </w:r>
      <w:r w:rsidR="00813BAA" w:rsidRPr="00813BAA">
        <w:rPr>
          <w:rFonts w:eastAsia="Times New Roman" w:cs="Times New Roman"/>
          <w:i/>
          <w:color w:val="212121"/>
          <w:szCs w:val="24"/>
          <w:lang w:eastAsia="ru-RU"/>
        </w:rPr>
        <w:t xml:space="preserve">C </w:t>
      </w:r>
      <w:r w:rsidR="00813BAA" w:rsidRPr="00813BAA">
        <w:rPr>
          <w:rFonts w:eastAsia="Times New Roman" w:cs="Times New Roman"/>
          <w:color w:val="212121"/>
          <w:szCs w:val="24"/>
          <w:lang w:eastAsia="ru-RU"/>
        </w:rPr>
        <w:t xml:space="preserve">is equal to 0. </w:t>
      </w:r>
      <w:r w:rsidR="00F96939">
        <w:fldChar w:fldCharType="begin"/>
      </w:r>
      <w:r w:rsidR="00F96939">
        <w:instrText xml:space="preserve"> REF _Ref535195 \h  \* MERGEFORMAT </w:instrText>
      </w:r>
      <w:r w:rsidR="00F96939">
        <w:fldChar w:fldCharType="separate"/>
      </w:r>
      <w:r w:rsidR="00813BAA" w:rsidRPr="00813BAA">
        <w:rPr>
          <w:szCs w:val="24"/>
        </w:rPr>
        <w:t>Figure 3</w:t>
      </w:r>
      <w:r w:rsidR="00F96939">
        <w:fldChar w:fldCharType="end"/>
      </w:r>
      <w:r w:rsidR="00813BAA" w:rsidRPr="00813BAA">
        <w:rPr>
          <w:szCs w:val="24"/>
          <w:lang w:val="en-CA"/>
        </w:rPr>
        <w:t xml:space="preserve"> demonstrates the </w:t>
      </w:r>
      <w:r w:rsidR="00731A7B">
        <w:rPr>
          <w:szCs w:val="24"/>
          <w:lang w:val="en-CA"/>
        </w:rPr>
        <w:t>quality</w:t>
      </w:r>
      <w:r w:rsidR="00813BAA" w:rsidRPr="00813BAA">
        <w:rPr>
          <w:szCs w:val="24"/>
          <w:lang w:val="en-CA"/>
        </w:rPr>
        <w:t xml:space="preserve"> of this appro</w:t>
      </w:r>
      <w:r w:rsidR="00731A7B">
        <w:rPr>
          <w:szCs w:val="24"/>
          <w:lang w:val="en-CA"/>
        </w:rPr>
        <w:t>ximation</w:t>
      </w:r>
      <w:r w:rsidR="00147F19">
        <w:rPr>
          <w:szCs w:val="24"/>
          <w:lang w:val="en-CA"/>
        </w:rPr>
        <w:t xml:space="preserve"> </w:t>
      </w:r>
      <w:r w:rsidR="00731A7B">
        <w:rPr>
          <w:lang w:val="en-CA"/>
        </w:rPr>
        <w:t>for</w:t>
      </w:r>
      <w:r w:rsidR="00813BAA">
        <w:rPr>
          <w:lang w:val="en-CA"/>
        </w:rPr>
        <w:t xml:space="preserve"> two up-conversion bands </w:t>
      </w:r>
      <w:r w:rsidR="00731A7B">
        <w:rPr>
          <w:lang w:val="en-CA"/>
        </w:rPr>
        <w:t xml:space="preserve">in </w:t>
      </w:r>
      <w:proofErr w:type="spellStart"/>
      <w:proofErr w:type="gramStart"/>
      <w:r w:rsidR="00813BAA">
        <w:rPr>
          <w:lang w:val="en-CA"/>
        </w:rPr>
        <w:t>GaLaS</w:t>
      </w:r>
      <w:proofErr w:type="spellEnd"/>
      <w:r w:rsidR="00813BAA">
        <w:rPr>
          <w:lang w:val="en-CA"/>
        </w:rPr>
        <w:t>(</w:t>
      </w:r>
      <w:proofErr w:type="gramEnd"/>
      <w:r w:rsidR="00813BAA">
        <w:rPr>
          <w:lang w:val="en-CA"/>
        </w:rPr>
        <w:t>O):</w:t>
      </w:r>
      <w:proofErr w:type="spellStart"/>
      <w:r w:rsidR="00813BAA">
        <w:rPr>
          <w:lang w:val="en-CA"/>
        </w:rPr>
        <w:t>Er</w:t>
      </w:r>
      <w:proofErr w:type="spellEnd"/>
      <w:r w:rsidR="00813BAA">
        <w:rPr>
          <w:lang w:val="en-CA"/>
        </w:rPr>
        <w:t xml:space="preserve"> glass</w:t>
      </w:r>
      <w:r w:rsidR="00731A7B">
        <w:rPr>
          <w:lang w:val="en-CA"/>
        </w:rPr>
        <w:t>. The</w:t>
      </w:r>
      <w:r w:rsidR="00147F19">
        <w:rPr>
          <w:lang w:val="en-CA"/>
        </w:rPr>
        <w:t xml:space="preserve"> </w:t>
      </w:r>
      <w:r w:rsidR="00731A7B">
        <w:rPr>
          <w:lang w:val="en-CA"/>
        </w:rPr>
        <w:t xml:space="preserve">appropriate </w:t>
      </w:r>
      <w:r w:rsidR="00813BAA">
        <w:rPr>
          <w:lang w:val="en-CA"/>
        </w:rPr>
        <w:t xml:space="preserve">adjustable parameters </w:t>
      </w:r>
      <w:proofErr w:type="gramStart"/>
      <w:r w:rsidR="00731A7B">
        <w:rPr>
          <w:lang w:val="en-CA"/>
        </w:rPr>
        <w:t xml:space="preserve">are </w:t>
      </w:r>
      <w:r w:rsidR="00813BAA">
        <w:rPr>
          <w:lang w:val="en-CA"/>
        </w:rPr>
        <w:t>summarized</w:t>
      </w:r>
      <w:proofErr w:type="gramEnd"/>
      <w:r w:rsidR="00813BAA">
        <w:rPr>
          <w:lang w:val="en-CA"/>
        </w:rPr>
        <w:t xml:space="preserve"> in Table below.</w:t>
      </w:r>
    </w:p>
    <w:tbl>
      <w:tblPr>
        <w:tblStyle w:val="TableGrid"/>
        <w:tblW w:w="0" w:type="auto"/>
        <w:jc w:val="center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2"/>
        <w:gridCol w:w="696"/>
        <w:gridCol w:w="972"/>
        <w:gridCol w:w="377"/>
        <w:gridCol w:w="390"/>
        <w:gridCol w:w="576"/>
        <w:gridCol w:w="1092"/>
      </w:tblGrid>
      <w:tr w:rsidR="00813BAA" w:rsidTr="00FB76B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13BAA" w:rsidRDefault="00813BAA" w:rsidP="00FB76BB">
            <w:pPr>
              <w:pStyle w:val="NoSpacing"/>
              <w:jc w:val="both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13BAA" w:rsidRDefault="00813BAA" w:rsidP="00147F19">
            <w:pPr>
              <w:pStyle w:val="NoSpacing"/>
              <w:jc w:val="center"/>
            </w:pPr>
            <w: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13BAA" w:rsidRDefault="00813BAA" w:rsidP="00147F19">
            <w:pPr>
              <w:pStyle w:val="NoSpacing"/>
              <w:jc w:val="center"/>
            </w:pPr>
            <w:r>
              <w:t>B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13BAA" w:rsidRDefault="00813BAA" w:rsidP="00147F19">
            <w:pPr>
              <w:pStyle w:val="NoSpacing"/>
              <w:jc w:val="center"/>
            </w:pPr>
            <w:r>
              <w:t>C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13BAA" w:rsidRDefault="00813BAA" w:rsidP="00147F19">
            <w:pPr>
              <w:pStyle w:val="NoSpacing"/>
              <w:jc w:val="center"/>
            </w:pPr>
            <w:r>
              <w:t>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13BAA" w:rsidRDefault="00813BAA" w:rsidP="00147F19">
            <w:pPr>
              <w:pStyle w:val="NoSpacing"/>
              <w:jc w:val="center"/>
            </w:pPr>
            <w:r>
              <w:t>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813BAA" w:rsidRDefault="00813BAA" w:rsidP="00147F19">
            <w:pPr>
              <w:pStyle w:val="NoSpacing"/>
              <w:jc w:val="center"/>
            </w:pPr>
            <w:r>
              <w:t>F</w:t>
            </w:r>
          </w:p>
        </w:tc>
      </w:tr>
      <w:tr w:rsidR="00813BAA" w:rsidTr="00FB76BB">
        <w:trPr>
          <w:jc w:val="center"/>
        </w:trPr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13BAA" w:rsidRDefault="00813BAA" w:rsidP="00FB76BB">
            <w:pPr>
              <w:pStyle w:val="NoSpacing"/>
              <w:jc w:val="both"/>
            </w:pPr>
            <w:r>
              <w:t>“Red” band (1)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13BAA" w:rsidRDefault="00813BAA" w:rsidP="00FB76BB">
            <w:pPr>
              <w:pStyle w:val="NoSpacing"/>
              <w:jc w:val="center"/>
            </w:pPr>
            <w:r w:rsidRPr="00740344">
              <w:rPr>
                <w:lang w:val="en-CA"/>
              </w:rPr>
              <w:t>10</w:t>
            </w:r>
            <w:r w:rsidRPr="00740344">
              <w:rPr>
                <w:vertAlign w:val="superscript"/>
                <w:lang w:val="en-CA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13BAA" w:rsidRDefault="00813BAA" w:rsidP="00FB76BB">
            <w:pPr>
              <w:pStyle w:val="NoSpacing"/>
              <w:jc w:val="center"/>
            </w:pPr>
            <w:r w:rsidRPr="00740344">
              <w:rPr>
                <w:lang w:val="en-CA"/>
              </w:rPr>
              <w:t>4</w:t>
            </w:r>
            <w:r>
              <w:rPr>
                <w:rFonts w:cs="Times New Roman"/>
                <w:lang w:val="en-CA"/>
              </w:rPr>
              <w:t>×</w:t>
            </w:r>
            <w:r w:rsidRPr="00740344">
              <w:rPr>
                <w:lang w:val="en-CA"/>
              </w:rPr>
              <w:t>10</w:t>
            </w:r>
            <w:r w:rsidRPr="00740344">
              <w:rPr>
                <w:vertAlign w:val="superscript"/>
                <w:lang w:val="en-CA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13BAA" w:rsidRDefault="00813BAA" w:rsidP="00FB76B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13BAA" w:rsidRDefault="00813BAA" w:rsidP="00FB76B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13BAA" w:rsidRDefault="00147F19" w:rsidP="00FB76BB">
            <w:pPr>
              <w:pStyle w:val="NoSpacing"/>
              <w:jc w:val="center"/>
            </w:pPr>
            <w:r>
              <w:t>150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13BAA" w:rsidRDefault="00813BAA" w:rsidP="00FB76BB">
            <w:pPr>
              <w:pStyle w:val="NoSpacing"/>
              <w:jc w:val="center"/>
            </w:pPr>
            <w:r w:rsidRPr="00740344">
              <w:rPr>
                <w:lang w:val="en-CA"/>
              </w:rPr>
              <w:t>2</w:t>
            </w:r>
            <w:r>
              <w:rPr>
                <w:rFonts w:cs="Times New Roman"/>
                <w:lang w:val="en-CA"/>
              </w:rPr>
              <w:t>×</w:t>
            </w:r>
            <w:r w:rsidRPr="00740344">
              <w:rPr>
                <w:lang w:val="en-CA"/>
              </w:rPr>
              <w:t>10</w:t>
            </w:r>
            <w:r w:rsidRPr="00740344">
              <w:rPr>
                <w:vertAlign w:val="superscript"/>
                <w:lang w:val="en-CA"/>
              </w:rPr>
              <w:t>6</w:t>
            </w:r>
          </w:p>
        </w:tc>
      </w:tr>
      <w:tr w:rsidR="00813BAA" w:rsidTr="00FB76BB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813BAA" w:rsidRDefault="00813BAA" w:rsidP="00FB76BB">
            <w:pPr>
              <w:pStyle w:val="NoSpacing"/>
              <w:jc w:val="both"/>
            </w:pPr>
            <w:r>
              <w:t>“Green” band (2)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813BAA" w:rsidRDefault="00813BAA" w:rsidP="00FB76BB">
            <w:pPr>
              <w:pStyle w:val="NoSpacing"/>
              <w:jc w:val="center"/>
            </w:pPr>
            <w:r w:rsidRPr="00740344">
              <w:t>4100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813BAA" w:rsidRDefault="00813BAA" w:rsidP="00FB76BB">
            <w:pPr>
              <w:pStyle w:val="NoSpacing"/>
              <w:jc w:val="center"/>
            </w:pPr>
            <w:r w:rsidRPr="00740344">
              <w:t>3.7</w:t>
            </w:r>
            <w:r>
              <w:rPr>
                <w:rFonts w:cs="Times New Roman"/>
                <w:lang w:val="en-CA"/>
              </w:rPr>
              <w:t>×</w:t>
            </w:r>
            <w:r w:rsidRPr="00740344">
              <w:t>10</w:t>
            </w:r>
            <w:r w:rsidRPr="00740344">
              <w:rPr>
                <w:vertAlign w:val="superscript"/>
              </w:rPr>
              <w:t>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813BAA" w:rsidRDefault="00813BAA" w:rsidP="00FB76BB">
            <w:pPr>
              <w:pStyle w:val="NoSpacing"/>
              <w:jc w:val="center"/>
            </w:pPr>
            <w:r>
              <w:t>0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813BAA" w:rsidRDefault="00813BAA" w:rsidP="00FB76BB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813BAA" w:rsidRDefault="00813BAA" w:rsidP="00FB76BB">
            <w:pPr>
              <w:pStyle w:val="NoSpacing"/>
              <w:jc w:val="center"/>
            </w:pPr>
            <w:r>
              <w:t>451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813BAA" w:rsidRDefault="00813BAA" w:rsidP="00FB76BB">
            <w:pPr>
              <w:pStyle w:val="NoSpacing"/>
              <w:jc w:val="center"/>
            </w:pPr>
            <w:r w:rsidRPr="00740344">
              <w:t>1.64</w:t>
            </w:r>
            <w:r>
              <w:rPr>
                <w:rFonts w:cs="Times New Roman"/>
                <w:lang w:val="en-CA"/>
              </w:rPr>
              <w:t>×</w:t>
            </w:r>
            <w:r w:rsidRPr="00740344">
              <w:t>10</w:t>
            </w:r>
            <w:r w:rsidRPr="00740344">
              <w:rPr>
                <w:vertAlign w:val="superscript"/>
              </w:rPr>
              <w:t>6</w:t>
            </w:r>
          </w:p>
        </w:tc>
      </w:tr>
    </w:tbl>
    <w:p w:rsidR="00112ACB" w:rsidRDefault="00AC7F32" w:rsidP="00AC7F32">
      <w:pPr>
        <w:pStyle w:val="NoSpacing"/>
        <w:spacing w:before="120"/>
        <w:ind w:firstLine="360"/>
        <w:jc w:val="both"/>
        <w:rPr>
          <w:lang w:val="en-CA"/>
        </w:rPr>
      </w:pPr>
      <w:r>
        <w:rPr>
          <w:lang w:val="en-CA"/>
        </w:rPr>
        <w:t>In summary, we offer a</w:t>
      </w:r>
      <w:r w:rsidR="00147F19">
        <w:rPr>
          <w:lang w:val="en-CA"/>
        </w:rPr>
        <w:t xml:space="preserve"> </w:t>
      </w:r>
      <w:r>
        <w:rPr>
          <w:lang w:val="en-CA"/>
        </w:rPr>
        <w:t xml:space="preserve">phenomenological </w:t>
      </w:r>
      <w:r w:rsidR="00112ACB">
        <w:rPr>
          <w:lang w:val="en-CA"/>
        </w:rPr>
        <w:t xml:space="preserve">method of describing experimental data by </w:t>
      </w:r>
      <w:r>
        <w:rPr>
          <w:lang w:val="en-CA"/>
        </w:rPr>
        <w:t>simple equations</w:t>
      </w:r>
      <w:r w:rsidR="00147F19">
        <w:rPr>
          <w:lang w:val="en-CA"/>
        </w:rPr>
        <w:t xml:space="preserve"> </w:t>
      </w:r>
      <w:r>
        <w:rPr>
          <w:lang w:val="en-CA"/>
        </w:rPr>
        <w:t>with adjustable parameters</w:t>
      </w:r>
      <w:r w:rsidR="005C62E5">
        <w:rPr>
          <w:lang w:val="en-CA"/>
        </w:rPr>
        <w:t xml:space="preserve"> that </w:t>
      </w:r>
      <w:proofErr w:type="gramStart"/>
      <w:r w:rsidR="005C62E5">
        <w:rPr>
          <w:lang w:val="en-CA"/>
        </w:rPr>
        <w:t>are</w:t>
      </w:r>
      <w:r>
        <w:rPr>
          <w:lang w:val="en-CA"/>
        </w:rPr>
        <w:t xml:space="preserve"> established</w:t>
      </w:r>
      <w:proofErr w:type="gramEnd"/>
      <w:r>
        <w:rPr>
          <w:lang w:val="en-CA"/>
        </w:rPr>
        <w:t xml:space="preserve"> by interpolation using well-defined experimental points. The paper discusses the applicability and usefulness of this approach in </w:t>
      </w:r>
      <w:r w:rsidR="00B87D1A">
        <w:rPr>
          <w:lang w:val="en-CA"/>
        </w:rPr>
        <w:t xml:space="preserve">the </w:t>
      </w:r>
      <w:r>
        <w:rPr>
          <w:lang w:val="en-CA"/>
        </w:rPr>
        <w:t>analysis of experimental data.</w:t>
      </w:r>
    </w:p>
    <w:p w:rsidR="00057BAA" w:rsidRPr="005509C7" w:rsidRDefault="00057BAA" w:rsidP="005509C7">
      <w:pPr>
        <w:autoSpaceDE w:val="0"/>
        <w:autoSpaceDN w:val="0"/>
        <w:adjustRightInd w:val="0"/>
        <w:ind w:left="360" w:hanging="360"/>
        <w:rPr>
          <w:rFonts w:cs="Times New Roman"/>
          <w:szCs w:val="24"/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0"/>
        <w:gridCol w:w="3510"/>
      </w:tblGrid>
      <w:tr w:rsidR="00B054E2" w:rsidTr="008B7AEE">
        <w:tc>
          <w:tcPr>
            <w:tcW w:w="5850" w:type="dxa"/>
          </w:tcPr>
          <w:p w:rsidR="00057BAA" w:rsidRDefault="0035056C" w:rsidP="008B7AEE">
            <w:pPr>
              <w:pStyle w:val="NoSpacing"/>
              <w:jc w:val="center"/>
              <w:rPr>
                <w:lang w:val="en-CA"/>
              </w:rPr>
            </w:pPr>
            <w:r w:rsidRPr="0035056C">
              <w:rPr>
                <w:noProof/>
                <w:lang w:val="en-GB" w:eastAsia="en-GB"/>
              </w:rPr>
              <w:drawing>
                <wp:inline distT="0" distB="0" distL="0" distR="0">
                  <wp:extent cx="3068854" cy="3377682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7753" cy="33874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10" w:type="dxa"/>
          </w:tcPr>
          <w:p w:rsidR="00347786" w:rsidRDefault="00347786" w:rsidP="008B7AEE">
            <w:pPr>
              <w:pStyle w:val="NoSpacing"/>
              <w:jc w:val="both"/>
              <w:rPr>
                <w:lang w:val="en-CA"/>
              </w:rPr>
            </w:pPr>
          </w:p>
          <w:p w:rsidR="00057BAA" w:rsidRDefault="00E77B55" w:rsidP="008B7AEE">
            <w:pPr>
              <w:pStyle w:val="NoSpacing"/>
              <w:jc w:val="both"/>
              <w:rPr>
                <w:lang w:val="en-CA"/>
              </w:rPr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2375945" cy="2926080"/>
                  <wp:effectExtent l="0" t="0" r="5715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8821" cy="29542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7786" w:rsidRDefault="00347786" w:rsidP="008B7AEE">
            <w:pPr>
              <w:pStyle w:val="NoSpacing"/>
              <w:jc w:val="both"/>
              <w:rPr>
                <w:lang w:val="en-CA"/>
              </w:rPr>
            </w:pPr>
          </w:p>
        </w:tc>
      </w:tr>
      <w:tr w:rsidR="00B054E2" w:rsidRPr="00347786" w:rsidTr="008B7AEE">
        <w:tc>
          <w:tcPr>
            <w:tcW w:w="5850" w:type="dxa"/>
          </w:tcPr>
          <w:p w:rsidR="007060C1" w:rsidRPr="00347786" w:rsidRDefault="00B054E2" w:rsidP="00095203">
            <w:pPr>
              <w:pStyle w:val="NoSpacing"/>
              <w:jc w:val="both"/>
              <w:rPr>
                <w:sz w:val="22"/>
                <w:lang w:val="en-CA"/>
              </w:rPr>
            </w:pPr>
            <w:bookmarkStart w:id="3" w:name="_Ref535195"/>
            <w:r w:rsidRPr="00347786">
              <w:rPr>
                <w:sz w:val="22"/>
              </w:rPr>
              <w:t xml:space="preserve">Figure </w:t>
            </w:r>
            <w:r w:rsidR="00174344" w:rsidRPr="00347786">
              <w:rPr>
                <w:sz w:val="22"/>
              </w:rPr>
              <w:fldChar w:fldCharType="begin"/>
            </w:r>
            <w:r w:rsidRPr="00347786">
              <w:rPr>
                <w:sz w:val="22"/>
              </w:rPr>
              <w:instrText xml:space="preserve"> SEQ Figure \* ARABIC </w:instrText>
            </w:r>
            <w:r w:rsidR="00174344" w:rsidRPr="00347786">
              <w:rPr>
                <w:sz w:val="22"/>
              </w:rPr>
              <w:fldChar w:fldCharType="separate"/>
            </w:r>
            <w:proofErr w:type="gramStart"/>
            <w:r w:rsidR="004C0396">
              <w:rPr>
                <w:noProof/>
                <w:sz w:val="22"/>
              </w:rPr>
              <w:t>3</w:t>
            </w:r>
            <w:r w:rsidR="00174344" w:rsidRPr="00347786">
              <w:rPr>
                <w:sz w:val="22"/>
              </w:rPr>
              <w:fldChar w:fldCharType="end"/>
            </w:r>
            <w:bookmarkEnd w:id="3"/>
            <w:r w:rsidRPr="00347786">
              <w:rPr>
                <w:sz w:val="22"/>
              </w:rPr>
              <w:t>.</w:t>
            </w:r>
            <w:r w:rsidR="00F56C42" w:rsidRPr="00347786">
              <w:rPr>
                <w:sz w:val="22"/>
              </w:rPr>
              <w:t>T</w:t>
            </w:r>
            <w:r w:rsidR="007060C1" w:rsidRPr="00347786">
              <w:rPr>
                <w:sz w:val="22"/>
              </w:rPr>
              <w:t>he</w:t>
            </w:r>
            <w:proofErr w:type="gramEnd"/>
            <w:r w:rsidR="007060C1" w:rsidRPr="00347786">
              <w:rPr>
                <w:sz w:val="22"/>
              </w:rPr>
              <w:t xml:space="preserve"> influence of </w:t>
            </w:r>
            <w:r w:rsidR="00F56C42" w:rsidRPr="00347786">
              <w:rPr>
                <w:sz w:val="22"/>
              </w:rPr>
              <w:t>PL excitation</w:t>
            </w:r>
            <w:r w:rsidR="007060C1" w:rsidRPr="00347786">
              <w:rPr>
                <w:sz w:val="22"/>
              </w:rPr>
              <w:t xml:space="preserve"> intensity on integral intensities of “green” and “red” PL bands</w:t>
            </w:r>
            <w:r w:rsidR="008B7AEE" w:rsidRPr="00347786">
              <w:rPr>
                <w:sz w:val="22"/>
              </w:rPr>
              <w:t xml:space="preserve"> (see </w:t>
            </w:r>
            <w:r w:rsidR="00F96939">
              <w:fldChar w:fldCharType="begin"/>
            </w:r>
            <w:r w:rsidR="00F96939">
              <w:instrText xml:space="preserve"> REF _Ref524909 \h  \* MERGEFORMAT </w:instrText>
            </w:r>
            <w:r w:rsidR="00F96939">
              <w:fldChar w:fldCharType="separate"/>
            </w:r>
            <w:r w:rsidR="004C0396" w:rsidRPr="000437BF">
              <w:rPr>
                <w:sz w:val="22"/>
              </w:rPr>
              <w:t xml:space="preserve">Figure </w:t>
            </w:r>
            <w:r w:rsidR="004C0396">
              <w:rPr>
                <w:sz w:val="22"/>
              </w:rPr>
              <w:t>2</w:t>
            </w:r>
            <w:r w:rsidR="00F96939">
              <w:fldChar w:fldCharType="end"/>
            </w:r>
            <w:r w:rsidR="008B7AEE" w:rsidRPr="00347786">
              <w:rPr>
                <w:sz w:val="22"/>
              </w:rPr>
              <w:t xml:space="preserve"> and insert for clarification)</w:t>
            </w:r>
            <w:r w:rsidR="007060C1" w:rsidRPr="00347786">
              <w:rPr>
                <w:sz w:val="22"/>
              </w:rPr>
              <w:t>.</w:t>
            </w:r>
            <w:r w:rsidR="008340A7">
              <w:rPr>
                <w:sz w:val="22"/>
              </w:rPr>
              <w:t xml:space="preserve">  </w:t>
            </w:r>
            <w:r w:rsidR="00095203">
              <w:rPr>
                <w:sz w:val="22"/>
              </w:rPr>
              <w:t>Solid</w:t>
            </w:r>
            <w:r w:rsidR="008B7AEE" w:rsidRPr="00347786">
              <w:rPr>
                <w:sz w:val="22"/>
              </w:rPr>
              <w:t xml:space="preserve"> line</w:t>
            </w:r>
            <w:r w:rsidR="00095203">
              <w:rPr>
                <w:sz w:val="22"/>
              </w:rPr>
              <w:t>s are</w:t>
            </w:r>
            <w:r w:rsidR="000120CB">
              <w:rPr>
                <w:sz w:val="22"/>
              </w:rPr>
              <w:t xml:space="preserve"> theoretical fit (eqn</w:t>
            </w:r>
            <w:proofErr w:type="gramStart"/>
            <w:r w:rsidR="000120CB">
              <w:rPr>
                <w:sz w:val="22"/>
              </w:rPr>
              <w:t>.(</w:t>
            </w:r>
            <w:proofErr w:type="gramEnd"/>
            <w:r w:rsidR="000120CB">
              <w:rPr>
                <w:sz w:val="22"/>
              </w:rPr>
              <w:t>1</w:t>
            </w:r>
            <w:r w:rsidR="00F56C42" w:rsidRPr="00347786">
              <w:rPr>
                <w:sz w:val="22"/>
              </w:rPr>
              <w:t xml:space="preserve">)) </w:t>
            </w:r>
            <w:r w:rsidR="000120CB">
              <w:rPr>
                <w:sz w:val="22"/>
              </w:rPr>
              <w:t xml:space="preserve">with coefficients </w:t>
            </w:r>
            <w:r w:rsidR="00F56C42" w:rsidRPr="00347786">
              <w:rPr>
                <w:sz w:val="22"/>
              </w:rPr>
              <w:t>as explained in the text.</w:t>
            </w:r>
          </w:p>
        </w:tc>
        <w:tc>
          <w:tcPr>
            <w:tcW w:w="3510" w:type="dxa"/>
          </w:tcPr>
          <w:p w:rsidR="00E77B55" w:rsidRPr="00347786" w:rsidRDefault="00B054E2" w:rsidP="008B7AEE">
            <w:pPr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bookmarkStart w:id="4" w:name="_Ref780024"/>
            <w:r w:rsidRPr="00347786">
              <w:t xml:space="preserve">Figure </w:t>
            </w:r>
            <w:r w:rsidR="00174344" w:rsidRPr="00347786">
              <w:fldChar w:fldCharType="begin"/>
            </w:r>
            <w:r w:rsidRPr="00347786">
              <w:instrText xml:space="preserve"> SEQ Figure \* ARABIC </w:instrText>
            </w:r>
            <w:r w:rsidR="00174344" w:rsidRPr="00347786">
              <w:fldChar w:fldCharType="separate"/>
            </w:r>
            <w:r w:rsidR="004C0396">
              <w:rPr>
                <w:noProof/>
              </w:rPr>
              <w:t>4</w:t>
            </w:r>
            <w:r w:rsidR="00174344" w:rsidRPr="00347786">
              <w:fldChar w:fldCharType="end"/>
            </w:r>
            <w:bookmarkEnd w:id="4"/>
            <w:r w:rsidRPr="00347786">
              <w:t>.</w:t>
            </w:r>
            <w:r w:rsidR="00E77B55" w:rsidRPr="00347786">
              <w:rPr>
                <w:rFonts w:cs="Times New Roman"/>
              </w:rPr>
              <w:t xml:space="preserve"> Schematic diagram of </w:t>
            </w:r>
            <w:r w:rsidR="00E77B55" w:rsidRPr="00347786">
              <w:rPr>
                <w:rFonts w:cs="Times New Roman"/>
                <w:iCs/>
              </w:rPr>
              <w:t>Er</w:t>
            </w:r>
            <w:r w:rsidR="00E77B55" w:rsidRPr="00347786">
              <w:rPr>
                <w:rFonts w:cs="Times New Roman"/>
                <w:vertAlign w:val="superscript"/>
              </w:rPr>
              <w:t>3+</w:t>
            </w:r>
            <w:r w:rsidR="00E77B55" w:rsidRPr="00347786">
              <w:rPr>
                <w:rFonts w:cs="Times New Roman"/>
              </w:rPr>
              <w:t>ion manifolds and interlevel transitions used in theoretical model.</w:t>
            </w:r>
          </w:p>
          <w:p w:rsidR="00057BAA" w:rsidRPr="00347786" w:rsidRDefault="00057BAA" w:rsidP="00E77B55">
            <w:pPr>
              <w:pStyle w:val="NoSpacing"/>
              <w:rPr>
                <w:sz w:val="22"/>
                <w:lang w:val="en-CA"/>
              </w:rPr>
            </w:pPr>
          </w:p>
        </w:tc>
      </w:tr>
    </w:tbl>
    <w:p w:rsidR="0063360E" w:rsidRPr="00147F19" w:rsidRDefault="0063360E" w:rsidP="0063360E">
      <w:pPr>
        <w:pStyle w:val="NoSpacing"/>
      </w:pPr>
    </w:p>
    <w:p w:rsidR="0063360E" w:rsidRPr="001E6261" w:rsidRDefault="0063360E" w:rsidP="0063360E">
      <w:pPr>
        <w:autoSpaceDE w:val="0"/>
        <w:autoSpaceDN w:val="0"/>
        <w:adjustRightInd w:val="0"/>
        <w:ind w:left="360" w:hanging="360"/>
        <w:rPr>
          <w:rFonts w:cs="Times New Roman"/>
          <w:sz w:val="22"/>
        </w:rPr>
      </w:pPr>
      <w:r w:rsidRPr="001E6261">
        <w:rPr>
          <w:rFonts w:cs="Times New Roman"/>
          <w:sz w:val="22"/>
        </w:rPr>
        <w:t xml:space="preserve">[1] </w:t>
      </w:r>
      <w:proofErr w:type="spellStart"/>
      <w:r w:rsidRPr="001E6261">
        <w:rPr>
          <w:rFonts w:cs="Times New Roman"/>
          <w:sz w:val="22"/>
        </w:rPr>
        <w:t>Scheps</w:t>
      </w:r>
      <w:proofErr w:type="spellEnd"/>
      <w:r w:rsidRPr="001E6261">
        <w:rPr>
          <w:rFonts w:cs="Times New Roman"/>
          <w:sz w:val="22"/>
        </w:rPr>
        <w:t xml:space="preserve"> R </w:t>
      </w:r>
      <w:proofErr w:type="spellStart"/>
      <w:r w:rsidRPr="001E6261">
        <w:rPr>
          <w:rFonts w:cs="Times New Roman"/>
          <w:sz w:val="22"/>
        </w:rPr>
        <w:t>Upconversion</w:t>
      </w:r>
      <w:proofErr w:type="spellEnd"/>
      <w:r w:rsidRPr="001E6261">
        <w:rPr>
          <w:rFonts w:cs="Times New Roman"/>
          <w:sz w:val="22"/>
        </w:rPr>
        <w:t xml:space="preserve"> laser processes.1996 </w:t>
      </w:r>
      <w:proofErr w:type="spellStart"/>
      <w:r w:rsidRPr="001E6261">
        <w:rPr>
          <w:rFonts w:cs="Times New Roman"/>
          <w:sz w:val="22"/>
        </w:rPr>
        <w:t>Prog</w:t>
      </w:r>
      <w:proofErr w:type="spellEnd"/>
      <w:r w:rsidRPr="001E6261">
        <w:rPr>
          <w:rFonts w:cs="Times New Roman"/>
          <w:sz w:val="22"/>
        </w:rPr>
        <w:t>. Quantum Electron. 20 271</w:t>
      </w:r>
    </w:p>
    <w:p w:rsidR="0063360E" w:rsidRPr="001E6261" w:rsidRDefault="0063360E" w:rsidP="0063360E">
      <w:pPr>
        <w:autoSpaceDE w:val="0"/>
        <w:autoSpaceDN w:val="0"/>
        <w:adjustRightInd w:val="0"/>
        <w:ind w:left="360" w:hanging="360"/>
        <w:rPr>
          <w:rFonts w:cs="Times New Roman"/>
          <w:sz w:val="22"/>
        </w:rPr>
      </w:pPr>
      <w:r w:rsidRPr="001E6261">
        <w:rPr>
          <w:rFonts w:cs="Times New Roman"/>
          <w:sz w:val="22"/>
        </w:rPr>
        <w:t xml:space="preserve">[2] </w:t>
      </w:r>
      <w:proofErr w:type="spellStart"/>
      <w:r w:rsidRPr="001E6261">
        <w:rPr>
          <w:rFonts w:cs="Times New Roman"/>
          <w:sz w:val="22"/>
        </w:rPr>
        <w:t>Kharel</w:t>
      </w:r>
      <w:proofErr w:type="spellEnd"/>
      <w:r w:rsidRPr="001E6261">
        <w:rPr>
          <w:rFonts w:cs="Times New Roman"/>
          <w:sz w:val="22"/>
        </w:rPr>
        <w:t xml:space="preserve"> P L, </w:t>
      </w:r>
      <w:proofErr w:type="spellStart"/>
      <w:r w:rsidRPr="001E6261">
        <w:rPr>
          <w:rFonts w:cs="Times New Roman"/>
          <w:sz w:val="22"/>
        </w:rPr>
        <w:t>Zamborini</w:t>
      </w:r>
      <w:proofErr w:type="spellEnd"/>
      <w:r w:rsidRPr="001E6261">
        <w:rPr>
          <w:rFonts w:cs="Times New Roman"/>
          <w:sz w:val="22"/>
        </w:rPr>
        <w:t xml:space="preserve"> F P and </w:t>
      </w:r>
      <w:proofErr w:type="spellStart"/>
      <w:r w:rsidRPr="001E6261">
        <w:rPr>
          <w:rFonts w:cs="Times New Roman"/>
          <w:sz w:val="22"/>
        </w:rPr>
        <w:t>Alphenaar</w:t>
      </w:r>
      <w:proofErr w:type="spellEnd"/>
      <w:r w:rsidRPr="001E6261">
        <w:rPr>
          <w:rFonts w:cs="Times New Roman"/>
          <w:sz w:val="22"/>
        </w:rPr>
        <w:t xml:space="preserve"> B W 2018 </w:t>
      </w:r>
      <w:proofErr w:type="spellStart"/>
      <w:r w:rsidRPr="001E6261">
        <w:rPr>
          <w:rFonts w:cs="Times New Roman"/>
          <w:sz w:val="22"/>
        </w:rPr>
        <w:t>J.Electroch.Soc</w:t>
      </w:r>
      <w:proofErr w:type="spellEnd"/>
      <w:r w:rsidRPr="001E6261">
        <w:rPr>
          <w:rFonts w:cs="Times New Roman"/>
          <w:sz w:val="22"/>
        </w:rPr>
        <w:t xml:space="preserve">. </w:t>
      </w:r>
      <w:proofErr w:type="gramStart"/>
      <w:r w:rsidRPr="001E6261">
        <w:rPr>
          <w:rFonts w:cs="Times New Roman"/>
          <w:sz w:val="22"/>
        </w:rPr>
        <w:t>165</w:t>
      </w:r>
      <w:proofErr w:type="gramEnd"/>
      <w:r w:rsidRPr="001E6261">
        <w:rPr>
          <w:rFonts w:cs="Times New Roman"/>
          <w:sz w:val="22"/>
        </w:rPr>
        <w:t xml:space="preserve"> H52</w:t>
      </w:r>
    </w:p>
    <w:p w:rsidR="0063360E" w:rsidRPr="001E6261" w:rsidRDefault="0063360E" w:rsidP="0063360E">
      <w:pPr>
        <w:autoSpaceDE w:val="0"/>
        <w:autoSpaceDN w:val="0"/>
        <w:adjustRightInd w:val="0"/>
        <w:ind w:left="360" w:hanging="360"/>
        <w:rPr>
          <w:rFonts w:cs="Times New Roman"/>
          <w:sz w:val="22"/>
        </w:rPr>
      </w:pPr>
      <w:r w:rsidRPr="001E6261">
        <w:rPr>
          <w:rFonts w:cs="Times New Roman"/>
          <w:sz w:val="22"/>
        </w:rPr>
        <w:t xml:space="preserve">[3] Ye C </w:t>
      </w:r>
      <w:proofErr w:type="spellStart"/>
      <w:r w:rsidRPr="001E6261">
        <w:rPr>
          <w:rFonts w:cs="Times New Roman"/>
          <w:sz w:val="22"/>
        </w:rPr>
        <w:t>C</w:t>
      </w:r>
      <w:proofErr w:type="spellEnd"/>
      <w:r w:rsidRPr="001E6261">
        <w:rPr>
          <w:rFonts w:cs="Times New Roman"/>
          <w:sz w:val="22"/>
        </w:rPr>
        <w:t xml:space="preserve">, Hewak D W, Hempstead M, Samson B N and Payne D N 1996 J. </w:t>
      </w:r>
      <w:proofErr w:type="gramStart"/>
      <w:r w:rsidRPr="001E6261">
        <w:rPr>
          <w:rFonts w:cs="Times New Roman"/>
          <w:sz w:val="22"/>
        </w:rPr>
        <w:t>Non</w:t>
      </w:r>
      <w:proofErr w:type="gramEnd"/>
      <w:r w:rsidRPr="001E6261">
        <w:rPr>
          <w:rFonts w:cs="Times New Roman"/>
          <w:sz w:val="22"/>
        </w:rPr>
        <w:t>. Cryst. Solids 208 56</w:t>
      </w:r>
    </w:p>
    <w:p w:rsidR="00057BAA" w:rsidRDefault="0063360E" w:rsidP="0063360E">
      <w:pPr>
        <w:pStyle w:val="NoSpacing"/>
        <w:ind w:left="360" w:hanging="360"/>
        <w:rPr>
          <w:lang w:val="en-CA"/>
        </w:rPr>
      </w:pPr>
      <w:r w:rsidRPr="001E6261">
        <w:rPr>
          <w:rFonts w:cs="Times New Roman"/>
          <w:sz w:val="22"/>
        </w:rPr>
        <w:t xml:space="preserve">[4] </w:t>
      </w:r>
      <w:proofErr w:type="spellStart"/>
      <w:r w:rsidRPr="001E6261">
        <w:rPr>
          <w:rFonts w:cs="Times New Roman"/>
          <w:sz w:val="22"/>
        </w:rPr>
        <w:t>Tverjanovich</w:t>
      </w:r>
      <w:proofErr w:type="spellEnd"/>
      <w:r w:rsidRPr="001E6261">
        <w:rPr>
          <w:rFonts w:cs="Times New Roman"/>
          <w:sz w:val="22"/>
        </w:rPr>
        <w:t xml:space="preserve"> A </w:t>
      </w:r>
      <w:proofErr w:type="spellStart"/>
      <w:r w:rsidRPr="001E6261">
        <w:rPr>
          <w:rFonts w:cs="Times New Roman"/>
          <w:sz w:val="22"/>
        </w:rPr>
        <w:t>Grigoriev</w:t>
      </w:r>
      <w:proofErr w:type="spellEnd"/>
      <w:r w:rsidRPr="001E6261">
        <w:rPr>
          <w:rFonts w:cs="Times New Roman"/>
          <w:sz w:val="22"/>
        </w:rPr>
        <w:t xml:space="preserve"> Y G </w:t>
      </w:r>
      <w:proofErr w:type="spellStart"/>
      <w:r w:rsidRPr="001E6261">
        <w:rPr>
          <w:rFonts w:cs="Times New Roman"/>
          <w:sz w:val="22"/>
        </w:rPr>
        <w:t>Degtyarev</w:t>
      </w:r>
      <w:proofErr w:type="spellEnd"/>
      <w:r w:rsidRPr="001E6261">
        <w:rPr>
          <w:rFonts w:cs="Times New Roman"/>
          <w:sz w:val="22"/>
        </w:rPr>
        <w:t xml:space="preserve"> S V </w:t>
      </w:r>
      <w:proofErr w:type="spellStart"/>
      <w:r w:rsidRPr="001E6261">
        <w:rPr>
          <w:rFonts w:cs="Times New Roman"/>
          <w:sz w:val="22"/>
        </w:rPr>
        <w:t>Kurochkin</w:t>
      </w:r>
      <w:proofErr w:type="spellEnd"/>
      <w:r w:rsidRPr="001E6261">
        <w:rPr>
          <w:rFonts w:cs="Times New Roman"/>
          <w:sz w:val="22"/>
        </w:rPr>
        <w:t xml:space="preserve"> A VA V </w:t>
      </w:r>
      <w:proofErr w:type="spellStart"/>
      <w:r w:rsidRPr="001E6261">
        <w:rPr>
          <w:rFonts w:cs="Times New Roman"/>
          <w:sz w:val="22"/>
        </w:rPr>
        <w:t>Man'shina</w:t>
      </w:r>
      <w:proofErr w:type="spellEnd"/>
      <w:r w:rsidRPr="001E6261">
        <w:rPr>
          <w:rFonts w:cs="Times New Roman"/>
          <w:sz w:val="22"/>
        </w:rPr>
        <w:t xml:space="preserve"> </w:t>
      </w:r>
      <w:proofErr w:type="gramStart"/>
      <w:r w:rsidRPr="001E6261">
        <w:rPr>
          <w:rFonts w:cs="Times New Roman"/>
          <w:sz w:val="22"/>
        </w:rPr>
        <w:t>A</w:t>
      </w:r>
      <w:proofErr w:type="gramEnd"/>
      <w:r w:rsidRPr="001E6261">
        <w:rPr>
          <w:rFonts w:cs="Times New Roman"/>
          <w:sz w:val="22"/>
        </w:rPr>
        <w:t xml:space="preserve"> </w:t>
      </w:r>
      <w:proofErr w:type="spellStart"/>
      <w:r w:rsidRPr="001E6261">
        <w:rPr>
          <w:rFonts w:cs="Times New Roman"/>
          <w:sz w:val="22"/>
        </w:rPr>
        <w:t>AIvanova</w:t>
      </w:r>
      <w:proofErr w:type="spellEnd"/>
      <w:r w:rsidRPr="001E6261">
        <w:rPr>
          <w:rFonts w:cs="Times New Roman"/>
          <w:sz w:val="22"/>
        </w:rPr>
        <w:t xml:space="preserve"> T Y </w:t>
      </w:r>
      <w:proofErr w:type="spellStart"/>
      <w:r w:rsidRPr="001E6261">
        <w:rPr>
          <w:rFonts w:cs="Times New Roman"/>
          <w:sz w:val="22"/>
        </w:rPr>
        <w:t>Povolotskiy</w:t>
      </w:r>
      <w:proofErr w:type="spellEnd"/>
      <w:r w:rsidRPr="001E6261">
        <w:rPr>
          <w:rFonts w:cs="Times New Roman"/>
          <w:sz w:val="22"/>
        </w:rPr>
        <w:t xml:space="preserve"> </w:t>
      </w:r>
      <w:proofErr w:type="spellStart"/>
      <w:r w:rsidRPr="001E6261">
        <w:rPr>
          <w:rFonts w:cs="Times New Roman"/>
          <w:sz w:val="22"/>
        </w:rPr>
        <w:t>ATveryanovich</w:t>
      </w:r>
      <w:proofErr w:type="spellEnd"/>
      <w:r w:rsidRPr="001E6261">
        <w:rPr>
          <w:rFonts w:cs="Times New Roman"/>
          <w:sz w:val="22"/>
        </w:rPr>
        <w:t xml:space="preserve"> Y S 2003 J. Non. Cryst. Solids 326&amp;327 311</w:t>
      </w:r>
    </w:p>
    <w:p w:rsidR="00057BAA" w:rsidRPr="00DE0510" w:rsidRDefault="00057BAA" w:rsidP="00DE0510">
      <w:pPr>
        <w:pStyle w:val="NoSpacing"/>
        <w:rPr>
          <w:lang w:val="en-CA"/>
        </w:rPr>
      </w:pPr>
    </w:p>
    <w:sectPr w:rsidR="00057BAA" w:rsidRPr="00DE0510" w:rsidSect="005509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7FD"/>
    <w:rsid w:val="000120CB"/>
    <w:rsid w:val="000437BF"/>
    <w:rsid w:val="00057BAA"/>
    <w:rsid w:val="00095203"/>
    <w:rsid w:val="000960DB"/>
    <w:rsid w:val="000F6A49"/>
    <w:rsid w:val="00101B66"/>
    <w:rsid w:val="00112ACB"/>
    <w:rsid w:val="00144E4F"/>
    <w:rsid w:val="00147F19"/>
    <w:rsid w:val="00157205"/>
    <w:rsid w:val="00174344"/>
    <w:rsid w:val="001747FD"/>
    <w:rsid w:val="001815C4"/>
    <w:rsid w:val="001939BA"/>
    <w:rsid w:val="001B0D9A"/>
    <w:rsid w:val="001E6261"/>
    <w:rsid w:val="00206176"/>
    <w:rsid w:val="002132E1"/>
    <w:rsid w:val="0023045C"/>
    <w:rsid w:val="002677FC"/>
    <w:rsid w:val="00277ECB"/>
    <w:rsid w:val="00327E1E"/>
    <w:rsid w:val="00347786"/>
    <w:rsid w:val="0035056C"/>
    <w:rsid w:val="003672C0"/>
    <w:rsid w:val="00377178"/>
    <w:rsid w:val="00380230"/>
    <w:rsid w:val="003D141F"/>
    <w:rsid w:val="003D46FF"/>
    <w:rsid w:val="003E05EE"/>
    <w:rsid w:val="0046155A"/>
    <w:rsid w:val="0047155F"/>
    <w:rsid w:val="00494D3F"/>
    <w:rsid w:val="004C0396"/>
    <w:rsid w:val="004D4C37"/>
    <w:rsid w:val="004F0440"/>
    <w:rsid w:val="00517191"/>
    <w:rsid w:val="00532CD3"/>
    <w:rsid w:val="005421BB"/>
    <w:rsid w:val="005509C7"/>
    <w:rsid w:val="005509F8"/>
    <w:rsid w:val="005677F1"/>
    <w:rsid w:val="005A13CB"/>
    <w:rsid w:val="005C62E5"/>
    <w:rsid w:val="006313E2"/>
    <w:rsid w:val="0063360E"/>
    <w:rsid w:val="0067130F"/>
    <w:rsid w:val="006A185C"/>
    <w:rsid w:val="006B22CE"/>
    <w:rsid w:val="006B5FB6"/>
    <w:rsid w:val="006F540A"/>
    <w:rsid w:val="007060C1"/>
    <w:rsid w:val="00731A7B"/>
    <w:rsid w:val="00740344"/>
    <w:rsid w:val="00785232"/>
    <w:rsid w:val="007E4BB8"/>
    <w:rsid w:val="00802A75"/>
    <w:rsid w:val="00811DC5"/>
    <w:rsid w:val="00813BAA"/>
    <w:rsid w:val="0083180C"/>
    <w:rsid w:val="008340A7"/>
    <w:rsid w:val="00865DA2"/>
    <w:rsid w:val="00883312"/>
    <w:rsid w:val="008B7AEE"/>
    <w:rsid w:val="008E499E"/>
    <w:rsid w:val="009038EE"/>
    <w:rsid w:val="0091333A"/>
    <w:rsid w:val="00921874"/>
    <w:rsid w:val="009968B8"/>
    <w:rsid w:val="009C312C"/>
    <w:rsid w:val="00A0637B"/>
    <w:rsid w:val="00A871D3"/>
    <w:rsid w:val="00AB3893"/>
    <w:rsid w:val="00AC0C16"/>
    <w:rsid w:val="00AC7F32"/>
    <w:rsid w:val="00B054E2"/>
    <w:rsid w:val="00B240A8"/>
    <w:rsid w:val="00B87D1A"/>
    <w:rsid w:val="00B97C1B"/>
    <w:rsid w:val="00BD2C15"/>
    <w:rsid w:val="00BE4133"/>
    <w:rsid w:val="00C41103"/>
    <w:rsid w:val="00C65C97"/>
    <w:rsid w:val="00C801DC"/>
    <w:rsid w:val="00C96D3E"/>
    <w:rsid w:val="00CD2A01"/>
    <w:rsid w:val="00CE3531"/>
    <w:rsid w:val="00D128C2"/>
    <w:rsid w:val="00D56D53"/>
    <w:rsid w:val="00D77E0F"/>
    <w:rsid w:val="00D8242A"/>
    <w:rsid w:val="00D93137"/>
    <w:rsid w:val="00DD57D2"/>
    <w:rsid w:val="00DE0510"/>
    <w:rsid w:val="00DE277E"/>
    <w:rsid w:val="00E40EBE"/>
    <w:rsid w:val="00E77B55"/>
    <w:rsid w:val="00EA02CA"/>
    <w:rsid w:val="00EB1AC4"/>
    <w:rsid w:val="00F56C42"/>
    <w:rsid w:val="00F64F58"/>
    <w:rsid w:val="00F96939"/>
    <w:rsid w:val="00FC1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75E8DFE-E32B-4FAD-9456-53CD8B779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NoSpacing"/>
    <w:qFormat/>
    <w:rsid w:val="00811DC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DC5"/>
    <w:pPr>
      <w:spacing w:after="0" w:line="240" w:lineRule="auto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811DC5"/>
    <w:rPr>
      <w:iCs/>
      <w:szCs w:val="18"/>
    </w:rPr>
  </w:style>
  <w:style w:type="character" w:styleId="Emphasis">
    <w:name w:val="Emphasis"/>
    <w:basedOn w:val="DefaultParagraphFont"/>
    <w:uiPriority w:val="20"/>
    <w:qFormat/>
    <w:rsid w:val="008E499E"/>
    <w:rPr>
      <w:i/>
      <w:iCs/>
    </w:rPr>
  </w:style>
  <w:style w:type="table" w:styleId="TableGrid">
    <w:name w:val="Table Grid"/>
    <w:basedOn w:val="TableNormal"/>
    <w:uiPriority w:val="39"/>
    <w:rsid w:val="0005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B59B3-655F-4AE3-93A4-70E17C825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1008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Saskatchewan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Koughia, Kirill</dc:creator>
  <cp:keywords/>
  <dc:description/>
  <cp:lastModifiedBy>Craig C.</cp:lastModifiedBy>
  <cp:revision>3</cp:revision>
  <cp:lastPrinted>2019-02-12T10:44:00Z</cp:lastPrinted>
  <dcterms:created xsi:type="dcterms:W3CDTF">2019-06-06T08:10:00Z</dcterms:created>
  <dcterms:modified xsi:type="dcterms:W3CDTF">2019-06-06T08:38:00Z</dcterms:modified>
</cp:coreProperties>
</file>