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11E0B" w14:textId="598BC806" w:rsidR="00F217A7" w:rsidRPr="004F538D" w:rsidRDefault="000D5B2F" w:rsidP="001F48A3">
      <w:pPr>
        <w:jc w:val="both"/>
        <w:rPr>
          <w:rFonts w:ascii="Times New Roman" w:hAnsi="Times New Roman" w:cs="Times New Roman"/>
          <w:b/>
          <w:sz w:val="32"/>
          <w:szCs w:val="26"/>
        </w:rPr>
      </w:pPr>
      <w:bookmarkStart w:id="0" w:name="_GoBack"/>
      <w:bookmarkEnd w:id="0"/>
      <w:r w:rsidRPr="004F538D">
        <w:rPr>
          <w:rFonts w:ascii="Times New Roman" w:hAnsi="Times New Roman" w:cs="Times New Roman"/>
          <w:b/>
          <w:sz w:val="32"/>
          <w:szCs w:val="26"/>
        </w:rPr>
        <w:t xml:space="preserve">Corporate Governance </w:t>
      </w:r>
      <w:r w:rsidR="00F217A7" w:rsidRPr="004F538D">
        <w:rPr>
          <w:rFonts w:ascii="Times New Roman" w:hAnsi="Times New Roman" w:cs="Times New Roman"/>
          <w:b/>
          <w:sz w:val="32"/>
          <w:szCs w:val="26"/>
        </w:rPr>
        <w:t xml:space="preserve">and </w:t>
      </w:r>
      <w:r w:rsidR="003B7AF9" w:rsidRPr="004F538D">
        <w:rPr>
          <w:rFonts w:ascii="Times New Roman" w:hAnsi="Times New Roman" w:cs="Times New Roman"/>
          <w:b/>
          <w:sz w:val="32"/>
          <w:szCs w:val="26"/>
        </w:rPr>
        <w:t xml:space="preserve">the Timeliness of Audited </w:t>
      </w:r>
      <w:r w:rsidR="00611452" w:rsidRPr="004F538D">
        <w:rPr>
          <w:rFonts w:ascii="Times New Roman" w:hAnsi="Times New Roman" w:cs="Times New Roman"/>
          <w:b/>
          <w:sz w:val="32"/>
          <w:szCs w:val="26"/>
        </w:rPr>
        <w:t>Financial Statements</w:t>
      </w:r>
      <w:r w:rsidRPr="004F538D">
        <w:rPr>
          <w:rFonts w:ascii="Times New Roman" w:hAnsi="Times New Roman" w:cs="Times New Roman"/>
          <w:b/>
          <w:sz w:val="32"/>
          <w:szCs w:val="26"/>
        </w:rPr>
        <w:t xml:space="preserve">: the Case of </w:t>
      </w:r>
      <w:r w:rsidR="00F217A7" w:rsidRPr="004F538D">
        <w:rPr>
          <w:rFonts w:ascii="Times New Roman" w:hAnsi="Times New Roman" w:cs="Times New Roman"/>
          <w:b/>
          <w:sz w:val="32"/>
          <w:szCs w:val="26"/>
        </w:rPr>
        <w:t>Kenyan Listed Firms</w:t>
      </w:r>
    </w:p>
    <w:p w14:paraId="36BE7AA5" w14:textId="77777777" w:rsidR="007C40D0" w:rsidRPr="004F538D" w:rsidRDefault="007C40D0" w:rsidP="009A441D">
      <w:pPr>
        <w:jc w:val="both"/>
        <w:rPr>
          <w:rFonts w:ascii="Times New Roman" w:hAnsi="Times New Roman" w:cs="Times New Roman"/>
          <w:b/>
          <w:sz w:val="24"/>
          <w:szCs w:val="24"/>
        </w:rPr>
      </w:pPr>
    </w:p>
    <w:p w14:paraId="5A2607EC" w14:textId="5822A449" w:rsidR="00FE0408" w:rsidRPr="004F538D" w:rsidRDefault="002B53A2" w:rsidP="009A441D">
      <w:pPr>
        <w:jc w:val="both"/>
        <w:rPr>
          <w:rFonts w:ascii="Times New Roman" w:hAnsi="Times New Roman" w:cs="Times New Roman"/>
          <w:b/>
          <w:sz w:val="24"/>
          <w:szCs w:val="24"/>
        </w:rPr>
      </w:pPr>
      <w:r w:rsidRPr="004F538D">
        <w:rPr>
          <w:rFonts w:ascii="Times New Roman" w:hAnsi="Times New Roman" w:cs="Times New Roman"/>
          <w:b/>
          <w:sz w:val="24"/>
          <w:szCs w:val="24"/>
        </w:rPr>
        <w:t>Abstract</w:t>
      </w:r>
    </w:p>
    <w:p w14:paraId="38F138AB" w14:textId="0CEE3549" w:rsidR="00AA1B81" w:rsidRPr="004F538D" w:rsidRDefault="00AA1B81" w:rsidP="009A441D">
      <w:pPr>
        <w:jc w:val="both"/>
        <w:rPr>
          <w:rFonts w:ascii="Times New Roman" w:hAnsi="Times New Roman" w:cs="Times New Roman"/>
        </w:rPr>
      </w:pPr>
      <w:r w:rsidRPr="004F538D">
        <w:rPr>
          <w:rFonts w:ascii="Times New Roman" w:hAnsi="Times New Roman" w:cs="Times New Roman"/>
          <w:i/>
          <w:sz w:val="24"/>
          <w:szCs w:val="24"/>
        </w:rPr>
        <w:t xml:space="preserve">Purpose: </w:t>
      </w:r>
      <w:r w:rsidRPr="004F538D">
        <w:rPr>
          <w:rFonts w:ascii="Times New Roman" w:hAnsi="Times New Roman" w:cs="Times New Roman"/>
          <w:sz w:val="24"/>
          <w:szCs w:val="26"/>
        </w:rPr>
        <w:t xml:space="preserve">The nature of corporate governance (CG) </w:t>
      </w:r>
      <w:r w:rsidR="00CE6DBC" w:rsidRPr="004F538D">
        <w:rPr>
          <w:rFonts w:ascii="Times New Roman" w:hAnsi="Times New Roman" w:cs="Times New Roman"/>
          <w:sz w:val="24"/>
          <w:szCs w:val="26"/>
        </w:rPr>
        <w:t xml:space="preserve">mechanisms </w:t>
      </w:r>
      <w:r w:rsidRPr="004F538D">
        <w:rPr>
          <w:rFonts w:ascii="Times New Roman" w:hAnsi="Times New Roman" w:cs="Times New Roman"/>
          <w:sz w:val="24"/>
          <w:szCs w:val="26"/>
        </w:rPr>
        <w:t xml:space="preserve">in an entity may influence the timeliness of the audited annual report. We argue that the “quality” of CG in a firm has a significant association with the time it takes the audited annual report </w:t>
      </w:r>
      <w:r w:rsidR="00B43A8F" w:rsidRPr="004F538D">
        <w:rPr>
          <w:rFonts w:ascii="Times New Roman" w:hAnsi="Times New Roman" w:cs="Times New Roman"/>
          <w:sz w:val="24"/>
          <w:szCs w:val="26"/>
        </w:rPr>
        <w:t xml:space="preserve">and financial statements </w:t>
      </w:r>
      <w:r w:rsidRPr="004F538D">
        <w:rPr>
          <w:rFonts w:ascii="Times New Roman" w:hAnsi="Times New Roman" w:cs="Times New Roman"/>
          <w:sz w:val="24"/>
          <w:szCs w:val="26"/>
        </w:rPr>
        <w:t>to be released.</w:t>
      </w:r>
    </w:p>
    <w:p w14:paraId="1917BC9C" w14:textId="641C15DE" w:rsidR="00AA1B81" w:rsidRPr="004F538D" w:rsidRDefault="00AA1B81" w:rsidP="009A441D">
      <w:pPr>
        <w:jc w:val="both"/>
        <w:rPr>
          <w:rFonts w:ascii="Times New Roman" w:hAnsi="Times New Roman" w:cs="Times New Roman"/>
        </w:rPr>
      </w:pPr>
      <w:r w:rsidRPr="004F538D">
        <w:rPr>
          <w:rFonts w:ascii="Times New Roman" w:hAnsi="Times New Roman" w:cs="Times New Roman"/>
          <w:i/>
          <w:sz w:val="24"/>
          <w:szCs w:val="24"/>
        </w:rPr>
        <w:t xml:space="preserve">Design/methodology/approach: </w:t>
      </w:r>
      <w:r w:rsidRPr="004F538D">
        <w:rPr>
          <w:rFonts w:ascii="Times New Roman" w:hAnsi="Times New Roman" w:cs="Times New Roman"/>
          <w:sz w:val="24"/>
          <w:szCs w:val="26"/>
        </w:rPr>
        <w:t xml:space="preserve">Using a set of 543 firm-year observations over the period 2007 – 2016, we examine whether </w:t>
      </w:r>
      <w:r w:rsidR="00225848" w:rsidRPr="004F538D">
        <w:rPr>
          <w:rFonts w:ascii="Times New Roman" w:hAnsi="Times New Roman" w:cs="Times New Roman"/>
          <w:sz w:val="24"/>
          <w:szCs w:val="26"/>
        </w:rPr>
        <w:t>a</w:t>
      </w:r>
      <w:r w:rsidRPr="004F538D">
        <w:rPr>
          <w:rFonts w:ascii="Times New Roman" w:hAnsi="Times New Roman" w:cs="Times New Roman"/>
          <w:sz w:val="24"/>
          <w:szCs w:val="26"/>
        </w:rPr>
        <w:t xml:space="preserve"> validated </w:t>
      </w:r>
      <w:r w:rsidR="00B43A8F" w:rsidRPr="004F538D">
        <w:rPr>
          <w:rFonts w:ascii="Times New Roman" w:hAnsi="Times New Roman" w:cs="Times New Roman"/>
          <w:sz w:val="24"/>
          <w:szCs w:val="26"/>
        </w:rPr>
        <w:t>CG-</w:t>
      </w:r>
      <w:r w:rsidRPr="004F538D">
        <w:rPr>
          <w:rFonts w:ascii="Times New Roman" w:hAnsi="Times New Roman" w:cs="Times New Roman"/>
          <w:sz w:val="24"/>
          <w:szCs w:val="26"/>
        </w:rPr>
        <w:t xml:space="preserve">Index is associated with audit report delay (ARD). We employ both granular as well as aggregated approaches to the analyses. In addition, we </w:t>
      </w:r>
      <w:r w:rsidR="00FC5E9F">
        <w:rPr>
          <w:rFonts w:ascii="Times New Roman" w:hAnsi="Times New Roman" w:cs="Times New Roman"/>
          <w:sz w:val="24"/>
          <w:szCs w:val="26"/>
        </w:rPr>
        <w:t>include</w:t>
      </w:r>
      <w:r w:rsidRPr="004F538D">
        <w:rPr>
          <w:rFonts w:ascii="Times New Roman" w:hAnsi="Times New Roman" w:cs="Times New Roman"/>
          <w:sz w:val="24"/>
          <w:szCs w:val="26"/>
        </w:rPr>
        <w:t xml:space="preserve"> </w:t>
      </w:r>
      <w:r w:rsidR="00225848" w:rsidRPr="004F538D">
        <w:rPr>
          <w:rFonts w:ascii="Times New Roman" w:hAnsi="Times New Roman" w:cs="Times New Roman"/>
          <w:sz w:val="24"/>
          <w:szCs w:val="26"/>
        </w:rPr>
        <w:t>control</w:t>
      </w:r>
      <w:r w:rsidRPr="004F538D">
        <w:rPr>
          <w:rFonts w:ascii="Times New Roman" w:hAnsi="Times New Roman" w:cs="Times New Roman"/>
          <w:sz w:val="24"/>
          <w:szCs w:val="26"/>
        </w:rPr>
        <w:t xml:space="preserve"> variables known to have an association with ARD</w:t>
      </w:r>
      <w:r w:rsidR="00225848" w:rsidRPr="004F538D">
        <w:rPr>
          <w:rFonts w:ascii="Times New Roman" w:hAnsi="Times New Roman" w:cs="Times New Roman"/>
          <w:sz w:val="24"/>
          <w:szCs w:val="26"/>
        </w:rPr>
        <w:t xml:space="preserve"> in the panel data regressions</w:t>
      </w:r>
      <w:r w:rsidRPr="004F538D">
        <w:rPr>
          <w:rFonts w:ascii="Times New Roman" w:hAnsi="Times New Roman" w:cs="Times New Roman"/>
          <w:sz w:val="24"/>
          <w:szCs w:val="26"/>
        </w:rPr>
        <w:t>.</w:t>
      </w:r>
    </w:p>
    <w:p w14:paraId="14AED6C3" w14:textId="155D8C5A" w:rsidR="00273B58" w:rsidRPr="004F538D" w:rsidRDefault="00AA1B81" w:rsidP="009A441D">
      <w:pPr>
        <w:jc w:val="both"/>
        <w:rPr>
          <w:rFonts w:ascii="Times New Roman" w:hAnsi="Times New Roman" w:cs="Times New Roman"/>
          <w:sz w:val="24"/>
          <w:szCs w:val="26"/>
        </w:rPr>
      </w:pPr>
      <w:r w:rsidRPr="004F538D">
        <w:rPr>
          <w:rFonts w:ascii="Times New Roman" w:hAnsi="Times New Roman" w:cs="Times New Roman"/>
          <w:i/>
          <w:sz w:val="24"/>
          <w:szCs w:val="24"/>
        </w:rPr>
        <w:t>Findings:</w:t>
      </w:r>
      <w:r w:rsidRPr="004F538D">
        <w:rPr>
          <w:rFonts w:ascii="Times New Roman" w:hAnsi="Times New Roman" w:cs="Times New Roman"/>
          <w:sz w:val="24"/>
          <w:szCs w:val="24"/>
        </w:rPr>
        <w:t xml:space="preserve"> </w:t>
      </w:r>
      <w:r w:rsidRPr="004F538D">
        <w:rPr>
          <w:rFonts w:ascii="Times New Roman" w:hAnsi="Times New Roman" w:cs="Times New Roman"/>
          <w:sz w:val="24"/>
          <w:szCs w:val="26"/>
        </w:rPr>
        <w:t>Our findings</w:t>
      </w:r>
      <w:r w:rsidR="00225848" w:rsidRPr="004F538D">
        <w:rPr>
          <w:rFonts w:ascii="Times New Roman" w:hAnsi="Times New Roman" w:cs="Times New Roman"/>
          <w:sz w:val="24"/>
          <w:szCs w:val="26"/>
        </w:rPr>
        <w:t>, which are robust for self-selection among other checks,</w:t>
      </w:r>
      <w:r w:rsidRPr="004F538D">
        <w:rPr>
          <w:rFonts w:ascii="Times New Roman" w:hAnsi="Times New Roman" w:cs="Times New Roman"/>
          <w:sz w:val="24"/>
          <w:szCs w:val="26"/>
        </w:rPr>
        <w:t xml:space="preserve"> </w:t>
      </w:r>
      <w:r w:rsidR="0021178F">
        <w:rPr>
          <w:rFonts w:ascii="Times New Roman" w:hAnsi="Times New Roman" w:cs="Times New Roman"/>
          <w:sz w:val="24"/>
          <w:szCs w:val="26"/>
        </w:rPr>
        <w:t xml:space="preserve">reveal that </w:t>
      </w:r>
      <w:r w:rsidR="00273B58" w:rsidRPr="004F538D">
        <w:rPr>
          <w:rFonts w:ascii="Times New Roman" w:hAnsi="Times New Roman" w:cs="Times New Roman"/>
          <w:sz w:val="24"/>
          <w:szCs w:val="26"/>
        </w:rPr>
        <w:t xml:space="preserve">financial expertise in </w:t>
      </w:r>
      <w:r w:rsidR="0021178F">
        <w:rPr>
          <w:rFonts w:ascii="Times New Roman" w:hAnsi="Times New Roman" w:cs="Times New Roman"/>
          <w:sz w:val="24"/>
          <w:szCs w:val="26"/>
        </w:rPr>
        <w:t>the audit committee</w:t>
      </w:r>
      <w:r w:rsidR="00273B58" w:rsidRPr="004F538D">
        <w:rPr>
          <w:rFonts w:ascii="Times New Roman" w:hAnsi="Times New Roman" w:cs="Times New Roman"/>
          <w:sz w:val="24"/>
          <w:szCs w:val="26"/>
        </w:rPr>
        <w:t xml:space="preserve">, board size, board meetings and independence in the board </w:t>
      </w:r>
      <w:r w:rsidR="00652594">
        <w:rPr>
          <w:rFonts w:ascii="Times New Roman" w:hAnsi="Times New Roman" w:cs="Times New Roman"/>
          <w:sz w:val="24"/>
          <w:szCs w:val="26"/>
        </w:rPr>
        <w:t>are</w:t>
      </w:r>
      <w:r w:rsidR="00273B58" w:rsidRPr="004F538D">
        <w:rPr>
          <w:rFonts w:ascii="Times New Roman" w:hAnsi="Times New Roman" w:cs="Times New Roman"/>
          <w:sz w:val="24"/>
          <w:szCs w:val="26"/>
        </w:rPr>
        <w:t xml:space="preserve"> associated with longer ARDs. Some CG attributes such as board diversity (i.e., women and differen</w:t>
      </w:r>
      <w:r w:rsidR="00345B93">
        <w:rPr>
          <w:rFonts w:ascii="Times New Roman" w:hAnsi="Times New Roman" w:cs="Times New Roman"/>
          <w:sz w:val="24"/>
          <w:szCs w:val="26"/>
        </w:rPr>
        <w:t>t nationalities in the board) a</w:t>
      </w:r>
      <w:r w:rsidR="00273B58" w:rsidRPr="004F538D">
        <w:rPr>
          <w:rFonts w:ascii="Times New Roman" w:hAnsi="Times New Roman" w:cs="Times New Roman"/>
          <w:sz w:val="24"/>
          <w:szCs w:val="26"/>
        </w:rPr>
        <w:t xml:space="preserve">re associated with improved timeliness of the annual reports. The results also reveal that </w:t>
      </w:r>
      <w:r w:rsidR="00345B93">
        <w:rPr>
          <w:rFonts w:ascii="Times New Roman" w:hAnsi="Times New Roman" w:cs="Times New Roman"/>
          <w:sz w:val="24"/>
          <w:szCs w:val="26"/>
        </w:rPr>
        <w:t xml:space="preserve">a </w:t>
      </w:r>
      <w:r w:rsidR="00273B58" w:rsidRPr="004F538D">
        <w:rPr>
          <w:rFonts w:ascii="Times New Roman" w:hAnsi="Times New Roman" w:cs="Times New Roman"/>
          <w:sz w:val="24"/>
          <w:szCs w:val="26"/>
        </w:rPr>
        <w:t xml:space="preserve">longer tenure for independent directors in the board is associated with </w:t>
      </w:r>
      <w:r w:rsidR="00345B93">
        <w:rPr>
          <w:rFonts w:ascii="Times New Roman" w:hAnsi="Times New Roman" w:cs="Times New Roman"/>
          <w:sz w:val="24"/>
          <w:szCs w:val="26"/>
        </w:rPr>
        <w:t xml:space="preserve">a </w:t>
      </w:r>
      <w:r w:rsidR="00273B58" w:rsidRPr="004F538D">
        <w:rPr>
          <w:rFonts w:ascii="Times New Roman" w:hAnsi="Times New Roman" w:cs="Times New Roman"/>
          <w:sz w:val="24"/>
          <w:szCs w:val="26"/>
        </w:rPr>
        <w:t>shorter ARD. Overall, we find that the composite CG score has a positive influence on the timeliness of annual reports.</w:t>
      </w:r>
    </w:p>
    <w:p w14:paraId="4FB1222F" w14:textId="200B2623" w:rsidR="00AA1B81" w:rsidRPr="004F538D" w:rsidRDefault="00AA1B81" w:rsidP="009A441D">
      <w:pPr>
        <w:jc w:val="both"/>
        <w:rPr>
          <w:rFonts w:ascii="Times New Roman" w:hAnsi="Times New Roman" w:cs="Times New Roman"/>
        </w:rPr>
      </w:pPr>
      <w:r w:rsidRPr="004F538D">
        <w:rPr>
          <w:rFonts w:ascii="Times New Roman" w:hAnsi="Times New Roman" w:cs="Times New Roman"/>
          <w:i/>
          <w:sz w:val="24"/>
          <w:szCs w:val="24"/>
        </w:rPr>
        <w:t>Limitations</w:t>
      </w:r>
      <w:r w:rsidRPr="004F538D">
        <w:rPr>
          <w:rFonts w:ascii="Times New Roman" w:hAnsi="Times New Roman" w:cs="Times New Roman"/>
          <w:sz w:val="24"/>
          <w:szCs w:val="24"/>
        </w:rPr>
        <w:t>:</w:t>
      </w:r>
      <w:r w:rsidR="002003C1" w:rsidRPr="004F538D">
        <w:rPr>
          <w:rFonts w:ascii="Times New Roman" w:hAnsi="Times New Roman" w:cs="Times New Roman"/>
          <w:sz w:val="24"/>
          <w:szCs w:val="24"/>
        </w:rPr>
        <w:t xml:space="preserve"> The study focuses on listed companies in one developing country. Additional studies focusing on other jurisdi</w:t>
      </w:r>
      <w:r w:rsidR="00345B93">
        <w:rPr>
          <w:rFonts w:ascii="Times New Roman" w:hAnsi="Times New Roman" w:cs="Times New Roman"/>
          <w:sz w:val="24"/>
          <w:szCs w:val="24"/>
        </w:rPr>
        <w:t>ctions could yield more results</w:t>
      </w:r>
      <w:r w:rsidR="002003C1" w:rsidRPr="004F538D">
        <w:rPr>
          <w:rFonts w:ascii="Times New Roman" w:hAnsi="Times New Roman" w:cs="Times New Roman"/>
          <w:sz w:val="24"/>
          <w:szCs w:val="24"/>
        </w:rPr>
        <w:t>.</w:t>
      </w:r>
    </w:p>
    <w:p w14:paraId="59793B9D" w14:textId="5B3F47D9" w:rsidR="00AA1B81" w:rsidRPr="004F538D" w:rsidRDefault="00AA1B81" w:rsidP="009A441D">
      <w:pPr>
        <w:jc w:val="both"/>
        <w:rPr>
          <w:rFonts w:ascii="Times New Roman" w:hAnsi="Times New Roman" w:cs="Times New Roman"/>
        </w:rPr>
      </w:pPr>
      <w:r w:rsidRPr="004F538D">
        <w:rPr>
          <w:rFonts w:ascii="Times New Roman" w:hAnsi="Times New Roman" w:cs="Times New Roman"/>
          <w:i/>
          <w:sz w:val="24"/>
          <w:szCs w:val="24"/>
        </w:rPr>
        <w:t>Practical implications</w:t>
      </w:r>
      <w:r w:rsidRPr="004F538D">
        <w:rPr>
          <w:rFonts w:ascii="Times New Roman" w:hAnsi="Times New Roman" w:cs="Times New Roman"/>
          <w:sz w:val="24"/>
          <w:szCs w:val="24"/>
        </w:rPr>
        <w:t xml:space="preserve">: </w:t>
      </w:r>
      <w:r w:rsidRPr="004F538D">
        <w:rPr>
          <w:rFonts w:ascii="Times New Roman" w:hAnsi="Times New Roman" w:cs="Times New Roman"/>
          <w:sz w:val="24"/>
          <w:szCs w:val="26"/>
        </w:rPr>
        <w:t>The study is useful in highlighting those CG characteristics firms should focus on towards the attainment of timely corporate reporting</w:t>
      </w:r>
      <w:r w:rsidR="00652594">
        <w:rPr>
          <w:rFonts w:ascii="Times New Roman" w:hAnsi="Times New Roman" w:cs="Times New Roman"/>
          <w:sz w:val="24"/>
          <w:szCs w:val="26"/>
        </w:rPr>
        <w:t xml:space="preserve"> </w:t>
      </w:r>
      <w:r w:rsidR="00345B93">
        <w:rPr>
          <w:rFonts w:ascii="Times New Roman" w:hAnsi="Times New Roman" w:cs="Times New Roman"/>
          <w:sz w:val="24"/>
          <w:szCs w:val="26"/>
        </w:rPr>
        <w:t>to aid in decision making by users</w:t>
      </w:r>
      <w:r w:rsidRPr="004F538D">
        <w:rPr>
          <w:rFonts w:ascii="Times New Roman" w:hAnsi="Times New Roman" w:cs="Times New Roman"/>
          <w:sz w:val="24"/>
          <w:szCs w:val="26"/>
        </w:rPr>
        <w:t>.</w:t>
      </w:r>
    </w:p>
    <w:p w14:paraId="1AF0EE5F" w14:textId="416C2662" w:rsidR="00AA1B81" w:rsidRPr="004F538D" w:rsidRDefault="00AA1B81" w:rsidP="009A441D">
      <w:pPr>
        <w:jc w:val="both"/>
        <w:rPr>
          <w:rFonts w:ascii="Times New Roman" w:hAnsi="Times New Roman" w:cs="Times New Roman"/>
        </w:rPr>
      </w:pPr>
      <w:r w:rsidRPr="004F538D">
        <w:rPr>
          <w:rFonts w:ascii="Times New Roman" w:hAnsi="Times New Roman" w:cs="Times New Roman"/>
          <w:i/>
          <w:sz w:val="24"/>
          <w:szCs w:val="24"/>
        </w:rPr>
        <w:t xml:space="preserve">Originality/value: </w:t>
      </w:r>
      <w:r w:rsidRPr="004F538D">
        <w:rPr>
          <w:rFonts w:ascii="Times New Roman" w:hAnsi="Times New Roman" w:cs="Times New Roman"/>
          <w:sz w:val="24"/>
          <w:szCs w:val="26"/>
        </w:rPr>
        <w:t>The study is unique since it emphasizes the</w:t>
      </w:r>
      <w:r w:rsidR="00345B93">
        <w:rPr>
          <w:rFonts w:ascii="Times New Roman" w:hAnsi="Times New Roman" w:cs="Times New Roman"/>
          <w:sz w:val="24"/>
          <w:szCs w:val="26"/>
        </w:rPr>
        <w:t xml:space="preserve"> importance of focusing on an aggregate CG-Index, </w:t>
      </w:r>
      <w:r w:rsidRPr="004F538D">
        <w:rPr>
          <w:rFonts w:ascii="Times New Roman" w:hAnsi="Times New Roman" w:cs="Times New Roman"/>
          <w:sz w:val="24"/>
          <w:szCs w:val="26"/>
        </w:rPr>
        <w:t xml:space="preserve">and the contribution of the </w:t>
      </w:r>
      <w:r w:rsidR="002003C1" w:rsidRPr="004F538D">
        <w:rPr>
          <w:rFonts w:ascii="Times New Roman" w:hAnsi="Times New Roman" w:cs="Times New Roman"/>
          <w:sz w:val="24"/>
          <w:szCs w:val="26"/>
        </w:rPr>
        <w:t>C</w:t>
      </w:r>
      <w:r w:rsidRPr="004F538D">
        <w:rPr>
          <w:rFonts w:ascii="Times New Roman" w:hAnsi="Times New Roman" w:cs="Times New Roman"/>
          <w:sz w:val="24"/>
          <w:szCs w:val="26"/>
        </w:rPr>
        <w:t>G-Index towards the timeliness of annual reports.</w:t>
      </w:r>
    </w:p>
    <w:p w14:paraId="27F5816A" w14:textId="57A89EC2" w:rsidR="00AA1B81" w:rsidRPr="004F538D" w:rsidRDefault="00AA1B81" w:rsidP="009A441D">
      <w:pPr>
        <w:jc w:val="both"/>
        <w:rPr>
          <w:rFonts w:ascii="Times New Roman" w:hAnsi="Times New Roman" w:cs="Times New Roman"/>
        </w:rPr>
      </w:pPr>
      <w:r w:rsidRPr="004F538D">
        <w:rPr>
          <w:rFonts w:ascii="Times New Roman" w:hAnsi="Times New Roman" w:cs="Times New Roman"/>
          <w:i/>
          <w:sz w:val="24"/>
          <w:szCs w:val="24"/>
        </w:rPr>
        <w:t>Keywords:</w:t>
      </w:r>
      <w:r w:rsidRPr="004F538D">
        <w:rPr>
          <w:rFonts w:ascii="Times New Roman" w:hAnsi="Times New Roman" w:cs="Times New Roman"/>
          <w:sz w:val="24"/>
          <w:szCs w:val="26"/>
        </w:rPr>
        <w:t xml:space="preserve"> </w:t>
      </w:r>
      <w:r w:rsidR="00D34B1B" w:rsidRPr="004F538D">
        <w:rPr>
          <w:rFonts w:ascii="Times New Roman" w:hAnsi="Times New Roman" w:cs="Times New Roman"/>
          <w:sz w:val="24"/>
          <w:szCs w:val="26"/>
        </w:rPr>
        <w:t>C</w:t>
      </w:r>
      <w:r w:rsidRPr="004F538D">
        <w:rPr>
          <w:rFonts w:ascii="Times New Roman" w:hAnsi="Times New Roman" w:cs="Times New Roman"/>
          <w:sz w:val="24"/>
          <w:szCs w:val="26"/>
        </w:rPr>
        <w:t xml:space="preserve">orporate governance, audit report </w:t>
      </w:r>
      <w:r w:rsidR="00D34B1B" w:rsidRPr="004F538D">
        <w:rPr>
          <w:rFonts w:ascii="Times New Roman" w:hAnsi="Times New Roman" w:cs="Times New Roman"/>
          <w:sz w:val="24"/>
          <w:szCs w:val="26"/>
        </w:rPr>
        <w:t>delay,</w:t>
      </w:r>
      <w:r w:rsidRPr="004F538D">
        <w:rPr>
          <w:rFonts w:ascii="Times New Roman" w:hAnsi="Times New Roman" w:cs="Times New Roman"/>
          <w:sz w:val="24"/>
          <w:szCs w:val="26"/>
        </w:rPr>
        <w:t xml:space="preserve"> </w:t>
      </w:r>
      <w:r w:rsidR="00D34B1B" w:rsidRPr="004F538D">
        <w:rPr>
          <w:rFonts w:ascii="Times New Roman" w:hAnsi="Times New Roman" w:cs="Times New Roman"/>
          <w:sz w:val="24"/>
          <w:szCs w:val="26"/>
        </w:rPr>
        <w:t xml:space="preserve">annual report, </w:t>
      </w:r>
      <w:r w:rsidR="005F0250">
        <w:rPr>
          <w:rFonts w:ascii="Times New Roman" w:hAnsi="Times New Roman" w:cs="Times New Roman"/>
          <w:sz w:val="24"/>
          <w:szCs w:val="26"/>
        </w:rPr>
        <w:t xml:space="preserve">board </w:t>
      </w:r>
      <w:r w:rsidR="00D34B1B" w:rsidRPr="004F538D">
        <w:rPr>
          <w:rFonts w:ascii="Times New Roman" w:hAnsi="Times New Roman" w:cs="Times New Roman"/>
          <w:sz w:val="24"/>
          <w:szCs w:val="26"/>
        </w:rPr>
        <w:t xml:space="preserve">diversity, </w:t>
      </w:r>
      <w:r w:rsidRPr="004F538D">
        <w:rPr>
          <w:rFonts w:ascii="Times New Roman" w:hAnsi="Times New Roman" w:cs="Times New Roman"/>
          <w:sz w:val="24"/>
          <w:szCs w:val="26"/>
        </w:rPr>
        <w:t>Kenya</w:t>
      </w:r>
    </w:p>
    <w:p w14:paraId="10727D41" w14:textId="4332A919" w:rsidR="00AA1B81" w:rsidRPr="004F538D" w:rsidRDefault="00AA1B81" w:rsidP="00AA1B81">
      <w:pPr>
        <w:rPr>
          <w:rFonts w:ascii="Times New Roman" w:hAnsi="Times New Roman" w:cs="Times New Roman"/>
        </w:rPr>
      </w:pPr>
      <w:r w:rsidRPr="004F538D">
        <w:rPr>
          <w:rFonts w:ascii="Times New Roman" w:hAnsi="Times New Roman" w:cs="Times New Roman"/>
          <w:i/>
          <w:sz w:val="24"/>
          <w:szCs w:val="24"/>
        </w:rPr>
        <w:t xml:space="preserve">Paper type: </w:t>
      </w:r>
      <w:r w:rsidRPr="004F538D">
        <w:rPr>
          <w:rFonts w:ascii="Times New Roman" w:hAnsi="Times New Roman" w:cs="Times New Roman"/>
          <w:sz w:val="24"/>
          <w:szCs w:val="24"/>
        </w:rPr>
        <w:t>Research article</w:t>
      </w:r>
    </w:p>
    <w:p w14:paraId="133BCD81" w14:textId="77777777" w:rsidR="00AA1B81" w:rsidRPr="004F538D" w:rsidRDefault="00AA1B81" w:rsidP="001F48A3">
      <w:pPr>
        <w:jc w:val="both"/>
        <w:rPr>
          <w:rFonts w:ascii="Times New Roman" w:hAnsi="Times New Roman" w:cs="Times New Roman"/>
          <w:sz w:val="24"/>
          <w:szCs w:val="26"/>
        </w:rPr>
      </w:pPr>
    </w:p>
    <w:p w14:paraId="000AD875" w14:textId="7BC5A4A2" w:rsidR="00FE0408" w:rsidRPr="004F538D" w:rsidRDefault="00FE0408" w:rsidP="001F48A3">
      <w:pPr>
        <w:jc w:val="both"/>
        <w:rPr>
          <w:rFonts w:ascii="Times New Roman" w:hAnsi="Times New Roman" w:cs="Times New Roman"/>
          <w:sz w:val="24"/>
          <w:szCs w:val="26"/>
        </w:rPr>
      </w:pPr>
    </w:p>
    <w:p w14:paraId="5C952332" w14:textId="77777777" w:rsidR="00ED63F1" w:rsidRDefault="00ED63F1" w:rsidP="001F48A3">
      <w:pPr>
        <w:jc w:val="both"/>
        <w:rPr>
          <w:rFonts w:ascii="Times New Roman" w:hAnsi="Times New Roman" w:cs="Times New Roman"/>
          <w:sz w:val="24"/>
          <w:szCs w:val="26"/>
        </w:rPr>
      </w:pPr>
    </w:p>
    <w:p w14:paraId="32F0947F" w14:textId="77777777" w:rsidR="00244299" w:rsidRPr="004F538D" w:rsidRDefault="00244299" w:rsidP="001F48A3">
      <w:pPr>
        <w:jc w:val="both"/>
        <w:rPr>
          <w:rFonts w:ascii="Times New Roman" w:hAnsi="Times New Roman" w:cs="Times New Roman"/>
          <w:sz w:val="24"/>
          <w:szCs w:val="26"/>
        </w:rPr>
      </w:pPr>
    </w:p>
    <w:p w14:paraId="3CBE146A" w14:textId="6740DD93" w:rsidR="009E1AB1" w:rsidRPr="004F538D" w:rsidRDefault="009E1AB1" w:rsidP="00500970">
      <w:pPr>
        <w:pStyle w:val="ListParagraph"/>
        <w:numPr>
          <w:ilvl w:val="0"/>
          <w:numId w:val="23"/>
        </w:numPr>
        <w:jc w:val="both"/>
        <w:rPr>
          <w:rFonts w:ascii="Times New Roman" w:hAnsi="Times New Roman" w:cs="Times New Roman"/>
          <w:b/>
          <w:sz w:val="24"/>
          <w:szCs w:val="26"/>
        </w:rPr>
      </w:pPr>
      <w:r w:rsidRPr="004F538D">
        <w:rPr>
          <w:rFonts w:ascii="Times New Roman" w:hAnsi="Times New Roman" w:cs="Times New Roman"/>
          <w:b/>
          <w:sz w:val="24"/>
          <w:szCs w:val="26"/>
        </w:rPr>
        <w:lastRenderedPageBreak/>
        <w:t>Introduction</w:t>
      </w:r>
      <w:r w:rsidR="00500970" w:rsidRPr="004F538D">
        <w:rPr>
          <w:rFonts w:ascii="Times New Roman" w:hAnsi="Times New Roman" w:cs="Times New Roman"/>
          <w:b/>
          <w:sz w:val="24"/>
          <w:szCs w:val="26"/>
        </w:rPr>
        <w:t xml:space="preserve"> and motivation</w:t>
      </w:r>
    </w:p>
    <w:p w14:paraId="5A3AB7C1" w14:textId="3C1BB9C9" w:rsidR="00C71EBA" w:rsidRPr="004F538D" w:rsidRDefault="00E55C9A" w:rsidP="00E55C9A">
      <w:pPr>
        <w:jc w:val="both"/>
        <w:rPr>
          <w:rFonts w:ascii="Times New Roman" w:hAnsi="Times New Roman" w:cs="Times New Roman"/>
          <w:sz w:val="24"/>
          <w:szCs w:val="24"/>
        </w:rPr>
      </w:pPr>
      <w:r w:rsidRPr="004F538D">
        <w:rPr>
          <w:rFonts w:ascii="Times New Roman" w:hAnsi="Times New Roman" w:cs="Times New Roman"/>
          <w:sz w:val="24"/>
          <w:szCs w:val="24"/>
        </w:rPr>
        <w:t>In this s</w:t>
      </w:r>
      <w:r w:rsidR="007A3140" w:rsidRPr="004F538D">
        <w:rPr>
          <w:rFonts w:ascii="Times New Roman" w:hAnsi="Times New Roman" w:cs="Times New Roman"/>
          <w:sz w:val="24"/>
          <w:szCs w:val="24"/>
        </w:rPr>
        <w:t xml:space="preserve">tudy, we investigate whether a composite </w:t>
      </w:r>
      <w:r w:rsidRPr="004F538D">
        <w:rPr>
          <w:rFonts w:ascii="Times New Roman" w:hAnsi="Times New Roman" w:cs="Times New Roman"/>
          <w:sz w:val="24"/>
          <w:szCs w:val="24"/>
        </w:rPr>
        <w:t xml:space="preserve">corporate governance (CG) </w:t>
      </w:r>
      <w:r w:rsidR="007A3140" w:rsidRPr="004F538D">
        <w:rPr>
          <w:rFonts w:ascii="Times New Roman" w:hAnsi="Times New Roman" w:cs="Times New Roman"/>
          <w:sz w:val="24"/>
          <w:szCs w:val="24"/>
        </w:rPr>
        <w:t>index</w:t>
      </w:r>
      <w:r w:rsidRPr="004F538D">
        <w:rPr>
          <w:rFonts w:ascii="Times New Roman" w:hAnsi="Times New Roman" w:cs="Times New Roman"/>
          <w:sz w:val="24"/>
          <w:szCs w:val="24"/>
        </w:rPr>
        <w:t xml:space="preserve"> has any association with the timeliness of audited annual reports, proxied by </w:t>
      </w:r>
      <w:r w:rsidR="0062579A" w:rsidRPr="004F538D">
        <w:rPr>
          <w:rFonts w:ascii="Times New Roman" w:hAnsi="Times New Roman" w:cs="Times New Roman"/>
          <w:sz w:val="24"/>
          <w:szCs w:val="24"/>
        </w:rPr>
        <w:t xml:space="preserve">the </w:t>
      </w:r>
      <w:r w:rsidRPr="004F538D">
        <w:rPr>
          <w:rFonts w:ascii="Times New Roman" w:hAnsi="Times New Roman" w:cs="Times New Roman"/>
          <w:sz w:val="24"/>
          <w:szCs w:val="24"/>
        </w:rPr>
        <w:t xml:space="preserve">audit </w:t>
      </w:r>
      <w:r w:rsidR="003B7AF9" w:rsidRPr="004F538D">
        <w:rPr>
          <w:rFonts w:ascii="Times New Roman" w:hAnsi="Times New Roman" w:cs="Times New Roman"/>
          <w:sz w:val="24"/>
          <w:szCs w:val="24"/>
        </w:rPr>
        <w:t>report delay</w:t>
      </w:r>
      <w:r w:rsidRPr="004F538D">
        <w:rPr>
          <w:rFonts w:ascii="Times New Roman" w:hAnsi="Times New Roman" w:cs="Times New Roman"/>
          <w:sz w:val="24"/>
          <w:szCs w:val="24"/>
        </w:rPr>
        <w:t xml:space="preserve"> (A</w:t>
      </w:r>
      <w:r w:rsidR="003B7AF9" w:rsidRPr="004F538D">
        <w:rPr>
          <w:rFonts w:ascii="Times New Roman" w:hAnsi="Times New Roman" w:cs="Times New Roman"/>
          <w:sz w:val="24"/>
          <w:szCs w:val="24"/>
        </w:rPr>
        <w:t>RD</w:t>
      </w:r>
      <w:r w:rsidRPr="004F538D">
        <w:rPr>
          <w:rFonts w:ascii="Times New Roman" w:hAnsi="Times New Roman" w:cs="Times New Roman"/>
          <w:sz w:val="24"/>
          <w:szCs w:val="24"/>
        </w:rPr>
        <w:t>).</w:t>
      </w:r>
      <w:r w:rsidR="0086172C" w:rsidRPr="004F538D">
        <w:rPr>
          <w:rFonts w:ascii="Times New Roman" w:hAnsi="Times New Roman" w:cs="Times New Roman"/>
          <w:sz w:val="24"/>
          <w:szCs w:val="24"/>
        </w:rPr>
        <w:t xml:space="preserve"> According to </w:t>
      </w:r>
      <w:r w:rsidR="005F0250">
        <w:rPr>
          <w:rFonts w:ascii="Times New Roman" w:hAnsi="Times New Roman" w:cs="Times New Roman"/>
          <w:sz w:val="24"/>
          <w:szCs w:val="24"/>
        </w:rPr>
        <w:t xml:space="preserve">the </w:t>
      </w:r>
      <w:r w:rsidR="0086172C" w:rsidRPr="004F538D">
        <w:rPr>
          <w:rFonts w:ascii="Times New Roman" w:hAnsi="Times New Roman" w:cs="Times New Roman"/>
          <w:sz w:val="24"/>
          <w:szCs w:val="24"/>
        </w:rPr>
        <w:t>IASB’s conceptual framework for financial reporting, th</w:t>
      </w:r>
      <w:r w:rsidR="00335DD3">
        <w:rPr>
          <w:rFonts w:ascii="Times New Roman" w:hAnsi="Times New Roman" w:cs="Times New Roman"/>
          <w:sz w:val="24"/>
          <w:szCs w:val="24"/>
        </w:rPr>
        <w:t>e timeliness of annual reports i</w:t>
      </w:r>
      <w:r w:rsidR="0086172C" w:rsidRPr="004F538D">
        <w:rPr>
          <w:rFonts w:ascii="Times New Roman" w:hAnsi="Times New Roman" w:cs="Times New Roman"/>
          <w:sz w:val="24"/>
          <w:szCs w:val="24"/>
        </w:rPr>
        <w:t>s seen as the conciliator between the relevance and reliability of annual reports</w:t>
      </w:r>
      <w:r w:rsidR="00634B7B" w:rsidRPr="004F538D">
        <w:rPr>
          <w:rFonts w:ascii="Times New Roman" w:hAnsi="Times New Roman" w:cs="Times New Roman"/>
          <w:sz w:val="24"/>
          <w:szCs w:val="24"/>
        </w:rPr>
        <w:t>, and ARD is a useful proxy that allows outsiders to gauge audit efficiency</w:t>
      </w:r>
      <w:r w:rsidR="0086172C" w:rsidRPr="004F538D">
        <w:rPr>
          <w:rFonts w:ascii="Times New Roman" w:hAnsi="Times New Roman" w:cs="Times New Roman"/>
          <w:sz w:val="24"/>
          <w:szCs w:val="24"/>
        </w:rPr>
        <w:t xml:space="preserve"> (</w:t>
      </w:r>
      <w:r w:rsidR="004B63F1" w:rsidRPr="004F538D">
        <w:rPr>
          <w:rFonts w:ascii="Times New Roman" w:hAnsi="Times New Roman" w:cs="Times New Roman"/>
          <w:sz w:val="24"/>
          <w:szCs w:val="24"/>
        </w:rPr>
        <w:t xml:space="preserve">Habib &amp; Bhuiyan, 2011; </w:t>
      </w:r>
      <w:r w:rsidR="0086172C" w:rsidRPr="004F538D">
        <w:rPr>
          <w:rFonts w:ascii="Times New Roman" w:hAnsi="Times New Roman" w:cs="Times New Roman"/>
          <w:sz w:val="24"/>
          <w:szCs w:val="24"/>
        </w:rPr>
        <w:t xml:space="preserve">IASB, 2016). </w:t>
      </w:r>
      <w:r w:rsidR="00C525C7" w:rsidRPr="004F538D">
        <w:rPr>
          <w:rFonts w:ascii="Times New Roman" w:hAnsi="Times New Roman" w:cs="Times New Roman"/>
          <w:sz w:val="24"/>
          <w:szCs w:val="24"/>
        </w:rPr>
        <w:t xml:space="preserve">ARD is particularly important in emerging and newly developed capital markets where </w:t>
      </w:r>
      <w:r w:rsidR="0037482A" w:rsidRPr="004F538D">
        <w:rPr>
          <w:rFonts w:ascii="Times New Roman" w:hAnsi="Times New Roman" w:cs="Times New Roman"/>
          <w:sz w:val="24"/>
          <w:szCs w:val="24"/>
        </w:rPr>
        <w:t xml:space="preserve">the </w:t>
      </w:r>
      <w:r w:rsidR="00C525C7" w:rsidRPr="004F538D">
        <w:rPr>
          <w:rFonts w:ascii="Times New Roman" w:hAnsi="Times New Roman" w:cs="Times New Roman"/>
          <w:sz w:val="24"/>
          <w:szCs w:val="24"/>
        </w:rPr>
        <w:t xml:space="preserve">audited annual report </w:t>
      </w:r>
      <w:r w:rsidR="005F0250">
        <w:rPr>
          <w:rFonts w:ascii="Times New Roman" w:hAnsi="Times New Roman" w:cs="Times New Roman"/>
          <w:sz w:val="24"/>
          <w:szCs w:val="24"/>
        </w:rPr>
        <w:t>including</w:t>
      </w:r>
      <w:r w:rsidR="00C525C7" w:rsidRPr="004F538D">
        <w:rPr>
          <w:rFonts w:ascii="Times New Roman" w:hAnsi="Times New Roman" w:cs="Times New Roman"/>
          <w:sz w:val="24"/>
          <w:szCs w:val="24"/>
        </w:rPr>
        <w:t xml:space="preserve"> financial statements is the </w:t>
      </w:r>
      <w:r w:rsidR="005F0250">
        <w:rPr>
          <w:rFonts w:ascii="Times New Roman" w:hAnsi="Times New Roman" w:cs="Times New Roman"/>
          <w:sz w:val="24"/>
          <w:szCs w:val="24"/>
        </w:rPr>
        <w:t xml:space="preserve">single </w:t>
      </w:r>
      <w:r w:rsidR="00C525C7" w:rsidRPr="004F538D">
        <w:rPr>
          <w:rFonts w:ascii="Times New Roman" w:hAnsi="Times New Roman" w:cs="Times New Roman"/>
          <w:sz w:val="24"/>
          <w:szCs w:val="24"/>
        </w:rPr>
        <w:t xml:space="preserve">main source of reliable information </w:t>
      </w:r>
      <w:r w:rsidR="00335DD3">
        <w:rPr>
          <w:rFonts w:ascii="Times New Roman" w:hAnsi="Times New Roman" w:cs="Times New Roman"/>
          <w:sz w:val="24"/>
          <w:szCs w:val="24"/>
        </w:rPr>
        <w:t>for</w:t>
      </w:r>
      <w:r w:rsidR="00C525C7" w:rsidRPr="004F538D">
        <w:rPr>
          <w:rFonts w:ascii="Times New Roman" w:hAnsi="Times New Roman" w:cs="Times New Roman"/>
          <w:sz w:val="24"/>
          <w:szCs w:val="24"/>
        </w:rPr>
        <w:t xml:space="preserve"> investors (Leventis, Weetman &amp; Caramanis, 2005).</w:t>
      </w:r>
      <w:r w:rsidR="00C71EBA" w:rsidRPr="004F538D">
        <w:rPr>
          <w:rFonts w:ascii="Times New Roman" w:hAnsi="Times New Roman" w:cs="Times New Roman"/>
          <w:sz w:val="24"/>
          <w:szCs w:val="24"/>
        </w:rPr>
        <w:t xml:space="preserve"> </w:t>
      </w:r>
      <w:r w:rsidR="00273842" w:rsidRPr="004F538D">
        <w:rPr>
          <w:rFonts w:ascii="Times New Roman" w:hAnsi="Times New Roman" w:cs="Times New Roman"/>
          <w:sz w:val="24"/>
          <w:szCs w:val="24"/>
        </w:rPr>
        <w:t xml:space="preserve">The ideal situation is for users to </w:t>
      </w:r>
      <w:r w:rsidR="00A214E0" w:rsidRPr="004F538D">
        <w:rPr>
          <w:rFonts w:ascii="Times New Roman" w:hAnsi="Times New Roman" w:cs="Times New Roman"/>
          <w:sz w:val="24"/>
          <w:szCs w:val="24"/>
        </w:rPr>
        <w:t>obtain</w:t>
      </w:r>
      <w:r w:rsidR="00FD78CA" w:rsidRPr="004F538D">
        <w:rPr>
          <w:rFonts w:ascii="Times New Roman" w:hAnsi="Times New Roman" w:cs="Times New Roman"/>
          <w:sz w:val="24"/>
          <w:szCs w:val="24"/>
        </w:rPr>
        <w:t xml:space="preserve"> and utilise</w:t>
      </w:r>
      <w:r w:rsidR="00273842" w:rsidRPr="004F538D">
        <w:rPr>
          <w:rFonts w:ascii="Times New Roman" w:hAnsi="Times New Roman" w:cs="Times New Roman"/>
          <w:sz w:val="24"/>
          <w:szCs w:val="24"/>
        </w:rPr>
        <w:t xml:space="preserve"> the annual report </w:t>
      </w:r>
      <w:r w:rsidR="00C71EBA" w:rsidRPr="004F538D">
        <w:rPr>
          <w:rFonts w:ascii="Times New Roman" w:hAnsi="Times New Roman" w:cs="Times New Roman"/>
          <w:sz w:val="24"/>
          <w:szCs w:val="24"/>
        </w:rPr>
        <w:t xml:space="preserve">immediately </w:t>
      </w:r>
      <w:r w:rsidR="00273842" w:rsidRPr="004F538D">
        <w:rPr>
          <w:rFonts w:ascii="Times New Roman" w:hAnsi="Times New Roman" w:cs="Times New Roman"/>
          <w:sz w:val="24"/>
          <w:szCs w:val="24"/>
        </w:rPr>
        <w:t xml:space="preserve">at the end of the year, although this does not happen due to the time required to compile and provide </w:t>
      </w:r>
      <w:r w:rsidR="005F0250">
        <w:rPr>
          <w:rFonts w:ascii="Times New Roman" w:hAnsi="Times New Roman" w:cs="Times New Roman"/>
          <w:sz w:val="24"/>
          <w:szCs w:val="24"/>
        </w:rPr>
        <w:t xml:space="preserve">independent </w:t>
      </w:r>
      <w:r w:rsidR="00273842" w:rsidRPr="004F538D">
        <w:rPr>
          <w:rFonts w:ascii="Times New Roman" w:hAnsi="Times New Roman" w:cs="Times New Roman"/>
          <w:sz w:val="24"/>
          <w:szCs w:val="24"/>
        </w:rPr>
        <w:t>assurance on the financial statements and other information.</w:t>
      </w:r>
      <w:r w:rsidR="009C49AD" w:rsidRPr="004F538D">
        <w:rPr>
          <w:rFonts w:ascii="Times New Roman" w:hAnsi="Times New Roman" w:cs="Times New Roman"/>
          <w:sz w:val="24"/>
          <w:szCs w:val="24"/>
        </w:rPr>
        <w:t xml:space="preserve"> Therefore, an </w:t>
      </w:r>
      <w:r w:rsidR="00C71EBA" w:rsidRPr="004F538D">
        <w:rPr>
          <w:rFonts w:ascii="Times New Roman" w:hAnsi="Times New Roman" w:cs="Times New Roman"/>
          <w:sz w:val="24"/>
          <w:szCs w:val="24"/>
        </w:rPr>
        <w:t xml:space="preserve">ARD </w:t>
      </w:r>
      <w:r w:rsidR="009C49AD" w:rsidRPr="004F538D">
        <w:rPr>
          <w:rFonts w:ascii="Times New Roman" w:hAnsi="Times New Roman" w:cs="Times New Roman"/>
          <w:sz w:val="24"/>
          <w:szCs w:val="24"/>
        </w:rPr>
        <w:t xml:space="preserve">occurs due to various reasons, </w:t>
      </w:r>
      <w:r w:rsidR="0037482A" w:rsidRPr="004F538D">
        <w:rPr>
          <w:rFonts w:ascii="Times New Roman" w:hAnsi="Times New Roman" w:cs="Times New Roman"/>
          <w:sz w:val="24"/>
          <w:szCs w:val="24"/>
        </w:rPr>
        <w:t xml:space="preserve">which are </w:t>
      </w:r>
      <w:r w:rsidR="00BE0B96">
        <w:rPr>
          <w:rFonts w:ascii="Times New Roman" w:hAnsi="Times New Roman" w:cs="Times New Roman"/>
          <w:sz w:val="24"/>
          <w:szCs w:val="24"/>
        </w:rPr>
        <w:t>ei</w:t>
      </w:r>
      <w:r w:rsidR="0037482A" w:rsidRPr="004F538D">
        <w:rPr>
          <w:rFonts w:ascii="Times New Roman" w:hAnsi="Times New Roman" w:cs="Times New Roman"/>
          <w:sz w:val="24"/>
          <w:szCs w:val="24"/>
        </w:rPr>
        <w:t>ther auditor-related, firm-specific</w:t>
      </w:r>
      <w:r w:rsidR="00BE0B96">
        <w:rPr>
          <w:rFonts w:ascii="Times New Roman" w:hAnsi="Times New Roman" w:cs="Times New Roman"/>
          <w:sz w:val="24"/>
          <w:szCs w:val="24"/>
        </w:rPr>
        <w:t xml:space="preserve"> </w:t>
      </w:r>
      <w:r w:rsidR="0037482A" w:rsidRPr="004F538D">
        <w:rPr>
          <w:rFonts w:ascii="Times New Roman" w:hAnsi="Times New Roman" w:cs="Times New Roman"/>
          <w:sz w:val="24"/>
          <w:szCs w:val="24"/>
        </w:rPr>
        <w:t xml:space="preserve">or governance related </w:t>
      </w:r>
      <w:r w:rsidR="00335DD3">
        <w:rPr>
          <w:rFonts w:ascii="Times New Roman" w:hAnsi="Times New Roman" w:cs="Times New Roman"/>
          <w:sz w:val="24"/>
          <w:szCs w:val="24"/>
        </w:rPr>
        <w:t xml:space="preserve">factors </w:t>
      </w:r>
      <w:r w:rsidR="0037482A" w:rsidRPr="004F538D">
        <w:rPr>
          <w:rFonts w:ascii="Times New Roman" w:hAnsi="Times New Roman" w:cs="Times New Roman"/>
          <w:sz w:val="24"/>
          <w:szCs w:val="24"/>
        </w:rPr>
        <w:t>(Habib, Bhuiyan &amp; Huang, 2018; Durand, 2019)</w:t>
      </w:r>
      <w:r w:rsidR="009C49AD" w:rsidRPr="004F538D">
        <w:rPr>
          <w:rFonts w:ascii="Times New Roman" w:hAnsi="Times New Roman" w:cs="Times New Roman"/>
          <w:sz w:val="24"/>
          <w:szCs w:val="24"/>
        </w:rPr>
        <w:t>.</w:t>
      </w:r>
      <w:r w:rsidR="008C3119" w:rsidRPr="004F538D">
        <w:rPr>
          <w:rStyle w:val="FootnoteReference"/>
          <w:rFonts w:ascii="Times New Roman" w:hAnsi="Times New Roman" w:cs="Times New Roman"/>
          <w:sz w:val="24"/>
          <w:szCs w:val="24"/>
        </w:rPr>
        <w:footnoteReference w:id="1"/>
      </w:r>
      <w:r w:rsidR="009C49AD" w:rsidRPr="004F538D">
        <w:rPr>
          <w:rFonts w:ascii="Times New Roman" w:hAnsi="Times New Roman" w:cs="Times New Roman"/>
          <w:sz w:val="24"/>
          <w:szCs w:val="24"/>
        </w:rPr>
        <w:t xml:space="preserve"> </w:t>
      </w:r>
    </w:p>
    <w:p w14:paraId="6132D849" w14:textId="0A1E6C2B" w:rsidR="00954522" w:rsidRDefault="00C71EBA" w:rsidP="00C71EBA">
      <w:pPr>
        <w:jc w:val="both"/>
        <w:rPr>
          <w:rFonts w:ascii="Times New Roman" w:hAnsi="Times New Roman" w:cs="Times New Roman"/>
          <w:sz w:val="24"/>
          <w:szCs w:val="24"/>
        </w:rPr>
      </w:pPr>
      <w:r w:rsidRPr="004F538D">
        <w:rPr>
          <w:rFonts w:ascii="Times New Roman" w:hAnsi="Times New Roman" w:cs="Times New Roman"/>
          <w:sz w:val="24"/>
          <w:szCs w:val="24"/>
        </w:rPr>
        <w:t xml:space="preserve">We observe that prior research on ARD focuses primarily on </w:t>
      </w:r>
      <w:r w:rsidR="00BE0B96">
        <w:rPr>
          <w:rFonts w:ascii="Times New Roman" w:hAnsi="Times New Roman" w:cs="Times New Roman"/>
          <w:sz w:val="24"/>
          <w:szCs w:val="24"/>
        </w:rPr>
        <w:t xml:space="preserve">a </w:t>
      </w:r>
      <w:r w:rsidRPr="004F538D">
        <w:rPr>
          <w:rFonts w:ascii="Times New Roman" w:hAnsi="Times New Roman" w:cs="Times New Roman"/>
          <w:sz w:val="24"/>
          <w:szCs w:val="24"/>
        </w:rPr>
        <w:t xml:space="preserve">specific set of </w:t>
      </w:r>
      <w:r w:rsidR="00BE0B96">
        <w:rPr>
          <w:rFonts w:ascii="Times New Roman" w:hAnsi="Times New Roman" w:cs="Times New Roman"/>
          <w:sz w:val="24"/>
          <w:szCs w:val="24"/>
        </w:rPr>
        <w:t xml:space="preserve">individual </w:t>
      </w:r>
      <w:r w:rsidRPr="004F538D">
        <w:rPr>
          <w:rFonts w:ascii="Times New Roman" w:hAnsi="Times New Roman" w:cs="Times New Roman"/>
          <w:sz w:val="24"/>
          <w:szCs w:val="24"/>
        </w:rPr>
        <w:t xml:space="preserve">factors explaining ARD in more developed nations with limited studies in developing economies. The </w:t>
      </w:r>
      <w:r w:rsidR="00F5489A">
        <w:rPr>
          <w:rFonts w:ascii="Times New Roman" w:hAnsi="Times New Roman" w:cs="Times New Roman"/>
          <w:sz w:val="24"/>
          <w:szCs w:val="24"/>
        </w:rPr>
        <w:t>studies</w:t>
      </w:r>
      <w:r w:rsidRPr="004F538D">
        <w:rPr>
          <w:rFonts w:ascii="Times New Roman" w:hAnsi="Times New Roman" w:cs="Times New Roman"/>
          <w:sz w:val="24"/>
          <w:szCs w:val="24"/>
        </w:rPr>
        <w:t xml:space="preserve"> utili</w:t>
      </w:r>
      <w:r w:rsidR="00914AAF" w:rsidRPr="004F538D">
        <w:rPr>
          <w:rFonts w:ascii="Times New Roman" w:hAnsi="Times New Roman" w:cs="Times New Roman"/>
          <w:sz w:val="24"/>
          <w:szCs w:val="24"/>
        </w:rPr>
        <w:t>se</w:t>
      </w:r>
      <w:r w:rsidRPr="004F538D">
        <w:rPr>
          <w:rFonts w:ascii="Times New Roman" w:hAnsi="Times New Roman" w:cs="Times New Roman"/>
          <w:sz w:val="24"/>
          <w:szCs w:val="24"/>
        </w:rPr>
        <w:t xml:space="preserve"> </w:t>
      </w:r>
      <w:r w:rsidR="00914AAF" w:rsidRPr="004F538D">
        <w:rPr>
          <w:rFonts w:ascii="Times New Roman" w:hAnsi="Times New Roman" w:cs="Times New Roman"/>
          <w:sz w:val="24"/>
          <w:szCs w:val="24"/>
        </w:rPr>
        <w:t xml:space="preserve">a </w:t>
      </w:r>
      <w:r w:rsidRPr="004F538D">
        <w:rPr>
          <w:rFonts w:ascii="Times New Roman" w:hAnsi="Times New Roman" w:cs="Times New Roman"/>
          <w:sz w:val="24"/>
          <w:szCs w:val="24"/>
        </w:rPr>
        <w:t>granular approach and establish significant associations between ARD and auditor-</w:t>
      </w:r>
      <w:r w:rsidR="00876507" w:rsidRPr="004F538D">
        <w:rPr>
          <w:rFonts w:ascii="Times New Roman" w:hAnsi="Times New Roman" w:cs="Times New Roman"/>
          <w:sz w:val="24"/>
          <w:szCs w:val="24"/>
        </w:rPr>
        <w:t xml:space="preserve">related </w:t>
      </w:r>
      <w:r w:rsidR="00F5489A">
        <w:rPr>
          <w:rFonts w:ascii="Times New Roman" w:hAnsi="Times New Roman" w:cs="Times New Roman"/>
          <w:sz w:val="24"/>
          <w:szCs w:val="24"/>
        </w:rPr>
        <w:t xml:space="preserve">factors </w:t>
      </w:r>
      <w:r w:rsidR="00876507" w:rsidRPr="004F538D">
        <w:rPr>
          <w:rFonts w:ascii="Times New Roman" w:hAnsi="Times New Roman" w:cs="Times New Roman"/>
          <w:sz w:val="24"/>
          <w:szCs w:val="24"/>
        </w:rPr>
        <w:t>(</w:t>
      </w:r>
      <w:r w:rsidR="00E7056F" w:rsidRPr="004F538D">
        <w:rPr>
          <w:rFonts w:ascii="Times New Roman" w:hAnsi="Times New Roman" w:cs="Times New Roman"/>
          <w:sz w:val="24"/>
          <w:szCs w:val="24"/>
        </w:rPr>
        <w:t>Meckfessel &amp; Sellers, 2017; Habib, Bhuiyan &amp; Huang, 2018; Hussin, Bamahros &amp; Shukeri, 2018; Rezaei &amp; Mohd-Saleh, 2018</w:t>
      </w:r>
      <w:r w:rsidR="00876507" w:rsidRPr="004F538D">
        <w:rPr>
          <w:rFonts w:ascii="Times New Roman" w:hAnsi="Times New Roman" w:cs="Times New Roman"/>
          <w:sz w:val="24"/>
          <w:szCs w:val="24"/>
        </w:rPr>
        <w:t>)</w:t>
      </w:r>
      <w:r w:rsidRPr="004F538D">
        <w:rPr>
          <w:rFonts w:ascii="Times New Roman" w:hAnsi="Times New Roman" w:cs="Times New Roman"/>
          <w:sz w:val="24"/>
          <w:szCs w:val="24"/>
        </w:rPr>
        <w:t>, client-</w:t>
      </w:r>
      <w:r w:rsidR="00876507" w:rsidRPr="004F538D">
        <w:rPr>
          <w:rFonts w:ascii="Times New Roman" w:hAnsi="Times New Roman" w:cs="Times New Roman"/>
          <w:sz w:val="24"/>
          <w:szCs w:val="24"/>
        </w:rPr>
        <w:t>relate</w:t>
      </w:r>
      <w:r w:rsidR="00E7056F" w:rsidRPr="004F538D">
        <w:rPr>
          <w:rFonts w:ascii="Times New Roman" w:hAnsi="Times New Roman" w:cs="Times New Roman"/>
          <w:sz w:val="24"/>
          <w:szCs w:val="24"/>
        </w:rPr>
        <w:t>d</w:t>
      </w:r>
      <w:r w:rsidR="00876507" w:rsidRPr="004F538D">
        <w:rPr>
          <w:rFonts w:ascii="Times New Roman" w:hAnsi="Times New Roman" w:cs="Times New Roman"/>
          <w:sz w:val="24"/>
          <w:szCs w:val="24"/>
        </w:rPr>
        <w:t xml:space="preserve"> </w:t>
      </w:r>
      <w:r w:rsidR="0071350F">
        <w:rPr>
          <w:rFonts w:ascii="Times New Roman" w:hAnsi="Times New Roman" w:cs="Times New Roman"/>
          <w:sz w:val="24"/>
          <w:szCs w:val="24"/>
        </w:rPr>
        <w:t xml:space="preserve">factors </w:t>
      </w:r>
      <w:r w:rsidR="00876507" w:rsidRPr="004F538D">
        <w:rPr>
          <w:rFonts w:ascii="Times New Roman" w:hAnsi="Times New Roman" w:cs="Times New Roman"/>
          <w:sz w:val="24"/>
          <w:szCs w:val="24"/>
        </w:rPr>
        <w:t>(</w:t>
      </w:r>
      <w:r w:rsidR="00E7056F" w:rsidRPr="004F538D">
        <w:rPr>
          <w:rFonts w:ascii="Times New Roman" w:hAnsi="Times New Roman" w:cs="Times New Roman"/>
          <w:sz w:val="24"/>
          <w:szCs w:val="24"/>
        </w:rPr>
        <w:t xml:space="preserve">Jaggi </w:t>
      </w:r>
      <w:r w:rsidR="00F5489A">
        <w:rPr>
          <w:rFonts w:ascii="Times New Roman" w:hAnsi="Times New Roman" w:cs="Times New Roman"/>
          <w:sz w:val="24"/>
          <w:szCs w:val="24"/>
        </w:rPr>
        <w:t>&amp;</w:t>
      </w:r>
      <w:r w:rsidR="00E7056F" w:rsidRPr="004F538D">
        <w:rPr>
          <w:rFonts w:ascii="Times New Roman" w:hAnsi="Times New Roman" w:cs="Times New Roman"/>
          <w:sz w:val="24"/>
          <w:szCs w:val="24"/>
        </w:rPr>
        <w:t xml:space="preserve"> Tsui, 1999; Habib &amp; Bhuiyan, 2011; Hassan, 2016; Rusmin &amp; Evans, 2017; Swanson &amp; Zhang, 2018) and </w:t>
      </w:r>
      <w:r w:rsidR="007C0881">
        <w:rPr>
          <w:rFonts w:ascii="Times New Roman" w:hAnsi="Times New Roman" w:cs="Times New Roman"/>
          <w:sz w:val="24"/>
          <w:szCs w:val="24"/>
        </w:rPr>
        <w:t xml:space="preserve">CG </w:t>
      </w:r>
      <w:r w:rsidR="00335DD3">
        <w:rPr>
          <w:rFonts w:ascii="Times New Roman" w:hAnsi="Times New Roman" w:cs="Times New Roman"/>
          <w:sz w:val="24"/>
          <w:szCs w:val="24"/>
        </w:rPr>
        <w:t>-</w:t>
      </w:r>
      <w:r w:rsidR="00876507" w:rsidRPr="004F538D">
        <w:rPr>
          <w:rFonts w:ascii="Times New Roman" w:hAnsi="Times New Roman" w:cs="Times New Roman"/>
          <w:sz w:val="24"/>
          <w:szCs w:val="24"/>
        </w:rPr>
        <w:t xml:space="preserve">related </w:t>
      </w:r>
      <w:r w:rsidR="0071350F">
        <w:rPr>
          <w:rFonts w:ascii="Times New Roman" w:hAnsi="Times New Roman" w:cs="Times New Roman"/>
          <w:sz w:val="24"/>
          <w:szCs w:val="24"/>
        </w:rPr>
        <w:t xml:space="preserve">factors </w:t>
      </w:r>
      <w:r w:rsidR="00C103EA" w:rsidRPr="004F538D">
        <w:rPr>
          <w:rFonts w:ascii="Times New Roman" w:hAnsi="Times New Roman" w:cs="Times New Roman"/>
          <w:sz w:val="24"/>
          <w:szCs w:val="24"/>
        </w:rPr>
        <w:t>(Tauringana, Kyeyune &amp;</w:t>
      </w:r>
      <w:r w:rsidR="00E7056F" w:rsidRPr="004F538D">
        <w:rPr>
          <w:rFonts w:ascii="Times New Roman" w:hAnsi="Times New Roman" w:cs="Times New Roman"/>
          <w:sz w:val="24"/>
          <w:szCs w:val="24"/>
        </w:rPr>
        <w:t xml:space="preserve"> Opio, </w:t>
      </w:r>
      <w:r w:rsidR="00C103EA" w:rsidRPr="004F538D">
        <w:rPr>
          <w:rFonts w:ascii="Times New Roman" w:hAnsi="Times New Roman" w:cs="Times New Roman"/>
          <w:sz w:val="24"/>
          <w:szCs w:val="24"/>
        </w:rPr>
        <w:t>2008; Nehme, Assaker &amp; Khalife, 2015; Sultana, Singh &amp; Zahn, 2015; Ghafran &amp; Yasmin, 2017</w:t>
      </w:r>
      <w:r w:rsidR="00876507" w:rsidRPr="004F538D">
        <w:rPr>
          <w:rFonts w:ascii="Times New Roman" w:hAnsi="Times New Roman" w:cs="Times New Roman"/>
          <w:sz w:val="24"/>
          <w:szCs w:val="24"/>
        </w:rPr>
        <w:t>)</w:t>
      </w:r>
      <w:r w:rsidR="0071350F">
        <w:rPr>
          <w:rFonts w:ascii="Times New Roman" w:hAnsi="Times New Roman" w:cs="Times New Roman"/>
          <w:sz w:val="24"/>
          <w:szCs w:val="24"/>
        </w:rPr>
        <w:t xml:space="preserve">. </w:t>
      </w:r>
      <w:r w:rsidR="004E778E" w:rsidRPr="004F538D">
        <w:rPr>
          <w:rFonts w:ascii="Times New Roman" w:hAnsi="Times New Roman" w:cs="Times New Roman"/>
          <w:sz w:val="24"/>
          <w:szCs w:val="24"/>
        </w:rPr>
        <w:t xml:space="preserve">Nehme, Assaker and Khalife (2015) observe that </w:t>
      </w:r>
      <w:r w:rsidR="0071350F">
        <w:rPr>
          <w:rFonts w:ascii="Times New Roman" w:hAnsi="Times New Roman" w:cs="Times New Roman"/>
          <w:sz w:val="24"/>
          <w:szCs w:val="24"/>
        </w:rPr>
        <w:t xml:space="preserve">the </w:t>
      </w:r>
      <w:r w:rsidR="004E778E" w:rsidRPr="004F538D">
        <w:rPr>
          <w:rFonts w:ascii="Times New Roman" w:hAnsi="Times New Roman" w:cs="Times New Roman"/>
          <w:sz w:val="24"/>
          <w:szCs w:val="24"/>
        </w:rPr>
        <w:t>extensive research on the determinants of ARD has laid emphasis on audit-related or company-related factors. Sultana, Singh and Zahn (2015) argue that prior research focuses on client factors (e.g., size and internal controls), audit function features (e.g.,</w:t>
      </w:r>
      <w:r w:rsidR="00F95057" w:rsidRPr="004F538D">
        <w:rPr>
          <w:rFonts w:ascii="Times New Roman" w:hAnsi="Times New Roman" w:cs="Times New Roman"/>
          <w:sz w:val="24"/>
          <w:szCs w:val="24"/>
        </w:rPr>
        <w:t xml:space="preserve"> </w:t>
      </w:r>
      <w:r w:rsidR="004E778E" w:rsidRPr="004F538D">
        <w:rPr>
          <w:rFonts w:ascii="Times New Roman" w:hAnsi="Times New Roman" w:cs="Times New Roman"/>
          <w:sz w:val="24"/>
          <w:szCs w:val="24"/>
        </w:rPr>
        <w:t xml:space="preserve">risk and audit complexity) or auditor characteristics (e.g., auditor type and expertise). </w:t>
      </w:r>
    </w:p>
    <w:p w14:paraId="6EAD7F34" w14:textId="6D06DAC8" w:rsidR="00B33CB2" w:rsidRPr="004F538D" w:rsidRDefault="004E778E" w:rsidP="00C71EBA">
      <w:pPr>
        <w:jc w:val="both"/>
        <w:rPr>
          <w:rFonts w:ascii="Times New Roman" w:hAnsi="Times New Roman" w:cs="Times New Roman"/>
          <w:sz w:val="24"/>
          <w:szCs w:val="24"/>
        </w:rPr>
      </w:pPr>
      <w:r w:rsidRPr="004F538D">
        <w:rPr>
          <w:rFonts w:ascii="Times New Roman" w:hAnsi="Times New Roman" w:cs="Times New Roman"/>
          <w:sz w:val="24"/>
          <w:szCs w:val="24"/>
        </w:rPr>
        <w:t xml:space="preserve">The </w:t>
      </w:r>
      <w:r w:rsidR="00C27385" w:rsidRPr="004F538D">
        <w:rPr>
          <w:rFonts w:ascii="Times New Roman" w:hAnsi="Times New Roman" w:cs="Times New Roman"/>
          <w:sz w:val="24"/>
          <w:szCs w:val="24"/>
        </w:rPr>
        <w:t>relatively few</w:t>
      </w:r>
      <w:r w:rsidRPr="004F538D">
        <w:rPr>
          <w:rFonts w:ascii="Times New Roman" w:hAnsi="Times New Roman" w:cs="Times New Roman"/>
          <w:sz w:val="24"/>
          <w:szCs w:val="24"/>
        </w:rPr>
        <w:t xml:space="preserve"> studies on ARD and </w:t>
      </w:r>
      <w:r w:rsidR="00BC1B43">
        <w:rPr>
          <w:rFonts w:ascii="Times New Roman" w:hAnsi="Times New Roman" w:cs="Times New Roman"/>
          <w:sz w:val="24"/>
          <w:szCs w:val="24"/>
        </w:rPr>
        <w:t>CG</w:t>
      </w:r>
      <w:r w:rsidRPr="004F538D">
        <w:rPr>
          <w:rFonts w:ascii="Times New Roman" w:hAnsi="Times New Roman" w:cs="Times New Roman"/>
          <w:sz w:val="24"/>
          <w:szCs w:val="24"/>
        </w:rPr>
        <w:t xml:space="preserve"> </w:t>
      </w:r>
      <w:r w:rsidR="00C27385" w:rsidRPr="004F538D">
        <w:rPr>
          <w:rFonts w:ascii="Times New Roman" w:hAnsi="Times New Roman" w:cs="Times New Roman"/>
          <w:sz w:val="24"/>
          <w:szCs w:val="24"/>
        </w:rPr>
        <w:t>have focused on certain board features</w:t>
      </w:r>
      <w:r w:rsidR="00A82B82" w:rsidRPr="004F538D">
        <w:rPr>
          <w:rFonts w:ascii="Times New Roman" w:hAnsi="Times New Roman" w:cs="Times New Roman"/>
          <w:sz w:val="24"/>
          <w:szCs w:val="24"/>
        </w:rPr>
        <w:t xml:space="preserve"> (Nehme, Assaker &amp; Khalife, 2015; Alfraih, 2016)</w:t>
      </w:r>
      <w:r w:rsidR="00C27385" w:rsidRPr="004F538D">
        <w:rPr>
          <w:rFonts w:ascii="Times New Roman" w:hAnsi="Times New Roman" w:cs="Times New Roman"/>
          <w:sz w:val="24"/>
          <w:szCs w:val="24"/>
        </w:rPr>
        <w:t xml:space="preserve"> or </w:t>
      </w:r>
      <w:r w:rsidR="00E83795" w:rsidRPr="004F538D">
        <w:rPr>
          <w:rFonts w:ascii="Times New Roman" w:hAnsi="Times New Roman" w:cs="Times New Roman"/>
          <w:sz w:val="24"/>
          <w:szCs w:val="24"/>
        </w:rPr>
        <w:t>audit committee</w:t>
      </w:r>
      <w:r w:rsidR="002A01F1" w:rsidRPr="004F538D">
        <w:rPr>
          <w:rFonts w:ascii="Times New Roman" w:hAnsi="Times New Roman" w:cs="Times New Roman"/>
          <w:sz w:val="24"/>
          <w:szCs w:val="24"/>
        </w:rPr>
        <w:t xml:space="preserve"> (AC)</w:t>
      </w:r>
      <w:r w:rsidR="00C27385" w:rsidRPr="004F538D">
        <w:rPr>
          <w:rFonts w:ascii="Times New Roman" w:hAnsi="Times New Roman" w:cs="Times New Roman"/>
          <w:sz w:val="24"/>
          <w:szCs w:val="24"/>
        </w:rPr>
        <w:t xml:space="preserve"> features (Tauringana, Kyeyune &amp; Opio, 2008; Nehme, Assaker &amp; Khalife, 2015; Sultana, Singh &amp; Zahn, 2015; Ghafran &amp; Yasmin, 2017)</w:t>
      </w:r>
      <w:r w:rsidR="0018053E" w:rsidRPr="004F538D">
        <w:rPr>
          <w:rFonts w:ascii="Times New Roman" w:hAnsi="Times New Roman" w:cs="Times New Roman"/>
          <w:sz w:val="24"/>
          <w:szCs w:val="24"/>
        </w:rPr>
        <w:t xml:space="preserve">. A handful of the studies have attempted to study the influence of the combined CG characteristics on ARD. For instance, Baatwah, Salleh and Ahmad (2015) find a significant </w:t>
      </w:r>
      <w:r w:rsidR="00E32B7F">
        <w:rPr>
          <w:rFonts w:ascii="Times New Roman" w:hAnsi="Times New Roman" w:cs="Times New Roman"/>
          <w:sz w:val="24"/>
          <w:szCs w:val="24"/>
        </w:rPr>
        <w:t xml:space="preserve">and negative </w:t>
      </w:r>
      <w:r w:rsidR="0018053E" w:rsidRPr="004F538D">
        <w:rPr>
          <w:rFonts w:ascii="Times New Roman" w:hAnsi="Times New Roman" w:cs="Times New Roman"/>
          <w:sz w:val="24"/>
          <w:szCs w:val="24"/>
        </w:rPr>
        <w:t xml:space="preserve">association between </w:t>
      </w:r>
      <w:r w:rsidR="00E83795" w:rsidRPr="004F538D">
        <w:rPr>
          <w:rFonts w:ascii="Times New Roman" w:hAnsi="Times New Roman" w:cs="Times New Roman"/>
          <w:sz w:val="24"/>
          <w:szCs w:val="24"/>
        </w:rPr>
        <w:t>AC</w:t>
      </w:r>
      <w:r w:rsidR="0018053E" w:rsidRPr="004F538D">
        <w:rPr>
          <w:rFonts w:ascii="Times New Roman" w:hAnsi="Times New Roman" w:cs="Times New Roman"/>
          <w:sz w:val="24"/>
          <w:szCs w:val="24"/>
        </w:rPr>
        <w:t xml:space="preserve"> quality and ARD. However, Habib and Muhammadi (2018) and Rezaei and Mohd-Saleh (2018) find an insignificant association </w:t>
      </w:r>
      <w:r w:rsidR="00E32B7F">
        <w:rPr>
          <w:rFonts w:ascii="Times New Roman" w:hAnsi="Times New Roman" w:cs="Times New Roman"/>
          <w:sz w:val="24"/>
          <w:szCs w:val="24"/>
        </w:rPr>
        <w:t xml:space="preserve">between AC quality, </w:t>
      </w:r>
      <w:r w:rsidR="0018053E" w:rsidRPr="004F538D">
        <w:rPr>
          <w:rFonts w:ascii="Times New Roman" w:hAnsi="Times New Roman" w:cs="Times New Roman"/>
          <w:sz w:val="24"/>
          <w:szCs w:val="24"/>
        </w:rPr>
        <w:t>board quality</w:t>
      </w:r>
      <w:r w:rsidR="00E32B7F">
        <w:rPr>
          <w:rFonts w:ascii="Times New Roman" w:hAnsi="Times New Roman" w:cs="Times New Roman"/>
          <w:sz w:val="24"/>
          <w:szCs w:val="24"/>
        </w:rPr>
        <w:t xml:space="preserve"> and </w:t>
      </w:r>
      <w:r w:rsidR="00E32B7F" w:rsidRPr="00BD5BBA">
        <w:rPr>
          <w:rFonts w:ascii="Times New Roman" w:hAnsi="Times New Roman" w:cs="Times New Roman"/>
          <w:sz w:val="24"/>
          <w:szCs w:val="24"/>
        </w:rPr>
        <w:t>ARD</w:t>
      </w:r>
      <w:r w:rsidR="0018053E" w:rsidRPr="00BD5BBA">
        <w:rPr>
          <w:rFonts w:ascii="Times New Roman" w:hAnsi="Times New Roman" w:cs="Times New Roman"/>
          <w:sz w:val="24"/>
          <w:szCs w:val="24"/>
        </w:rPr>
        <w:t>.</w:t>
      </w:r>
      <w:r w:rsidR="00BD5BBA">
        <w:rPr>
          <w:rFonts w:ascii="Times New Roman" w:hAnsi="Times New Roman" w:cs="Times New Roman"/>
          <w:sz w:val="24"/>
          <w:szCs w:val="24"/>
        </w:rPr>
        <w:t xml:space="preserve"> This highlights mixed findings on the </w:t>
      </w:r>
      <w:r w:rsidR="00BD5BBA" w:rsidRPr="004F538D">
        <w:rPr>
          <w:rFonts w:ascii="Times New Roman" w:hAnsi="Times New Roman" w:cs="Times New Roman"/>
          <w:sz w:val="24"/>
          <w:szCs w:val="24"/>
        </w:rPr>
        <w:t>influence</w:t>
      </w:r>
      <w:r w:rsidR="00BD5BBA">
        <w:rPr>
          <w:rFonts w:ascii="Times New Roman" w:hAnsi="Times New Roman" w:cs="Times New Roman"/>
          <w:sz w:val="24"/>
          <w:szCs w:val="24"/>
        </w:rPr>
        <w:t xml:space="preserve"> of composite CG characteristics on ARD.</w:t>
      </w:r>
    </w:p>
    <w:p w14:paraId="3F4EB456" w14:textId="4C285EB3" w:rsidR="00C71EBA" w:rsidRPr="004F538D" w:rsidRDefault="00BD5BBA" w:rsidP="00C71EB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a meta-analysis study, </w:t>
      </w:r>
      <w:r w:rsidR="00690DBF" w:rsidRPr="004F538D">
        <w:rPr>
          <w:rFonts w:ascii="Times New Roman" w:hAnsi="Times New Roman" w:cs="Times New Roman"/>
          <w:sz w:val="24"/>
          <w:szCs w:val="24"/>
        </w:rPr>
        <w:t xml:space="preserve">Durand (2019) observes that studies examining </w:t>
      </w:r>
      <w:r>
        <w:rPr>
          <w:rFonts w:ascii="Times New Roman" w:hAnsi="Times New Roman" w:cs="Times New Roman"/>
          <w:sz w:val="24"/>
          <w:szCs w:val="24"/>
        </w:rPr>
        <w:t xml:space="preserve">the association between board size, </w:t>
      </w:r>
      <w:r w:rsidR="00690DBF" w:rsidRPr="004F538D">
        <w:rPr>
          <w:rFonts w:ascii="Times New Roman" w:hAnsi="Times New Roman" w:cs="Times New Roman"/>
          <w:sz w:val="24"/>
          <w:szCs w:val="24"/>
        </w:rPr>
        <w:t>independence and ARD ha</w:t>
      </w:r>
      <w:r w:rsidR="00203FE2">
        <w:rPr>
          <w:rFonts w:ascii="Times New Roman" w:hAnsi="Times New Roman" w:cs="Times New Roman"/>
          <w:sz w:val="24"/>
          <w:szCs w:val="24"/>
        </w:rPr>
        <w:t>ve been sparse, including t</w:t>
      </w:r>
      <w:r w:rsidR="00690DBF" w:rsidRPr="004F538D">
        <w:rPr>
          <w:rFonts w:ascii="Times New Roman" w:hAnsi="Times New Roman" w:cs="Times New Roman"/>
          <w:sz w:val="24"/>
          <w:szCs w:val="24"/>
        </w:rPr>
        <w:t xml:space="preserve">he United States. </w:t>
      </w:r>
      <w:r w:rsidR="00C71EBA" w:rsidRPr="004F538D">
        <w:rPr>
          <w:rFonts w:ascii="Times New Roman" w:hAnsi="Times New Roman" w:cs="Times New Roman"/>
          <w:sz w:val="24"/>
          <w:szCs w:val="24"/>
        </w:rPr>
        <w:t xml:space="preserve">Given the </w:t>
      </w:r>
      <w:r w:rsidR="002A01F1" w:rsidRPr="004F538D">
        <w:rPr>
          <w:rFonts w:ascii="Times New Roman" w:hAnsi="Times New Roman" w:cs="Times New Roman"/>
          <w:sz w:val="24"/>
          <w:szCs w:val="24"/>
        </w:rPr>
        <w:t>importance</w:t>
      </w:r>
      <w:r w:rsidR="00C71EBA" w:rsidRPr="004F538D">
        <w:rPr>
          <w:rFonts w:ascii="Times New Roman" w:hAnsi="Times New Roman" w:cs="Times New Roman"/>
          <w:sz w:val="24"/>
          <w:szCs w:val="24"/>
        </w:rPr>
        <w:t xml:space="preserve"> placed on </w:t>
      </w:r>
      <w:r w:rsidR="002A01F1" w:rsidRPr="004F538D">
        <w:rPr>
          <w:rFonts w:ascii="Times New Roman" w:hAnsi="Times New Roman" w:cs="Times New Roman"/>
          <w:sz w:val="24"/>
          <w:szCs w:val="24"/>
        </w:rPr>
        <w:t>CG</w:t>
      </w:r>
      <w:r w:rsidR="00C71EBA" w:rsidRPr="004F538D">
        <w:rPr>
          <w:rFonts w:ascii="Times New Roman" w:hAnsi="Times New Roman" w:cs="Times New Roman"/>
          <w:sz w:val="24"/>
          <w:szCs w:val="24"/>
        </w:rPr>
        <w:t xml:space="preserve"> in explaining ARD</w:t>
      </w:r>
      <w:r w:rsidR="00EB33CA" w:rsidRPr="004F538D">
        <w:rPr>
          <w:rFonts w:ascii="Times New Roman" w:hAnsi="Times New Roman" w:cs="Times New Roman"/>
          <w:sz w:val="24"/>
          <w:szCs w:val="24"/>
        </w:rPr>
        <w:t xml:space="preserve"> (see Afify, 2009)</w:t>
      </w:r>
      <w:r w:rsidR="00C71EBA" w:rsidRPr="004F538D">
        <w:rPr>
          <w:rFonts w:ascii="Times New Roman" w:hAnsi="Times New Roman" w:cs="Times New Roman"/>
          <w:sz w:val="24"/>
          <w:szCs w:val="24"/>
        </w:rPr>
        <w:t xml:space="preserve">, the present study provides a deeper examination </w:t>
      </w:r>
      <w:r w:rsidR="00203FE2">
        <w:rPr>
          <w:rFonts w:ascii="Times New Roman" w:hAnsi="Times New Roman" w:cs="Times New Roman"/>
          <w:sz w:val="24"/>
          <w:szCs w:val="24"/>
        </w:rPr>
        <w:t xml:space="preserve">of the </w:t>
      </w:r>
      <w:r w:rsidR="00830E1B">
        <w:rPr>
          <w:rFonts w:ascii="Times New Roman" w:hAnsi="Times New Roman" w:cs="Times New Roman"/>
          <w:sz w:val="24"/>
          <w:szCs w:val="24"/>
        </w:rPr>
        <w:t>influence of a composite CG-Index on A</w:t>
      </w:r>
      <w:r w:rsidR="00C71EBA" w:rsidRPr="004F538D">
        <w:rPr>
          <w:rFonts w:ascii="Times New Roman" w:hAnsi="Times New Roman" w:cs="Times New Roman"/>
          <w:sz w:val="24"/>
          <w:szCs w:val="24"/>
        </w:rPr>
        <w:t>RD.</w:t>
      </w:r>
      <w:r w:rsidR="00EB33CA" w:rsidRPr="004F538D">
        <w:rPr>
          <w:rStyle w:val="FootnoteReference"/>
          <w:rFonts w:ascii="Times New Roman" w:hAnsi="Times New Roman" w:cs="Times New Roman"/>
          <w:sz w:val="24"/>
          <w:szCs w:val="24"/>
        </w:rPr>
        <w:footnoteReference w:id="2"/>
      </w:r>
      <w:r w:rsidR="00C71EBA" w:rsidRPr="004F538D">
        <w:rPr>
          <w:rFonts w:ascii="Times New Roman" w:hAnsi="Times New Roman" w:cs="Times New Roman"/>
          <w:sz w:val="24"/>
          <w:szCs w:val="24"/>
        </w:rPr>
        <w:t xml:space="preserve"> </w:t>
      </w:r>
      <w:r w:rsidR="00602A10" w:rsidRPr="004F538D">
        <w:rPr>
          <w:rFonts w:ascii="Times New Roman" w:hAnsi="Times New Roman" w:cs="Times New Roman"/>
          <w:sz w:val="24"/>
          <w:szCs w:val="24"/>
        </w:rPr>
        <w:t>Further, Afify (2009) argues that there is little professional guida</w:t>
      </w:r>
      <w:r w:rsidR="00DA3973">
        <w:rPr>
          <w:rFonts w:ascii="Times New Roman" w:hAnsi="Times New Roman" w:cs="Times New Roman"/>
          <w:sz w:val="24"/>
          <w:szCs w:val="24"/>
        </w:rPr>
        <w:t xml:space="preserve">nce on the factors to consider when </w:t>
      </w:r>
      <w:r w:rsidR="00602A10" w:rsidRPr="004F538D">
        <w:rPr>
          <w:rFonts w:ascii="Times New Roman" w:hAnsi="Times New Roman" w:cs="Times New Roman"/>
          <w:sz w:val="24"/>
          <w:szCs w:val="24"/>
        </w:rPr>
        <w:t>assess</w:t>
      </w:r>
      <w:r w:rsidR="00DA3973">
        <w:rPr>
          <w:rFonts w:ascii="Times New Roman" w:hAnsi="Times New Roman" w:cs="Times New Roman"/>
          <w:sz w:val="24"/>
          <w:szCs w:val="24"/>
        </w:rPr>
        <w:t>ing</w:t>
      </w:r>
      <w:r w:rsidR="00602A10" w:rsidRPr="004F538D">
        <w:rPr>
          <w:rFonts w:ascii="Times New Roman" w:hAnsi="Times New Roman" w:cs="Times New Roman"/>
          <w:sz w:val="24"/>
          <w:szCs w:val="24"/>
        </w:rPr>
        <w:t xml:space="preserve"> the strength of CG </w:t>
      </w:r>
      <w:r w:rsidR="00DA3973">
        <w:rPr>
          <w:rFonts w:ascii="Times New Roman" w:hAnsi="Times New Roman" w:cs="Times New Roman"/>
          <w:sz w:val="24"/>
          <w:szCs w:val="24"/>
        </w:rPr>
        <w:t>in</w:t>
      </w:r>
      <w:r w:rsidR="00602A10" w:rsidRPr="004F538D">
        <w:rPr>
          <w:rFonts w:ascii="Times New Roman" w:hAnsi="Times New Roman" w:cs="Times New Roman"/>
          <w:sz w:val="24"/>
          <w:szCs w:val="24"/>
        </w:rPr>
        <w:t xml:space="preserve"> developing an audit strategy. For instance, a client’s governance structure with strong monitoring and strategic perspectives can be useful towards improving audit efficiency (in terms of detailed testing) and </w:t>
      </w:r>
      <w:r w:rsidR="00DA3973">
        <w:rPr>
          <w:rFonts w:ascii="Times New Roman" w:hAnsi="Times New Roman" w:cs="Times New Roman"/>
          <w:sz w:val="24"/>
          <w:szCs w:val="24"/>
        </w:rPr>
        <w:t xml:space="preserve">audit </w:t>
      </w:r>
      <w:r w:rsidR="00602A10" w:rsidRPr="004F538D">
        <w:rPr>
          <w:rFonts w:ascii="Times New Roman" w:hAnsi="Times New Roman" w:cs="Times New Roman"/>
          <w:sz w:val="24"/>
          <w:szCs w:val="24"/>
        </w:rPr>
        <w:t xml:space="preserve">effectiveness (in terms of assurance provision) (Cohen et al., 2002). </w:t>
      </w:r>
      <w:r w:rsidR="00C71EBA" w:rsidRPr="004F538D">
        <w:rPr>
          <w:rFonts w:ascii="Times New Roman" w:hAnsi="Times New Roman" w:cs="Times New Roman"/>
          <w:sz w:val="24"/>
          <w:szCs w:val="24"/>
        </w:rPr>
        <w:t xml:space="preserve">We argue that for the </w:t>
      </w:r>
      <w:r w:rsidR="00DA3973">
        <w:rPr>
          <w:rFonts w:ascii="Times New Roman" w:hAnsi="Times New Roman" w:cs="Times New Roman"/>
          <w:sz w:val="24"/>
          <w:szCs w:val="24"/>
        </w:rPr>
        <w:t>CG</w:t>
      </w:r>
      <w:r w:rsidR="00C71EBA" w:rsidRPr="004F538D">
        <w:rPr>
          <w:rFonts w:ascii="Times New Roman" w:hAnsi="Times New Roman" w:cs="Times New Roman"/>
          <w:sz w:val="24"/>
          <w:szCs w:val="24"/>
        </w:rPr>
        <w:t xml:space="preserve"> effect to be felt</w:t>
      </w:r>
      <w:r w:rsidR="00602A10" w:rsidRPr="004F538D">
        <w:rPr>
          <w:rFonts w:ascii="Times New Roman" w:hAnsi="Times New Roman" w:cs="Times New Roman"/>
          <w:sz w:val="24"/>
          <w:szCs w:val="24"/>
        </w:rPr>
        <w:t xml:space="preserve"> in the provision of independent assurance</w:t>
      </w:r>
      <w:r w:rsidR="00C71EBA" w:rsidRPr="004F538D">
        <w:rPr>
          <w:rFonts w:ascii="Times New Roman" w:hAnsi="Times New Roman" w:cs="Times New Roman"/>
          <w:sz w:val="24"/>
          <w:szCs w:val="24"/>
        </w:rPr>
        <w:t xml:space="preserve">, it is worthwhile examining the contribution </w:t>
      </w:r>
      <w:r w:rsidR="00240F98">
        <w:rPr>
          <w:rFonts w:ascii="Times New Roman" w:hAnsi="Times New Roman" w:cs="Times New Roman"/>
          <w:sz w:val="24"/>
          <w:szCs w:val="24"/>
        </w:rPr>
        <w:t xml:space="preserve">of </w:t>
      </w:r>
      <w:r w:rsidR="00DA3973">
        <w:rPr>
          <w:rFonts w:ascii="Times New Roman" w:hAnsi="Times New Roman" w:cs="Times New Roman"/>
          <w:sz w:val="24"/>
          <w:szCs w:val="24"/>
        </w:rPr>
        <w:t xml:space="preserve">a composite CG </w:t>
      </w:r>
      <w:r w:rsidR="00C71EBA" w:rsidRPr="004F538D">
        <w:rPr>
          <w:rFonts w:ascii="Times New Roman" w:hAnsi="Times New Roman" w:cs="Times New Roman"/>
          <w:sz w:val="24"/>
          <w:szCs w:val="24"/>
        </w:rPr>
        <w:t>on the timel</w:t>
      </w:r>
      <w:r w:rsidR="00EE1650" w:rsidRPr="004F538D">
        <w:rPr>
          <w:rFonts w:ascii="Times New Roman" w:hAnsi="Times New Roman" w:cs="Times New Roman"/>
          <w:sz w:val="24"/>
          <w:szCs w:val="24"/>
        </w:rPr>
        <w:t>iness and efficiency of audits.</w:t>
      </w:r>
    </w:p>
    <w:p w14:paraId="371C8AB0" w14:textId="48D70BB7" w:rsidR="00DB0505" w:rsidRPr="004F538D" w:rsidRDefault="009C49AD" w:rsidP="00E55C9A">
      <w:pPr>
        <w:jc w:val="both"/>
        <w:rPr>
          <w:rFonts w:ascii="Times New Roman" w:hAnsi="Times New Roman" w:cs="Times New Roman"/>
          <w:sz w:val="24"/>
          <w:szCs w:val="26"/>
        </w:rPr>
      </w:pPr>
      <w:r w:rsidRPr="004F538D">
        <w:rPr>
          <w:rFonts w:ascii="Times New Roman" w:hAnsi="Times New Roman" w:cs="Times New Roman"/>
          <w:sz w:val="24"/>
          <w:szCs w:val="24"/>
        </w:rPr>
        <w:t>W</w:t>
      </w:r>
      <w:r w:rsidR="000327E4" w:rsidRPr="004F538D">
        <w:rPr>
          <w:rFonts w:ascii="Times New Roman" w:hAnsi="Times New Roman" w:cs="Times New Roman"/>
          <w:sz w:val="24"/>
          <w:szCs w:val="26"/>
        </w:rPr>
        <w:t>hereas an array of prior studies ha</w:t>
      </w:r>
      <w:r w:rsidR="00BB2B03" w:rsidRPr="004F538D">
        <w:rPr>
          <w:rFonts w:ascii="Times New Roman" w:hAnsi="Times New Roman" w:cs="Times New Roman"/>
          <w:sz w:val="24"/>
          <w:szCs w:val="26"/>
        </w:rPr>
        <w:t>ve</w:t>
      </w:r>
      <w:r w:rsidR="000327E4" w:rsidRPr="004F538D">
        <w:rPr>
          <w:rFonts w:ascii="Times New Roman" w:hAnsi="Times New Roman" w:cs="Times New Roman"/>
          <w:sz w:val="24"/>
          <w:szCs w:val="26"/>
        </w:rPr>
        <w:t xml:space="preserve"> focused on </w:t>
      </w:r>
      <w:r w:rsidR="00240F98">
        <w:rPr>
          <w:rFonts w:ascii="Times New Roman" w:hAnsi="Times New Roman" w:cs="Times New Roman"/>
          <w:sz w:val="24"/>
          <w:szCs w:val="26"/>
        </w:rPr>
        <w:t>the influence of disaggregated</w:t>
      </w:r>
      <w:r w:rsidR="000327E4" w:rsidRPr="004F538D">
        <w:rPr>
          <w:rFonts w:ascii="Times New Roman" w:hAnsi="Times New Roman" w:cs="Times New Roman"/>
          <w:sz w:val="24"/>
          <w:szCs w:val="26"/>
        </w:rPr>
        <w:t xml:space="preserve"> CG </w:t>
      </w:r>
      <w:r w:rsidR="00240F98">
        <w:rPr>
          <w:rFonts w:ascii="Times New Roman" w:hAnsi="Times New Roman" w:cs="Times New Roman"/>
          <w:sz w:val="24"/>
          <w:szCs w:val="26"/>
        </w:rPr>
        <w:t xml:space="preserve">characteristics on </w:t>
      </w:r>
      <w:r w:rsidR="000327E4" w:rsidRPr="004F538D">
        <w:rPr>
          <w:rFonts w:ascii="Times New Roman" w:hAnsi="Times New Roman" w:cs="Times New Roman"/>
          <w:sz w:val="24"/>
          <w:szCs w:val="26"/>
        </w:rPr>
        <w:t>AR</w:t>
      </w:r>
      <w:r w:rsidR="007C0881">
        <w:rPr>
          <w:rFonts w:ascii="Times New Roman" w:hAnsi="Times New Roman" w:cs="Times New Roman"/>
          <w:sz w:val="24"/>
          <w:szCs w:val="26"/>
        </w:rPr>
        <w:t>D</w:t>
      </w:r>
      <w:r w:rsidR="003868F9" w:rsidRPr="004F538D">
        <w:rPr>
          <w:rFonts w:ascii="Times New Roman" w:hAnsi="Times New Roman" w:cs="Times New Roman"/>
          <w:sz w:val="24"/>
          <w:szCs w:val="26"/>
        </w:rPr>
        <w:t xml:space="preserve"> (Jaggi &amp; Tsui, 1999; Leventis, Weetman &amp; Caramanis, 2005; </w:t>
      </w:r>
      <w:r w:rsidR="005C07EA" w:rsidRPr="004F538D">
        <w:rPr>
          <w:rFonts w:ascii="Times New Roman" w:hAnsi="Times New Roman" w:cs="Times New Roman"/>
          <w:sz w:val="24"/>
          <w:szCs w:val="26"/>
        </w:rPr>
        <w:t>…</w:t>
      </w:r>
      <w:r w:rsidR="001C7470">
        <w:rPr>
          <w:rFonts w:ascii="Times New Roman" w:hAnsi="Times New Roman" w:cs="Times New Roman"/>
          <w:sz w:val="24"/>
          <w:szCs w:val="26"/>
        </w:rPr>
        <w:t xml:space="preserve"> </w:t>
      </w:r>
      <w:r w:rsidR="00031350" w:rsidRPr="004F538D">
        <w:rPr>
          <w:rFonts w:ascii="Times New Roman" w:hAnsi="Times New Roman" w:cs="Times New Roman"/>
          <w:sz w:val="24"/>
          <w:szCs w:val="26"/>
        </w:rPr>
        <w:t>;</w:t>
      </w:r>
      <w:r w:rsidR="003868F9" w:rsidRPr="004F538D">
        <w:rPr>
          <w:rFonts w:ascii="Times New Roman" w:hAnsi="Times New Roman" w:cs="Times New Roman"/>
          <w:sz w:val="24"/>
          <w:szCs w:val="26"/>
        </w:rPr>
        <w:t xml:space="preserve"> </w:t>
      </w:r>
      <w:r w:rsidR="00031350" w:rsidRPr="004F538D">
        <w:rPr>
          <w:rFonts w:ascii="Times New Roman" w:hAnsi="Times New Roman" w:cs="Times New Roman"/>
          <w:sz w:val="24"/>
          <w:szCs w:val="26"/>
        </w:rPr>
        <w:t>Oussii</w:t>
      </w:r>
      <w:r w:rsidR="00031350" w:rsidRPr="004F538D">
        <w:rPr>
          <w:rFonts w:ascii="Times New Roman" w:hAnsi="Times New Roman" w:cs="Times New Roman"/>
        </w:rPr>
        <w:t xml:space="preserve"> </w:t>
      </w:r>
      <w:r w:rsidR="003868F9" w:rsidRPr="004F538D">
        <w:rPr>
          <w:rFonts w:ascii="Times New Roman" w:hAnsi="Times New Roman" w:cs="Times New Roman"/>
          <w:sz w:val="24"/>
          <w:szCs w:val="26"/>
        </w:rPr>
        <w:t>&amp; Taktak, 2018; Swanson &amp; Zhang, 2018)</w:t>
      </w:r>
      <w:r w:rsidR="000327E4" w:rsidRPr="004F538D">
        <w:rPr>
          <w:rFonts w:ascii="Times New Roman" w:hAnsi="Times New Roman" w:cs="Times New Roman"/>
          <w:sz w:val="24"/>
          <w:szCs w:val="26"/>
        </w:rPr>
        <w:t xml:space="preserve">, we argue that such an approach fails to account for the “unobserved” </w:t>
      </w:r>
      <w:r w:rsidR="00240F98">
        <w:rPr>
          <w:rFonts w:ascii="Times New Roman" w:hAnsi="Times New Roman" w:cs="Times New Roman"/>
          <w:sz w:val="24"/>
          <w:szCs w:val="26"/>
        </w:rPr>
        <w:t>real</w:t>
      </w:r>
      <w:r w:rsidR="000327E4" w:rsidRPr="004F538D">
        <w:rPr>
          <w:rFonts w:ascii="Times New Roman" w:hAnsi="Times New Roman" w:cs="Times New Roman"/>
          <w:sz w:val="24"/>
          <w:szCs w:val="26"/>
        </w:rPr>
        <w:t xml:space="preserve"> governance mix as posited by </w:t>
      </w:r>
      <w:r w:rsidR="004B4457" w:rsidRPr="004F538D">
        <w:rPr>
          <w:rFonts w:ascii="Times New Roman" w:hAnsi="Times New Roman" w:cs="Times New Roman"/>
          <w:sz w:val="24"/>
          <w:szCs w:val="26"/>
        </w:rPr>
        <w:t xml:space="preserve">Gompers, Ishii and Metrick (2003), Boyd, Adams and Gove (2017) and </w:t>
      </w:r>
      <w:r w:rsidR="000327E4" w:rsidRPr="004F538D">
        <w:rPr>
          <w:rFonts w:ascii="Times New Roman" w:hAnsi="Times New Roman" w:cs="Times New Roman"/>
          <w:sz w:val="24"/>
          <w:szCs w:val="26"/>
        </w:rPr>
        <w:t>Black et al. (2017).</w:t>
      </w:r>
      <w:r w:rsidR="005C07EA" w:rsidRPr="004F538D">
        <w:rPr>
          <w:rStyle w:val="FootnoteReference"/>
          <w:rFonts w:ascii="Times New Roman" w:hAnsi="Times New Roman" w:cs="Times New Roman"/>
          <w:sz w:val="24"/>
          <w:szCs w:val="26"/>
        </w:rPr>
        <w:footnoteReference w:id="3"/>
      </w:r>
      <w:r w:rsidR="00161B54" w:rsidRPr="004F538D">
        <w:rPr>
          <w:rFonts w:ascii="Times New Roman" w:hAnsi="Times New Roman" w:cs="Times New Roman"/>
          <w:sz w:val="24"/>
          <w:szCs w:val="26"/>
        </w:rPr>
        <w:t xml:space="preserve"> </w:t>
      </w:r>
      <w:r w:rsidR="00A225E2" w:rsidRPr="004F538D">
        <w:rPr>
          <w:rFonts w:ascii="Times New Roman" w:hAnsi="Times New Roman" w:cs="Times New Roman"/>
          <w:sz w:val="24"/>
          <w:szCs w:val="26"/>
        </w:rPr>
        <w:t xml:space="preserve">We therefore </w:t>
      </w:r>
      <w:r w:rsidR="00240F98">
        <w:rPr>
          <w:rFonts w:ascii="Times New Roman" w:hAnsi="Times New Roman" w:cs="Times New Roman"/>
          <w:sz w:val="24"/>
          <w:szCs w:val="26"/>
        </w:rPr>
        <w:t xml:space="preserve">construct a composite </w:t>
      </w:r>
      <w:r w:rsidR="00A225E2" w:rsidRPr="004F538D">
        <w:rPr>
          <w:rFonts w:ascii="Times New Roman" w:hAnsi="Times New Roman" w:cs="Times New Roman"/>
          <w:sz w:val="24"/>
          <w:szCs w:val="26"/>
        </w:rPr>
        <w:t xml:space="preserve">CG measure, referred to as the </w:t>
      </w:r>
      <w:r w:rsidR="00F342A4" w:rsidRPr="004F538D">
        <w:rPr>
          <w:rFonts w:ascii="Times New Roman" w:hAnsi="Times New Roman" w:cs="Times New Roman"/>
          <w:sz w:val="24"/>
          <w:szCs w:val="26"/>
        </w:rPr>
        <w:t>C</w:t>
      </w:r>
      <w:r w:rsidR="00A225E2" w:rsidRPr="004F538D">
        <w:rPr>
          <w:rFonts w:ascii="Times New Roman" w:hAnsi="Times New Roman" w:cs="Times New Roman"/>
          <w:sz w:val="24"/>
          <w:szCs w:val="26"/>
        </w:rPr>
        <w:t>G-Index in this paper</w:t>
      </w:r>
      <w:r w:rsidR="00240F98">
        <w:rPr>
          <w:rFonts w:ascii="Times New Roman" w:hAnsi="Times New Roman" w:cs="Times New Roman"/>
          <w:sz w:val="24"/>
          <w:szCs w:val="26"/>
        </w:rPr>
        <w:t>,</w:t>
      </w:r>
      <w:r w:rsidR="00A225E2" w:rsidRPr="004F538D">
        <w:rPr>
          <w:rFonts w:ascii="Times New Roman" w:hAnsi="Times New Roman" w:cs="Times New Roman"/>
          <w:sz w:val="24"/>
          <w:szCs w:val="26"/>
        </w:rPr>
        <w:t xml:space="preserve"> and study its association with the AR</w:t>
      </w:r>
      <w:r w:rsidR="002E6DB2" w:rsidRPr="004F538D">
        <w:rPr>
          <w:rFonts w:ascii="Times New Roman" w:hAnsi="Times New Roman" w:cs="Times New Roman"/>
          <w:sz w:val="24"/>
          <w:szCs w:val="26"/>
        </w:rPr>
        <w:t>D</w:t>
      </w:r>
      <w:r w:rsidR="00A225E2" w:rsidRPr="004F538D">
        <w:rPr>
          <w:rFonts w:ascii="Times New Roman" w:hAnsi="Times New Roman" w:cs="Times New Roman"/>
          <w:sz w:val="24"/>
          <w:szCs w:val="26"/>
        </w:rPr>
        <w:t>.</w:t>
      </w:r>
      <w:r w:rsidR="00A26868" w:rsidRPr="004F538D">
        <w:rPr>
          <w:rFonts w:ascii="Times New Roman" w:hAnsi="Times New Roman" w:cs="Times New Roman"/>
          <w:sz w:val="24"/>
          <w:szCs w:val="26"/>
        </w:rPr>
        <w:t xml:space="preserve"> We further extend prior studies by examining the factors associated with ARD</w:t>
      </w:r>
      <w:r w:rsidR="00A24A64" w:rsidRPr="004F538D">
        <w:rPr>
          <w:rFonts w:ascii="Times New Roman" w:hAnsi="Times New Roman" w:cs="Times New Roman"/>
          <w:sz w:val="24"/>
          <w:szCs w:val="26"/>
        </w:rPr>
        <w:t xml:space="preserve"> in Kenya’s capital market.</w:t>
      </w:r>
      <w:r w:rsidR="00A26868" w:rsidRPr="004F538D">
        <w:rPr>
          <w:rFonts w:ascii="Times New Roman" w:hAnsi="Times New Roman" w:cs="Times New Roman"/>
          <w:sz w:val="24"/>
          <w:szCs w:val="26"/>
        </w:rPr>
        <w:t xml:space="preserve"> </w:t>
      </w:r>
      <w:r w:rsidR="00A24A64" w:rsidRPr="004F538D">
        <w:rPr>
          <w:rFonts w:ascii="Times New Roman" w:hAnsi="Times New Roman" w:cs="Times New Roman"/>
          <w:sz w:val="24"/>
          <w:szCs w:val="26"/>
        </w:rPr>
        <w:t>The focus on the Kenyan capital market is informed by its uniqueness in terms of the relatively weak enforcement of regulations on company laws, governance and corruption.</w:t>
      </w:r>
      <w:r w:rsidR="00072BE5" w:rsidRPr="004F538D">
        <w:rPr>
          <w:rStyle w:val="FootnoteReference"/>
          <w:rFonts w:ascii="Times New Roman" w:hAnsi="Times New Roman" w:cs="Times New Roman"/>
          <w:sz w:val="24"/>
          <w:szCs w:val="26"/>
        </w:rPr>
        <w:footnoteReference w:id="4"/>
      </w:r>
      <w:r w:rsidR="00A24A64" w:rsidRPr="004F538D">
        <w:rPr>
          <w:rFonts w:ascii="Times New Roman" w:hAnsi="Times New Roman" w:cs="Times New Roman"/>
          <w:sz w:val="24"/>
          <w:szCs w:val="26"/>
        </w:rPr>
        <w:t xml:space="preserve"> </w:t>
      </w:r>
      <w:r w:rsidR="00AC2F90" w:rsidRPr="004F538D">
        <w:rPr>
          <w:rFonts w:ascii="Times New Roman" w:hAnsi="Times New Roman" w:cs="Times New Roman"/>
          <w:sz w:val="24"/>
          <w:szCs w:val="26"/>
        </w:rPr>
        <w:t>The implementation of the Code of Corporate Governance for Security Issuers</w:t>
      </w:r>
      <w:r w:rsidR="00240F98">
        <w:rPr>
          <w:rFonts w:ascii="Times New Roman" w:hAnsi="Times New Roman" w:cs="Times New Roman"/>
          <w:sz w:val="24"/>
          <w:szCs w:val="26"/>
        </w:rPr>
        <w:t xml:space="preserve"> (CCGSI)</w:t>
      </w:r>
      <w:r w:rsidR="00AC2F90" w:rsidRPr="004F538D">
        <w:rPr>
          <w:rFonts w:ascii="Times New Roman" w:hAnsi="Times New Roman" w:cs="Times New Roman"/>
          <w:sz w:val="24"/>
          <w:szCs w:val="26"/>
        </w:rPr>
        <w:t xml:space="preserve"> in 2015 also presents an opportunity to </w:t>
      </w:r>
      <w:r w:rsidR="00240F98">
        <w:rPr>
          <w:rFonts w:ascii="Times New Roman" w:hAnsi="Times New Roman" w:cs="Times New Roman"/>
          <w:sz w:val="24"/>
          <w:szCs w:val="26"/>
        </w:rPr>
        <w:t>examine the extent to which</w:t>
      </w:r>
      <w:r w:rsidR="00AC2F90" w:rsidRPr="004F538D">
        <w:rPr>
          <w:rFonts w:ascii="Times New Roman" w:hAnsi="Times New Roman" w:cs="Times New Roman"/>
          <w:sz w:val="24"/>
          <w:szCs w:val="26"/>
        </w:rPr>
        <w:t xml:space="preserve"> </w:t>
      </w:r>
      <w:r w:rsidR="00240F98">
        <w:rPr>
          <w:rFonts w:ascii="Times New Roman" w:hAnsi="Times New Roman" w:cs="Times New Roman"/>
          <w:sz w:val="24"/>
          <w:szCs w:val="26"/>
        </w:rPr>
        <w:t>CG</w:t>
      </w:r>
      <w:r w:rsidR="00AC2F90" w:rsidRPr="004F538D">
        <w:rPr>
          <w:rFonts w:ascii="Times New Roman" w:hAnsi="Times New Roman" w:cs="Times New Roman"/>
          <w:sz w:val="24"/>
          <w:szCs w:val="26"/>
        </w:rPr>
        <w:t xml:space="preserve"> plays </w:t>
      </w:r>
      <w:r w:rsidR="00240F98">
        <w:rPr>
          <w:rFonts w:ascii="Times New Roman" w:hAnsi="Times New Roman" w:cs="Times New Roman"/>
          <w:sz w:val="24"/>
          <w:szCs w:val="26"/>
        </w:rPr>
        <w:t>towards</w:t>
      </w:r>
      <w:r w:rsidR="00AC2F90" w:rsidRPr="004F538D">
        <w:rPr>
          <w:rFonts w:ascii="Times New Roman" w:hAnsi="Times New Roman" w:cs="Times New Roman"/>
          <w:sz w:val="24"/>
          <w:szCs w:val="26"/>
        </w:rPr>
        <w:t xml:space="preserve"> the timeliness of the </w:t>
      </w:r>
      <w:r w:rsidR="00240F98">
        <w:rPr>
          <w:rFonts w:ascii="Times New Roman" w:hAnsi="Times New Roman" w:cs="Times New Roman"/>
          <w:sz w:val="24"/>
          <w:szCs w:val="26"/>
        </w:rPr>
        <w:t xml:space="preserve">audited </w:t>
      </w:r>
      <w:r w:rsidR="00AC2F90" w:rsidRPr="004F538D">
        <w:rPr>
          <w:rFonts w:ascii="Times New Roman" w:hAnsi="Times New Roman" w:cs="Times New Roman"/>
          <w:sz w:val="24"/>
          <w:szCs w:val="26"/>
        </w:rPr>
        <w:t xml:space="preserve">annual report. The revised Kenyan Companies Act 2015 stipulates that companies should submit their audited annual report within </w:t>
      </w:r>
      <w:r w:rsidR="00786F42" w:rsidRPr="004F538D">
        <w:rPr>
          <w:rFonts w:ascii="Times New Roman" w:hAnsi="Times New Roman" w:cs="Times New Roman"/>
          <w:sz w:val="24"/>
          <w:szCs w:val="26"/>
        </w:rPr>
        <w:t>six</w:t>
      </w:r>
      <w:r w:rsidR="00AC2F90" w:rsidRPr="004F538D">
        <w:rPr>
          <w:rFonts w:ascii="Times New Roman" w:hAnsi="Times New Roman" w:cs="Times New Roman"/>
          <w:sz w:val="24"/>
          <w:szCs w:val="26"/>
        </w:rPr>
        <w:t xml:space="preserve"> months from the year end</w:t>
      </w:r>
      <w:r w:rsidR="00240F98">
        <w:rPr>
          <w:rFonts w:ascii="Times New Roman" w:hAnsi="Times New Roman" w:cs="Times New Roman"/>
          <w:sz w:val="24"/>
          <w:szCs w:val="26"/>
        </w:rPr>
        <w:t xml:space="preserve"> (GOK, 2015)</w:t>
      </w:r>
      <w:r w:rsidR="006E65A8">
        <w:rPr>
          <w:rFonts w:ascii="Times New Roman" w:hAnsi="Times New Roman" w:cs="Times New Roman"/>
          <w:sz w:val="24"/>
          <w:szCs w:val="26"/>
        </w:rPr>
        <w:t>. Whereas there is a regulatory requirement to release the annual report in a timely manner, some companies take shorter or longer, depending on various factors, which will be investigated in this study</w:t>
      </w:r>
      <w:r w:rsidR="00AC2F90" w:rsidRPr="004F538D">
        <w:rPr>
          <w:rFonts w:ascii="Times New Roman" w:hAnsi="Times New Roman" w:cs="Times New Roman"/>
          <w:sz w:val="24"/>
          <w:szCs w:val="26"/>
        </w:rPr>
        <w:t xml:space="preserve">. </w:t>
      </w:r>
    </w:p>
    <w:p w14:paraId="40ABE384" w14:textId="5268EC69" w:rsidR="00E502CC" w:rsidRPr="004F538D" w:rsidRDefault="00161B54" w:rsidP="00E55C9A">
      <w:pPr>
        <w:jc w:val="both"/>
        <w:rPr>
          <w:rFonts w:ascii="Times New Roman" w:hAnsi="Times New Roman" w:cs="Times New Roman"/>
          <w:sz w:val="24"/>
          <w:szCs w:val="26"/>
        </w:rPr>
      </w:pPr>
      <w:r w:rsidRPr="004F538D">
        <w:rPr>
          <w:rFonts w:ascii="Times New Roman" w:hAnsi="Times New Roman" w:cs="Times New Roman"/>
          <w:sz w:val="24"/>
          <w:szCs w:val="26"/>
        </w:rPr>
        <w:t xml:space="preserve">Consistent with Black et al. (2017), we </w:t>
      </w:r>
      <w:r w:rsidR="00120FB2" w:rsidRPr="004F538D">
        <w:rPr>
          <w:rFonts w:ascii="Times New Roman" w:hAnsi="Times New Roman" w:cs="Times New Roman"/>
          <w:sz w:val="24"/>
          <w:szCs w:val="26"/>
        </w:rPr>
        <w:t xml:space="preserve">address </w:t>
      </w:r>
      <w:r w:rsidR="00105632">
        <w:rPr>
          <w:rFonts w:ascii="Times New Roman" w:hAnsi="Times New Roman" w:cs="Times New Roman"/>
          <w:sz w:val="24"/>
          <w:szCs w:val="26"/>
        </w:rPr>
        <w:t xml:space="preserve">the </w:t>
      </w:r>
      <w:r w:rsidRPr="004F538D">
        <w:rPr>
          <w:rFonts w:ascii="Times New Roman" w:hAnsi="Times New Roman" w:cs="Times New Roman"/>
          <w:sz w:val="24"/>
          <w:szCs w:val="26"/>
        </w:rPr>
        <w:t xml:space="preserve">construct validity in the CG Index by adopting a four stage approach </w:t>
      </w:r>
      <w:r w:rsidR="00105632">
        <w:rPr>
          <w:rFonts w:ascii="Times New Roman" w:hAnsi="Times New Roman" w:cs="Times New Roman"/>
          <w:sz w:val="24"/>
          <w:szCs w:val="26"/>
        </w:rPr>
        <w:t>towards the development of a composite C</w:t>
      </w:r>
      <w:r w:rsidRPr="004F538D">
        <w:rPr>
          <w:rFonts w:ascii="Times New Roman" w:hAnsi="Times New Roman" w:cs="Times New Roman"/>
          <w:sz w:val="24"/>
          <w:szCs w:val="26"/>
        </w:rPr>
        <w:t>G-Index</w:t>
      </w:r>
      <w:r w:rsidR="00105632">
        <w:rPr>
          <w:rFonts w:ascii="Times New Roman" w:hAnsi="Times New Roman" w:cs="Times New Roman"/>
          <w:sz w:val="24"/>
          <w:szCs w:val="26"/>
        </w:rPr>
        <w:t>. Using the CG scores obtained using the CG-Index, we examine its association with ARD, both at a granular-level as well as a composite variable</w:t>
      </w:r>
      <w:r w:rsidR="00DB0505" w:rsidRPr="004F538D">
        <w:rPr>
          <w:rFonts w:ascii="Times New Roman" w:hAnsi="Times New Roman" w:cs="Times New Roman"/>
          <w:sz w:val="24"/>
          <w:szCs w:val="26"/>
        </w:rPr>
        <w:t xml:space="preserve">. </w:t>
      </w:r>
      <w:r w:rsidR="00385FE5" w:rsidRPr="004F538D">
        <w:rPr>
          <w:rFonts w:ascii="Times New Roman" w:hAnsi="Times New Roman" w:cs="Times New Roman"/>
          <w:sz w:val="24"/>
          <w:szCs w:val="26"/>
        </w:rPr>
        <w:t xml:space="preserve">The </w:t>
      </w:r>
      <w:r w:rsidR="00F342A4" w:rsidRPr="004F538D">
        <w:rPr>
          <w:rFonts w:ascii="Times New Roman" w:hAnsi="Times New Roman" w:cs="Times New Roman"/>
          <w:sz w:val="24"/>
          <w:szCs w:val="26"/>
        </w:rPr>
        <w:t>C</w:t>
      </w:r>
      <w:r w:rsidR="00385FE5" w:rsidRPr="004F538D">
        <w:rPr>
          <w:rFonts w:ascii="Times New Roman" w:hAnsi="Times New Roman" w:cs="Times New Roman"/>
          <w:sz w:val="24"/>
          <w:szCs w:val="26"/>
        </w:rPr>
        <w:t>G-Index is based on a</w:t>
      </w:r>
      <w:r w:rsidR="00BF2EE6" w:rsidRPr="004F538D">
        <w:rPr>
          <w:rFonts w:ascii="Times New Roman" w:hAnsi="Times New Roman" w:cs="Times New Roman"/>
          <w:sz w:val="24"/>
          <w:szCs w:val="26"/>
        </w:rPr>
        <w:t>n initial</w:t>
      </w:r>
      <w:r w:rsidR="00385FE5" w:rsidRPr="004F538D">
        <w:rPr>
          <w:rFonts w:ascii="Times New Roman" w:hAnsi="Times New Roman" w:cs="Times New Roman"/>
          <w:sz w:val="24"/>
          <w:szCs w:val="26"/>
        </w:rPr>
        <w:t xml:space="preserve"> set of </w:t>
      </w:r>
      <w:r w:rsidR="00BF2EE6" w:rsidRPr="004F538D">
        <w:rPr>
          <w:rFonts w:ascii="Times New Roman" w:hAnsi="Times New Roman" w:cs="Times New Roman"/>
          <w:sz w:val="24"/>
          <w:szCs w:val="26"/>
        </w:rPr>
        <w:t>3</w:t>
      </w:r>
      <w:r w:rsidR="00105632">
        <w:rPr>
          <w:rFonts w:ascii="Times New Roman" w:hAnsi="Times New Roman" w:cs="Times New Roman"/>
          <w:sz w:val="24"/>
          <w:szCs w:val="26"/>
        </w:rPr>
        <w:t>7</w:t>
      </w:r>
      <w:r w:rsidR="00BF2EE6" w:rsidRPr="004F538D">
        <w:rPr>
          <w:rFonts w:ascii="Times New Roman" w:hAnsi="Times New Roman" w:cs="Times New Roman"/>
          <w:sz w:val="24"/>
          <w:szCs w:val="26"/>
        </w:rPr>
        <w:t xml:space="preserve"> </w:t>
      </w:r>
      <w:r w:rsidR="004305C8" w:rsidRPr="004F538D">
        <w:rPr>
          <w:rFonts w:ascii="Times New Roman" w:hAnsi="Times New Roman" w:cs="Times New Roman"/>
          <w:sz w:val="24"/>
          <w:szCs w:val="26"/>
        </w:rPr>
        <w:t xml:space="preserve">CG attributes largely drawn from the 2015 </w:t>
      </w:r>
      <w:r w:rsidR="00105632">
        <w:rPr>
          <w:rFonts w:ascii="Times New Roman" w:hAnsi="Times New Roman" w:cs="Times New Roman"/>
          <w:sz w:val="24"/>
          <w:szCs w:val="26"/>
        </w:rPr>
        <w:t>CCGSI</w:t>
      </w:r>
      <w:r w:rsidR="004305C8" w:rsidRPr="004F538D">
        <w:rPr>
          <w:rFonts w:ascii="Times New Roman" w:hAnsi="Times New Roman" w:cs="Times New Roman"/>
          <w:sz w:val="24"/>
          <w:szCs w:val="26"/>
        </w:rPr>
        <w:t xml:space="preserve"> in Kenya (CMA, 2015) alongside research </w:t>
      </w:r>
      <w:r w:rsidR="00BF2EE6" w:rsidRPr="004F538D">
        <w:rPr>
          <w:rFonts w:ascii="Times New Roman" w:hAnsi="Times New Roman" w:cs="Times New Roman"/>
          <w:sz w:val="24"/>
          <w:szCs w:val="26"/>
        </w:rPr>
        <w:t>studies on CG and AR</w:t>
      </w:r>
      <w:r w:rsidR="00B201FA" w:rsidRPr="004F538D">
        <w:rPr>
          <w:rFonts w:ascii="Times New Roman" w:hAnsi="Times New Roman" w:cs="Times New Roman"/>
          <w:sz w:val="24"/>
          <w:szCs w:val="26"/>
        </w:rPr>
        <w:t>D</w:t>
      </w:r>
      <w:r w:rsidR="00BF2EE6" w:rsidRPr="004F538D">
        <w:rPr>
          <w:rFonts w:ascii="Times New Roman" w:hAnsi="Times New Roman" w:cs="Times New Roman"/>
          <w:sz w:val="24"/>
          <w:szCs w:val="26"/>
        </w:rPr>
        <w:t>.</w:t>
      </w:r>
      <w:r w:rsidR="00685717" w:rsidRPr="004F538D">
        <w:rPr>
          <w:rFonts w:ascii="Times New Roman" w:hAnsi="Times New Roman" w:cs="Times New Roman"/>
          <w:sz w:val="24"/>
          <w:szCs w:val="26"/>
        </w:rPr>
        <w:t xml:space="preserve"> </w:t>
      </w:r>
      <w:r w:rsidR="009B3D82">
        <w:rPr>
          <w:rFonts w:ascii="Times New Roman" w:hAnsi="Times New Roman" w:cs="Times New Roman"/>
          <w:sz w:val="24"/>
          <w:szCs w:val="26"/>
        </w:rPr>
        <w:t xml:space="preserve">After performing construct validity on the 37 CG attributes, the final CG-Index </w:t>
      </w:r>
      <w:r w:rsidR="00685717" w:rsidRPr="004F538D">
        <w:rPr>
          <w:rFonts w:ascii="Times New Roman" w:hAnsi="Times New Roman" w:cs="Times New Roman"/>
          <w:sz w:val="24"/>
          <w:szCs w:val="26"/>
        </w:rPr>
        <w:t xml:space="preserve">utilized for the purposes of this study has </w:t>
      </w:r>
      <w:r w:rsidR="009B3D82">
        <w:rPr>
          <w:rFonts w:ascii="Times New Roman" w:hAnsi="Times New Roman" w:cs="Times New Roman"/>
          <w:sz w:val="24"/>
          <w:szCs w:val="26"/>
        </w:rPr>
        <w:t>8</w:t>
      </w:r>
      <w:r w:rsidR="00685717" w:rsidRPr="004F538D">
        <w:rPr>
          <w:rFonts w:ascii="Times New Roman" w:hAnsi="Times New Roman" w:cs="Times New Roman"/>
          <w:sz w:val="24"/>
          <w:szCs w:val="26"/>
        </w:rPr>
        <w:t xml:space="preserve"> </w:t>
      </w:r>
      <w:r w:rsidR="00C850C1" w:rsidRPr="004F538D">
        <w:rPr>
          <w:rFonts w:ascii="Times New Roman" w:hAnsi="Times New Roman" w:cs="Times New Roman"/>
          <w:sz w:val="24"/>
          <w:szCs w:val="26"/>
        </w:rPr>
        <w:t>characteristics</w:t>
      </w:r>
      <w:r w:rsidR="00685717" w:rsidRPr="004F538D">
        <w:rPr>
          <w:rFonts w:ascii="Times New Roman" w:hAnsi="Times New Roman" w:cs="Times New Roman"/>
          <w:sz w:val="24"/>
          <w:szCs w:val="26"/>
        </w:rPr>
        <w:t>.</w:t>
      </w:r>
      <w:r w:rsidR="00AF52CD" w:rsidRPr="004F538D">
        <w:rPr>
          <w:rFonts w:ascii="Times New Roman" w:hAnsi="Times New Roman" w:cs="Times New Roman"/>
          <w:sz w:val="24"/>
          <w:szCs w:val="26"/>
        </w:rPr>
        <w:t xml:space="preserve"> Although we still employ a granular approach to test the association of each </w:t>
      </w:r>
      <w:r w:rsidR="009B3D82">
        <w:rPr>
          <w:rFonts w:ascii="Times New Roman" w:hAnsi="Times New Roman" w:cs="Times New Roman"/>
          <w:sz w:val="24"/>
          <w:szCs w:val="26"/>
        </w:rPr>
        <w:t>C</w:t>
      </w:r>
      <w:r w:rsidR="00AF52CD" w:rsidRPr="004F538D">
        <w:rPr>
          <w:rFonts w:ascii="Times New Roman" w:hAnsi="Times New Roman" w:cs="Times New Roman"/>
          <w:sz w:val="24"/>
          <w:szCs w:val="26"/>
        </w:rPr>
        <w:t>G-Index item with AR</w:t>
      </w:r>
      <w:r w:rsidR="00B201FA" w:rsidRPr="004F538D">
        <w:rPr>
          <w:rFonts w:ascii="Times New Roman" w:hAnsi="Times New Roman" w:cs="Times New Roman"/>
          <w:sz w:val="24"/>
          <w:szCs w:val="26"/>
        </w:rPr>
        <w:t>D</w:t>
      </w:r>
      <w:r w:rsidR="00AF52CD" w:rsidRPr="004F538D">
        <w:rPr>
          <w:rFonts w:ascii="Times New Roman" w:hAnsi="Times New Roman" w:cs="Times New Roman"/>
          <w:sz w:val="24"/>
          <w:szCs w:val="26"/>
        </w:rPr>
        <w:t>, our primary focus is on the assoc</w:t>
      </w:r>
      <w:r w:rsidR="009B3D82">
        <w:rPr>
          <w:rFonts w:ascii="Times New Roman" w:hAnsi="Times New Roman" w:cs="Times New Roman"/>
          <w:sz w:val="24"/>
          <w:szCs w:val="26"/>
        </w:rPr>
        <w:t>iation between the composite CG-</w:t>
      </w:r>
      <w:r w:rsidR="00AF52CD" w:rsidRPr="004F538D">
        <w:rPr>
          <w:rFonts w:ascii="Times New Roman" w:hAnsi="Times New Roman" w:cs="Times New Roman"/>
          <w:sz w:val="24"/>
          <w:szCs w:val="26"/>
        </w:rPr>
        <w:t>Index and AR</w:t>
      </w:r>
      <w:r w:rsidR="00B201FA" w:rsidRPr="004F538D">
        <w:rPr>
          <w:rFonts w:ascii="Times New Roman" w:hAnsi="Times New Roman" w:cs="Times New Roman"/>
          <w:sz w:val="24"/>
          <w:szCs w:val="26"/>
        </w:rPr>
        <w:t>D</w:t>
      </w:r>
      <w:r w:rsidR="00AF52CD" w:rsidRPr="004F538D">
        <w:rPr>
          <w:rFonts w:ascii="Times New Roman" w:hAnsi="Times New Roman" w:cs="Times New Roman"/>
          <w:sz w:val="24"/>
          <w:szCs w:val="26"/>
        </w:rPr>
        <w:t xml:space="preserve">. </w:t>
      </w:r>
      <w:r w:rsidR="004E0DF1" w:rsidRPr="004F538D">
        <w:rPr>
          <w:rFonts w:ascii="Times New Roman" w:hAnsi="Times New Roman" w:cs="Times New Roman"/>
          <w:sz w:val="24"/>
          <w:szCs w:val="26"/>
        </w:rPr>
        <w:t xml:space="preserve">This is based on the argument that not any </w:t>
      </w:r>
      <w:r w:rsidR="00241F14" w:rsidRPr="004F538D">
        <w:rPr>
          <w:rFonts w:ascii="Times New Roman" w:hAnsi="Times New Roman" w:cs="Times New Roman"/>
          <w:sz w:val="24"/>
          <w:szCs w:val="26"/>
        </w:rPr>
        <w:t>single</w:t>
      </w:r>
      <w:r w:rsidR="004E0DF1" w:rsidRPr="004F538D">
        <w:rPr>
          <w:rFonts w:ascii="Times New Roman" w:hAnsi="Times New Roman" w:cs="Times New Roman"/>
          <w:sz w:val="24"/>
          <w:szCs w:val="26"/>
        </w:rPr>
        <w:t xml:space="preserve"> CG attribute </w:t>
      </w:r>
      <w:r w:rsidR="00241F14" w:rsidRPr="004F538D">
        <w:rPr>
          <w:rFonts w:ascii="Times New Roman" w:hAnsi="Times New Roman" w:cs="Times New Roman"/>
          <w:sz w:val="24"/>
          <w:szCs w:val="26"/>
        </w:rPr>
        <w:t xml:space="preserve">influences the timeliness of audited annual report but the totality of the CG </w:t>
      </w:r>
      <w:r w:rsidR="00531A49">
        <w:rPr>
          <w:rFonts w:ascii="Times New Roman" w:hAnsi="Times New Roman" w:cs="Times New Roman"/>
          <w:sz w:val="24"/>
          <w:szCs w:val="26"/>
        </w:rPr>
        <w:t>mechanisms</w:t>
      </w:r>
      <w:r w:rsidR="00241F14" w:rsidRPr="004F538D">
        <w:rPr>
          <w:rFonts w:ascii="Times New Roman" w:hAnsi="Times New Roman" w:cs="Times New Roman"/>
          <w:sz w:val="24"/>
          <w:szCs w:val="26"/>
        </w:rPr>
        <w:t>. Secondly, the measurement of certain board attributes such as independence and CEO duality have been questioned</w:t>
      </w:r>
      <w:r w:rsidR="000150F7" w:rsidRPr="004F538D">
        <w:rPr>
          <w:rFonts w:ascii="Times New Roman" w:hAnsi="Times New Roman" w:cs="Times New Roman"/>
          <w:sz w:val="24"/>
          <w:szCs w:val="26"/>
        </w:rPr>
        <w:t xml:space="preserve">. </w:t>
      </w:r>
      <w:r w:rsidR="00531A49">
        <w:rPr>
          <w:rFonts w:ascii="Times New Roman" w:hAnsi="Times New Roman" w:cs="Times New Roman"/>
          <w:sz w:val="24"/>
          <w:szCs w:val="26"/>
        </w:rPr>
        <w:t>For instance, t</w:t>
      </w:r>
      <w:r w:rsidR="000150F7" w:rsidRPr="004F538D">
        <w:rPr>
          <w:rFonts w:ascii="Times New Roman" w:hAnsi="Times New Roman" w:cs="Times New Roman"/>
          <w:sz w:val="24"/>
          <w:szCs w:val="26"/>
        </w:rPr>
        <w:t xml:space="preserve">he use of </w:t>
      </w:r>
      <w:r w:rsidR="00531A49">
        <w:rPr>
          <w:rFonts w:ascii="Times New Roman" w:hAnsi="Times New Roman" w:cs="Times New Roman"/>
          <w:sz w:val="24"/>
          <w:szCs w:val="26"/>
        </w:rPr>
        <w:t xml:space="preserve">a </w:t>
      </w:r>
      <w:r w:rsidR="00241F14" w:rsidRPr="004F538D">
        <w:rPr>
          <w:rFonts w:ascii="Times New Roman" w:hAnsi="Times New Roman" w:cs="Times New Roman"/>
          <w:sz w:val="24"/>
          <w:szCs w:val="26"/>
        </w:rPr>
        <w:t>binary approach (1</w:t>
      </w:r>
      <w:r w:rsidR="00965CDB" w:rsidRPr="004F538D">
        <w:rPr>
          <w:rFonts w:ascii="Times New Roman" w:hAnsi="Times New Roman" w:cs="Times New Roman"/>
          <w:sz w:val="24"/>
          <w:szCs w:val="26"/>
        </w:rPr>
        <w:t>, 0</w:t>
      </w:r>
      <w:r w:rsidR="00241F14" w:rsidRPr="004F538D">
        <w:rPr>
          <w:rFonts w:ascii="Times New Roman" w:hAnsi="Times New Roman" w:cs="Times New Roman"/>
          <w:sz w:val="24"/>
          <w:szCs w:val="26"/>
        </w:rPr>
        <w:t xml:space="preserve">) is </w:t>
      </w:r>
      <w:r w:rsidR="000150F7" w:rsidRPr="004F538D">
        <w:rPr>
          <w:rFonts w:ascii="Times New Roman" w:hAnsi="Times New Roman" w:cs="Times New Roman"/>
          <w:sz w:val="24"/>
          <w:szCs w:val="26"/>
        </w:rPr>
        <w:t xml:space="preserve">disputed since it does not </w:t>
      </w:r>
      <w:r w:rsidR="00241F14" w:rsidRPr="004F538D">
        <w:rPr>
          <w:rFonts w:ascii="Times New Roman" w:hAnsi="Times New Roman" w:cs="Times New Roman"/>
          <w:sz w:val="24"/>
          <w:szCs w:val="26"/>
        </w:rPr>
        <w:t xml:space="preserve">effectively capture </w:t>
      </w:r>
      <w:r w:rsidR="000150F7" w:rsidRPr="004F538D">
        <w:rPr>
          <w:rFonts w:ascii="Times New Roman" w:hAnsi="Times New Roman" w:cs="Times New Roman"/>
          <w:sz w:val="24"/>
          <w:szCs w:val="26"/>
        </w:rPr>
        <w:t xml:space="preserve">the nature of independence </w:t>
      </w:r>
      <w:r w:rsidR="00241F14" w:rsidRPr="004F538D">
        <w:rPr>
          <w:rFonts w:ascii="Times New Roman" w:hAnsi="Times New Roman" w:cs="Times New Roman"/>
          <w:sz w:val="24"/>
          <w:szCs w:val="26"/>
        </w:rPr>
        <w:t>(Black et al., 2017</w:t>
      </w:r>
      <w:r w:rsidR="000150F7" w:rsidRPr="004F538D">
        <w:rPr>
          <w:rFonts w:ascii="Times New Roman" w:hAnsi="Times New Roman" w:cs="Times New Roman"/>
          <w:sz w:val="24"/>
          <w:szCs w:val="26"/>
        </w:rPr>
        <w:t>) and underestimates duality (</w:t>
      </w:r>
      <w:r w:rsidR="00241F14" w:rsidRPr="004F538D">
        <w:rPr>
          <w:rFonts w:ascii="Times New Roman" w:hAnsi="Times New Roman" w:cs="Times New Roman"/>
          <w:sz w:val="24"/>
          <w:szCs w:val="26"/>
        </w:rPr>
        <w:t>Gove et al., 2017).</w:t>
      </w:r>
      <w:r w:rsidR="000150F7" w:rsidRPr="004F538D">
        <w:rPr>
          <w:rFonts w:ascii="Times New Roman" w:hAnsi="Times New Roman" w:cs="Times New Roman"/>
          <w:sz w:val="24"/>
          <w:szCs w:val="26"/>
        </w:rPr>
        <w:t xml:space="preserve"> Further, certain unobservable CG attributes for instance </w:t>
      </w:r>
      <w:r w:rsidR="00940DBB">
        <w:rPr>
          <w:rFonts w:ascii="Times New Roman" w:hAnsi="Times New Roman" w:cs="Times New Roman"/>
          <w:sz w:val="24"/>
          <w:szCs w:val="26"/>
        </w:rPr>
        <w:t xml:space="preserve">gender diversity, nationalities in the board and </w:t>
      </w:r>
      <w:r w:rsidR="000150F7" w:rsidRPr="004F538D">
        <w:rPr>
          <w:rFonts w:ascii="Times New Roman" w:hAnsi="Times New Roman" w:cs="Times New Roman"/>
          <w:sz w:val="24"/>
          <w:szCs w:val="26"/>
        </w:rPr>
        <w:t>family connections are largely underexplored</w:t>
      </w:r>
      <w:r w:rsidR="008B33D5" w:rsidRPr="004F538D">
        <w:rPr>
          <w:rFonts w:ascii="Times New Roman" w:hAnsi="Times New Roman" w:cs="Times New Roman"/>
          <w:sz w:val="24"/>
          <w:szCs w:val="26"/>
        </w:rPr>
        <w:t xml:space="preserve"> by studies</w:t>
      </w:r>
      <w:r w:rsidR="000150F7" w:rsidRPr="004F538D">
        <w:rPr>
          <w:rFonts w:ascii="Times New Roman" w:hAnsi="Times New Roman" w:cs="Times New Roman"/>
          <w:sz w:val="24"/>
          <w:szCs w:val="26"/>
        </w:rPr>
        <w:t>.</w:t>
      </w:r>
      <w:r w:rsidR="00E72A1D" w:rsidRPr="004F538D">
        <w:rPr>
          <w:rFonts w:ascii="Times New Roman" w:hAnsi="Times New Roman" w:cs="Times New Roman"/>
          <w:sz w:val="24"/>
          <w:szCs w:val="26"/>
        </w:rPr>
        <w:t xml:space="preserve"> </w:t>
      </w:r>
    </w:p>
    <w:p w14:paraId="13F7336B" w14:textId="470442B0" w:rsidR="00532354" w:rsidRPr="004F538D" w:rsidRDefault="000526E7" w:rsidP="00E55C9A">
      <w:pPr>
        <w:jc w:val="both"/>
        <w:rPr>
          <w:rFonts w:ascii="Times New Roman" w:hAnsi="Times New Roman" w:cs="Times New Roman"/>
          <w:sz w:val="24"/>
          <w:szCs w:val="26"/>
        </w:rPr>
      </w:pPr>
      <w:r w:rsidRPr="004F538D">
        <w:rPr>
          <w:rFonts w:ascii="Times New Roman" w:hAnsi="Times New Roman" w:cs="Times New Roman"/>
          <w:sz w:val="24"/>
          <w:szCs w:val="26"/>
        </w:rPr>
        <w:t>Using a sample of listed firms in a developing economy, Kenya, w</w:t>
      </w:r>
      <w:r w:rsidR="00E72A1D" w:rsidRPr="004F538D">
        <w:rPr>
          <w:rFonts w:ascii="Times New Roman" w:hAnsi="Times New Roman" w:cs="Times New Roman"/>
          <w:sz w:val="24"/>
          <w:szCs w:val="26"/>
        </w:rPr>
        <w:t xml:space="preserve">e observe that </w:t>
      </w:r>
      <w:r w:rsidR="00532354" w:rsidRPr="004F538D">
        <w:rPr>
          <w:rFonts w:ascii="Times New Roman" w:hAnsi="Times New Roman" w:cs="Times New Roman"/>
          <w:sz w:val="24"/>
          <w:szCs w:val="26"/>
        </w:rPr>
        <w:t>the CG</w:t>
      </w:r>
      <w:r w:rsidR="003270C7" w:rsidRPr="004F538D">
        <w:rPr>
          <w:rFonts w:ascii="Times New Roman" w:hAnsi="Times New Roman" w:cs="Times New Roman"/>
          <w:sz w:val="24"/>
          <w:szCs w:val="26"/>
        </w:rPr>
        <w:t>-</w:t>
      </w:r>
      <w:r w:rsidR="00532354" w:rsidRPr="004F538D">
        <w:rPr>
          <w:rFonts w:ascii="Times New Roman" w:hAnsi="Times New Roman" w:cs="Times New Roman"/>
          <w:sz w:val="24"/>
          <w:szCs w:val="26"/>
        </w:rPr>
        <w:t>Index has</w:t>
      </w:r>
      <w:r w:rsidR="003270C7" w:rsidRPr="004F538D">
        <w:rPr>
          <w:rFonts w:ascii="Times New Roman" w:hAnsi="Times New Roman" w:cs="Times New Roman"/>
          <w:sz w:val="24"/>
          <w:szCs w:val="26"/>
        </w:rPr>
        <w:t xml:space="preserve"> </w:t>
      </w:r>
      <w:r w:rsidR="00532354" w:rsidRPr="004F538D">
        <w:rPr>
          <w:rFonts w:ascii="Times New Roman" w:hAnsi="Times New Roman" w:cs="Times New Roman"/>
          <w:sz w:val="24"/>
          <w:szCs w:val="26"/>
        </w:rPr>
        <w:t xml:space="preserve">a </w:t>
      </w:r>
      <w:r w:rsidR="00CB0430">
        <w:rPr>
          <w:rFonts w:ascii="Times New Roman" w:hAnsi="Times New Roman" w:cs="Times New Roman"/>
          <w:sz w:val="24"/>
          <w:szCs w:val="26"/>
        </w:rPr>
        <w:t xml:space="preserve">highly </w:t>
      </w:r>
      <w:r w:rsidR="00532354" w:rsidRPr="004F538D">
        <w:rPr>
          <w:rFonts w:ascii="Times New Roman" w:hAnsi="Times New Roman" w:cs="Times New Roman"/>
          <w:sz w:val="24"/>
          <w:szCs w:val="26"/>
        </w:rPr>
        <w:t xml:space="preserve">significant and negative association with ARD. This </w:t>
      </w:r>
      <w:r w:rsidR="00CB0430">
        <w:rPr>
          <w:rFonts w:ascii="Times New Roman" w:hAnsi="Times New Roman" w:cs="Times New Roman"/>
          <w:sz w:val="24"/>
          <w:szCs w:val="26"/>
        </w:rPr>
        <w:t>highlights the</w:t>
      </w:r>
      <w:r w:rsidR="00532354" w:rsidRPr="004F538D">
        <w:rPr>
          <w:rFonts w:ascii="Times New Roman" w:hAnsi="Times New Roman" w:cs="Times New Roman"/>
          <w:sz w:val="24"/>
          <w:szCs w:val="26"/>
        </w:rPr>
        <w:t xml:space="preserve"> potential improvement in the timeliness of audited annual reports for companies that have embraced higher compliance with the CG</w:t>
      </w:r>
      <w:r w:rsidR="00CB0430">
        <w:rPr>
          <w:rFonts w:ascii="Times New Roman" w:hAnsi="Times New Roman" w:cs="Times New Roman"/>
          <w:sz w:val="24"/>
          <w:szCs w:val="26"/>
        </w:rPr>
        <w:t xml:space="preserve"> code</w:t>
      </w:r>
      <w:r w:rsidR="00532354" w:rsidRPr="004F538D">
        <w:rPr>
          <w:rFonts w:ascii="Times New Roman" w:hAnsi="Times New Roman" w:cs="Times New Roman"/>
          <w:sz w:val="24"/>
          <w:szCs w:val="26"/>
        </w:rPr>
        <w:t xml:space="preserve">, more specifically with regard to </w:t>
      </w:r>
      <w:r w:rsidR="001A7916" w:rsidRPr="004F538D">
        <w:rPr>
          <w:rFonts w:ascii="Times New Roman" w:hAnsi="Times New Roman" w:cs="Times New Roman"/>
          <w:sz w:val="24"/>
          <w:szCs w:val="26"/>
        </w:rPr>
        <w:t>financial expertise in the AC, board size, and meetings, board</w:t>
      </w:r>
      <w:r w:rsidR="00CB0430">
        <w:rPr>
          <w:rFonts w:ascii="Times New Roman" w:hAnsi="Times New Roman" w:cs="Times New Roman"/>
          <w:sz w:val="24"/>
          <w:szCs w:val="26"/>
        </w:rPr>
        <w:t xml:space="preserve"> independence</w:t>
      </w:r>
      <w:r w:rsidR="001A7916" w:rsidRPr="004F538D">
        <w:rPr>
          <w:rFonts w:ascii="Times New Roman" w:hAnsi="Times New Roman" w:cs="Times New Roman"/>
          <w:sz w:val="24"/>
          <w:szCs w:val="26"/>
        </w:rPr>
        <w:t xml:space="preserve">, board diversity (in terms of having women and diverse nationalities) and the tenure of independent board members. </w:t>
      </w:r>
      <w:r w:rsidR="002520AC" w:rsidRPr="004F538D">
        <w:rPr>
          <w:rFonts w:ascii="Times New Roman" w:hAnsi="Times New Roman" w:cs="Times New Roman"/>
          <w:sz w:val="24"/>
          <w:szCs w:val="26"/>
        </w:rPr>
        <w:t xml:space="preserve">Other variables </w:t>
      </w:r>
      <w:r w:rsidR="00CB0430">
        <w:rPr>
          <w:rFonts w:ascii="Times New Roman" w:hAnsi="Times New Roman" w:cs="Times New Roman"/>
          <w:sz w:val="24"/>
          <w:szCs w:val="26"/>
        </w:rPr>
        <w:t>that are negatively associated with A</w:t>
      </w:r>
      <w:r w:rsidR="002520AC" w:rsidRPr="004F538D">
        <w:rPr>
          <w:rFonts w:ascii="Times New Roman" w:hAnsi="Times New Roman" w:cs="Times New Roman"/>
          <w:sz w:val="24"/>
          <w:szCs w:val="26"/>
        </w:rPr>
        <w:t xml:space="preserve">RD include: duality in reporting, family ownership, company size, firm profitability, </w:t>
      </w:r>
      <w:r w:rsidR="005B535F">
        <w:rPr>
          <w:rFonts w:ascii="Times New Roman" w:hAnsi="Times New Roman" w:cs="Times New Roman"/>
          <w:sz w:val="24"/>
          <w:szCs w:val="26"/>
        </w:rPr>
        <w:t>having</w:t>
      </w:r>
      <w:r w:rsidR="002520AC" w:rsidRPr="004F538D">
        <w:rPr>
          <w:rFonts w:ascii="Times New Roman" w:hAnsi="Times New Roman" w:cs="Times New Roman"/>
          <w:sz w:val="24"/>
          <w:szCs w:val="26"/>
        </w:rPr>
        <w:t xml:space="preserve"> Big 4 auditors, firms with December as their </w:t>
      </w:r>
      <w:r w:rsidR="003201BB">
        <w:rPr>
          <w:rFonts w:ascii="Times New Roman" w:hAnsi="Times New Roman" w:cs="Times New Roman"/>
          <w:sz w:val="24"/>
          <w:szCs w:val="26"/>
        </w:rPr>
        <w:t>year-end and cross listed firms</w:t>
      </w:r>
      <w:r w:rsidR="00000567" w:rsidRPr="004F538D">
        <w:rPr>
          <w:rStyle w:val="FootnoteReference"/>
          <w:rFonts w:ascii="Times New Roman" w:hAnsi="Times New Roman" w:cs="Times New Roman"/>
          <w:sz w:val="24"/>
          <w:szCs w:val="26"/>
        </w:rPr>
        <w:footnoteReference w:id="5"/>
      </w:r>
      <w:r w:rsidR="002520AC" w:rsidRPr="004F538D">
        <w:rPr>
          <w:rFonts w:ascii="Times New Roman" w:hAnsi="Times New Roman" w:cs="Times New Roman"/>
          <w:sz w:val="24"/>
          <w:szCs w:val="26"/>
        </w:rPr>
        <w:t>. Finally, the study shows that the more subsidiaries a firm has, the longer the ARD.</w:t>
      </w:r>
    </w:p>
    <w:p w14:paraId="2AC13794" w14:textId="43C5D1E4" w:rsidR="00C51E7A" w:rsidRPr="004F538D" w:rsidRDefault="00633412" w:rsidP="00E55C9A">
      <w:pPr>
        <w:jc w:val="both"/>
        <w:rPr>
          <w:rFonts w:ascii="Times New Roman" w:hAnsi="Times New Roman" w:cs="Times New Roman"/>
          <w:sz w:val="24"/>
          <w:szCs w:val="26"/>
        </w:rPr>
      </w:pPr>
      <w:r w:rsidRPr="004F538D">
        <w:rPr>
          <w:rFonts w:ascii="Times New Roman" w:hAnsi="Times New Roman" w:cs="Times New Roman"/>
          <w:sz w:val="24"/>
          <w:szCs w:val="26"/>
        </w:rPr>
        <w:t xml:space="preserve">The remainder of the paper is organized as follows: </w:t>
      </w:r>
      <w:r w:rsidR="003270C7" w:rsidRPr="004F538D">
        <w:rPr>
          <w:rFonts w:ascii="Times New Roman" w:hAnsi="Times New Roman" w:cs="Times New Roman"/>
          <w:sz w:val="24"/>
          <w:szCs w:val="26"/>
        </w:rPr>
        <w:t xml:space="preserve">section 2 presents the institutional setting </w:t>
      </w:r>
      <w:r w:rsidR="00B27318">
        <w:rPr>
          <w:rFonts w:ascii="Times New Roman" w:hAnsi="Times New Roman" w:cs="Times New Roman"/>
          <w:sz w:val="24"/>
          <w:szCs w:val="26"/>
        </w:rPr>
        <w:t xml:space="preserve">in terms of legal and policy framework </w:t>
      </w:r>
      <w:r w:rsidR="003270C7" w:rsidRPr="004F538D">
        <w:rPr>
          <w:rFonts w:ascii="Times New Roman" w:hAnsi="Times New Roman" w:cs="Times New Roman"/>
          <w:sz w:val="24"/>
          <w:szCs w:val="26"/>
        </w:rPr>
        <w:t xml:space="preserve">on auditing and </w:t>
      </w:r>
      <w:r w:rsidR="00B27318">
        <w:rPr>
          <w:rFonts w:ascii="Times New Roman" w:hAnsi="Times New Roman" w:cs="Times New Roman"/>
          <w:sz w:val="24"/>
          <w:szCs w:val="26"/>
        </w:rPr>
        <w:t>CG</w:t>
      </w:r>
      <w:r w:rsidR="003270C7" w:rsidRPr="004F538D">
        <w:rPr>
          <w:rFonts w:ascii="Times New Roman" w:hAnsi="Times New Roman" w:cs="Times New Roman"/>
          <w:sz w:val="24"/>
          <w:szCs w:val="26"/>
        </w:rPr>
        <w:t xml:space="preserve">. Section 3 presents both </w:t>
      </w:r>
      <w:r w:rsidR="00335DD3">
        <w:rPr>
          <w:rFonts w:ascii="Times New Roman" w:hAnsi="Times New Roman" w:cs="Times New Roman"/>
          <w:sz w:val="24"/>
          <w:szCs w:val="26"/>
        </w:rPr>
        <w:t xml:space="preserve">the </w:t>
      </w:r>
      <w:r w:rsidR="003270C7" w:rsidRPr="004F538D">
        <w:rPr>
          <w:rFonts w:ascii="Times New Roman" w:hAnsi="Times New Roman" w:cs="Times New Roman"/>
          <w:sz w:val="24"/>
          <w:szCs w:val="26"/>
        </w:rPr>
        <w:t>theoretical and empirical literature review and hypotheses formulation. Next, section 4 present</w:t>
      </w:r>
      <w:r w:rsidR="00C51E7A" w:rsidRPr="004F538D">
        <w:rPr>
          <w:rFonts w:ascii="Times New Roman" w:hAnsi="Times New Roman" w:cs="Times New Roman"/>
          <w:sz w:val="24"/>
          <w:szCs w:val="26"/>
        </w:rPr>
        <w:t>s the methodology and data while section 5 highlights the results. Finally, section 6 concludes</w:t>
      </w:r>
      <w:r w:rsidR="00974CD8" w:rsidRPr="004F538D">
        <w:rPr>
          <w:rFonts w:ascii="Times New Roman" w:hAnsi="Times New Roman" w:cs="Times New Roman"/>
          <w:sz w:val="24"/>
          <w:szCs w:val="26"/>
        </w:rPr>
        <w:t xml:space="preserve"> and presents further areas of research</w:t>
      </w:r>
      <w:r w:rsidR="00C51E7A" w:rsidRPr="004F538D">
        <w:rPr>
          <w:rFonts w:ascii="Times New Roman" w:hAnsi="Times New Roman" w:cs="Times New Roman"/>
          <w:sz w:val="24"/>
          <w:szCs w:val="26"/>
        </w:rPr>
        <w:t>.</w:t>
      </w:r>
    </w:p>
    <w:p w14:paraId="30DD2ED6" w14:textId="28FB69E2" w:rsidR="00385FE5" w:rsidRPr="004F538D" w:rsidRDefault="00B201FA" w:rsidP="00F315C1">
      <w:pPr>
        <w:pStyle w:val="ListParagraph"/>
        <w:numPr>
          <w:ilvl w:val="0"/>
          <w:numId w:val="23"/>
        </w:numPr>
        <w:jc w:val="both"/>
        <w:rPr>
          <w:rFonts w:ascii="Times New Roman" w:hAnsi="Times New Roman" w:cs="Times New Roman"/>
          <w:b/>
          <w:sz w:val="24"/>
          <w:szCs w:val="26"/>
        </w:rPr>
      </w:pPr>
      <w:r w:rsidRPr="004F538D">
        <w:rPr>
          <w:rFonts w:ascii="Times New Roman" w:hAnsi="Times New Roman" w:cs="Times New Roman"/>
          <w:b/>
          <w:sz w:val="24"/>
          <w:szCs w:val="26"/>
        </w:rPr>
        <w:t>Institutional setting</w:t>
      </w:r>
      <w:r w:rsidR="00F315C1" w:rsidRPr="004F538D">
        <w:rPr>
          <w:rFonts w:ascii="Times New Roman" w:hAnsi="Times New Roman" w:cs="Times New Roman"/>
          <w:b/>
          <w:sz w:val="24"/>
          <w:szCs w:val="26"/>
        </w:rPr>
        <w:t xml:space="preserve"> </w:t>
      </w:r>
    </w:p>
    <w:p w14:paraId="0F07F26D" w14:textId="1EBCB3B0" w:rsidR="00B53F99" w:rsidRPr="004F538D" w:rsidRDefault="009771CD" w:rsidP="002B54BF">
      <w:pPr>
        <w:jc w:val="both"/>
        <w:rPr>
          <w:rFonts w:ascii="Times New Roman" w:hAnsi="Times New Roman" w:cs="Times New Roman"/>
          <w:sz w:val="24"/>
          <w:szCs w:val="26"/>
        </w:rPr>
      </w:pPr>
      <w:r w:rsidRPr="004F538D">
        <w:rPr>
          <w:rFonts w:ascii="Times New Roman" w:hAnsi="Times New Roman" w:cs="Times New Roman"/>
          <w:sz w:val="24"/>
          <w:szCs w:val="26"/>
        </w:rPr>
        <w:t xml:space="preserve">The </w:t>
      </w:r>
      <w:r w:rsidR="00863264" w:rsidRPr="004F538D">
        <w:rPr>
          <w:rFonts w:ascii="Times New Roman" w:hAnsi="Times New Roman" w:cs="Times New Roman"/>
          <w:sz w:val="24"/>
          <w:szCs w:val="26"/>
        </w:rPr>
        <w:t>CG</w:t>
      </w:r>
      <w:r w:rsidRPr="004F538D">
        <w:rPr>
          <w:rFonts w:ascii="Times New Roman" w:hAnsi="Times New Roman" w:cs="Times New Roman"/>
          <w:sz w:val="24"/>
          <w:szCs w:val="26"/>
        </w:rPr>
        <w:t xml:space="preserve"> concept emerged in the 1930s where scholars such as Berle and Means (1932) observed that </w:t>
      </w:r>
      <w:r w:rsidR="00591CAA">
        <w:rPr>
          <w:rFonts w:ascii="Times New Roman" w:hAnsi="Times New Roman" w:cs="Times New Roman"/>
          <w:sz w:val="24"/>
          <w:szCs w:val="26"/>
        </w:rPr>
        <w:t>when</w:t>
      </w:r>
      <w:r w:rsidRPr="004F538D">
        <w:rPr>
          <w:rFonts w:ascii="Times New Roman" w:hAnsi="Times New Roman" w:cs="Times New Roman"/>
          <w:sz w:val="24"/>
          <w:szCs w:val="26"/>
        </w:rPr>
        <w:t xml:space="preserve"> companies grew they would establish separate systems of control from the direct owners. </w:t>
      </w:r>
      <w:r w:rsidR="00591CAA">
        <w:rPr>
          <w:rFonts w:ascii="Times New Roman" w:hAnsi="Times New Roman" w:cs="Times New Roman"/>
          <w:sz w:val="24"/>
          <w:szCs w:val="26"/>
        </w:rPr>
        <w:t xml:space="preserve">Since then, </w:t>
      </w:r>
      <w:r w:rsidR="00863264" w:rsidRPr="004F538D">
        <w:rPr>
          <w:rFonts w:ascii="Times New Roman" w:hAnsi="Times New Roman" w:cs="Times New Roman"/>
          <w:sz w:val="24"/>
          <w:szCs w:val="26"/>
        </w:rPr>
        <w:t>CG</w:t>
      </w:r>
      <w:r w:rsidRPr="004F538D">
        <w:rPr>
          <w:rFonts w:ascii="Times New Roman" w:hAnsi="Times New Roman" w:cs="Times New Roman"/>
          <w:sz w:val="24"/>
          <w:szCs w:val="26"/>
        </w:rPr>
        <w:t xml:space="preserve"> has gained </w:t>
      </w:r>
      <w:r w:rsidR="00591CAA">
        <w:rPr>
          <w:rFonts w:ascii="Times New Roman" w:hAnsi="Times New Roman" w:cs="Times New Roman"/>
          <w:sz w:val="24"/>
          <w:szCs w:val="26"/>
        </w:rPr>
        <w:t>traction</w:t>
      </w:r>
      <w:r w:rsidRPr="004F538D">
        <w:rPr>
          <w:rFonts w:ascii="Times New Roman" w:hAnsi="Times New Roman" w:cs="Times New Roman"/>
          <w:sz w:val="24"/>
          <w:szCs w:val="26"/>
        </w:rPr>
        <w:t xml:space="preserve"> over the years </w:t>
      </w:r>
      <w:r w:rsidR="00591CAA">
        <w:rPr>
          <w:rFonts w:ascii="Times New Roman" w:hAnsi="Times New Roman" w:cs="Times New Roman"/>
          <w:sz w:val="24"/>
          <w:szCs w:val="26"/>
        </w:rPr>
        <w:t xml:space="preserve">primarily </w:t>
      </w:r>
      <w:r w:rsidRPr="004F538D">
        <w:rPr>
          <w:rFonts w:ascii="Times New Roman" w:hAnsi="Times New Roman" w:cs="Times New Roman"/>
          <w:sz w:val="24"/>
          <w:szCs w:val="26"/>
        </w:rPr>
        <w:t xml:space="preserve">due to </w:t>
      </w:r>
      <w:r w:rsidR="00591CAA">
        <w:rPr>
          <w:rFonts w:ascii="Times New Roman" w:hAnsi="Times New Roman" w:cs="Times New Roman"/>
          <w:sz w:val="24"/>
          <w:szCs w:val="26"/>
        </w:rPr>
        <w:t xml:space="preserve">massive </w:t>
      </w:r>
      <w:r w:rsidRPr="004F538D">
        <w:rPr>
          <w:rFonts w:ascii="Times New Roman" w:hAnsi="Times New Roman" w:cs="Times New Roman"/>
          <w:sz w:val="24"/>
          <w:szCs w:val="26"/>
        </w:rPr>
        <w:t>corporate failures such as the 1932 Stock market crash in the US as well as the Enron and WorldCom scandal</w:t>
      </w:r>
      <w:r w:rsidR="00591CAA">
        <w:rPr>
          <w:rFonts w:ascii="Times New Roman" w:hAnsi="Times New Roman" w:cs="Times New Roman"/>
          <w:sz w:val="24"/>
          <w:szCs w:val="26"/>
        </w:rPr>
        <w:t>s</w:t>
      </w:r>
      <w:r w:rsidRPr="004F538D">
        <w:rPr>
          <w:rFonts w:ascii="Times New Roman" w:hAnsi="Times New Roman" w:cs="Times New Roman"/>
          <w:sz w:val="24"/>
          <w:szCs w:val="26"/>
        </w:rPr>
        <w:t xml:space="preserve"> (Cadbury, 2002; Dagli, Eyuboglu, &amp; Ayadin, 2012). Major contributions to research in </w:t>
      </w:r>
      <w:r w:rsidR="00863264" w:rsidRPr="004F538D">
        <w:rPr>
          <w:rFonts w:ascii="Times New Roman" w:hAnsi="Times New Roman" w:cs="Times New Roman"/>
          <w:sz w:val="24"/>
          <w:szCs w:val="26"/>
        </w:rPr>
        <w:t>CG</w:t>
      </w:r>
      <w:r w:rsidRPr="004F538D">
        <w:rPr>
          <w:rFonts w:ascii="Times New Roman" w:hAnsi="Times New Roman" w:cs="Times New Roman"/>
          <w:sz w:val="24"/>
          <w:szCs w:val="26"/>
        </w:rPr>
        <w:t xml:space="preserve"> emerged in the United Kingdo</w:t>
      </w:r>
      <w:r w:rsidR="00591CAA">
        <w:rPr>
          <w:rFonts w:ascii="Times New Roman" w:hAnsi="Times New Roman" w:cs="Times New Roman"/>
          <w:sz w:val="24"/>
          <w:szCs w:val="26"/>
        </w:rPr>
        <w:t>m through the establishment of the Cadbury Report (1992), the Greenbury Report (1995), the Hempel Report (1998), t</w:t>
      </w:r>
      <w:r w:rsidRPr="004F538D">
        <w:rPr>
          <w:rFonts w:ascii="Times New Roman" w:hAnsi="Times New Roman" w:cs="Times New Roman"/>
          <w:sz w:val="24"/>
          <w:szCs w:val="26"/>
        </w:rPr>
        <w:t xml:space="preserve">he Higgs Report (2003) and the Combined Code on </w:t>
      </w:r>
      <w:r w:rsidR="00863264" w:rsidRPr="004F538D">
        <w:rPr>
          <w:rFonts w:ascii="Times New Roman" w:hAnsi="Times New Roman" w:cs="Times New Roman"/>
          <w:sz w:val="24"/>
          <w:szCs w:val="26"/>
        </w:rPr>
        <w:t xml:space="preserve">CG </w:t>
      </w:r>
      <w:r w:rsidRPr="004F538D">
        <w:rPr>
          <w:rFonts w:ascii="Times New Roman" w:hAnsi="Times New Roman" w:cs="Times New Roman"/>
          <w:sz w:val="24"/>
          <w:szCs w:val="26"/>
        </w:rPr>
        <w:t xml:space="preserve">(2003). </w:t>
      </w:r>
    </w:p>
    <w:p w14:paraId="28833CD4" w14:textId="28E3A29A" w:rsidR="00B53F99" w:rsidRPr="004F538D" w:rsidRDefault="00181657" w:rsidP="002B54BF">
      <w:pPr>
        <w:jc w:val="both"/>
        <w:rPr>
          <w:rFonts w:ascii="Times New Roman" w:hAnsi="Times New Roman" w:cs="Times New Roman"/>
          <w:sz w:val="24"/>
          <w:szCs w:val="26"/>
        </w:rPr>
      </w:pPr>
      <w:r w:rsidRPr="004F538D">
        <w:rPr>
          <w:rFonts w:ascii="Times New Roman" w:hAnsi="Times New Roman" w:cs="Times New Roman"/>
          <w:sz w:val="24"/>
          <w:szCs w:val="26"/>
        </w:rPr>
        <w:t xml:space="preserve">The OECD </w:t>
      </w:r>
      <w:r w:rsidR="00863264" w:rsidRPr="004F538D">
        <w:rPr>
          <w:rFonts w:ascii="Times New Roman" w:hAnsi="Times New Roman" w:cs="Times New Roman"/>
          <w:sz w:val="24"/>
          <w:szCs w:val="26"/>
        </w:rPr>
        <w:t>C</w:t>
      </w:r>
      <w:r w:rsidRPr="004F538D">
        <w:rPr>
          <w:rFonts w:ascii="Times New Roman" w:hAnsi="Times New Roman" w:cs="Times New Roman"/>
          <w:sz w:val="24"/>
          <w:szCs w:val="26"/>
        </w:rPr>
        <w:t xml:space="preserve">ode of </w:t>
      </w:r>
      <w:r w:rsidR="00863264" w:rsidRPr="004F538D">
        <w:rPr>
          <w:rFonts w:ascii="Times New Roman" w:hAnsi="Times New Roman" w:cs="Times New Roman"/>
          <w:sz w:val="24"/>
          <w:szCs w:val="26"/>
        </w:rPr>
        <w:t>CG</w:t>
      </w:r>
      <w:r w:rsidRPr="004F538D">
        <w:rPr>
          <w:rFonts w:ascii="Times New Roman" w:hAnsi="Times New Roman" w:cs="Times New Roman"/>
          <w:sz w:val="24"/>
          <w:szCs w:val="26"/>
        </w:rPr>
        <w:t xml:space="preserve"> (2004) is perhaps the commonly used code to guide security regulators and policy makers develop guidelines on CG for companies in many jurisdictions. The OECD code stipulates that shareholders should “obtain relevant and material information on the corporation on a timely and regular basi</w:t>
      </w:r>
      <w:r w:rsidR="00335DD3">
        <w:rPr>
          <w:rFonts w:ascii="Times New Roman" w:hAnsi="Times New Roman" w:cs="Times New Roman"/>
          <w:sz w:val="24"/>
          <w:szCs w:val="26"/>
        </w:rPr>
        <w:t xml:space="preserve">s” (OECD, 2004, </w:t>
      </w:r>
      <w:r w:rsidRPr="004F538D">
        <w:rPr>
          <w:rFonts w:ascii="Times New Roman" w:hAnsi="Times New Roman" w:cs="Times New Roman"/>
          <w:sz w:val="24"/>
          <w:szCs w:val="26"/>
        </w:rPr>
        <w:t xml:space="preserve">p. </w:t>
      </w:r>
      <w:r w:rsidR="00863264" w:rsidRPr="004F538D">
        <w:rPr>
          <w:rFonts w:ascii="Times New Roman" w:hAnsi="Times New Roman" w:cs="Times New Roman"/>
          <w:sz w:val="24"/>
          <w:szCs w:val="26"/>
        </w:rPr>
        <w:t>18</w:t>
      </w:r>
      <w:r w:rsidRPr="004F538D">
        <w:rPr>
          <w:rFonts w:ascii="Times New Roman" w:hAnsi="Times New Roman" w:cs="Times New Roman"/>
          <w:sz w:val="24"/>
          <w:szCs w:val="26"/>
        </w:rPr>
        <w:t>). There should be timely and accurate disclosure o</w:t>
      </w:r>
      <w:r w:rsidR="0065135C">
        <w:rPr>
          <w:rFonts w:ascii="Times New Roman" w:hAnsi="Times New Roman" w:cs="Times New Roman"/>
          <w:sz w:val="24"/>
          <w:szCs w:val="26"/>
        </w:rPr>
        <w:t>f</w:t>
      </w:r>
      <w:r w:rsidRPr="004F538D">
        <w:rPr>
          <w:rFonts w:ascii="Times New Roman" w:hAnsi="Times New Roman" w:cs="Times New Roman"/>
          <w:sz w:val="24"/>
          <w:szCs w:val="26"/>
        </w:rPr>
        <w:t xml:space="preserve"> all material matters regarding the company, including financial situation, performance, ownership and governance. </w:t>
      </w:r>
    </w:p>
    <w:p w14:paraId="2CCAC11D" w14:textId="3FE1B74D" w:rsidR="009771CD" w:rsidRPr="004F538D" w:rsidRDefault="009F790A" w:rsidP="00CF502D">
      <w:pPr>
        <w:jc w:val="both"/>
        <w:rPr>
          <w:rFonts w:ascii="Times New Roman" w:hAnsi="Times New Roman" w:cs="Times New Roman"/>
          <w:sz w:val="24"/>
          <w:szCs w:val="26"/>
        </w:rPr>
      </w:pPr>
      <w:r w:rsidRPr="004F538D">
        <w:rPr>
          <w:rFonts w:ascii="Times New Roman" w:hAnsi="Times New Roman" w:cs="Times New Roman"/>
          <w:sz w:val="24"/>
          <w:szCs w:val="26"/>
        </w:rPr>
        <w:t>Section 684</w:t>
      </w:r>
      <w:r w:rsidR="00664756" w:rsidRPr="004F538D">
        <w:rPr>
          <w:rFonts w:ascii="Times New Roman" w:hAnsi="Times New Roman" w:cs="Times New Roman"/>
          <w:sz w:val="24"/>
          <w:szCs w:val="26"/>
        </w:rPr>
        <w:t xml:space="preserve">(1) </w:t>
      </w:r>
      <w:r w:rsidRPr="004F538D">
        <w:rPr>
          <w:rFonts w:ascii="Times New Roman" w:hAnsi="Times New Roman" w:cs="Times New Roman"/>
          <w:sz w:val="24"/>
          <w:szCs w:val="26"/>
        </w:rPr>
        <w:t xml:space="preserve">of the </w:t>
      </w:r>
      <w:r w:rsidR="00181657" w:rsidRPr="004F538D">
        <w:rPr>
          <w:rFonts w:ascii="Times New Roman" w:hAnsi="Times New Roman" w:cs="Times New Roman"/>
          <w:sz w:val="24"/>
          <w:szCs w:val="26"/>
        </w:rPr>
        <w:t xml:space="preserve">Kenyan Companies Act, which commenced on </w:t>
      </w:r>
      <w:r w:rsidR="00664756" w:rsidRPr="004F538D">
        <w:rPr>
          <w:rFonts w:ascii="Times New Roman" w:hAnsi="Times New Roman" w:cs="Times New Roman"/>
          <w:sz w:val="24"/>
          <w:szCs w:val="26"/>
        </w:rPr>
        <w:t>15</w:t>
      </w:r>
      <w:r w:rsidR="00664756" w:rsidRPr="004F538D">
        <w:rPr>
          <w:rFonts w:ascii="Times New Roman" w:hAnsi="Times New Roman" w:cs="Times New Roman"/>
          <w:sz w:val="24"/>
          <w:szCs w:val="26"/>
          <w:vertAlign w:val="superscript"/>
        </w:rPr>
        <w:t>th</w:t>
      </w:r>
      <w:r w:rsidR="00664756" w:rsidRPr="004F538D">
        <w:rPr>
          <w:rFonts w:ascii="Times New Roman" w:hAnsi="Times New Roman" w:cs="Times New Roman"/>
          <w:sz w:val="24"/>
          <w:szCs w:val="26"/>
        </w:rPr>
        <w:t xml:space="preserve"> </w:t>
      </w:r>
      <w:r w:rsidR="00181657" w:rsidRPr="004F538D">
        <w:rPr>
          <w:rFonts w:ascii="Times New Roman" w:hAnsi="Times New Roman" w:cs="Times New Roman"/>
          <w:sz w:val="24"/>
          <w:szCs w:val="26"/>
        </w:rPr>
        <w:t xml:space="preserve">September 2015 </w:t>
      </w:r>
      <w:r w:rsidR="0065135C">
        <w:rPr>
          <w:rFonts w:ascii="Times New Roman" w:hAnsi="Times New Roman" w:cs="Times New Roman"/>
          <w:sz w:val="24"/>
          <w:szCs w:val="26"/>
        </w:rPr>
        <w:t>stipulates that</w:t>
      </w:r>
      <w:r w:rsidR="00181657" w:rsidRPr="004F538D">
        <w:rPr>
          <w:rFonts w:ascii="Times New Roman" w:hAnsi="Times New Roman" w:cs="Times New Roman"/>
          <w:sz w:val="24"/>
          <w:szCs w:val="26"/>
        </w:rPr>
        <w:t xml:space="preserve"> the deadline for lodging [audited] financial statements </w:t>
      </w:r>
      <w:r w:rsidR="00597D20" w:rsidRPr="004F538D">
        <w:rPr>
          <w:rFonts w:ascii="Times New Roman" w:hAnsi="Times New Roman" w:cs="Times New Roman"/>
          <w:sz w:val="24"/>
          <w:szCs w:val="26"/>
        </w:rPr>
        <w:t xml:space="preserve">for public companies </w:t>
      </w:r>
      <w:r w:rsidR="00181657" w:rsidRPr="004F538D">
        <w:rPr>
          <w:rFonts w:ascii="Times New Roman" w:hAnsi="Times New Roman" w:cs="Times New Roman"/>
          <w:sz w:val="24"/>
          <w:szCs w:val="26"/>
        </w:rPr>
        <w:t xml:space="preserve">with the Registrar of companies </w:t>
      </w:r>
      <w:r w:rsidR="0065135C">
        <w:rPr>
          <w:rFonts w:ascii="Times New Roman" w:hAnsi="Times New Roman" w:cs="Times New Roman"/>
          <w:sz w:val="24"/>
          <w:szCs w:val="26"/>
        </w:rPr>
        <w:t xml:space="preserve">is </w:t>
      </w:r>
      <w:r w:rsidR="002B54BF" w:rsidRPr="004F538D">
        <w:rPr>
          <w:rFonts w:ascii="Times New Roman" w:hAnsi="Times New Roman" w:cs="Times New Roman"/>
          <w:sz w:val="24"/>
          <w:szCs w:val="26"/>
        </w:rPr>
        <w:t>“</w:t>
      </w:r>
      <w:r w:rsidR="00CF502D" w:rsidRPr="004F538D">
        <w:rPr>
          <w:rFonts w:ascii="Times New Roman" w:hAnsi="Times New Roman" w:cs="Times New Roman"/>
          <w:sz w:val="24"/>
          <w:szCs w:val="26"/>
        </w:rPr>
        <w:t>six months after the end</w:t>
      </w:r>
      <w:r w:rsidR="002B54BF" w:rsidRPr="004F538D">
        <w:rPr>
          <w:rFonts w:ascii="Times New Roman" w:hAnsi="Times New Roman" w:cs="Times New Roman"/>
          <w:sz w:val="24"/>
          <w:szCs w:val="26"/>
        </w:rPr>
        <w:t xml:space="preserve"> </w:t>
      </w:r>
      <w:r w:rsidR="00CF502D" w:rsidRPr="004F538D">
        <w:rPr>
          <w:rFonts w:ascii="Times New Roman" w:hAnsi="Times New Roman" w:cs="Times New Roman"/>
          <w:sz w:val="24"/>
          <w:szCs w:val="26"/>
        </w:rPr>
        <w:t>of the company’s relevant accounting reference</w:t>
      </w:r>
      <w:r w:rsidR="002B54BF" w:rsidRPr="004F538D">
        <w:rPr>
          <w:rFonts w:ascii="Times New Roman" w:hAnsi="Times New Roman" w:cs="Times New Roman"/>
          <w:sz w:val="24"/>
          <w:szCs w:val="26"/>
        </w:rPr>
        <w:t xml:space="preserve"> </w:t>
      </w:r>
      <w:r w:rsidR="00CF502D" w:rsidRPr="004F538D">
        <w:rPr>
          <w:rFonts w:ascii="Times New Roman" w:hAnsi="Times New Roman" w:cs="Times New Roman"/>
          <w:sz w:val="24"/>
          <w:szCs w:val="26"/>
        </w:rPr>
        <w:t>period</w:t>
      </w:r>
      <w:r w:rsidR="002B54BF" w:rsidRPr="004F538D">
        <w:rPr>
          <w:rFonts w:ascii="Times New Roman" w:hAnsi="Times New Roman" w:cs="Times New Roman"/>
          <w:sz w:val="24"/>
          <w:szCs w:val="26"/>
        </w:rPr>
        <w:t>” (</w:t>
      </w:r>
      <w:r w:rsidRPr="004F538D">
        <w:rPr>
          <w:rFonts w:ascii="Times New Roman" w:hAnsi="Times New Roman" w:cs="Times New Roman"/>
          <w:sz w:val="24"/>
          <w:szCs w:val="26"/>
        </w:rPr>
        <w:t>GOK</w:t>
      </w:r>
      <w:r w:rsidR="002B54BF" w:rsidRPr="004F538D">
        <w:rPr>
          <w:rFonts w:ascii="Times New Roman" w:hAnsi="Times New Roman" w:cs="Times New Roman"/>
          <w:sz w:val="24"/>
          <w:szCs w:val="26"/>
        </w:rPr>
        <w:t xml:space="preserve">, 2015, pp. </w:t>
      </w:r>
      <w:r w:rsidR="00664756" w:rsidRPr="004F538D">
        <w:rPr>
          <w:rFonts w:ascii="Times New Roman" w:hAnsi="Times New Roman" w:cs="Times New Roman"/>
          <w:sz w:val="24"/>
          <w:szCs w:val="26"/>
        </w:rPr>
        <w:t>753</w:t>
      </w:r>
      <w:r w:rsidR="002B54BF" w:rsidRPr="004F538D">
        <w:rPr>
          <w:rFonts w:ascii="Times New Roman" w:hAnsi="Times New Roman" w:cs="Times New Roman"/>
          <w:sz w:val="24"/>
          <w:szCs w:val="26"/>
        </w:rPr>
        <w:t>)</w:t>
      </w:r>
      <w:r w:rsidR="00CD2706" w:rsidRPr="004F538D">
        <w:rPr>
          <w:rFonts w:ascii="Times New Roman" w:hAnsi="Times New Roman" w:cs="Times New Roman"/>
          <w:sz w:val="24"/>
          <w:szCs w:val="26"/>
        </w:rPr>
        <w:t xml:space="preserve">. </w:t>
      </w:r>
      <w:r w:rsidR="009771CD" w:rsidRPr="004F538D">
        <w:rPr>
          <w:rFonts w:ascii="Times New Roman" w:hAnsi="Times New Roman" w:cs="Times New Roman"/>
          <w:sz w:val="24"/>
          <w:szCs w:val="26"/>
        </w:rPr>
        <w:t xml:space="preserve">Despite </w:t>
      </w:r>
      <w:r w:rsidR="0065135C">
        <w:rPr>
          <w:rFonts w:ascii="Times New Roman" w:hAnsi="Times New Roman" w:cs="Times New Roman"/>
          <w:sz w:val="24"/>
          <w:szCs w:val="26"/>
        </w:rPr>
        <w:t xml:space="preserve">the existent of characteristic </w:t>
      </w:r>
      <w:r w:rsidR="009771CD" w:rsidRPr="004F538D">
        <w:rPr>
          <w:rFonts w:ascii="Times New Roman" w:hAnsi="Times New Roman" w:cs="Times New Roman"/>
          <w:sz w:val="24"/>
          <w:szCs w:val="26"/>
        </w:rPr>
        <w:t xml:space="preserve">weak institutions and </w:t>
      </w:r>
      <w:r w:rsidR="00CD2706" w:rsidRPr="004F538D">
        <w:rPr>
          <w:rFonts w:ascii="Times New Roman" w:hAnsi="Times New Roman" w:cs="Times New Roman"/>
          <w:sz w:val="24"/>
          <w:szCs w:val="26"/>
        </w:rPr>
        <w:t xml:space="preserve">legislative mechanisms, </w:t>
      </w:r>
      <w:r w:rsidR="009771CD" w:rsidRPr="004F538D">
        <w:rPr>
          <w:rFonts w:ascii="Times New Roman" w:hAnsi="Times New Roman" w:cs="Times New Roman"/>
          <w:sz w:val="24"/>
          <w:szCs w:val="26"/>
        </w:rPr>
        <w:t xml:space="preserve">countries in Africa have emphasized </w:t>
      </w:r>
      <w:r w:rsidR="00664756" w:rsidRPr="004F538D">
        <w:rPr>
          <w:rFonts w:ascii="Times New Roman" w:hAnsi="Times New Roman" w:cs="Times New Roman"/>
          <w:sz w:val="24"/>
          <w:szCs w:val="26"/>
        </w:rPr>
        <w:t>the adoption of best-practice CG practices</w:t>
      </w:r>
      <w:r w:rsidR="009771CD" w:rsidRPr="004F538D">
        <w:rPr>
          <w:rFonts w:ascii="Times New Roman" w:hAnsi="Times New Roman" w:cs="Times New Roman"/>
          <w:sz w:val="24"/>
          <w:szCs w:val="26"/>
        </w:rPr>
        <w:t xml:space="preserve"> in corporations, including developing </w:t>
      </w:r>
      <w:r w:rsidR="00664756" w:rsidRPr="004F538D">
        <w:rPr>
          <w:rFonts w:ascii="Times New Roman" w:hAnsi="Times New Roman" w:cs="Times New Roman"/>
          <w:sz w:val="24"/>
          <w:szCs w:val="26"/>
        </w:rPr>
        <w:t xml:space="preserve">and instituting </w:t>
      </w:r>
      <w:r w:rsidR="009771CD" w:rsidRPr="004F538D">
        <w:rPr>
          <w:rFonts w:ascii="Times New Roman" w:hAnsi="Times New Roman" w:cs="Times New Roman"/>
          <w:sz w:val="24"/>
          <w:szCs w:val="26"/>
        </w:rPr>
        <w:t xml:space="preserve">CG codes to guide companies. In South Africa for instance, the King’s Committee Report and Code of Practice for </w:t>
      </w:r>
      <w:r w:rsidR="00664756" w:rsidRPr="004F538D">
        <w:rPr>
          <w:rFonts w:ascii="Times New Roman" w:hAnsi="Times New Roman" w:cs="Times New Roman"/>
          <w:sz w:val="24"/>
          <w:szCs w:val="26"/>
        </w:rPr>
        <w:t>CG</w:t>
      </w:r>
      <w:r w:rsidR="009771CD" w:rsidRPr="004F538D">
        <w:rPr>
          <w:rFonts w:ascii="Times New Roman" w:hAnsi="Times New Roman" w:cs="Times New Roman"/>
          <w:sz w:val="24"/>
          <w:szCs w:val="26"/>
        </w:rPr>
        <w:t xml:space="preserve"> were published in 1994 to steer CG </w:t>
      </w:r>
      <w:r w:rsidR="00664756" w:rsidRPr="004F538D">
        <w:rPr>
          <w:rFonts w:ascii="Times New Roman" w:hAnsi="Times New Roman" w:cs="Times New Roman"/>
          <w:sz w:val="24"/>
          <w:szCs w:val="26"/>
        </w:rPr>
        <w:t>efforts</w:t>
      </w:r>
      <w:r w:rsidR="009771CD" w:rsidRPr="004F538D">
        <w:rPr>
          <w:rFonts w:ascii="Times New Roman" w:hAnsi="Times New Roman" w:cs="Times New Roman"/>
          <w:sz w:val="24"/>
          <w:szCs w:val="26"/>
        </w:rPr>
        <w:t xml:space="preserve"> in Africa. </w:t>
      </w:r>
      <w:r w:rsidR="00211D5A" w:rsidRPr="004F538D">
        <w:rPr>
          <w:rFonts w:ascii="Times New Roman" w:hAnsi="Times New Roman" w:cs="Times New Roman"/>
          <w:sz w:val="24"/>
          <w:szCs w:val="26"/>
        </w:rPr>
        <w:t xml:space="preserve">In Kenya, the </w:t>
      </w:r>
      <w:r w:rsidR="00CF502D" w:rsidRPr="004F538D">
        <w:rPr>
          <w:rFonts w:ascii="Times New Roman" w:hAnsi="Times New Roman" w:cs="Times New Roman"/>
          <w:sz w:val="24"/>
          <w:szCs w:val="26"/>
        </w:rPr>
        <w:t xml:space="preserve">Capital Markets </w:t>
      </w:r>
      <w:r w:rsidR="00211D5A" w:rsidRPr="004F538D">
        <w:rPr>
          <w:rFonts w:ascii="Times New Roman" w:hAnsi="Times New Roman" w:cs="Times New Roman"/>
          <w:sz w:val="24"/>
          <w:szCs w:val="26"/>
        </w:rPr>
        <w:t xml:space="preserve">Act contains the </w:t>
      </w:r>
      <w:r w:rsidR="0065135C">
        <w:rPr>
          <w:rFonts w:ascii="Times New Roman" w:hAnsi="Times New Roman" w:cs="Times New Roman"/>
          <w:sz w:val="24"/>
          <w:szCs w:val="26"/>
        </w:rPr>
        <w:t>CCGSI</w:t>
      </w:r>
      <w:r w:rsidR="00211D5A" w:rsidRPr="004F538D">
        <w:rPr>
          <w:rFonts w:ascii="Times New Roman" w:hAnsi="Times New Roman" w:cs="Times New Roman"/>
          <w:sz w:val="24"/>
          <w:szCs w:val="26"/>
        </w:rPr>
        <w:t xml:space="preserve"> </w:t>
      </w:r>
      <w:r w:rsidR="0065135C">
        <w:rPr>
          <w:rFonts w:ascii="Times New Roman" w:hAnsi="Times New Roman" w:cs="Times New Roman"/>
          <w:sz w:val="24"/>
          <w:szCs w:val="26"/>
        </w:rPr>
        <w:t>to the public</w:t>
      </w:r>
      <w:r w:rsidR="00211D5A" w:rsidRPr="004F538D">
        <w:rPr>
          <w:rFonts w:ascii="Times New Roman" w:hAnsi="Times New Roman" w:cs="Times New Roman"/>
          <w:sz w:val="24"/>
          <w:szCs w:val="26"/>
        </w:rPr>
        <w:t xml:space="preserve">, 2015. </w:t>
      </w:r>
      <w:r w:rsidR="007123FC" w:rsidRPr="004F538D">
        <w:rPr>
          <w:rFonts w:ascii="Times New Roman" w:hAnsi="Times New Roman" w:cs="Times New Roman"/>
          <w:sz w:val="24"/>
          <w:szCs w:val="26"/>
        </w:rPr>
        <w:t>The 2015 Code replaced an earlier CG code which was established in 2002.</w:t>
      </w:r>
    </w:p>
    <w:p w14:paraId="1061128E" w14:textId="5CCD800F" w:rsidR="00CD2706" w:rsidRPr="004F538D" w:rsidRDefault="0065135C" w:rsidP="00CD2706">
      <w:pPr>
        <w:jc w:val="both"/>
        <w:rPr>
          <w:rFonts w:ascii="Times New Roman" w:hAnsi="Times New Roman" w:cs="Times New Roman"/>
          <w:sz w:val="24"/>
          <w:szCs w:val="26"/>
        </w:rPr>
      </w:pPr>
      <w:r>
        <w:rPr>
          <w:rFonts w:ascii="Times New Roman" w:hAnsi="Times New Roman" w:cs="Times New Roman"/>
          <w:sz w:val="24"/>
          <w:szCs w:val="26"/>
        </w:rPr>
        <w:t>According to the</w:t>
      </w:r>
      <w:r w:rsidR="00CD2706" w:rsidRPr="004F538D">
        <w:rPr>
          <w:rFonts w:ascii="Times New Roman" w:hAnsi="Times New Roman" w:cs="Times New Roman"/>
          <w:sz w:val="24"/>
          <w:szCs w:val="26"/>
        </w:rPr>
        <w:t xml:space="preserve"> </w:t>
      </w:r>
      <w:r w:rsidR="00211D5A" w:rsidRPr="004F538D">
        <w:rPr>
          <w:rFonts w:ascii="Times New Roman" w:hAnsi="Times New Roman" w:cs="Times New Roman"/>
          <w:sz w:val="24"/>
          <w:szCs w:val="26"/>
        </w:rPr>
        <w:t>CCG</w:t>
      </w:r>
      <w:r>
        <w:rPr>
          <w:rFonts w:ascii="Times New Roman" w:hAnsi="Times New Roman" w:cs="Times New Roman"/>
          <w:sz w:val="24"/>
          <w:szCs w:val="26"/>
        </w:rPr>
        <w:t>SI</w:t>
      </w:r>
      <w:r w:rsidR="00211D5A" w:rsidRPr="004F538D">
        <w:rPr>
          <w:rFonts w:ascii="Times New Roman" w:hAnsi="Times New Roman" w:cs="Times New Roman"/>
          <w:sz w:val="24"/>
          <w:szCs w:val="26"/>
        </w:rPr>
        <w:t xml:space="preserve">, shareholders have a right to receive </w:t>
      </w:r>
      <w:r w:rsidR="00CF502D" w:rsidRPr="004F538D">
        <w:rPr>
          <w:rFonts w:ascii="Times New Roman" w:hAnsi="Times New Roman" w:cs="Times New Roman"/>
          <w:sz w:val="24"/>
          <w:szCs w:val="26"/>
        </w:rPr>
        <w:t xml:space="preserve">full and timely information regarding </w:t>
      </w:r>
      <w:r w:rsidR="00211D5A" w:rsidRPr="004F538D">
        <w:rPr>
          <w:rFonts w:ascii="Times New Roman" w:hAnsi="Times New Roman" w:cs="Times New Roman"/>
          <w:sz w:val="24"/>
          <w:szCs w:val="26"/>
        </w:rPr>
        <w:t xml:space="preserve">matters to be discussed in the </w:t>
      </w:r>
      <w:r w:rsidR="00CF502D" w:rsidRPr="004F538D">
        <w:rPr>
          <w:rFonts w:ascii="Times New Roman" w:hAnsi="Times New Roman" w:cs="Times New Roman"/>
          <w:sz w:val="24"/>
          <w:szCs w:val="26"/>
        </w:rPr>
        <w:t>Annual General Meeting</w:t>
      </w:r>
      <w:r w:rsidR="00211D5A" w:rsidRPr="004F538D">
        <w:rPr>
          <w:rFonts w:ascii="Times New Roman" w:hAnsi="Times New Roman" w:cs="Times New Roman"/>
          <w:sz w:val="24"/>
          <w:szCs w:val="26"/>
        </w:rPr>
        <w:t xml:space="preserve"> at </w:t>
      </w:r>
      <w:r w:rsidR="00CF502D" w:rsidRPr="004F538D">
        <w:rPr>
          <w:rFonts w:ascii="Times New Roman" w:hAnsi="Times New Roman" w:cs="Times New Roman"/>
          <w:sz w:val="24"/>
          <w:szCs w:val="26"/>
        </w:rPr>
        <w:t>least 21 calendar days before.</w:t>
      </w:r>
      <w:r w:rsidR="00211D5A" w:rsidRPr="004F538D">
        <w:rPr>
          <w:rFonts w:ascii="Times New Roman" w:hAnsi="Times New Roman" w:cs="Times New Roman"/>
          <w:sz w:val="24"/>
          <w:szCs w:val="26"/>
        </w:rPr>
        <w:t xml:space="preserve"> The CCG</w:t>
      </w:r>
      <w:r>
        <w:rPr>
          <w:rFonts w:ascii="Times New Roman" w:hAnsi="Times New Roman" w:cs="Times New Roman"/>
          <w:sz w:val="24"/>
          <w:szCs w:val="26"/>
        </w:rPr>
        <w:t>SI</w:t>
      </w:r>
      <w:r w:rsidR="00211D5A" w:rsidRPr="004F538D">
        <w:rPr>
          <w:rFonts w:ascii="Times New Roman" w:hAnsi="Times New Roman" w:cs="Times New Roman"/>
          <w:sz w:val="24"/>
          <w:szCs w:val="26"/>
        </w:rPr>
        <w:t xml:space="preserve"> </w:t>
      </w:r>
      <w:r w:rsidR="009F790A" w:rsidRPr="004F538D">
        <w:rPr>
          <w:rFonts w:ascii="Times New Roman" w:hAnsi="Times New Roman" w:cs="Times New Roman"/>
          <w:sz w:val="24"/>
          <w:szCs w:val="26"/>
        </w:rPr>
        <w:t>r</w:t>
      </w:r>
      <w:r w:rsidR="00211D5A" w:rsidRPr="004F538D">
        <w:rPr>
          <w:rFonts w:ascii="Times New Roman" w:hAnsi="Times New Roman" w:cs="Times New Roman"/>
          <w:sz w:val="24"/>
          <w:szCs w:val="26"/>
        </w:rPr>
        <w:t xml:space="preserve">equires the board to institute process for timely preparation of books of accounts and </w:t>
      </w:r>
      <w:r w:rsidRPr="004F538D">
        <w:rPr>
          <w:rFonts w:ascii="Times New Roman" w:hAnsi="Times New Roman" w:cs="Times New Roman"/>
          <w:sz w:val="24"/>
          <w:szCs w:val="26"/>
        </w:rPr>
        <w:t>charge</w:t>
      </w:r>
      <w:r w:rsidR="00211D5A" w:rsidRPr="004F538D">
        <w:rPr>
          <w:rFonts w:ascii="Times New Roman" w:hAnsi="Times New Roman" w:cs="Times New Roman"/>
          <w:sz w:val="24"/>
          <w:szCs w:val="26"/>
        </w:rPr>
        <w:t xml:space="preserve"> its AC </w:t>
      </w:r>
      <w:r>
        <w:rPr>
          <w:rFonts w:ascii="Times New Roman" w:hAnsi="Times New Roman" w:cs="Times New Roman"/>
          <w:sz w:val="24"/>
          <w:szCs w:val="26"/>
        </w:rPr>
        <w:t>with</w:t>
      </w:r>
      <w:r w:rsidR="00211D5A" w:rsidRPr="004F538D">
        <w:rPr>
          <w:rFonts w:ascii="Times New Roman" w:hAnsi="Times New Roman" w:cs="Times New Roman"/>
          <w:sz w:val="24"/>
          <w:szCs w:val="26"/>
        </w:rPr>
        <w:t xml:space="preserve"> ensuring that the</w:t>
      </w:r>
      <w:r w:rsidR="00CF502D" w:rsidRPr="004F538D">
        <w:rPr>
          <w:rFonts w:ascii="Times New Roman" w:hAnsi="Times New Roman" w:cs="Times New Roman"/>
          <w:sz w:val="24"/>
          <w:szCs w:val="26"/>
        </w:rPr>
        <w:t xml:space="preserve"> financial statements comply with applicable </w:t>
      </w:r>
      <w:r w:rsidR="00211D5A" w:rsidRPr="004F538D">
        <w:rPr>
          <w:rFonts w:ascii="Times New Roman" w:hAnsi="Times New Roman" w:cs="Times New Roman"/>
          <w:sz w:val="24"/>
          <w:szCs w:val="26"/>
        </w:rPr>
        <w:t xml:space="preserve">IFRS. The </w:t>
      </w:r>
      <w:r>
        <w:rPr>
          <w:rFonts w:ascii="Times New Roman" w:hAnsi="Times New Roman" w:cs="Times New Roman"/>
          <w:sz w:val="24"/>
          <w:szCs w:val="26"/>
        </w:rPr>
        <w:t>c</w:t>
      </w:r>
      <w:r w:rsidR="00211D5A" w:rsidRPr="004F538D">
        <w:rPr>
          <w:rFonts w:ascii="Times New Roman" w:hAnsi="Times New Roman" w:cs="Times New Roman"/>
          <w:sz w:val="24"/>
          <w:szCs w:val="26"/>
        </w:rPr>
        <w:t xml:space="preserve">ode expects board members to provide timely and balanced disclosure of all </w:t>
      </w:r>
      <w:r w:rsidR="00CF502D" w:rsidRPr="004F538D">
        <w:rPr>
          <w:rFonts w:ascii="Times New Roman" w:hAnsi="Times New Roman" w:cs="Times New Roman"/>
          <w:sz w:val="24"/>
          <w:szCs w:val="26"/>
        </w:rPr>
        <w:t>material information concerning the company</w:t>
      </w:r>
      <w:r w:rsidR="009F790A" w:rsidRPr="004F538D">
        <w:rPr>
          <w:rFonts w:ascii="Times New Roman" w:hAnsi="Times New Roman" w:cs="Times New Roman"/>
          <w:sz w:val="24"/>
          <w:szCs w:val="26"/>
        </w:rPr>
        <w:t xml:space="preserve"> (CCG</w:t>
      </w:r>
      <w:r>
        <w:rPr>
          <w:rFonts w:ascii="Times New Roman" w:hAnsi="Times New Roman" w:cs="Times New Roman"/>
          <w:sz w:val="24"/>
          <w:szCs w:val="26"/>
        </w:rPr>
        <w:t>SI</w:t>
      </w:r>
      <w:r w:rsidR="009F790A" w:rsidRPr="004F538D">
        <w:rPr>
          <w:rFonts w:ascii="Times New Roman" w:hAnsi="Times New Roman" w:cs="Times New Roman"/>
          <w:sz w:val="24"/>
          <w:szCs w:val="26"/>
        </w:rPr>
        <w:t>, 2015)</w:t>
      </w:r>
      <w:r w:rsidR="00CF502D" w:rsidRPr="004F538D">
        <w:rPr>
          <w:rFonts w:ascii="Times New Roman" w:hAnsi="Times New Roman" w:cs="Times New Roman"/>
          <w:sz w:val="24"/>
          <w:szCs w:val="26"/>
        </w:rPr>
        <w:t>.</w:t>
      </w:r>
      <w:r w:rsidR="00CD2706" w:rsidRPr="004F538D">
        <w:rPr>
          <w:rFonts w:ascii="Times New Roman" w:hAnsi="Times New Roman" w:cs="Times New Roman"/>
          <w:sz w:val="24"/>
          <w:szCs w:val="26"/>
        </w:rPr>
        <w:t xml:space="preserve"> The ARD has been studied as a primary proxy for the timeliness of audited annual reports and CG has been found to influence it</w:t>
      </w:r>
      <w:r w:rsidR="00BB19A2" w:rsidRPr="004F538D">
        <w:rPr>
          <w:rFonts w:ascii="Times New Roman" w:hAnsi="Times New Roman" w:cs="Times New Roman"/>
          <w:sz w:val="24"/>
          <w:szCs w:val="26"/>
        </w:rPr>
        <w:t xml:space="preserve"> (Jaggi &amp; Tsui, 1999; Tauringana, Kyeyune &amp; Opio, 2008; Afify, 2009; Hassa</w:t>
      </w:r>
      <w:r w:rsidR="00960603">
        <w:rPr>
          <w:rFonts w:ascii="Times New Roman" w:hAnsi="Times New Roman" w:cs="Times New Roman"/>
          <w:sz w:val="24"/>
          <w:szCs w:val="26"/>
        </w:rPr>
        <w:t>n, 2016; Chan, Luo &amp; Mo, 2016;</w:t>
      </w:r>
      <w:r w:rsidR="00BB19A2" w:rsidRPr="004F538D">
        <w:rPr>
          <w:rFonts w:ascii="Times New Roman" w:hAnsi="Times New Roman" w:cs="Times New Roman"/>
          <w:sz w:val="24"/>
          <w:szCs w:val="26"/>
        </w:rPr>
        <w:t xml:space="preserve"> Durand, 2019)</w:t>
      </w:r>
      <w:r w:rsidR="00CD2706" w:rsidRPr="004F538D">
        <w:rPr>
          <w:rFonts w:ascii="Times New Roman" w:hAnsi="Times New Roman" w:cs="Times New Roman"/>
          <w:sz w:val="24"/>
          <w:szCs w:val="26"/>
        </w:rPr>
        <w:t>. Ideally, embracing good CG practices is expected to contribute positively to the timeliness of the annual report, although this is not always the case. It is on this backdrop that the present study seeks to examine the nexus between CG mechanisms and their influence on the timeliness of annual reports as proxied by ARD.</w:t>
      </w:r>
    </w:p>
    <w:p w14:paraId="093E427E" w14:textId="77777777" w:rsidR="00F315C1" w:rsidRPr="004F538D" w:rsidRDefault="00B201FA" w:rsidP="00D90E39">
      <w:pPr>
        <w:pStyle w:val="ListParagraph"/>
        <w:numPr>
          <w:ilvl w:val="0"/>
          <w:numId w:val="23"/>
        </w:numPr>
        <w:spacing w:before="240"/>
        <w:jc w:val="both"/>
        <w:rPr>
          <w:rFonts w:ascii="Times New Roman" w:hAnsi="Times New Roman" w:cs="Times New Roman"/>
          <w:b/>
          <w:sz w:val="24"/>
          <w:szCs w:val="26"/>
        </w:rPr>
      </w:pPr>
      <w:r w:rsidRPr="004F538D">
        <w:rPr>
          <w:rFonts w:ascii="Times New Roman" w:hAnsi="Times New Roman" w:cs="Times New Roman"/>
          <w:b/>
          <w:sz w:val="24"/>
          <w:szCs w:val="26"/>
        </w:rPr>
        <w:t>Literature review and hypotheses</w:t>
      </w:r>
    </w:p>
    <w:p w14:paraId="4C8A5490" w14:textId="5EA8324D" w:rsidR="00F315C1" w:rsidRPr="004F538D" w:rsidRDefault="00CE6DBC" w:rsidP="00F315C1">
      <w:pPr>
        <w:pStyle w:val="ListParagraph"/>
        <w:numPr>
          <w:ilvl w:val="1"/>
          <w:numId w:val="25"/>
        </w:numPr>
        <w:jc w:val="both"/>
        <w:rPr>
          <w:rFonts w:ascii="Times New Roman" w:hAnsi="Times New Roman" w:cs="Times New Roman"/>
          <w:i/>
          <w:sz w:val="24"/>
          <w:szCs w:val="24"/>
        </w:rPr>
      </w:pPr>
      <w:r w:rsidRPr="004F538D">
        <w:rPr>
          <w:rFonts w:ascii="Times New Roman" w:hAnsi="Times New Roman" w:cs="Times New Roman"/>
          <w:i/>
          <w:sz w:val="24"/>
          <w:szCs w:val="24"/>
        </w:rPr>
        <w:t>Theoretical review</w:t>
      </w:r>
    </w:p>
    <w:p w14:paraId="10FA2231" w14:textId="0128D82A" w:rsidR="00745C43" w:rsidRPr="004F538D" w:rsidRDefault="0070599A" w:rsidP="00F342A4">
      <w:pPr>
        <w:jc w:val="both"/>
        <w:rPr>
          <w:rFonts w:ascii="Times New Roman" w:hAnsi="Times New Roman" w:cs="Times New Roman"/>
          <w:sz w:val="24"/>
          <w:szCs w:val="26"/>
        </w:rPr>
      </w:pPr>
      <w:r w:rsidRPr="004F538D">
        <w:rPr>
          <w:rFonts w:ascii="Times New Roman" w:hAnsi="Times New Roman" w:cs="Times New Roman"/>
          <w:sz w:val="24"/>
          <w:szCs w:val="26"/>
        </w:rPr>
        <w:t>The study draws heavily on a</w:t>
      </w:r>
      <w:r w:rsidR="00B02887" w:rsidRPr="004F538D">
        <w:rPr>
          <w:rFonts w:ascii="Times New Roman" w:hAnsi="Times New Roman" w:cs="Times New Roman"/>
          <w:sz w:val="24"/>
          <w:szCs w:val="26"/>
        </w:rPr>
        <w:t xml:space="preserve">gency theory </w:t>
      </w:r>
      <w:r w:rsidRPr="004F538D">
        <w:rPr>
          <w:rFonts w:ascii="Times New Roman" w:hAnsi="Times New Roman" w:cs="Times New Roman"/>
          <w:sz w:val="24"/>
          <w:szCs w:val="26"/>
        </w:rPr>
        <w:t xml:space="preserve">which </w:t>
      </w:r>
      <w:r w:rsidR="00B02887" w:rsidRPr="004F538D">
        <w:rPr>
          <w:rFonts w:ascii="Times New Roman" w:hAnsi="Times New Roman" w:cs="Times New Roman"/>
          <w:sz w:val="24"/>
          <w:szCs w:val="26"/>
        </w:rPr>
        <w:t xml:space="preserve">has primarily been utilized to explain </w:t>
      </w:r>
      <w:r w:rsidR="00364E8F" w:rsidRPr="004F538D">
        <w:rPr>
          <w:rFonts w:ascii="Times New Roman" w:hAnsi="Times New Roman" w:cs="Times New Roman"/>
          <w:sz w:val="24"/>
          <w:szCs w:val="26"/>
        </w:rPr>
        <w:t>why organizations incur monitoring costs to reduce agency conflicts (Jensen &amp;</w:t>
      </w:r>
      <w:r w:rsidR="00333AA8" w:rsidRPr="004F538D">
        <w:rPr>
          <w:rFonts w:ascii="Times New Roman" w:hAnsi="Times New Roman" w:cs="Times New Roman"/>
          <w:sz w:val="24"/>
          <w:szCs w:val="26"/>
        </w:rPr>
        <w:t xml:space="preserve"> Meckling, 1976</w:t>
      </w:r>
      <w:r w:rsidR="00364E8F" w:rsidRPr="004F538D">
        <w:rPr>
          <w:rFonts w:ascii="Times New Roman" w:hAnsi="Times New Roman" w:cs="Times New Roman"/>
          <w:sz w:val="24"/>
          <w:szCs w:val="26"/>
        </w:rPr>
        <w:t>).</w:t>
      </w:r>
      <w:r w:rsidR="00333AA8" w:rsidRPr="004F538D">
        <w:rPr>
          <w:rFonts w:ascii="Times New Roman" w:hAnsi="Times New Roman" w:cs="Times New Roman"/>
          <w:sz w:val="24"/>
          <w:szCs w:val="26"/>
        </w:rPr>
        <w:t xml:space="preserve"> </w:t>
      </w:r>
      <w:r w:rsidR="00E076D1" w:rsidRPr="004F538D">
        <w:rPr>
          <w:rFonts w:ascii="Times New Roman" w:hAnsi="Times New Roman" w:cs="Times New Roman"/>
          <w:sz w:val="24"/>
          <w:szCs w:val="26"/>
        </w:rPr>
        <w:t xml:space="preserve">In a typical agency setting, the board and external auditors are charged with protecting shareholder interests from adverse decisions by the management (Fama &amp; Jensen, 1983). </w:t>
      </w:r>
      <w:r w:rsidR="00463D46" w:rsidRPr="004F538D">
        <w:rPr>
          <w:rFonts w:ascii="Times New Roman" w:hAnsi="Times New Roman" w:cs="Times New Roman"/>
          <w:sz w:val="24"/>
          <w:szCs w:val="26"/>
        </w:rPr>
        <w:t xml:space="preserve">According to Nehme, Assaker and Khaife (2015), the management of a firm may fail to cooperate with the independent assurance providers, leading to prolonged time to complete the audit. They argue that </w:t>
      </w:r>
      <w:r w:rsidR="003A18B5" w:rsidRPr="004F538D">
        <w:rPr>
          <w:rFonts w:ascii="Times New Roman" w:hAnsi="Times New Roman" w:cs="Times New Roman"/>
          <w:sz w:val="24"/>
          <w:szCs w:val="26"/>
        </w:rPr>
        <w:t>moral</w:t>
      </w:r>
      <w:r w:rsidR="00463D46" w:rsidRPr="004F538D">
        <w:rPr>
          <w:rFonts w:ascii="Times New Roman" w:hAnsi="Times New Roman" w:cs="Times New Roman"/>
          <w:sz w:val="24"/>
          <w:szCs w:val="26"/>
        </w:rPr>
        <w:t xml:space="preserve"> hazard could also play a role in lengthening the ARD.</w:t>
      </w:r>
      <w:r w:rsidR="003A18B5" w:rsidRPr="004F538D">
        <w:rPr>
          <w:rFonts w:ascii="Times New Roman" w:hAnsi="Times New Roman" w:cs="Times New Roman"/>
          <w:sz w:val="24"/>
          <w:szCs w:val="26"/>
        </w:rPr>
        <w:t xml:space="preserve"> At the board level, Alfraih (2016) opine that outside board members are important in resolving disagreements among internal management, including the external auditor. </w:t>
      </w:r>
      <w:r w:rsidR="00D63D94" w:rsidRPr="004F538D">
        <w:rPr>
          <w:rFonts w:ascii="Times New Roman" w:hAnsi="Times New Roman" w:cs="Times New Roman"/>
          <w:sz w:val="24"/>
          <w:szCs w:val="26"/>
        </w:rPr>
        <w:t>Firms with</w:t>
      </w:r>
      <w:r w:rsidR="003A18B5" w:rsidRPr="004F538D">
        <w:rPr>
          <w:rFonts w:ascii="Times New Roman" w:hAnsi="Times New Roman" w:cs="Times New Roman"/>
          <w:sz w:val="24"/>
          <w:szCs w:val="26"/>
        </w:rPr>
        <w:t xml:space="preserve"> a CEO who holds a dual role would compromise a board’s commitment to minimizing agency conflicts (Fama &amp; Jensen, 1983). </w:t>
      </w:r>
      <w:r w:rsidR="00D63D94" w:rsidRPr="004F538D">
        <w:rPr>
          <w:rFonts w:ascii="Times New Roman" w:hAnsi="Times New Roman" w:cs="Times New Roman"/>
          <w:sz w:val="24"/>
          <w:szCs w:val="26"/>
        </w:rPr>
        <w:t xml:space="preserve">According to </w:t>
      </w:r>
      <w:r w:rsidR="00BA69EF">
        <w:rPr>
          <w:rFonts w:ascii="Times New Roman" w:hAnsi="Times New Roman" w:cs="Times New Roman"/>
          <w:sz w:val="24"/>
          <w:szCs w:val="26"/>
        </w:rPr>
        <w:t xml:space="preserve">the </w:t>
      </w:r>
      <w:r w:rsidR="00D63D94" w:rsidRPr="004F538D">
        <w:rPr>
          <w:rFonts w:ascii="Times New Roman" w:hAnsi="Times New Roman" w:cs="Times New Roman"/>
          <w:sz w:val="24"/>
          <w:szCs w:val="26"/>
        </w:rPr>
        <w:t xml:space="preserve">agency proposition, CEO duality has the potential to increase the uncertainty of information hence leading to agency conflicts (Donald &amp; Davidson, 1991). </w:t>
      </w:r>
      <w:r w:rsidR="003A18B5" w:rsidRPr="004F538D">
        <w:rPr>
          <w:rFonts w:ascii="Times New Roman" w:hAnsi="Times New Roman" w:cs="Times New Roman"/>
          <w:sz w:val="24"/>
          <w:szCs w:val="26"/>
        </w:rPr>
        <w:t xml:space="preserve">Aljifri and Moustafa (2007) further argue that institutional investors are important in </w:t>
      </w:r>
      <w:r w:rsidR="007C0881">
        <w:rPr>
          <w:rFonts w:ascii="Times New Roman" w:hAnsi="Times New Roman" w:cs="Times New Roman"/>
          <w:sz w:val="24"/>
          <w:szCs w:val="26"/>
        </w:rPr>
        <w:t>CG</w:t>
      </w:r>
      <w:r w:rsidR="003A18B5" w:rsidRPr="004F538D">
        <w:rPr>
          <w:rFonts w:ascii="Times New Roman" w:hAnsi="Times New Roman" w:cs="Times New Roman"/>
          <w:sz w:val="24"/>
          <w:szCs w:val="26"/>
        </w:rPr>
        <w:t xml:space="preserve"> since they help reduce agency costs due to their ability to monitor and discipline corporate managers</w:t>
      </w:r>
      <w:r w:rsidR="00AD20D7" w:rsidRPr="004F538D">
        <w:rPr>
          <w:rFonts w:ascii="Times New Roman" w:hAnsi="Times New Roman" w:cs="Times New Roman"/>
          <w:sz w:val="24"/>
          <w:szCs w:val="26"/>
        </w:rPr>
        <w:t xml:space="preserve">. </w:t>
      </w:r>
      <w:r w:rsidR="00E076D1" w:rsidRPr="004F538D">
        <w:rPr>
          <w:rFonts w:ascii="Times New Roman" w:hAnsi="Times New Roman" w:cs="Times New Roman"/>
          <w:sz w:val="24"/>
          <w:szCs w:val="26"/>
        </w:rPr>
        <w:t>Baatwa</w:t>
      </w:r>
      <w:r w:rsidR="00870349" w:rsidRPr="004F538D">
        <w:rPr>
          <w:rFonts w:ascii="Times New Roman" w:hAnsi="Times New Roman" w:cs="Times New Roman"/>
          <w:sz w:val="24"/>
          <w:szCs w:val="26"/>
        </w:rPr>
        <w:t>h</w:t>
      </w:r>
      <w:r w:rsidR="00E076D1" w:rsidRPr="004F538D">
        <w:rPr>
          <w:rFonts w:ascii="Times New Roman" w:hAnsi="Times New Roman" w:cs="Times New Roman"/>
          <w:sz w:val="24"/>
          <w:szCs w:val="26"/>
        </w:rPr>
        <w:t xml:space="preserve">, Salleh and Ahmad (2015) opine that it is virtually impossible for shareholders to oversee the </w:t>
      </w:r>
      <w:r w:rsidR="00870349" w:rsidRPr="004F538D">
        <w:rPr>
          <w:rFonts w:ascii="Times New Roman" w:hAnsi="Times New Roman" w:cs="Times New Roman"/>
          <w:sz w:val="24"/>
          <w:szCs w:val="26"/>
        </w:rPr>
        <w:t>activities</w:t>
      </w:r>
      <w:r w:rsidR="00E076D1" w:rsidRPr="004F538D">
        <w:rPr>
          <w:rFonts w:ascii="Times New Roman" w:hAnsi="Times New Roman" w:cs="Times New Roman"/>
          <w:sz w:val="24"/>
          <w:szCs w:val="26"/>
        </w:rPr>
        <w:t xml:space="preserve"> of the board and the management. </w:t>
      </w:r>
      <w:r w:rsidR="00870349" w:rsidRPr="004F538D">
        <w:rPr>
          <w:rFonts w:ascii="Times New Roman" w:hAnsi="Times New Roman" w:cs="Times New Roman"/>
          <w:sz w:val="24"/>
          <w:szCs w:val="26"/>
        </w:rPr>
        <w:t xml:space="preserve">As a result, the shareholders seek </w:t>
      </w:r>
      <w:r w:rsidR="00745C43" w:rsidRPr="004F538D">
        <w:rPr>
          <w:rFonts w:ascii="Times New Roman" w:hAnsi="Times New Roman" w:cs="Times New Roman"/>
          <w:sz w:val="24"/>
          <w:szCs w:val="26"/>
        </w:rPr>
        <w:t xml:space="preserve">independent </w:t>
      </w:r>
      <w:r w:rsidR="00870349" w:rsidRPr="004F538D">
        <w:rPr>
          <w:rFonts w:ascii="Times New Roman" w:hAnsi="Times New Roman" w:cs="Times New Roman"/>
          <w:sz w:val="24"/>
          <w:szCs w:val="26"/>
        </w:rPr>
        <w:t xml:space="preserve">assurance services in </w:t>
      </w:r>
      <w:r w:rsidR="008A0E98">
        <w:rPr>
          <w:rFonts w:ascii="Times New Roman" w:hAnsi="Times New Roman" w:cs="Times New Roman"/>
          <w:sz w:val="24"/>
          <w:szCs w:val="26"/>
        </w:rPr>
        <w:t xml:space="preserve">a </w:t>
      </w:r>
      <w:r w:rsidR="00870349" w:rsidRPr="004F538D">
        <w:rPr>
          <w:rFonts w:ascii="Times New Roman" w:hAnsi="Times New Roman" w:cs="Times New Roman"/>
          <w:sz w:val="24"/>
          <w:szCs w:val="26"/>
        </w:rPr>
        <w:t>bid to obtain relevant and reliable information on the financial stewardship of the firm</w:t>
      </w:r>
      <w:r w:rsidR="00745C43" w:rsidRPr="004F538D">
        <w:rPr>
          <w:rFonts w:ascii="Times New Roman" w:hAnsi="Times New Roman" w:cs="Times New Roman"/>
          <w:sz w:val="24"/>
          <w:szCs w:val="26"/>
        </w:rPr>
        <w:t xml:space="preserve"> (Watts &amp; Zimmerman, 1986)</w:t>
      </w:r>
      <w:r w:rsidR="00870349" w:rsidRPr="004F538D">
        <w:rPr>
          <w:rFonts w:ascii="Times New Roman" w:hAnsi="Times New Roman" w:cs="Times New Roman"/>
          <w:sz w:val="24"/>
          <w:szCs w:val="26"/>
        </w:rPr>
        <w:t xml:space="preserve">. </w:t>
      </w:r>
    </w:p>
    <w:p w14:paraId="49C63326" w14:textId="19914373" w:rsidR="0089796A" w:rsidRDefault="00003083" w:rsidP="00F342A4">
      <w:pPr>
        <w:jc w:val="both"/>
        <w:rPr>
          <w:rFonts w:ascii="Times New Roman" w:hAnsi="Times New Roman" w:cs="Times New Roman"/>
          <w:sz w:val="24"/>
          <w:szCs w:val="26"/>
        </w:rPr>
      </w:pPr>
      <w:r w:rsidRPr="00A4609E">
        <w:rPr>
          <w:rFonts w:ascii="Times New Roman" w:hAnsi="Times New Roman" w:cs="Times New Roman"/>
          <w:sz w:val="24"/>
          <w:szCs w:val="24"/>
        </w:rPr>
        <w:t>Al-Matari</w:t>
      </w:r>
      <w:r>
        <w:rPr>
          <w:rFonts w:ascii="Times New Roman" w:hAnsi="Times New Roman" w:cs="Times New Roman"/>
          <w:sz w:val="24"/>
          <w:szCs w:val="24"/>
        </w:rPr>
        <w:t xml:space="preserve">, Al-Swidi and Hanim (2014) </w:t>
      </w:r>
      <w:r w:rsidR="00745C43" w:rsidRPr="004F538D">
        <w:rPr>
          <w:rFonts w:ascii="Times New Roman" w:hAnsi="Times New Roman" w:cs="Times New Roman"/>
          <w:sz w:val="24"/>
          <w:szCs w:val="26"/>
        </w:rPr>
        <w:t xml:space="preserve">argues that the CG practices adopted by the company should positively impact the ARD </w:t>
      </w:r>
      <w:r w:rsidR="00335DD3">
        <w:rPr>
          <w:rFonts w:ascii="Times New Roman" w:hAnsi="Times New Roman" w:cs="Times New Roman"/>
          <w:sz w:val="24"/>
          <w:szCs w:val="26"/>
        </w:rPr>
        <w:t>in terms of providing timely information to shareholders and other users</w:t>
      </w:r>
      <w:r w:rsidR="00745C43" w:rsidRPr="004F538D">
        <w:rPr>
          <w:rFonts w:ascii="Times New Roman" w:hAnsi="Times New Roman" w:cs="Times New Roman"/>
          <w:sz w:val="24"/>
          <w:szCs w:val="26"/>
        </w:rPr>
        <w:t>. This is because, the achievement of timely audited annual reports is largely dependent on the board’s commitment and the strength of its governance</w:t>
      </w:r>
      <w:r w:rsidR="002521E4">
        <w:rPr>
          <w:rFonts w:ascii="Times New Roman" w:hAnsi="Times New Roman" w:cs="Times New Roman"/>
          <w:sz w:val="24"/>
          <w:szCs w:val="26"/>
        </w:rPr>
        <w:t xml:space="preserve"> mechanisms (Beekes, </w:t>
      </w:r>
      <w:r w:rsidR="00745C43" w:rsidRPr="004F538D">
        <w:rPr>
          <w:rFonts w:ascii="Times New Roman" w:hAnsi="Times New Roman" w:cs="Times New Roman"/>
          <w:sz w:val="24"/>
          <w:szCs w:val="26"/>
        </w:rPr>
        <w:t>Brown</w:t>
      </w:r>
      <w:r w:rsidR="002521E4">
        <w:rPr>
          <w:rFonts w:ascii="Times New Roman" w:hAnsi="Times New Roman" w:cs="Times New Roman"/>
          <w:sz w:val="24"/>
          <w:szCs w:val="26"/>
        </w:rPr>
        <w:t xml:space="preserve"> &amp; Zhang, 2014</w:t>
      </w:r>
      <w:r w:rsidR="00745C43" w:rsidRPr="004F538D">
        <w:rPr>
          <w:rFonts w:ascii="Times New Roman" w:hAnsi="Times New Roman" w:cs="Times New Roman"/>
          <w:sz w:val="24"/>
          <w:szCs w:val="26"/>
        </w:rPr>
        <w:t xml:space="preserve">). </w:t>
      </w:r>
      <w:r w:rsidR="006658FB" w:rsidRPr="004F538D">
        <w:rPr>
          <w:rFonts w:ascii="Times New Roman" w:hAnsi="Times New Roman" w:cs="Times New Roman"/>
          <w:sz w:val="24"/>
          <w:szCs w:val="26"/>
        </w:rPr>
        <w:t xml:space="preserve">Turley and Zaman (2004) observe that the AC is charged with financial oversight including </w:t>
      </w:r>
      <w:r w:rsidR="00EB4B1C">
        <w:rPr>
          <w:rFonts w:ascii="Times New Roman" w:hAnsi="Times New Roman" w:cs="Times New Roman"/>
          <w:sz w:val="24"/>
          <w:szCs w:val="26"/>
        </w:rPr>
        <w:t xml:space="preserve">the </w:t>
      </w:r>
      <w:r w:rsidR="006658FB" w:rsidRPr="004F538D">
        <w:rPr>
          <w:rFonts w:ascii="Times New Roman" w:hAnsi="Times New Roman" w:cs="Times New Roman"/>
          <w:sz w:val="24"/>
          <w:szCs w:val="26"/>
        </w:rPr>
        <w:t>ex</w:t>
      </w:r>
      <w:r w:rsidR="0089796A">
        <w:rPr>
          <w:rFonts w:ascii="Times New Roman" w:hAnsi="Times New Roman" w:cs="Times New Roman"/>
          <w:sz w:val="24"/>
          <w:szCs w:val="26"/>
        </w:rPr>
        <w:t xml:space="preserve">ternal audit process. </w:t>
      </w:r>
      <w:r w:rsidR="00AD3B69" w:rsidRPr="004F538D">
        <w:rPr>
          <w:rFonts w:ascii="Times New Roman" w:hAnsi="Times New Roman" w:cs="Times New Roman"/>
          <w:sz w:val="24"/>
          <w:szCs w:val="26"/>
        </w:rPr>
        <w:t>Powell and Anisc (1997) argue that boards whose AC members have financial expertise are useful in reducing agency costs since they are conversant with the auditing and/</w:t>
      </w:r>
      <w:r w:rsidR="0036126B" w:rsidRPr="004F538D">
        <w:rPr>
          <w:rFonts w:ascii="Times New Roman" w:hAnsi="Times New Roman" w:cs="Times New Roman"/>
          <w:sz w:val="24"/>
          <w:szCs w:val="26"/>
        </w:rPr>
        <w:t>or financial reporting process. They are capable of ensuring that th</w:t>
      </w:r>
      <w:r w:rsidR="00AD3B69" w:rsidRPr="004F538D">
        <w:rPr>
          <w:rFonts w:ascii="Times New Roman" w:hAnsi="Times New Roman" w:cs="Times New Roman"/>
          <w:sz w:val="24"/>
          <w:szCs w:val="26"/>
        </w:rPr>
        <w:t xml:space="preserve">e external auditor’s work is </w:t>
      </w:r>
      <w:r w:rsidR="0036126B" w:rsidRPr="004F538D">
        <w:rPr>
          <w:rFonts w:ascii="Times New Roman" w:hAnsi="Times New Roman" w:cs="Times New Roman"/>
          <w:sz w:val="24"/>
          <w:szCs w:val="26"/>
        </w:rPr>
        <w:t>competently undertaken, comprehend the audit judgements and resolve any conflicts that may arise in the course of the audit.</w:t>
      </w:r>
      <w:r w:rsidR="00026FD1" w:rsidRPr="004F538D">
        <w:rPr>
          <w:rFonts w:ascii="Times New Roman" w:hAnsi="Times New Roman" w:cs="Times New Roman"/>
          <w:sz w:val="24"/>
          <w:szCs w:val="26"/>
        </w:rPr>
        <w:t xml:space="preserve"> </w:t>
      </w:r>
    </w:p>
    <w:p w14:paraId="59544F71" w14:textId="53A51364" w:rsidR="0036126B" w:rsidRPr="004F538D" w:rsidRDefault="00026FD1" w:rsidP="00F342A4">
      <w:pPr>
        <w:jc w:val="both"/>
        <w:rPr>
          <w:rFonts w:ascii="Times New Roman" w:hAnsi="Times New Roman" w:cs="Times New Roman"/>
          <w:sz w:val="24"/>
          <w:szCs w:val="26"/>
        </w:rPr>
      </w:pPr>
      <w:r w:rsidRPr="004F538D">
        <w:rPr>
          <w:rFonts w:ascii="Times New Roman" w:hAnsi="Times New Roman" w:cs="Times New Roman"/>
          <w:sz w:val="24"/>
          <w:szCs w:val="26"/>
        </w:rPr>
        <w:t xml:space="preserve">Some proponents argue that large ACs </w:t>
      </w:r>
      <w:r w:rsidR="000E2132" w:rsidRPr="004F538D">
        <w:rPr>
          <w:rFonts w:ascii="Times New Roman" w:hAnsi="Times New Roman" w:cs="Times New Roman"/>
          <w:sz w:val="24"/>
          <w:szCs w:val="26"/>
        </w:rPr>
        <w:t xml:space="preserve">increase chances for opportunistic behaviour and make decision-making problematic (Mintzberg, 1983). Such large ACs may inhibit active participation by </w:t>
      </w:r>
      <w:r w:rsidR="007344F5" w:rsidRPr="004F538D">
        <w:rPr>
          <w:rFonts w:ascii="Times New Roman" w:hAnsi="Times New Roman" w:cs="Times New Roman"/>
          <w:sz w:val="24"/>
          <w:szCs w:val="26"/>
        </w:rPr>
        <w:t xml:space="preserve">members hence lowering the committees monitoring and control responsibilities. Bedard, Chtourou and Courteau (2004) argue that boards with more independent AC members are likely to enhance prudent financial oversight responsibilities, including dealings with auditors and dispute resolution. Both actions are useful in reducing the time taken by auditors to complete the external audit. </w:t>
      </w:r>
    </w:p>
    <w:p w14:paraId="733BDBBF" w14:textId="63226E44" w:rsidR="00870349" w:rsidRPr="004F538D" w:rsidRDefault="009002D9" w:rsidP="00F342A4">
      <w:pPr>
        <w:jc w:val="both"/>
        <w:rPr>
          <w:rFonts w:ascii="Times New Roman" w:hAnsi="Times New Roman" w:cs="Times New Roman"/>
          <w:sz w:val="24"/>
          <w:szCs w:val="26"/>
        </w:rPr>
      </w:pPr>
      <w:r w:rsidRPr="004F538D">
        <w:rPr>
          <w:rFonts w:ascii="Times New Roman" w:hAnsi="Times New Roman" w:cs="Times New Roman"/>
          <w:sz w:val="24"/>
          <w:szCs w:val="26"/>
        </w:rPr>
        <w:t xml:space="preserve">Once the independent assurance provider is selected, it is important to note that their attributes can determine the timeliness of the audited annual report too. For instance, Habib and Bhuiyan (2011) find that large, specialist auditors tend to take relatively less time to complete the audit compared to their small, non-specialist counterparts. </w:t>
      </w:r>
      <w:r w:rsidR="001E2540">
        <w:rPr>
          <w:rFonts w:ascii="Times New Roman" w:hAnsi="Times New Roman" w:cs="Times New Roman"/>
          <w:sz w:val="24"/>
          <w:szCs w:val="24"/>
        </w:rPr>
        <w:t xml:space="preserve">Khan, </w:t>
      </w:r>
      <w:r w:rsidR="00757DD9">
        <w:rPr>
          <w:rFonts w:ascii="Times New Roman" w:hAnsi="Times New Roman" w:cs="Times New Roman"/>
          <w:sz w:val="24"/>
          <w:szCs w:val="24"/>
        </w:rPr>
        <w:t>Mihret</w:t>
      </w:r>
      <w:r w:rsidR="001E2540">
        <w:rPr>
          <w:rFonts w:ascii="Times New Roman" w:hAnsi="Times New Roman" w:cs="Times New Roman"/>
          <w:sz w:val="24"/>
          <w:szCs w:val="24"/>
        </w:rPr>
        <w:t xml:space="preserve"> and Muttakin (2016)</w:t>
      </w:r>
      <w:r w:rsidR="0029633E" w:rsidRPr="004F538D">
        <w:rPr>
          <w:rFonts w:ascii="Times New Roman" w:hAnsi="Times New Roman" w:cs="Times New Roman"/>
          <w:sz w:val="24"/>
          <w:szCs w:val="26"/>
        </w:rPr>
        <w:t xml:space="preserve"> find </w:t>
      </w:r>
      <w:r w:rsidR="00876C85" w:rsidRPr="004F538D">
        <w:rPr>
          <w:rFonts w:ascii="Times New Roman" w:hAnsi="Times New Roman" w:cs="Times New Roman"/>
          <w:sz w:val="24"/>
          <w:szCs w:val="26"/>
        </w:rPr>
        <w:t>lower agency costs where firms utilize</w:t>
      </w:r>
      <w:r w:rsidR="0029633E" w:rsidRPr="004F538D">
        <w:rPr>
          <w:rFonts w:ascii="Times New Roman" w:hAnsi="Times New Roman" w:cs="Times New Roman"/>
          <w:sz w:val="24"/>
          <w:szCs w:val="26"/>
        </w:rPr>
        <w:t xml:space="preserve"> Big 4 auditors</w:t>
      </w:r>
      <w:r w:rsidR="00876C85" w:rsidRPr="004F538D">
        <w:rPr>
          <w:rFonts w:ascii="Times New Roman" w:hAnsi="Times New Roman" w:cs="Times New Roman"/>
          <w:sz w:val="24"/>
          <w:szCs w:val="26"/>
        </w:rPr>
        <w:t xml:space="preserve"> compared to non-Big 4 auditors with political connections. However, </w:t>
      </w:r>
      <w:r w:rsidR="001E2540">
        <w:rPr>
          <w:rFonts w:ascii="Times New Roman" w:hAnsi="Times New Roman" w:cs="Times New Roman"/>
          <w:sz w:val="24"/>
          <w:szCs w:val="24"/>
        </w:rPr>
        <w:t xml:space="preserve">Khan, </w:t>
      </w:r>
      <w:r w:rsidR="006A3803">
        <w:rPr>
          <w:rFonts w:ascii="Times New Roman" w:hAnsi="Times New Roman" w:cs="Times New Roman"/>
          <w:sz w:val="24"/>
          <w:szCs w:val="24"/>
        </w:rPr>
        <w:t xml:space="preserve">Mihret </w:t>
      </w:r>
      <w:r w:rsidR="001E2540">
        <w:rPr>
          <w:rFonts w:ascii="Times New Roman" w:hAnsi="Times New Roman" w:cs="Times New Roman"/>
          <w:sz w:val="24"/>
          <w:szCs w:val="24"/>
        </w:rPr>
        <w:t>and Muttakin (2016)</w:t>
      </w:r>
      <w:r w:rsidR="00876C85" w:rsidRPr="004F538D">
        <w:rPr>
          <w:rFonts w:ascii="Times New Roman" w:hAnsi="Times New Roman" w:cs="Times New Roman"/>
          <w:sz w:val="24"/>
          <w:szCs w:val="26"/>
        </w:rPr>
        <w:t xml:space="preserve"> document that political connections are harmful to minority shareholders since they are associated with higher agency costs. </w:t>
      </w:r>
      <w:r w:rsidRPr="004F538D">
        <w:rPr>
          <w:rFonts w:ascii="Times New Roman" w:hAnsi="Times New Roman" w:cs="Times New Roman"/>
          <w:sz w:val="24"/>
          <w:szCs w:val="26"/>
        </w:rPr>
        <w:t xml:space="preserve">Therefore, another important consideration the board should focus is </w:t>
      </w:r>
      <w:r w:rsidR="008F04D9">
        <w:rPr>
          <w:rFonts w:ascii="Times New Roman" w:hAnsi="Times New Roman" w:cs="Times New Roman"/>
          <w:sz w:val="24"/>
          <w:szCs w:val="26"/>
        </w:rPr>
        <w:t xml:space="preserve">on </w:t>
      </w:r>
      <w:r w:rsidRPr="004F538D">
        <w:rPr>
          <w:rFonts w:ascii="Times New Roman" w:hAnsi="Times New Roman" w:cs="Times New Roman"/>
          <w:sz w:val="24"/>
          <w:szCs w:val="26"/>
        </w:rPr>
        <w:t>the attributes of the auditor appointed to provide the independent assurance.</w:t>
      </w:r>
    </w:p>
    <w:p w14:paraId="49E603D9" w14:textId="34ACE724" w:rsidR="009359AE" w:rsidRPr="004F538D" w:rsidRDefault="009359AE" w:rsidP="00F342A4">
      <w:pPr>
        <w:jc w:val="both"/>
        <w:rPr>
          <w:rFonts w:ascii="Times New Roman" w:hAnsi="Times New Roman" w:cs="Times New Roman"/>
          <w:sz w:val="24"/>
          <w:szCs w:val="26"/>
        </w:rPr>
      </w:pPr>
      <w:r w:rsidRPr="004F538D">
        <w:rPr>
          <w:rFonts w:ascii="Times New Roman" w:hAnsi="Times New Roman" w:cs="Times New Roman"/>
          <w:sz w:val="24"/>
          <w:szCs w:val="26"/>
        </w:rPr>
        <w:t>A firm with diverse ownership base may increase auditor’s work due to the large number of investors with diverse interests (Jensen &amp; Meckling, 1976).</w:t>
      </w:r>
      <w:r w:rsidR="00571739" w:rsidRPr="004F538D">
        <w:rPr>
          <w:rFonts w:ascii="Times New Roman" w:hAnsi="Times New Roman" w:cs="Times New Roman"/>
          <w:sz w:val="24"/>
          <w:szCs w:val="26"/>
        </w:rPr>
        <w:t xml:space="preserve"> Afify (2009) explain</w:t>
      </w:r>
      <w:r w:rsidR="008F04D9">
        <w:rPr>
          <w:rFonts w:ascii="Times New Roman" w:hAnsi="Times New Roman" w:cs="Times New Roman"/>
          <w:sz w:val="24"/>
          <w:szCs w:val="26"/>
        </w:rPr>
        <w:t>s</w:t>
      </w:r>
      <w:r w:rsidR="00571739" w:rsidRPr="004F538D">
        <w:rPr>
          <w:rFonts w:ascii="Times New Roman" w:hAnsi="Times New Roman" w:cs="Times New Roman"/>
          <w:sz w:val="24"/>
          <w:szCs w:val="26"/>
        </w:rPr>
        <w:t xml:space="preserve"> that agency challenges arising from separation of ownership are lower in firms with high ownership concentration and family-owned firms. </w:t>
      </w:r>
      <w:r w:rsidR="007D127B" w:rsidRPr="004F538D">
        <w:rPr>
          <w:rFonts w:ascii="Times New Roman" w:hAnsi="Times New Roman" w:cs="Times New Roman"/>
          <w:sz w:val="24"/>
          <w:szCs w:val="26"/>
        </w:rPr>
        <w:t xml:space="preserve">Rusmin and Evas (2017) </w:t>
      </w:r>
      <w:r w:rsidR="008F04D9">
        <w:rPr>
          <w:rFonts w:ascii="Times New Roman" w:hAnsi="Times New Roman" w:cs="Times New Roman"/>
          <w:sz w:val="24"/>
          <w:szCs w:val="26"/>
        </w:rPr>
        <w:t>argue</w:t>
      </w:r>
      <w:r w:rsidR="007D127B" w:rsidRPr="004F538D">
        <w:rPr>
          <w:rFonts w:ascii="Times New Roman" w:hAnsi="Times New Roman" w:cs="Times New Roman"/>
          <w:sz w:val="24"/>
          <w:szCs w:val="26"/>
        </w:rPr>
        <w:t xml:space="preserve"> that the lower agency costs may lead to </w:t>
      </w:r>
      <w:r w:rsidR="008F04D9">
        <w:rPr>
          <w:rFonts w:ascii="Times New Roman" w:hAnsi="Times New Roman" w:cs="Times New Roman"/>
          <w:sz w:val="24"/>
          <w:szCs w:val="26"/>
        </w:rPr>
        <w:t xml:space="preserve">a </w:t>
      </w:r>
      <w:r w:rsidR="007D127B" w:rsidRPr="004F538D">
        <w:rPr>
          <w:rFonts w:ascii="Times New Roman" w:hAnsi="Times New Roman" w:cs="Times New Roman"/>
          <w:sz w:val="24"/>
          <w:szCs w:val="26"/>
        </w:rPr>
        <w:t>relatively shorter ARD in firms with diverse ownership or non-family owned firms.</w:t>
      </w:r>
      <w:r w:rsidR="001F0058">
        <w:rPr>
          <w:rFonts w:ascii="Times New Roman" w:hAnsi="Times New Roman" w:cs="Times New Roman"/>
          <w:sz w:val="24"/>
          <w:szCs w:val="26"/>
        </w:rPr>
        <w:t xml:space="preserve"> In this study, we </w:t>
      </w:r>
      <w:r w:rsidR="008A0E98">
        <w:rPr>
          <w:rFonts w:ascii="Times New Roman" w:hAnsi="Times New Roman" w:cs="Times New Roman"/>
          <w:sz w:val="24"/>
          <w:szCs w:val="26"/>
        </w:rPr>
        <w:t>utilize agency theory to study t</w:t>
      </w:r>
      <w:r w:rsidR="001F0058">
        <w:rPr>
          <w:rFonts w:ascii="Times New Roman" w:hAnsi="Times New Roman" w:cs="Times New Roman"/>
          <w:sz w:val="24"/>
          <w:szCs w:val="26"/>
        </w:rPr>
        <w:t>he association between CG and ARD in a developing country context.</w:t>
      </w:r>
    </w:p>
    <w:p w14:paraId="4AC53629" w14:textId="77777777" w:rsidR="007E2759" w:rsidRPr="004F538D" w:rsidRDefault="00F315C1" w:rsidP="007E2759">
      <w:pPr>
        <w:pStyle w:val="ListParagraph"/>
        <w:numPr>
          <w:ilvl w:val="1"/>
          <w:numId w:val="25"/>
        </w:numPr>
        <w:jc w:val="both"/>
        <w:rPr>
          <w:rFonts w:ascii="Times New Roman" w:hAnsi="Times New Roman" w:cs="Times New Roman"/>
          <w:i/>
          <w:sz w:val="24"/>
          <w:szCs w:val="24"/>
        </w:rPr>
      </w:pPr>
      <w:r w:rsidRPr="004F538D">
        <w:rPr>
          <w:rFonts w:ascii="Times New Roman" w:hAnsi="Times New Roman" w:cs="Times New Roman"/>
          <w:i/>
          <w:sz w:val="24"/>
          <w:szCs w:val="24"/>
        </w:rPr>
        <w:t>Empirical literature and hypothesis formulation</w:t>
      </w:r>
    </w:p>
    <w:p w14:paraId="20234EB4" w14:textId="77777777" w:rsidR="00AB2964" w:rsidRPr="004F538D" w:rsidRDefault="00AB2964" w:rsidP="00AB2964">
      <w:pPr>
        <w:pStyle w:val="ListParagraph"/>
        <w:ind w:left="360"/>
        <w:jc w:val="both"/>
        <w:rPr>
          <w:rFonts w:ascii="Times New Roman" w:hAnsi="Times New Roman" w:cs="Times New Roman"/>
          <w:i/>
          <w:sz w:val="24"/>
          <w:szCs w:val="24"/>
        </w:rPr>
      </w:pPr>
    </w:p>
    <w:p w14:paraId="78F1EF4D" w14:textId="0ABBAA39" w:rsidR="00693174" w:rsidRPr="004F538D" w:rsidRDefault="00693174" w:rsidP="007E2759">
      <w:pPr>
        <w:pStyle w:val="ListParagraph"/>
        <w:numPr>
          <w:ilvl w:val="2"/>
          <w:numId w:val="25"/>
        </w:numPr>
        <w:jc w:val="both"/>
        <w:rPr>
          <w:rFonts w:ascii="Times New Roman" w:hAnsi="Times New Roman" w:cs="Times New Roman"/>
          <w:i/>
          <w:sz w:val="24"/>
          <w:szCs w:val="24"/>
        </w:rPr>
      </w:pPr>
      <w:r w:rsidRPr="004F538D">
        <w:rPr>
          <w:rFonts w:ascii="Times New Roman" w:hAnsi="Times New Roman" w:cs="Times New Roman"/>
          <w:i/>
          <w:sz w:val="24"/>
        </w:rPr>
        <w:t>Corporate governance attributes and ARD</w:t>
      </w:r>
    </w:p>
    <w:p w14:paraId="31A89138" w14:textId="6D12FD4B" w:rsidR="009D1C5C" w:rsidRPr="004F538D" w:rsidRDefault="00AE2D1E" w:rsidP="0044446E">
      <w:pPr>
        <w:jc w:val="both"/>
        <w:rPr>
          <w:rFonts w:ascii="Times New Roman" w:hAnsi="Times New Roman" w:cs="Times New Roman"/>
          <w:sz w:val="24"/>
          <w:szCs w:val="26"/>
        </w:rPr>
      </w:pPr>
      <w:r w:rsidRPr="004F538D">
        <w:rPr>
          <w:rFonts w:ascii="Times New Roman" w:hAnsi="Times New Roman" w:cs="Times New Roman"/>
          <w:sz w:val="24"/>
          <w:szCs w:val="26"/>
        </w:rPr>
        <w:t>A growing strand of r</w:t>
      </w:r>
      <w:r w:rsidR="008B1AEF" w:rsidRPr="004F538D">
        <w:rPr>
          <w:rFonts w:ascii="Times New Roman" w:hAnsi="Times New Roman" w:cs="Times New Roman"/>
          <w:sz w:val="24"/>
          <w:szCs w:val="26"/>
        </w:rPr>
        <w:t xml:space="preserve">esearch on </w:t>
      </w:r>
      <w:r w:rsidR="0037484F" w:rsidRPr="004F538D">
        <w:rPr>
          <w:rFonts w:ascii="Times New Roman" w:hAnsi="Times New Roman" w:cs="Times New Roman"/>
          <w:sz w:val="24"/>
          <w:szCs w:val="26"/>
        </w:rPr>
        <w:t>ARD</w:t>
      </w:r>
      <w:r w:rsidR="00433C0E">
        <w:rPr>
          <w:rFonts w:ascii="Times New Roman" w:hAnsi="Times New Roman" w:cs="Times New Roman"/>
          <w:sz w:val="24"/>
          <w:szCs w:val="26"/>
        </w:rPr>
        <w:t>,</w:t>
      </w:r>
      <w:r w:rsidRPr="004F538D">
        <w:rPr>
          <w:rFonts w:ascii="Times New Roman" w:hAnsi="Times New Roman" w:cs="Times New Roman"/>
          <w:sz w:val="24"/>
          <w:szCs w:val="26"/>
        </w:rPr>
        <w:t xml:space="preserve"> which</w:t>
      </w:r>
      <w:r w:rsidR="0037484F" w:rsidRPr="004F538D">
        <w:rPr>
          <w:rFonts w:ascii="Times New Roman" w:hAnsi="Times New Roman" w:cs="Times New Roman"/>
          <w:sz w:val="24"/>
          <w:szCs w:val="26"/>
        </w:rPr>
        <w:t xml:space="preserve"> </w:t>
      </w:r>
      <w:r w:rsidR="008B1AEF" w:rsidRPr="004F538D">
        <w:rPr>
          <w:rFonts w:ascii="Times New Roman" w:hAnsi="Times New Roman" w:cs="Times New Roman"/>
          <w:sz w:val="24"/>
          <w:szCs w:val="26"/>
        </w:rPr>
        <w:t>was inspired about</w:t>
      </w:r>
      <w:r w:rsidR="0037484F" w:rsidRPr="004F538D">
        <w:rPr>
          <w:rFonts w:ascii="Times New Roman" w:hAnsi="Times New Roman" w:cs="Times New Roman"/>
          <w:sz w:val="24"/>
          <w:szCs w:val="26"/>
        </w:rPr>
        <w:t xml:space="preserve"> </w:t>
      </w:r>
      <w:r w:rsidR="00433C0E">
        <w:rPr>
          <w:rFonts w:ascii="Times New Roman" w:hAnsi="Times New Roman" w:cs="Times New Roman"/>
          <w:sz w:val="24"/>
          <w:szCs w:val="26"/>
        </w:rPr>
        <w:t>four</w:t>
      </w:r>
      <w:r w:rsidRPr="004F538D">
        <w:rPr>
          <w:rFonts w:ascii="Times New Roman" w:hAnsi="Times New Roman" w:cs="Times New Roman"/>
          <w:sz w:val="24"/>
          <w:szCs w:val="26"/>
        </w:rPr>
        <w:t xml:space="preserve"> decades</w:t>
      </w:r>
      <w:r w:rsidR="00433C0E">
        <w:rPr>
          <w:rFonts w:ascii="Times New Roman" w:hAnsi="Times New Roman" w:cs="Times New Roman"/>
          <w:sz w:val="24"/>
          <w:szCs w:val="26"/>
        </w:rPr>
        <w:t xml:space="preserve"> ago</w:t>
      </w:r>
      <w:r w:rsidRPr="004F538D">
        <w:rPr>
          <w:rFonts w:ascii="Times New Roman" w:hAnsi="Times New Roman" w:cs="Times New Roman"/>
          <w:sz w:val="24"/>
          <w:szCs w:val="26"/>
        </w:rPr>
        <w:t>, has produced overwhelming</w:t>
      </w:r>
      <w:r w:rsidR="0037484F" w:rsidRPr="004F538D">
        <w:rPr>
          <w:rFonts w:ascii="Times New Roman" w:hAnsi="Times New Roman" w:cs="Times New Roman"/>
          <w:sz w:val="24"/>
          <w:szCs w:val="26"/>
        </w:rPr>
        <w:t xml:space="preserve"> studies </w:t>
      </w:r>
      <w:r w:rsidR="000C7608">
        <w:rPr>
          <w:rFonts w:ascii="Times New Roman" w:hAnsi="Times New Roman" w:cs="Times New Roman"/>
          <w:sz w:val="24"/>
          <w:szCs w:val="26"/>
        </w:rPr>
        <w:t xml:space="preserve">mainly </w:t>
      </w:r>
      <w:r w:rsidRPr="004F538D">
        <w:rPr>
          <w:rFonts w:ascii="Times New Roman" w:hAnsi="Times New Roman" w:cs="Times New Roman"/>
          <w:sz w:val="24"/>
          <w:szCs w:val="26"/>
        </w:rPr>
        <w:t>utilising</w:t>
      </w:r>
      <w:r w:rsidR="0037484F" w:rsidRPr="004F538D">
        <w:rPr>
          <w:rFonts w:ascii="Times New Roman" w:hAnsi="Times New Roman" w:cs="Times New Roman"/>
          <w:sz w:val="24"/>
          <w:szCs w:val="26"/>
        </w:rPr>
        <w:t xml:space="preserve"> a granular approach to examin</w:t>
      </w:r>
      <w:r w:rsidR="00DE34DE" w:rsidRPr="004F538D">
        <w:rPr>
          <w:rFonts w:ascii="Times New Roman" w:hAnsi="Times New Roman" w:cs="Times New Roman"/>
          <w:sz w:val="24"/>
          <w:szCs w:val="26"/>
        </w:rPr>
        <w:t>e</w:t>
      </w:r>
      <w:r w:rsidR="000C7608">
        <w:rPr>
          <w:rFonts w:ascii="Times New Roman" w:hAnsi="Times New Roman" w:cs="Times New Roman"/>
          <w:sz w:val="24"/>
          <w:szCs w:val="26"/>
        </w:rPr>
        <w:t xml:space="preserve"> the drivers of ARD</w:t>
      </w:r>
      <w:r w:rsidR="0037484F" w:rsidRPr="004F538D">
        <w:rPr>
          <w:rFonts w:ascii="Times New Roman" w:hAnsi="Times New Roman" w:cs="Times New Roman"/>
          <w:sz w:val="24"/>
          <w:szCs w:val="26"/>
        </w:rPr>
        <w:t xml:space="preserve"> (</w:t>
      </w:r>
      <w:r w:rsidRPr="004F538D">
        <w:rPr>
          <w:rFonts w:ascii="Times New Roman" w:hAnsi="Times New Roman" w:cs="Times New Roman"/>
          <w:sz w:val="24"/>
          <w:szCs w:val="26"/>
        </w:rPr>
        <w:t>Dyer &amp; McHugh, 1975</w:t>
      </w:r>
      <w:r w:rsidR="00F56E8F">
        <w:rPr>
          <w:rFonts w:ascii="Times New Roman" w:hAnsi="Times New Roman" w:cs="Times New Roman"/>
          <w:sz w:val="24"/>
          <w:szCs w:val="26"/>
        </w:rPr>
        <w:t>; Davis</w:t>
      </w:r>
      <w:r w:rsidRPr="004F538D">
        <w:rPr>
          <w:rFonts w:ascii="Times New Roman" w:hAnsi="Times New Roman" w:cs="Times New Roman"/>
          <w:sz w:val="24"/>
          <w:szCs w:val="26"/>
        </w:rPr>
        <w:t xml:space="preserve"> &amp; Whittred, 1980; </w:t>
      </w:r>
      <w:r w:rsidR="008B1AEF" w:rsidRPr="004F538D">
        <w:rPr>
          <w:rFonts w:ascii="Times New Roman" w:hAnsi="Times New Roman" w:cs="Times New Roman"/>
          <w:sz w:val="24"/>
          <w:szCs w:val="26"/>
        </w:rPr>
        <w:t>Ashton, Willingham &amp; Elliott, 1987</w:t>
      </w:r>
      <w:r w:rsidRPr="004F538D">
        <w:rPr>
          <w:rFonts w:ascii="Times New Roman" w:hAnsi="Times New Roman" w:cs="Times New Roman"/>
          <w:sz w:val="24"/>
          <w:szCs w:val="26"/>
        </w:rPr>
        <w:t xml:space="preserve">; </w:t>
      </w:r>
      <w:r w:rsidR="008B1AEF" w:rsidRPr="004F538D">
        <w:rPr>
          <w:rFonts w:ascii="Times New Roman" w:hAnsi="Times New Roman" w:cs="Times New Roman"/>
          <w:sz w:val="24"/>
          <w:szCs w:val="26"/>
        </w:rPr>
        <w:t>…</w:t>
      </w:r>
      <w:r w:rsidRPr="004F538D">
        <w:rPr>
          <w:rFonts w:ascii="Times New Roman" w:hAnsi="Times New Roman" w:cs="Times New Roman"/>
          <w:sz w:val="24"/>
          <w:szCs w:val="26"/>
        </w:rPr>
        <w:t>.</w:t>
      </w:r>
      <w:r w:rsidR="00F521C9" w:rsidRPr="004F538D">
        <w:rPr>
          <w:rFonts w:ascii="Times New Roman" w:hAnsi="Times New Roman" w:cs="Times New Roman"/>
          <w:sz w:val="24"/>
          <w:szCs w:val="26"/>
        </w:rPr>
        <w:t xml:space="preserve"> </w:t>
      </w:r>
      <w:r w:rsidRPr="004F538D">
        <w:rPr>
          <w:rFonts w:ascii="Times New Roman" w:hAnsi="Times New Roman" w:cs="Times New Roman"/>
          <w:sz w:val="24"/>
          <w:szCs w:val="26"/>
        </w:rPr>
        <w:t xml:space="preserve">; </w:t>
      </w:r>
      <w:r w:rsidR="0044446E" w:rsidRPr="004F538D">
        <w:rPr>
          <w:rFonts w:ascii="Times New Roman" w:hAnsi="Times New Roman" w:cs="Times New Roman"/>
          <w:sz w:val="24"/>
          <w:szCs w:val="26"/>
        </w:rPr>
        <w:t xml:space="preserve">Oussii &amp; Taktak, 2018; Rezaei &amp; Mohd-Saleh, 2018; </w:t>
      </w:r>
      <w:r w:rsidRPr="004F538D">
        <w:rPr>
          <w:rFonts w:ascii="Times New Roman" w:hAnsi="Times New Roman" w:cs="Times New Roman"/>
          <w:sz w:val="24"/>
          <w:szCs w:val="26"/>
        </w:rPr>
        <w:t>Swanson</w:t>
      </w:r>
      <w:r w:rsidR="008B1AEF" w:rsidRPr="004F538D">
        <w:rPr>
          <w:rFonts w:ascii="Times New Roman" w:hAnsi="Times New Roman" w:cs="Times New Roman"/>
          <w:sz w:val="24"/>
          <w:szCs w:val="26"/>
        </w:rPr>
        <w:t xml:space="preserve"> &amp; Zhang, 2018). </w:t>
      </w:r>
      <w:r w:rsidR="00B24F45" w:rsidRPr="004F538D">
        <w:rPr>
          <w:rFonts w:ascii="Times New Roman" w:hAnsi="Times New Roman" w:cs="Times New Roman"/>
          <w:sz w:val="24"/>
          <w:szCs w:val="26"/>
        </w:rPr>
        <w:t>The meta-analyses performed by Habib, Bhuiyan and Huang (2018) and Durand (2019) reveal that the drivers of ARD can be categorized into</w:t>
      </w:r>
      <w:r w:rsidR="006539C0" w:rsidRPr="004F538D">
        <w:rPr>
          <w:rFonts w:ascii="Times New Roman" w:hAnsi="Times New Roman" w:cs="Times New Roman"/>
          <w:sz w:val="24"/>
          <w:szCs w:val="26"/>
        </w:rPr>
        <w:t xml:space="preserve"> </w:t>
      </w:r>
      <w:r w:rsidR="000C7608">
        <w:rPr>
          <w:rFonts w:ascii="Times New Roman" w:hAnsi="Times New Roman" w:cs="Times New Roman"/>
          <w:sz w:val="24"/>
          <w:szCs w:val="26"/>
        </w:rPr>
        <w:t>specific</w:t>
      </w:r>
      <w:r w:rsidR="00B24F45" w:rsidRPr="004F538D">
        <w:rPr>
          <w:rFonts w:ascii="Times New Roman" w:hAnsi="Times New Roman" w:cs="Times New Roman"/>
          <w:sz w:val="24"/>
          <w:szCs w:val="26"/>
        </w:rPr>
        <w:t xml:space="preserve"> auditor-, </w:t>
      </w:r>
      <w:r w:rsidR="000C7608">
        <w:rPr>
          <w:rFonts w:ascii="Times New Roman" w:hAnsi="Times New Roman" w:cs="Times New Roman"/>
          <w:sz w:val="24"/>
          <w:szCs w:val="26"/>
        </w:rPr>
        <w:t xml:space="preserve">CG, audit </w:t>
      </w:r>
      <w:r w:rsidR="00B24F45" w:rsidRPr="004F538D">
        <w:rPr>
          <w:rFonts w:ascii="Times New Roman" w:hAnsi="Times New Roman" w:cs="Times New Roman"/>
          <w:sz w:val="24"/>
          <w:szCs w:val="26"/>
        </w:rPr>
        <w:t>work- and firm-related factors.</w:t>
      </w:r>
      <w:r w:rsidR="006539C0" w:rsidRPr="004F538D">
        <w:rPr>
          <w:rFonts w:ascii="Times New Roman" w:hAnsi="Times New Roman" w:cs="Times New Roman"/>
          <w:sz w:val="24"/>
          <w:szCs w:val="26"/>
        </w:rPr>
        <w:t xml:space="preserve"> </w:t>
      </w:r>
      <w:r w:rsidRPr="004F538D">
        <w:rPr>
          <w:rFonts w:ascii="Times New Roman" w:hAnsi="Times New Roman" w:cs="Times New Roman"/>
          <w:sz w:val="24"/>
          <w:szCs w:val="26"/>
        </w:rPr>
        <w:t xml:space="preserve">In this study, we shift focus to </w:t>
      </w:r>
      <w:r w:rsidR="006539C0" w:rsidRPr="004F538D">
        <w:rPr>
          <w:rFonts w:ascii="Times New Roman" w:hAnsi="Times New Roman" w:cs="Times New Roman"/>
          <w:sz w:val="24"/>
          <w:szCs w:val="26"/>
        </w:rPr>
        <w:t xml:space="preserve">a composite measure of </w:t>
      </w:r>
      <w:r w:rsidR="000C7608">
        <w:rPr>
          <w:rFonts w:ascii="Times New Roman" w:hAnsi="Times New Roman" w:cs="Times New Roman"/>
          <w:sz w:val="24"/>
          <w:szCs w:val="26"/>
        </w:rPr>
        <w:t>CG</w:t>
      </w:r>
      <w:r w:rsidRPr="004F538D">
        <w:rPr>
          <w:rFonts w:ascii="Times New Roman" w:hAnsi="Times New Roman" w:cs="Times New Roman"/>
          <w:sz w:val="24"/>
          <w:szCs w:val="26"/>
        </w:rPr>
        <w:t xml:space="preserve"> and its association with ARD.</w:t>
      </w:r>
      <w:r w:rsidR="004D0E5D" w:rsidRPr="004F538D">
        <w:rPr>
          <w:rFonts w:ascii="Times New Roman" w:hAnsi="Times New Roman" w:cs="Times New Roman"/>
          <w:sz w:val="24"/>
          <w:szCs w:val="26"/>
        </w:rPr>
        <w:t xml:space="preserve"> </w:t>
      </w:r>
      <w:r w:rsidR="009D1C5C" w:rsidRPr="004F538D">
        <w:rPr>
          <w:rFonts w:ascii="Times New Roman" w:hAnsi="Times New Roman" w:cs="Times New Roman"/>
          <w:sz w:val="24"/>
          <w:szCs w:val="26"/>
        </w:rPr>
        <w:t xml:space="preserve">In </w:t>
      </w:r>
      <w:r w:rsidR="006539C0" w:rsidRPr="004F538D">
        <w:rPr>
          <w:rFonts w:ascii="Times New Roman" w:hAnsi="Times New Roman" w:cs="Times New Roman"/>
          <w:sz w:val="24"/>
          <w:szCs w:val="26"/>
        </w:rPr>
        <w:t>the</w:t>
      </w:r>
      <w:r w:rsidR="009D1C5C" w:rsidRPr="004F538D">
        <w:rPr>
          <w:rFonts w:ascii="Times New Roman" w:hAnsi="Times New Roman" w:cs="Times New Roman"/>
          <w:sz w:val="24"/>
          <w:szCs w:val="26"/>
        </w:rPr>
        <w:t xml:space="preserve"> meta-analysis, Durand (2019) observe</w:t>
      </w:r>
      <w:r w:rsidR="00A46A2A">
        <w:rPr>
          <w:rFonts w:ascii="Times New Roman" w:hAnsi="Times New Roman" w:cs="Times New Roman"/>
          <w:sz w:val="24"/>
          <w:szCs w:val="26"/>
        </w:rPr>
        <w:t>s</w:t>
      </w:r>
      <w:r w:rsidR="009D1C5C" w:rsidRPr="004F538D">
        <w:rPr>
          <w:rFonts w:ascii="Times New Roman" w:hAnsi="Times New Roman" w:cs="Times New Roman"/>
          <w:sz w:val="24"/>
          <w:szCs w:val="26"/>
        </w:rPr>
        <w:t xml:space="preserve"> that variables relating to CG have received less attention by researchers and wou</w:t>
      </w:r>
      <w:r w:rsidR="00B80A94" w:rsidRPr="004F538D">
        <w:rPr>
          <w:rFonts w:ascii="Times New Roman" w:hAnsi="Times New Roman" w:cs="Times New Roman"/>
          <w:sz w:val="24"/>
          <w:szCs w:val="26"/>
        </w:rPr>
        <w:t>ld benefit from future research, and this forms the basis for this study</w:t>
      </w:r>
      <w:r w:rsidR="009D1C5C" w:rsidRPr="004F538D">
        <w:rPr>
          <w:rFonts w:ascii="Times New Roman" w:hAnsi="Times New Roman" w:cs="Times New Roman"/>
          <w:sz w:val="24"/>
          <w:szCs w:val="26"/>
        </w:rPr>
        <w:t xml:space="preserve">. </w:t>
      </w:r>
    </w:p>
    <w:p w14:paraId="20E20652" w14:textId="77777777" w:rsidR="00741919" w:rsidRDefault="00450044" w:rsidP="0037484F">
      <w:pPr>
        <w:jc w:val="both"/>
        <w:rPr>
          <w:rFonts w:ascii="Times New Roman" w:hAnsi="Times New Roman" w:cs="Times New Roman"/>
          <w:sz w:val="24"/>
          <w:szCs w:val="26"/>
        </w:rPr>
      </w:pPr>
      <w:r w:rsidRPr="004F538D">
        <w:rPr>
          <w:rFonts w:ascii="Times New Roman" w:hAnsi="Times New Roman" w:cs="Times New Roman"/>
          <w:sz w:val="24"/>
          <w:szCs w:val="26"/>
        </w:rPr>
        <w:t xml:space="preserve">Baatwah, Salleh and Ahmad (2015) find that only internal CG mechanisms (i.e., board size, expertise and financial expertise in the AC) are associated with timely audit reports. </w:t>
      </w:r>
      <w:r w:rsidR="00C807E1" w:rsidRPr="004F538D">
        <w:rPr>
          <w:rFonts w:ascii="Times New Roman" w:hAnsi="Times New Roman" w:cs="Times New Roman"/>
          <w:sz w:val="24"/>
          <w:szCs w:val="26"/>
        </w:rPr>
        <w:t>Afify (2009) find</w:t>
      </w:r>
      <w:r w:rsidR="00A20C27">
        <w:rPr>
          <w:rFonts w:ascii="Times New Roman" w:hAnsi="Times New Roman" w:cs="Times New Roman"/>
          <w:sz w:val="24"/>
          <w:szCs w:val="26"/>
        </w:rPr>
        <w:t>s</w:t>
      </w:r>
      <w:r w:rsidR="00C807E1" w:rsidRPr="004F538D">
        <w:rPr>
          <w:rFonts w:ascii="Times New Roman" w:hAnsi="Times New Roman" w:cs="Times New Roman"/>
          <w:sz w:val="24"/>
          <w:szCs w:val="26"/>
        </w:rPr>
        <w:t xml:space="preserve"> a sig</w:t>
      </w:r>
      <w:r w:rsidR="00A20C27">
        <w:rPr>
          <w:rFonts w:ascii="Times New Roman" w:hAnsi="Times New Roman" w:cs="Times New Roman"/>
          <w:sz w:val="24"/>
          <w:szCs w:val="26"/>
        </w:rPr>
        <w:t>nificant association between ARD</w:t>
      </w:r>
      <w:r w:rsidR="00C807E1" w:rsidRPr="004F538D">
        <w:rPr>
          <w:rFonts w:ascii="Times New Roman" w:hAnsi="Times New Roman" w:cs="Times New Roman"/>
          <w:sz w:val="24"/>
          <w:szCs w:val="26"/>
        </w:rPr>
        <w:t xml:space="preserve"> and board independence, duality of </w:t>
      </w:r>
      <w:r w:rsidR="00A20C27">
        <w:rPr>
          <w:rFonts w:ascii="Times New Roman" w:hAnsi="Times New Roman" w:cs="Times New Roman"/>
          <w:sz w:val="24"/>
          <w:szCs w:val="26"/>
        </w:rPr>
        <w:t>the CEO</w:t>
      </w:r>
      <w:r w:rsidR="00C807E1" w:rsidRPr="004F538D">
        <w:rPr>
          <w:rFonts w:ascii="Times New Roman" w:hAnsi="Times New Roman" w:cs="Times New Roman"/>
          <w:sz w:val="24"/>
          <w:szCs w:val="26"/>
        </w:rPr>
        <w:t xml:space="preserve"> and </w:t>
      </w:r>
      <w:r w:rsidR="00A20C27">
        <w:rPr>
          <w:rFonts w:ascii="Times New Roman" w:hAnsi="Times New Roman" w:cs="Times New Roman"/>
          <w:sz w:val="24"/>
          <w:szCs w:val="26"/>
        </w:rPr>
        <w:t xml:space="preserve">the </w:t>
      </w:r>
      <w:r w:rsidR="00C807E1" w:rsidRPr="004F538D">
        <w:rPr>
          <w:rFonts w:ascii="Times New Roman" w:hAnsi="Times New Roman" w:cs="Times New Roman"/>
          <w:sz w:val="24"/>
          <w:szCs w:val="26"/>
        </w:rPr>
        <w:t xml:space="preserve">existence of an AC. </w:t>
      </w:r>
      <w:r w:rsidR="00853687" w:rsidRPr="004F538D">
        <w:rPr>
          <w:rFonts w:ascii="Times New Roman" w:hAnsi="Times New Roman" w:cs="Times New Roman"/>
          <w:sz w:val="24"/>
          <w:szCs w:val="26"/>
        </w:rPr>
        <w:t xml:space="preserve">Nehme, Assaker and Khalife (2015) find that large boards with diverse backgrounds and intellectual capacity </w:t>
      </w:r>
      <w:r w:rsidR="004C5A64" w:rsidRPr="004F538D">
        <w:rPr>
          <w:rFonts w:ascii="Times New Roman" w:hAnsi="Times New Roman" w:cs="Times New Roman"/>
          <w:sz w:val="24"/>
          <w:szCs w:val="26"/>
        </w:rPr>
        <w:t>are associated with a shorter</w:t>
      </w:r>
      <w:r w:rsidR="00853687" w:rsidRPr="004F538D">
        <w:rPr>
          <w:rFonts w:ascii="Times New Roman" w:hAnsi="Times New Roman" w:cs="Times New Roman"/>
          <w:sz w:val="24"/>
          <w:szCs w:val="26"/>
        </w:rPr>
        <w:t xml:space="preserve"> ARD.</w:t>
      </w:r>
      <w:r w:rsidR="002F00F4" w:rsidRPr="004F538D">
        <w:rPr>
          <w:rFonts w:ascii="Times New Roman" w:hAnsi="Times New Roman" w:cs="Times New Roman"/>
          <w:sz w:val="24"/>
          <w:szCs w:val="26"/>
        </w:rPr>
        <w:t xml:space="preserve"> In</w:t>
      </w:r>
      <w:r w:rsidR="00741919">
        <w:rPr>
          <w:rFonts w:ascii="Times New Roman" w:hAnsi="Times New Roman" w:cs="Times New Roman"/>
          <w:sz w:val="24"/>
          <w:szCs w:val="26"/>
        </w:rPr>
        <w:t>terestingly</w:t>
      </w:r>
      <w:r w:rsidR="002F00F4" w:rsidRPr="004F538D">
        <w:rPr>
          <w:rFonts w:ascii="Times New Roman" w:hAnsi="Times New Roman" w:cs="Times New Roman"/>
          <w:sz w:val="24"/>
          <w:szCs w:val="26"/>
        </w:rPr>
        <w:t>, Alfraih (2016) finds that firms with larger boards are likely to produce timely financial statements.</w:t>
      </w:r>
      <w:r w:rsidR="00741919">
        <w:rPr>
          <w:rFonts w:ascii="Times New Roman" w:hAnsi="Times New Roman" w:cs="Times New Roman"/>
          <w:sz w:val="24"/>
          <w:szCs w:val="26"/>
        </w:rPr>
        <w:t xml:space="preserve"> </w:t>
      </w:r>
      <w:r w:rsidR="004D0E5D" w:rsidRPr="004F538D">
        <w:rPr>
          <w:rFonts w:ascii="Times New Roman" w:hAnsi="Times New Roman" w:cs="Times New Roman"/>
          <w:sz w:val="24"/>
          <w:szCs w:val="26"/>
        </w:rPr>
        <w:t xml:space="preserve">Habib, Bhuiyan and Huang (2018) find that the ARD is reduced by the existence of a financial </w:t>
      </w:r>
      <w:r w:rsidR="001777DF" w:rsidRPr="004F538D">
        <w:rPr>
          <w:rFonts w:ascii="Times New Roman" w:hAnsi="Times New Roman" w:cs="Times New Roman"/>
          <w:sz w:val="24"/>
          <w:szCs w:val="26"/>
        </w:rPr>
        <w:t>expert member i</w:t>
      </w:r>
      <w:r w:rsidR="004D0E5D" w:rsidRPr="004F538D">
        <w:rPr>
          <w:rFonts w:ascii="Times New Roman" w:hAnsi="Times New Roman" w:cs="Times New Roman"/>
          <w:sz w:val="24"/>
          <w:szCs w:val="26"/>
        </w:rPr>
        <w:t xml:space="preserve">n </w:t>
      </w:r>
      <w:r w:rsidR="001777DF" w:rsidRPr="004F538D">
        <w:rPr>
          <w:rFonts w:ascii="Times New Roman" w:hAnsi="Times New Roman" w:cs="Times New Roman"/>
          <w:sz w:val="24"/>
          <w:szCs w:val="26"/>
        </w:rPr>
        <w:t>the</w:t>
      </w:r>
      <w:r w:rsidR="004D0E5D" w:rsidRPr="004F538D">
        <w:rPr>
          <w:rFonts w:ascii="Times New Roman" w:hAnsi="Times New Roman" w:cs="Times New Roman"/>
          <w:sz w:val="24"/>
          <w:szCs w:val="26"/>
        </w:rPr>
        <w:t xml:space="preserve"> AC and ownership concentration.</w:t>
      </w:r>
      <w:r w:rsidR="00A4412C" w:rsidRPr="004F538D">
        <w:rPr>
          <w:rFonts w:ascii="Times New Roman" w:hAnsi="Times New Roman" w:cs="Times New Roman"/>
          <w:sz w:val="24"/>
          <w:szCs w:val="26"/>
        </w:rPr>
        <w:t xml:space="preserve"> </w:t>
      </w:r>
    </w:p>
    <w:p w14:paraId="4664BCFE" w14:textId="12E437B7" w:rsidR="008F1471" w:rsidRPr="004F538D" w:rsidRDefault="008F1471" w:rsidP="0037484F">
      <w:pPr>
        <w:jc w:val="both"/>
        <w:rPr>
          <w:rFonts w:ascii="Times New Roman" w:hAnsi="Times New Roman" w:cs="Times New Roman"/>
          <w:sz w:val="24"/>
          <w:szCs w:val="26"/>
        </w:rPr>
      </w:pPr>
      <w:r w:rsidRPr="004F538D">
        <w:rPr>
          <w:rFonts w:ascii="Times New Roman" w:hAnsi="Times New Roman" w:cs="Times New Roman"/>
          <w:sz w:val="24"/>
          <w:szCs w:val="26"/>
        </w:rPr>
        <w:t>According to Sultana, Singh and Zahn (2015), boar</w:t>
      </w:r>
      <w:r w:rsidR="005A7B64" w:rsidRPr="004F538D">
        <w:rPr>
          <w:rFonts w:ascii="Times New Roman" w:hAnsi="Times New Roman" w:cs="Times New Roman"/>
          <w:sz w:val="24"/>
          <w:szCs w:val="26"/>
        </w:rPr>
        <w:t>d</w:t>
      </w:r>
      <w:r w:rsidRPr="004F538D">
        <w:rPr>
          <w:rFonts w:ascii="Times New Roman" w:hAnsi="Times New Roman" w:cs="Times New Roman"/>
          <w:sz w:val="24"/>
          <w:szCs w:val="26"/>
        </w:rPr>
        <w:t xml:space="preserve">s with independent AC members possessing financial expertise and prior AC </w:t>
      </w:r>
      <w:r w:rsidR="00711FE1">
        <w:rPr>
          <w:rFonts w:ascii="Times New Roman" w:hAnsi="Times New Roman" w:cs="Times New Roman"/>
          <w:sz w:val="24"/>
          <w:szCs w:val="26"/>
        </w:rPr>
        <w:t xml:space="preserve">experience </w:t>
      </w:r>
      <w:r w:rsidRPr="004F538D">
        <w:rPr>
          <w:rFonts w:ascii="Times New Roman" w:hAnsi="Times New Roman" w:cs="Times New Roman"/>
          <w:sz w:val="24"/>
          <w:szCs w:val="26"/>
        </w:rPr>
        <w:t>are associated with shorter ARD.</w:t>
      </w:r>
      <w:r w:rsidR="00B3489A" w:rsidRPr="004F538D">
        <w:rPr>
          <w:rFonts w:ascii="Times New Roman" w:hAnsi="Times New Roman" w:cs="Times New Roman"/>
          <w:sz w:val="24"/>
          <w:szCs w:val="26"/>
        </w:rPr>
        <w:t xml:space="preserve"> </w:t>
      </w:r>
      <w:r w:rsidR="00293C76" w:rsidRPr="004F538D">
        <w:rPr>
          <w:rFonts w:ascii="Times New Roman" w:hAnsi="Times New Roman" w:cs="Times New Roman"/>
          <w:sz w:val="24"/>
          <w:szCs w:val="26"/>
        </w:rPr>
        <w:t xml:space="preserve">Ghafran and Yasmin (2017) find AC chairs with experience and monitoring expertise lead to a reduction in ARD. </w:t>
      </w:r>
      <w:r w:rsidR="005115F2" w:rsidRPr="004F538D">
        <w:rPr>
          <w:rFonts w:ascii="Times New Roman" w:hAnsi="Times New Roman" w:cs="Times New Roman"/>
          <w:sz w:val="24"/>
          <w:szCs w:val="26"/>
        </w:rPr>
        <w:t xml:space="preserve">Ouisii and Taktak (2018) establish a negative association between AC’s financial expertise and ARD. </w:t>
      </w:r>
      <w:r w:rsidR="005A7B64" w:rsidRPr="004F538D">
        <w:rPr>
          <w:rFonts w:ascii="Times New Roman" w:hAnsi="Times New Roman" w:cs="Times New Roman"/>
          <w:sz w:val="24"/>
          <w:szCs w:val="26"/>
        </w:rPr>
        <w:t xml:space="preserve">However, Nehme, Assaker and Khalife (2015) hold the view that having a large number of financial experts on the board is a potential source of conflicts with the auditors and may lead to </w:t>
      </w:r>
      <w:r w:rsidR="00711FE1">
        <w:rPr>
          <w:rFonts w:ascii="Times New Roman" w:hAnsi="Times New Roman" w:cs="Times New Roman"/>
          <w:sz w:val="24"/>
          <w:szCs w:val="26"/>
        </w:rPr>
        <w:t xml:space="preserve">a </w:t>
      </w:r>
      <w:r w:rsidR="005A7B64" w:rsidRPr="004F538D">
        <w:rPr>
          <w:rFonts w:ascii="Times New Roman" w:hAnsi="Times New Roman" w:cs="Times New Roman"/>
          <w:sz w:val="24"/>
          <w:szCs w:val="26"/>
        </w:rPr>
        <w:t xml:space="preserve">longer ARD. </w:t>
      </w:r>
      <w:r w:rsidR="00A46A2A" w:rsidRPr="004F538D">
        <w:rPr>
          <w:rFonts w:ascii="Times New Roman" w:hAnsi="Times New Roman" w:cs="Times New Roman"/>
          <w:sz w:val="24"/>
          <w:szCs w:val="26"/>
        </w:rPr>
        <w:t xml:space="preserve">Nehme, Assaker and Khalife (2015) argue that firms having large ACs with more frequent meetings and financial experts tend to exhibit longer ARD. As argued under agency theory, large committees provide an opportunity for conflicts and disagreements to arise which hinders </w:t>
      </w:r>
      <w:r w:rsidR="00A46A2A">
        <w:rPr>
          <w:rFonts w:ascii="Times New Roman" w:hAnsi="Times New Roman" w:cs="Times New Roman"/>
          <w:sz w:val="24"/>
          <w:szCs w:val="26"/>
        </w:rPr>
        <w:t xml:space="preserve">the </w:t>
      </w:r>
      <w:r w:rsidR="00A46A2A" w:rsidRPr="004F538D">
        <w:rPr>
          <w:rFonts w:ascii="Times New Roman" w:hAnsi="Times New Roman" w:cs="Times New Roman"/>
          <w:sz w:val="24"/>
          <w:szCs w:val="26"/>
        </w:rPr>
        <w:t>auditing process (Mintzberg, 1983; Nehme, Assaker &amp; Khalife, 2015)</w:t>
      </w:r>
      <w:r w:rsidR="00A46A2A">
        <w:rPr>
          <w:rFonts w:ascii="Times New Roman" w:hAnsi="Times New Roman" w:cs="Times New Roman"/>
          <w:sz w:val="24"/>
          <w:szCs w:val="26"/>
        </w:rPr>
        <w:t xml:space="preserve">. </w:t>
      </w:r>
      <w:r w:rsidR="00A46A2A" w:rsidRPr="004F538D">
        <w:rPr>
          <w:rFonts w:ascii="Times New Roman" w:hAnsi="Times New Roman" w:cs="Times New Roman"/>
          <w:sz w:val="24"/>
          <w:szCs w:val="26"/>
        </w:rPr>
        <w:t>ACs with frequent meetings could be characteristic of ineffectiveness especially when the focus is on financial and control weaknesses.</w:t>
      </w:r>
      <w:r w:rsidR="00A46A2A">
        <w:rPr>
          <w:rFonts w:ascii="Times New Roman" w:hAnsi="Times New Roman" w:cs="Times New Roman"/>
          <w:sz w:val="24"/>
          <w:szCs w:val="26"/>
        </w:rPr>
        <w:t xml:space="preserve"> </w:t>
      </w:r>
      <w:r w:rsidR="00B3489A" w:rsidRPr="004F538D">
        <w:rPr>
          <w:rFonts w:ascii="Times New Roman" w:hAnsi="Times New Roman" w:cs="Times New Roman"/>
          <w:sz w:val="24"/>
          <w:szCs w:val="26"/>
        </w:rPr>
        <w:t xml:space="preserve">This means that instituting regulation requiring financial expertise </w:t>
      </w:r>
      <w:r w:rsidR="00293C76" w:rsidRPr="004F538D">
        <w:rPr>
          <w:rFonts w:ascii="Times New Roman" w:hAnsi="Times New Roman" w:cs="Times New Roman"/>
          <w:sz w:val="24"/>
          <w:szCs w:val="26"/>
        </w:rPr>
        <w:t xml:space="preserve">and experience </w:t>
      </w:r>
      <w:r w:rsidR="00B3489A" w:rsidRPr="004F538D">
        <w:rPr>
          <w:rFonts w:ascii="Times New Roman" w:hAnsi="Times New Roman" w:cs="Times New Roman"/>
          <w:sz w:val="24"/>
          <w:szCs w:val="26"/>
        </w:rPr>
        <w:t>in the AC is useful in enhancing the timeliness of annual reports.</w:t>
      </w:r>
    </w:p>
    <w:p w14:paraId="2CF57C84" w14:textId="77777777" w:rsidR="005A7B64" w:rsidRPr="004F538D" w:rsidRDefault="005A7B64" w:rsidP="005A7B64">
      <w:pPr>
        <w:jc w:val="both"/>
        <w:rPr>
          <w:rFonts w:ascii="Times New Roman" w:hAnsi="Times New Roman" w:cs="Times New Roman"/>
          <w:sz w:val="24"/>
          <w:szCs w:val="26"/>
        </w:rPr>
      </w:pPr>
      <w:r w:rsidRPr="004F538D">
        <w:rPr>
          <w:rFonts w:ascii="Times New Roman" w:hAnsi="Times New Roman" w:cs="Times New Roman"/>
          <w:sz w:val="24"/>
          <w:szCs w:val="26"/>
        </w:rPr>
        <w:t>Empirical studies find that CEO duality reduces the independence of the board and impairs AC’s effectiveness (Muniandy, 2007; Nehme, Assaker &amp; Khalife, 2015). Alfraih (2016) reaffirms this proposition by establishing that firms with separate CEO-chairman roles are more likely to produce timely audited financial statements.</w:t>
      </w:r>
      <w:r w:rsidRPr="004F538D">
        <w:rPr>
          <w:rFonts w:ascii="Times New Roman" w:hAnsi="Times New Roman" w:cs="Times New Roman"/>
          <w:sz w:val="18"/>
          <w:szCs w:val="18"/>
        </w:rPr>
        <w:t xml:space="preserve"> </w:t>
      </w:r>
      <w:r w:rsidRPr="004F538D">
        <w:rPr>
          <w:rFonts w:ascii="Times New Roman" w:hAnsi="Times New Roman" w:cs="Times New Roman"/>
          <w:sz w:val="24"/>
          <w:szCs w:val="26"/>
        </w:rPr>
        <w:t>This is because the CEO’s cooperation with the auditor facilitates the speedy conclusion of the auditing process. Nehme, Assaker and Khalife (2015) and Alfraih (2016) find that boards with more independent, non-executive directors have shorter ARD. This is because, independence is useful in reducing conflicts at governance level and is useful in increasing transparency and disclosures which enhances the audit thereby reducing the ARD.</w:t>
      </w:r>
    </w:p>
    <w:p w14:paraId="6E37C354" w14:textId="69A2FC65" w:rsidR="004A3260" w:rsidRPr="004F538D" w:rsidRDefault="00A37129" w:rsidP="00106048">
      <w:pPr>
        <w:jc w:val="both"/>
        <w:rPr>
          <w:rFonts w:ascii="Times New Roman" w:hAnsi="Times New Roman" w:cs="Times New Roman"/>
          <w:sz w:val="24"/>
          <w:szCs w:val="26"/>
        </w:rPr>
      </w:pPr>
      <w:r w:rsidRPr="004F538D">
        <w:rPr>
          <w:rFonts w:ascii="Times New Roman" w:hAnsi="Times New Roman" w:cs="Times New Roman"/>
          <w:sz w:val="24"/>
          <w:szCs w:val="26"/>
        </w:rPr>
        <w:t>Nehme, Assaker and Khalife (2015) establish that variables relating to the board of directors</w:t>
      </w:r>
      <w:r w:rsidR="003B0729">
        <w:rPr>
          <w:rFonts w:ascii="Times New Roman" w:hAnsi="Times New Roman" w:cs="Times New Roman"/>
          <w:sz w:val="24"/>
          <w:szCs w:val="26"/>
        </w:rPr>
        <w:t xml:space="preserve"> (board size, CEO duality, board independence)</w:t>
      </w:r>
      <w:r w:rsidRPr="004F538D">
        <w:rPr>
          <w:rFonts w:ascii="Times New Roman" w:hAnsi="Times New Roman" w:cs="Times New Roman"/>
          <w:sz w:val="24"/>
          <w:szCs w:val="26"/>
        </w:rPr>
        <w:t xml:space="preserve"> have a negative association with </w:t>
      </w:r>
      <w:r w:rsidR="00711FE1">
        <w:rPr>
          <w:rFonts w:ascii="Times New Roman" w:hAnsi="Times New Roman" w:cs="Times New Roman"/>
          <w:sz w:val="24"/>
          <w:szCs w:val="26"/>
        </w:rPr>
        <w:t xml:space="preserve">the </w:t>
      </w:r>
      <w:r w:rsidRPr="004F538D">
        <w:rPr>
          <w:rFonts w:ascii="Times New Roman" w:hAnsi="Times New Roman" w:cs="Times New Roman"/>
          <w:sz w:val="24"/>
          <w:szCs w:val="26"/>
        </w:rPr>
        <w:t>ARD.</w:t>
      </w:r>
      <w:r w:rsidR="004722ED" w:rsidRPr="004F538D">
        <w:rPr>
          <w:rFonts w:ascii="Times New Roman" w:hAnsi="Times New Roman" w:cs="Times New Roman"/>
          <w:sz w:val="24"/>
          <w:szCs w:val="26"/>
        </w:rPr>
        <w:t xml:space="preserve"> In another study, </w:t>
      </w:r>
      <w:r w:rsidR="004A3260" w:rsidRPr="004F538D">
        <w:rPr>
          <w:rFonts w:ascii="Times New Roman" w:hAnsi="Times New Roman" w:cs="Times New Roman"/>
          <w:sz w:val="24"/>
          <w:szCs w:val="26"/>
        </w:rPr>
        <w:t>Tauringana, Kyeyune and Opio (20</w:t>
      </w:r>
      <w:r w:rsidRPr="004F538D">
        <w:rPr>
          <w:rFonts w:ascii="Times New Roman" w:hAnsi="Times New Roman" w:cs="Times New Roman"/>
          <w:sz w:val="24"/>
          <w:szCs w:val="26"/>
        </w:rPr>
        <w:t>08)</w:t>
      </w:r>
      <w:r w:rsidR="004A3260" w:rsidRPr="004F538D">
        <w:rPr>
          <w:rFonts w:ascii="Times New Roman" w:hAnsi="Times New Roman" w:cs="Times New Roman"/>
          <w:sz w:val="24"/>
          <w:szCs w:val="26"/>
        </w:rPr>
        <w:t xml:space="preserve"> find a significant and negative association between CG </w:t>
      </w:r>
      <w:r w:rsidR="00206C0B" w:rsidRPr="004F538D">
        <w:rPr>
          <w:rFonts w:ascii="Times New Roman" w:hAnsi="Times New Roman" w:cs="Times New Roman"/>
          <w:sz w:val="24"/>
          <w:szCs w:val="26"/>
        </w:rPr>
        <w:t>mechanisms</w:t>
      </w:r>
      <w:r w:rsidR="004A3260" w:rsidRPr="004F538D">
        <w:rPr>
          <w:rFonts w:ascii="Times New Roman" w:hAnsi="Times New Roman" w:cs="Times New Roman"/>
          <w:sz w:val="24"/>
          <w:szCs w:val="26"/>
        </w:rPr>
        <w:t xml:space="preserve"> (finance experts in AC and board meetings)</w:t>
      </w:r>
      <w:r w:rsidR="00CA7FA8" w:rsidRPr="004F538D">
        <w:rPr>
          <w:rFonts w:ascii="Times New Roman" w:hAnsi="Times New Roman" w:cs="Times New Roman"/>
          <w:sz w:val="24"/>
          <w:szCs w:val="26"/>
        </w:rPr>
        <w:t xml:space="preserve"> and ARD</w:t>
      </w:r>
      <w:r w:rsidR="004A3260" w:rsidRPr="004F538D">
        <w:rPr>
          <w:rFonts w:ascii="Times New Roman" w:hAnsi="Times New Roman" w:cs="Times New Roman"/>
          <w:sz w:val="24"/>
          <w:szCs w:val="26"/>
        </w:rPr>
        <w:t xml:space="preserve">. </w:t>
      </w:r>
      <w:r w:rsidR="00394CB6" w:rsidRPr="004F538D">
        <w:rPr>
          <w:rFonts w:ascii="Times New Roman" w:hAnsi="Times New Roman" w:cs="Times New Roman"/>
          <w:sz w:val="24"/>
          <w:szCs w:val="26"/>
        </w:rPr>
        <w:t>Ika and Ghazali (2012) find that an effective AC is likely to result in reduced financial reporting time. The study also finds that AC</w:t>
      </w:r>
      <w:r w:rsidR="00FA4388">
        <w:rPr>
          <w:rFonts w:ascii="Times New Roman" w:hAnsi="Times New Roman" w:cs="Times New Roman"/>
          <w:sz w:val="24"/>
          <w:szCs w:val="26"/>
        </w:rPr>
        <w:t>’s</w:t>
      </w:r>
      <w:r w:rsidR="00394CB6" w:rsidRPr="004F538D">
        <w:rPr>
          <w:rFonts w:ascii="Times New Roman" w:hAnsi="Times New Roman" w:cs="Times New Roman"/>
          <w:sz w:val="24"/>
          <w:szCs w:val="26"/>
        </w:rPr>
        <w:t xml:space="preserve"> effectiveness reduces ARD. </w:t>
      </w:r>
      <w:r w:rsidR="000B6A66" w:rsidRPr="004F538D">
        <w:rPr>
          <w:rFonts w:ascii="Times New Roman" w:hAnsi="Times New Roman" w:cs="Times New Roman"/>
          <w:sz w:val="24"/>
          <w:szCs w:val="26"/>
        </w:rPr>
        <w:t xml:space="preserve">While using a composite measure of CG mechanisms from an AC perspective, Baatwah, Salleh and Ahmad (2015) find that AC quality enhances audit report timeliness. The study finds that board quality is not significant in enhancing the timeliness of the audited report. </w:t>
      </w:r>
      <w:r w:rsidR="005D7AB6" w:rsidRPr="004F538D">
        <w:rPr>
          <w:rFonts w:ascii="Times New Roman" w:hAnsi="Times New Roman" w:cs="Times New Roman"/>
          <w:sz w:val="24"/>
          <w:szCs w:val="26"/>
        </w:rPr>
        <w:t>In a similar study, Ghafran and Yasmin (2017) find that the AC</w:t>
      </w:r>
      <w:r w:rsidR="00711FE1">
        <w:rPr>
          <w:rFonts w:ascii="Times New Roman" w:hAnsi="Times New Roman" w:cs="Times New Roman"/>
          <w:sz w:val="24"/>
          <w:szCs w:val="26"/>
        </w:rPr>
        <w:t>’s</w:t>
      </w:r>
      <w:r w:rsidR="005D7AB6" w:rsidRPr="004F538D">
        <w:rPr>
          <w:rFonts w:ascii="Times New Roman" w:hAnsi="Times New Roman" w:cs="Times New Roman"/>
          <w:sz w:val="24"/>
          <w:szCs w:val="26"/>
        </w:rPr>
        <w:t xml:space="preserve"> composite compliance variable </w:t>
      </w:r>
      <w:r w:rsidR="00711FE1">
        <w:rPr>
          <w:rFonts w:ascii="Times New Roman" w:hAnsi="Times New Roman" w:cs="Times New Roman"/>
          <w:sz w:val="24"/>
          <w:szCs w:val="26"/>
        </w:rPr>
        <w:t>h</w:t>
      </w:r>
      <w:r w:rsidR="005D7AB6" w:rsidRPr="004F538D">
        <w:rPr>
          <w:rFonts w:ascii="Times New Roman" w:hAnsi="Times New Roman" w:cs="Times New Roman"/>
          <w:sz w:val="24"/>
          <w:szCs w:val="26"/>
        </w:rPr>
        <w:t xml:space="preserve">as a significant negative association with ARD. </w:t>
      </w:r>
      <w:r w:rsidR="004722ED" w:rsidRPr="004F538D">
        <w:rPr>
          <w:rFonts w:ascii="Times New Roman" w:hAnsi="Times New Roman" w:cs="Times New Roman"/>
          <w:sz w:val="24"/>
          <w:szCs w:val="26"/>
        </w:rPr>
        <w:t xml:space="preserve">Following this </w:t>
      </w:r>
      <w:r w:rsidR="00702D6E" w:rsidRPr="004F538D">
        <w:rPr>
          <w:rFonts w:ascii="Times New Roman" w:hAnsi="Times New Roman" w:cs="Times New Roman"/>
          <w:sz w:val="24"/>
          <w:szCs w:val="26"/>
        </w:rPr>
        <w:t xml:space="preserve">line of </w:t>
      </w:r>
      <w:r w:rsidR="004722ED" w:rsidRPr="004F538D">
        <w:rPr>
          <w:rFonts w:ascii="Times New Roman" w:hAnsi="Times New Roman" w:cs="Times New Roman"/>
          <w:sz w:val="24"/>
          <w:szCs w:val="26"/>
        </w:rPr>
        <w:t>reasoning, we formulate the following testable hypothesis:</w:t>
      </w:r>
    </w:p>
    <w:p w14:paraId="5C5121B0" w14:textId="7D1024C4" w:rsidR="004722ED" w:rsidRPr="004F538D" w:rsidRDefault="004722ED" w:rsidP="004722ED">
      <w:pPr>
        <w:jc w:val="both"/>
        <w:rPr>
          <w:rFonts w:ascii="Times New Roman" w:hAnsi="Times New Roman" w:cs="Times New Roman"/>
          <w:i/>
          <w:sz w:val="24"/>
          <w:szCs w:val="26"/>
        </w:rPr>
      </w:pPr>
      <w:r w:rsidRPr="004F538D">
        <w:rPr>
          <w:rFonts w:ascii="Times New Roman" w:hAnsi="Times New Roman" w:cs="Times New Roman"/>
          <w:i/>
          <w:sz w:val="24"/>
          <w:szCs w:val="26"/>
        </w:rPr>
        <w:t>H</w:t>
      </w:r>
      <w:r w:rsidRPr="0063778C">
        <w:rPr>
          <w:rFonts w:ascii="Times New Roman" w:hAnsi="Times New Roman" w:cs="Times New Roman"/>
          <w:i/>
          <w:sz w:val="24"/>
          <w:szCs w:val="26"/>
          <w:vertAlign w:val="subscript"/>
        </w:rPr>
        <w:t>1</w:t>
      </w:r>
      <w:r w:rsidRPr="004F538D">
        <w:rPr>
          <w:rFonts w:ascii="Times New Roman" w:hAnsi="Times New Roman" w:cs="Times New Roman"/>
          <w:i/>
          <w:sz w:val="24"/>
          <w:szCs w:val="26"/>
        </w:rPr>
        <w:t xml:space="preserve">: There is a significant </w:t>
      </w:r>
      <w:r w:rsidR="007C7D20">
        <w:rPr>
          <w:rFonts w:ascii="Times New Roman" w:hAnsi="Times New Roman" w:cs="Times New Roman"/>
          <w:i/>
          <w:sz w:val="24"/>
          <w:szCs w:val="26"/>
        </w:rPr>
        <w:t xml:space="preserve">negative </w:t>
      </w:r>
      <w:r w:rsidRPr="004F538D">
        <w:rPr>
          <w:rFonts w:ascii="Times New Roman" w:hAnsi="Times New Roman" w:cs="Times New Roman"/>
          <w:i/>
          <w:sz w:val="24"/>
          <w:szCs w:val="26"/>
        </w:rPr>
        <w:t xml:space="preserve">association between </w:t>
      </w:r>
      <w:r w:rsidR="008E5304" w:rsidRPr="004F538D">
        <w:rPr>
          <w:rFonts w:ascii="Times New Roman" w:hAnsi="Times New Roman" w:cs="Times New Roman"/>
          <w:i/>
          <w:sz w:val="24"/>
          <w:szCs w:val="26"/>
        </w:rPr>
        <w:t xml:space="preserve">the </w:t>
      </w:r>
      <w:r w:rsidR="007C7D20">
        <w:rPr>
          <w:rFonts w:ascii="Times New Roman" w:hAnsi="Times New Roman" w:cs="Times New Roman"/>
          <w:i/>
          <w:sz w:val="24"/>
          <w:szCs w:val="26"/>
        </w:rPr>
        <w:t>composite</w:t>
      </w:r>
      <w:r w:rsidR="00546442" w:rsidRPr="004F538D">
        <w:rPr>
          <w:rFonts w:ascii="Times New Roman" w:hAnsi="Times New Roman" w:cs="Times New Roman"/>
          <w:i/>
          <w:sz w:val="24"/>
          <w:szCs w:val="26"/>
        </w:rPr>
        <w:t xml:space="preserve"> </w:t>
      </w:r>
      <w:r w:rsidR="008E5304" w:rsidRPr="004F538D">
        <w:rPr>
          <w:rFonts w:ascii="Times New Roman" w:hAnsi="Times New Roman" w:cs="Times New Roman"/>
          <w:i/>
          <w:sz w:val="24"/>
          <w:szCs w:val="26"/>
        </w:rPr>
        <w:t xml:space="preserve">CG-Index </w:t>
      </w:r>
      <w:r w:rsidRPr="004F538D">
        <w:rPr>
          <w:rFonts w:ascii="Times New Roman" w:hAnsi="Times New Roman" w:cs="Times New Roman"/>
          <w:i/>
          <w:sz w:val="24"/>
          <w:szCs w:val="26"/>
        </w:rPr>
        <w:t>and ARD.</w:t>
      </w:r>
    </w:p>
    <w:p w14:paraId="183787EB" w14:textId="48C84891" w:rsidR="00F230B8" w:rsidRPr="004F538D" w:rsidRDefault="000C07B1" w:rsidP="0082242E">
      <w:pPr>
        <w:jc w:val="both"/>
        <w:rPr>
          <w:rFonts w:ascii="Times New Roman" w:hAnsi="Times New Roman" w:cs="Times New Roman"/>
          <w:i/>
          <w:sz w:val="24"/>
          <w:szCs w:val="26"/>
        </w:rPr>
      </w:pPr>
      <w:r w:rsidRPr="004F538D">
        <w:rPr>
          <w:rFonts w:ascii="Times New Roman" w:hAnsi="Times New Roman" w:cs="Times New Roman"/>
          <w:sz w:val="24"/>
          <w:szCs w:val="26"/>
        </w:rPr>
        <w:t>We proceed to test this hypothesi</w:t>
      </w:r>
      <w:r w:rsidR="007C7D20">
        <w:rPr>
          <w:rFonts w:ascii="Times New Roman" w:hAnsi="Times New Roman" w:cs="Times New Roman"/>
          <w:sz w:val="24"/>
          <w:szCs w:val="26"/>
        </w:rPr>
        <w:t>s by developing a composite CG-I</w:t>
      </w:r>
      <w:r w:rsidRPr="004F538D">
        <w:rPr>
          <w:rFonts w:ascii="Times New Roman" w:hAnsi="Times New Roman" w:cs="Times New Roman"/>
          <w:sz w:val="24"/>
          <w:szCs w:val="26"/>
        </w:rPr>
        <w:t xml:space="preserve">ndex comprising of </w:t>
      </w:r>
      <w:r w:rsidR="007C7D20">
        <w:rPr>
          <w:rFonts w:ascii="Times New Roman" w:hAnsi="Times New Roman" w:cs="Times New Roman"/>
          <w:sz w:val="24"/>
          <w:szCs w:val="26"/>
        </w:rPr>
        <w:t xml:space="preserve">8 </w:t>
      </w:r>
      <w:r w:rsidRPr="004F538D">
        <w:rPr>
          <w:rFonts w:ascii="Times New Roman" w:hAnsi="Times New Roman" w:cs="Times New Roman"/>
          <w:sz w:val="24"/>
          <w:szCs w:val="26"/>
        </w:rPr>
        <w:t xml:space="preserve">CG mechanisms </w:t>
      </w:r>
      <w:r w:rsidR="00FA4388">
        <w:rPr>
          <w:rFonts w:ascii="Times New Roman" w:hAnsi="Times New Roman" w:cs="Times New Roman"/>
          <w:sz w:val="24"/>
          <w:szCs w:val="26"/>
        </w:rPr>
        <w:t xml:space="preserve">and </w:t>
      </w:r>
      <w:r w:rsidR="007C7D20">
        <w:rPr>
          <w:rFonts w:ascii="Times New Roman" w:hAnsi="Times New Roman" w:cs="Times New Roman"/>
          <w:sz w:val="24"/>
          <w:szCs w:val="26"/>
        </w:rPr>
        <w:t>investigat</w:t>
      </w:r>
      <w:r w:rsidR="00FA4388">
        <w:rPr>
          <w:rFonts w:ascii="Times New Roman" w:hAnsi="Times New Roman" w:cs="Times New Roman"/>
          <w:sz w:val="24"/>
          <w:szCs w:val="26"/>
        </w:rPr>
        <w:t>e</w:t>
      </w:r>
      <w:r w:rsidRPr="004F538D">
        <w:rPr>
          <w:rFonts w:ascii="Times New Roman" w:hAnsi="Times New Roman" w:cs="Times New Roman"/>
          <w:sz w:val="24"/>
          <w:szCs w:val="26"/>
        </w:rPr>
        <w:t xml:space="preserve"> its association with ARD, from both a granular as well as</w:t>
      </w:r>
      <w:r w:rsidR="00FA4388">
        <w:rPr>
          <w:rFonts w:ascii="Times New Roman" w:hAnsi="Times New Roman" w:cs="Times New Roman"/>
          <w:sz w:val="24"/>
          <w:szCs w:val="26"/>
        </w:rPr>
        <w:t xml:space="preserve"> an aggregate </w:t>
      </w:r>
      <w:r w:rsidRPr="004F538D">
        <w:rPr>
          <w:rFonts w:ascii="Times New Roman" w:hAnsi="Times New Roman" w:cs="Times New Roman"/>
          <w:sz w:val="24"/>
          <w:szCs w:val="26"/>
        </w:rPr>
        <w:t>approach.</w:t>
      </w:r>
    </w:p>
    <w:p w14:paraId="3BE5FC9F" w14:textId="663CA612" w:rsidR="001717B0" w:rsidRPr="004F538D" w:rsidRDefault="007E2759" w:rsidP="009A1D3A">
      <w:pPr>
        <w:pStyle w:val="ListParagraph"/>
        <w:numPr>
          <w:ilvl w:val="2"/>
          <w:numId w:val="25"/>
        </w:numPr>
        <w:jc w:val="both"/>
        <w:rPr>
          <w:rFonts w:ascii="Times New Roman" w:hAnsi="Times New Roman" w:cs="Times New Roman"/>
          <w:i/>
          <w:sz w:val="24"/>
          <w:szCs w:val="24"/>
        </w:rPr>
      </w:pPr>
      <w:r w:rsidRPr="004F538D">
        <w:rPr>
          <w:rFonts w:ascii="Times New Roman" w:hAnsi="Times New Roman" w:cs="Times New Roman"/>
          <w:i/>
          <w:sz w:val="24"/>
          <w:szCs w:val="24"/>
        </w:rPr>
        <w:t xml:space="preserve">Other </w:t>
      </w:r>
      <w:r w:rsidR="00D51393" w:rsidRPr="004F538D">
        <w:rPr>
          <w:rFonts w:ascii="Times New Roman" w:hAnsi="Times New Roman" w:cs="Times New Roman"/>
          <w:i/>
          <w:sz w:val="24"/>
          <w:szCs w:val="24"/>
        </w:rPr>
        <w:t xml:space="preserve">empirical studies on the </w:t>
      </w:r>
      <w:r w:rsidRPr="004F538D">
        <w:rPr>
          <w:rFonts w:ascii="Times New Roman" w:hAnsi="Times New Roman" w:cs="Times New Roman"/>
          <w:i/>
          <w:sz w:val="24"/>
          <w:szCs w:val="24"/>
        </w:rPr>
        <w:t>drivers of ARD</w:t>
      </w:r>
    </w:p>
    <w:p w14:paraId="0E96BC48" w14:textId="5386953C" w:rsidR="00691780" w:rsidRDefault="007E2759" w:rsidP="002C4A39">
      <w:pPr>
        <w:jc w:val="both"/>
        <w:rPr>
          <w:rFonts w:ascii="Times New Roman" w:hAnsi="Times New Roman" w:cs="Times New Roman"/>
          <w:sz w:val="24"/>
          <w:szCs w:val="26"/>
        </w:rPr>
      </w:pPr>
      <w:r w:rsidRPr="004F538D">
        <w:rPr>
          <w:rFonts w:ascii="Times New Roman" w:hAnsi="Times New Roman" w:cs="Times New Roman"/>
          <w:sz w:val="24"/>
          <w:szCs w:val="26"/>
        </w:rPr>
        <w:t xml:space="preserve">Since there has been a growing strand of research focusing on specific drivers of ARD, we present a summary literature matrix capturing the </w:t>
      </w:r>
      <w:r w:rsidR="006A5AEC">
        <w:rPr>
          <w:rFonts w:ascii="Times New Roman" w:hAnsi="Times New Roman" w:cs="Times New Roman"/>
          <w:sz w:val="24"/>
          <w:szCs w:val="26"/>
        </w:rPr>
        <w:t xml:space="preserve">significant </w:t>
      </w:r>
      <w:r w:rsidRPr="004F538D">
        <w:rPr>
          <w:rFonts w:ascii="Times New Roman" w:hAnsi="Times New Roman" w:cs="Times New Roman"/>
          <w:sz w:val="24"/>
          <w:szCs w:val="26"/>
        </w:rPr>
        <w:t>variables explaining the length of the ARD in various jurisdictions.</w:t>
      </w:r>
      <w:r w:rsidR="002C4A39" w:rsidRPr="004F538D">
        <w:rPr>
          <w:rStyle w:val="FootnoteReference"/>
          <w:rFonts w:ascii="Times New Roman" w:hAnsi="Times New Roman" w:cs="Times New Roman"/>
          <w:sz w:val="24"/>
          <w:szCs w:val="26"/>
        </w:rPr>
        <w:footnoteReference w:id="6"/>
      </w:r>
      <w:r w:rsidRPr="004F538D">
        <w:rPr>
          <w:rFonts w:ascii="Times New Roman" w:hAnsi="Times New Roman" w:cs="Times New Roman"/>
          <w:sz w:val="24"/>
          <w:szCs w:val="26"/>
        </w:rPr>
        <w:t xml:space="preserve"> </w:t>
      </w:r>
      <w:r w:rsidR="008867AE">
        <w:rPr>
          <w:rFonts w:ascii="Times New Roman" w:hAnsi="Times New Roman" w:cs="Times New Roman"/>
          <w:sz w:val="24"/>
          <w:szCs w:val="26"/>
        </w:rPr>
        <w:t xml:space="preserve">We limit the literature summary to the most recent studies examining the association between CG and ARD. </w:t>
      </w:r>
      <w:r w:rsidR="00036F1F" w:rsidRPr="004F538D">
        <w:rPr>
          <w:rFonts w:ascii="Times New Roman" w:hAnsi="Times New Roman" w:cs="Times New Roman"/>
          <w:sz w:val="24"/>
          <w:szCs w:val="26"/>
        </w:rPr>
        <w:t>The summary is presented in Table 1.</w:t>
      </w:r>
      <w:r w:rsidRPr="004F538D">
        <w:rPr>
          <w:rFonts w:ascii="Times New Roman" w:hAnsi="Times New Roman" w:cs="Times New Roman"/>
          <w:sz w:val="24"/>
          <w:szCs w:val="26"/>
        </w:rPr>
        <w:t xml:space="preserve"> </w:t>
      </w:r>
    </w:p>
    <w:p w14:paraId="3C670E27" w14:textId="77777777" w:rsidR="00170D06" w:rsidRDefault="00170D06" w:rsidP="002C4A39">
      <w:pPr>
        <w:jc w:val="both"/>
        <w:rPr>
          <w:rFonts w:ascii="Times New Roman" w:hAnsi="Times New Roman" w:cs="Times New Roman"/>
          <w:sz w:val="24"/>
          <w:szCs w:val="26"/>
        </w:rPr>
      </w:pPr>
    </w:p>
    <w:p w14:paraId="5896B8CC" w14:textId="1E9FD853" w:rsidR="00170D06" w:rsidRPr="00170D06" w:rsidRDefault="00170D06" w:rsidP="00170D06">
      <w:pPr>
        <w:jc w:val="center"/>
        <w:rPr>
          <w:rFonts w:ascii="Times New Roman" w:hAnsi="Times New Roman" w:cs="Times New Roman"/>
          <w:b/>
          <w:sz w:val="24"/>
          <w:szCs w:val="26"/>
        </w:rPr>
        <w:sectPr w:rsidR="00170D06" w:rsidRPr="00170D06" w:rsidSect="001970EE">
          <w:footerReference w:type="default" r:id="rId8"/>
          <w:pgSz w:w="12240" w:h="15840"/>
          <w:pgMar w:top="1440" w:right="1440" w:bottom="1440" w:left="1440" w:header="720" w:footer="720" w:gutter="0"/>
          <w:cols w:space="720"/>
          <w:docGrid w:linePitch="360"/>
        </w:sectPr>
      </w:pPr>
      <w:r>
        <w:rPr>
          <w:rFonts w:ascii="Times New Roman" w:hAnsi="Times New Roman" w:cs="Times New Roman"/>
          <w:b/>
          <w:sz w:val="24"/>
          <w:szCs w:val="26"/>
        </w:rPr>
        <w:t>[Insert Table 1 about here]</w:t>
      </w:r>
    </w:p>
    <w:p w14:paraId="769F5C8A" w14:textId="6293A658" w:rsidR="002B4530" w:rsidRPr="004F538D" w:rsidRDefault="002B4530" w:rsidP="00C376B8">
      <w:pPr>
        <w:jc w:val="both"/>
        <w:rPr>
          <w:rFonts w:ascii="Times New Roman" w:hAnsi="Times New Roman" w:cs="Times New Roman"/>
          <w:sz w:val="24"/>
          <w:szCs w:val="24"/>
        </w:rPr>
      </w:pPr>
      <w:r w:rsidRPr="004F538D">
        <w:rPr>
          <w:rFonts w:ascii="Times New Roman" w:hAnsi="Times New Roman" w:cs="Times New Roman"/>
          <w:sz w:val="24"/>
          <w:szCs w:val="24"/>
        </w:rPr>
        <w:t>A major contribution of this paper is the inclusion of an important variable</w:t>
      </w:r>
      <w:r w:rsidR="000549EF" w:rsidRPr="004F538D">
        <w:rPr>
          <w:rFonts w:ascii="Times New Roman" w:hAnsi="Times New Roman" w:cs="Times New Roman"/>
          <w:sz w:val="24"/>
          <w:szCs w:val="24"/>
        </w:rPr>
        <w:t xml:space="preserve"> – the </w:t>
      </w:r>
      <w:r w:rsidR="00905FA2">
        <w:rPr>
          <w:rFonts w:ascii="Times New Roman" w:hAnsi="Times New Roman" w:cs="Times New Roman"/>
          <w:sz w:val="24"/>
          <w:szCs w:val="24"/>
        </w:rPr>
        <w:t xml:space="preserve">composite </w:t>
      </w:r>
      <w:r w:rsidR="000549EF" w:rsidRPr="004F538D">
        <w:rPr>
          <w:rFonts w:ascii="Times New Roman" w:hAnsi="Times New Roman" w:cs="Times New Roman"/>
          <w:sz w:val="24"/>
          <w:szCs w:val="24"/>
        </w:rPr>
        <w:t>CG-Index</w:t>
      </w:r>
      <w:r w:rsidRPr="004F538D">
        <w:rPr>
          <w:rFonts w:ascii="Times New Roman" w:hAnsi="Times New Roman" w:cs="Times New Roman"/>
          <w:sz w:val="24"/>
          <w:szCs w:val="24"/>
        </w:rPr>
        <w:t>. Leventis et al. (2005) note that while prior models are able to ex</w:t>
      </w:r>
      <w:r w:rsidR="000549EF" w:rsidRPr="004F538D">
        <w:rPr>
          <w:rFonts w:ascii="Times New Roman" w:hAnsi="Times New Roman" w:cs="Times New Roman"/>
          <w:sz w:val="24"/>
          <w:szCs w:val="24"/>
        </w:rPr>
        <w:t>plain a significant amount of ARD</w:t>
      </w:r>
      <w:r w:rsidRPr="004F538D">
        <w:rPr>
          <w:rFonts w:ascii="Times New Roman" w:hAnsi="Times New Roman" w:cs="Times New Roman"/>
          <w:sz w:val="24"/>
          <w:szCs w:val="24"/>
        </w:rPr>
        <w:t>, a considerable portion of A</w:t>
      </w:r>
      <w:r w:rsidR="000549EF" w:rsidRPr="004F538D">
        <w:rPr>
          <w:rFonts w:ascii="Times New Roman" w:hAnsi="Times New Roman" w:cs="Times New Roman"/>
          <w:sz w:val="24"/>
          <w:szCs w:val="24"/>
        </w:rPr>
        <w:t>RD</w:t>
      </w:r>
      <w:r w:rsidRPr="004F538D">
        <w:rPr>
          <w:rFonts w:ascii="Times New Roman" w:hAnsi="Times New Roman" w:cs="Times New Roman"/>
          <w:sz w:val="24"/>
          <w:szCs w:val="24"/>
        </w:rPr>
        <w:t xml:space="preserve"> remains unexplained.</w:t>
      </w:r>
      <w:r w:rsidR="005002FD" w:rsidRPr="004F538D">
        <w:rPr>
          <w:rStyle w:val="FootnoteReference"/>
          <w:rFonts w:ascii="Times New Roman" w:hAnsi="Times New Roman" w:cs="Times New Roman"/>
          <w:sz w:val="24"/>
          <w:szCs w:val="24"/>
        </w:rPr>
        <w:footnoteReference w:id="7"/>
      </w:r>
      <w:r w:rsidRPr="004F538D">
        <w:rPr>
          <w:rFonts w:ascii="Times New Roman" w:hAnsi="Times New Roman" w:cs="Times New Roman"/>
          <w:sz w:val="24"/>
          <w:szCs w:val="24"/>
        </w:rPr>
        <w:t xml:space="preserve"> </w:t>
      </w:r>
      <w:r w:rsidR="000549EF" w:rsidRPr="004F538D">
        <w:rPr>
          <w:rFonts w:ascii="Times New Roman" w:hAnsi="Times New Roman" w:cs="Times New Roman"/>
          <w:sz w:val="24"/>
          <w:szCs w:val="24"/>
        </w:rPr>
        <w:t xml:space="preserve">Leventis et al. (2005) and Durand (2019) </w:t>
      </w:r>
      <w:r w:rsidRPr="004F538D">
        <w:rPr>
          <w:rFonts w:ascii="Times New Roman" w:hAnsi="Times New Roman" w:cs="Times New Roman"/>
          <w:sz w:val="24"/>
          <w:szCs w:val="24"/>
        </w:rPr>
        <w:t xml:space="preserve">suggest that future research </w:t>
      </w:r>
      <w:r w:rsidR="000549EF" w:rsidRPr="004F538D">
        <w:rPr>
          <w:rFonts w:ascii="Times New Roman" w:hAnsi="Times New Roman" w:cs="Times New Roman"/>
          <w:sz w:val="24"/>
          <w:szCs w:val="24"/>
        </w:rPr>
        <w:t xml:space="preserve">should focus on </w:t>
      </w:r>
      <w:r w:rsidRPr="004F538D">
        <w:rPr>
          <w:rFonts w:ascii="Times New Roman" w:hAnsi="Times New Roman" w:cs="Times New Roman"/>
          <w:sz w:val="24"/>
          <w:szCs w:val="24"/>
        </w:rPr>
        <w:t xml:space="preserve">the effect of incorporating </w:t>
      </w:r>
      <w:r w:rsidR="000549EF" w:rsidRPr="004F538D">
        <w:rPr>
          <w:rFonts w:ascii="Times New Roman" w:hAnsi="Times New Roman" w:cs="Times New Roman"/>
          <w:sz w:val="24"/>
          <w:szCs w:val="24"/>
        </w:rPr>
        <w:t xml:space="preserve">composite </w:t>
      </w:r>
      <w:r w:rsidRPr="004F538D">
        <w:rPr>
          <w:rFonts w:ascii="Times New Roman" w:hAnsi="Times New Roman" w:cs="Times New Roman"/>
          <w:sz w:val="24"/>
          <w:szCs w:val="24"/>
        </w:rPr>
        <w:t>CG cha</w:t>
      </w:r>
      <w:r w:rsidR="000549EF" w:rsidRPr="004F538D">
        <w:rPr>
          <w:rFonts w:ascii="Times New Roman" w:hAnsi="Times New Roman" w:cs="Times New Roman"/>
          <w:sz w:val="24"/>
          <w:szCs w:val="24"/>
        </w:rPr>
        <w:t xml:space="preserve">racteristics into the analysis. </w:t>
      </w:r>
      <w:r w:rsidRPr="004F538D">
        <w:rPr>
          <w:rFonts w:ascii="Times New Roman" w:hAnsi="Times New Roman" w:cs="Times New Roman"/>
          <w:sz w:val="24"/>
          <w:szCs w:val="24"/>
        </w:rPr>
        <w:t xml:space="preserve">The present paper focuses </w:t>
      </w:r>
      <w:r w:rsidR="00D11AE1">
        <w:rPr>
          <w:rFonts w:ascii="Times New Roman" w:hAnsi="Times New Roman" w:cs="Times New Roman"/>
          <w:sz w:val="24"/>
          <w:szCs w:val="24"/>
        </w:rPr>
        <w:t xml:space="preserve">on </w:t>
      </w:r>
      <w:r w:rsidR="008E2A03">
        <w:rPr>
          <w:rFonts w:ascii="Times New Roman" w:hAnsi="Times New Roman" w:cs="Times New Roman"/>
          <w:sz w:val="24"/>
          <w:szCs w:val="24"/>
        </w:rPr>
        <w:t>8</w:t>
      </w:r>
      <w:r w:rsidR="00C376B8" w:rsidRPr="004F538D">
        <w:rPr>
          <w:rFonts w:ascii="Times New Roman" w:hAnsi="Times New Roman" w:cs="Times New Roman"/>
          <w:sz w:val="24"/>
          <w:szCs w:val="24"/>
        </w:rPr>
        <w:t xml:space="preserve"> CG-related </w:t>
      </w:r>
      <w:r w:rsidR="00C376B8" w:rsidRPr="00C43AEE">
        <w:rPr>
          <w:rFonts w:ascii="Times New Roman" w:hAnsi="Times New Roman" w:cs="Times New Roman"/>
          <w:sz w:val="24"/>
          <w:szCs w:val="24"/>
        </w:rPr>
        <w:t>characteristics</w:t>
      </w:r>
      <w:r w:rsidR="00C376B8" w:rsidRPr="004F538D">
        <w:rPr>
          <w:rFonts w:ascii="Times New Roman" w:hAnsi="Times New Roman" w:cs="Times New Roman"/>
          <w:sz w:val="24"/>
          <w:szCs w:val="24"/>
        </w:rPr>
        <w:t xml:space="preserve"> </w:t>
      </w:r>
      <w:r w:rsidR="006925D9">
        <w:rPr>
          <w:rFonts w:ascii="Times New Roman" w:hAnsi="Times New Roman" w:cs="Times New Roman"/>
          <w:sz w:val="24"/>
          <w:szCs w:val="24"/>
        </w:rPr>
        <w:t xml:space="preserve">categorized into three: </w:t>
      </w:r>
      <w:r w:rsidR="006925D9" w:rsidRPr="006925D9">
        <w:rPr>
          <w:rFonts w:ascii="Times New Roman" w:hAnsi="Times New Roman" w:cs="Times New Roman"/>
          <w:i/>
          <w:sz w:val="24"/>
          <w:szCs w:val="24"/>
        </w:rPr>
        <w:t>AC characteristics</w:t>
      </w:r>
      <w:r w:rsidR="006925D9" w:rsidRPr="006925D9">
        <w:rPr>
          <w:rFonts w:ascii="Times New Roman" w:hAnsi="Times New Roman" w:cs="Times New Roman"/>
          <w:sz w:val="24"/>
          <w:szCs w:val="24"/>
        </w:rPr>
        <w:t xml:space="preserve"> (financial expertise in the AC</w:t>
      </w:r>
      <w:r w:rsidR="006925D9">
        <w:rPr>
          <w:rFonts w:ascii="Times New Roman" w:hAnsi="Times New Roman" w:cs="Times New Roman"/>
          <w:sz w:val="24"/>
          <w:szCs w:val="24"/>
        </w:rPr>
        <w:t xml:space="preserve"> and n</w:t>
      </w:r>
      <w:r w:rsidR="006925D9" w:rsidRPr="006925D9">
        <w:rPr>
          <w:rFonts w:ascii="Times New Roman" w:hAnsi="Times New Roman" w:cs="Times New Roman"/>
          <w:sz w:val="24"/>
          <w:szCs w:val="24"/>
        </w:rPr>
        <w:t>umber of independent non-executive directors in the AC</w:t>
      </w:r>
      <w:r w:rsidR="006925D9">
        <w:rPr>
          <w:rFonts w:ascii="Times New Roman" w:hAnsi="Times New Roman" w:cs="Times New Roman"/>
          <w:sz w:val="24"/>
          <w:szCs w:val="24"/>
        </w:rPr>
        <w:t xml:space="preserve">), </w:t>
      </w:r>
      <w:r w:rsidR="006925D9" w:rsidRPr="006925D9">
        <w:rPr>
          <w:rFonts w:ascii="Times New Roman" w:hAnsi="Times New Roman" w:cs="Times New Roman"/>
          <w:i/>
          <w:sz w:val="24"/>
          <w:szCs w:val="24"/>
        </w:rPr>
        <w:t>board structure and operations</w:t>
      </w:r>
      <w:r w:rsidR="006925D9">
        <w:rPr>
          <w:rFonts w:ascii="Times New Roman" w:hAnsi="Times New Roman" w:cs="Times New Roman"/>
          <w:sz w:val="24"/>
          <w:szCs w:val="24"/>
        </w:rPr>
        <w:t xml:space="preserve"> (b</w:t>
      </w:r>
      <w:r w:rsidR="006925D9" w:rsidRPr="006925D9">
        <w:rPr>
          <w:rFonts w:ascii="Times New Roman" w:hAnsi="Times New Roman" w:cs="Times New Roman"/>
          <w:sz w:val="24"/>
          <w:szCs w:val="24"/>
        </w:rPr>
        <w:t>oard size</w:t>
      </w:r>
      <w:r w:rsidR="006925D9">
        <w:rPr>
          <w:rFonts w:ascii="Times New Roman" w:hAnsi="Times New Roman" w:cs="Times New Roman"/>
          <w:sz w:val="24"/>
          <w:szCs w:val="24"/>
        </w:rPr>
        <w:t>, f</w:t>
      </w:r>
      <w:r w:rsidR="006925D9" w:rsidRPr="006925D9">
        <w:rPr>
          <w:rFonts w:ascii="Times New Roman" w:hAnsi="Times New Roman" w:cs="Times New Roman"/>
          <w:sz w:val="24"/>
          <w:szCs w:val="24"/>
        </w:rPr>
        <w:t>requency of board meetings</w:t>
      </w:r>
      <w:r w:rsidR="006925D9">
        <w:rPr>
          <w:rFonts w:ascii="Times New Roman" w:hAnsi="Times New Roman" w:cs="Times New Roman"/>
          <w:sz w:val="24"/>
          <w:szCs w:val="24"/>
        </w:rPr>
        <w:t>, n</w:t>
      </w:r>
      <w:r w:rsidR="006925D9" w:rsidRPr="006925D9">
        <w:rPr>
          <w:rFonts w:ascii="Times New Roman" w:hAnsi="Times New Roman" w:cs="Times New Roman"/>
          <w:sz w:val="24"/>
          <w:szCs w:val="24"/>
        </w:rPr>
        <w:t>umber of independent directors in the board</w:t>
      </w:r>
      <w:r w:rsidR="006925D9">
        <w:rPr>
          <w:rFonts w:ascii="Times New Roman" w:hAnsi="Times New Roman" w:cs="Times New Roman"/>
          <w:sz w:val="24"/>
          <w:szCs w:val="24"/>
        </w:rPr>
        <w:t xml:space="preserve"> and t</w:t>
      </w:r>
      <w:r w:rsidR="006925D9" w:rsidRPr="006925D9">
        <w:rPr>
          <w:rFonts w:ascii="Times New Roman" w:hAnsi="Times New Roman" w:cs="Times New Roman"/>
          <w:sz w:val="24"/>
          <w:szCs w:val="24"/>
        </w:rPr>
        <w:t>enure of independent directors</w:t>
      </w:r>
      <w:r w:rsidR="006925D9">
        <w:rPr>
          <w:rFonts w:ascii="Times New Roman" w:hAnsi="Times New Roman" w:cs="Times New Roman"/>
          <w:sz w:val="24"/>
          <w:szCs w:val="24"/>
        </w:rPr>
        <w:t xml:space="preserve">) and </w:t>
      </w:r>
      <w:r w:rsidR="006925D9" w:rsidRPr="006925D9">
        <w:rPr>
          <w:rFonts w:ascii="Times New Roman" w:hAnsi="Times New Roman" w:cs="Times New Roman"/>
          <w:i/>
          <w:sz w:val="24"/>
          <w:szCs w:val="24"/>
        </w:rPr>
        <w:t>board diversity</w:t>
      </w:r>
      <w:r w:rsidR="006925D9">
        <w:rPr>
          <w:rFonts w:ascii="Times New Roman" w:hAnsi="Times New Roman" w:cs="Times New Roman"/>
          <w:sz w:val="24"/>
          <w:szCs w:val="24"/>
        </w:rPr>
        <w:t xml:space="preserve"> (n</w:t>
      </w:r>
      <w:r w:rsidR="006925D9" w:rsidRPr="006925D9">
        <w:rPr>
          <w:rFonts w:ascii="Times New Roman" w:hAnsi="Times New Roman" w:cs="Times New Roman"/>
          <w:sz w:val="24"/>
          <w:szCs w:val="24"/>
        </w:rPr>
        <w:t>umber of women in the board</w:t>
      </w:r>
      <w:r w:rsidR="006925D9">
        <w:rPr>
          <w:rFonts w:ascii="Times New Roman" w:hAnsi="Times New Roman" w:cs="Times New Roman"/>
          <w:sz w:val="24"/>
          <w:szCs w:val="24"/>
        </w:rPr>
        <w:t xml:space="preserve"> and n</w:t>
      </w:r>
      <w:r w:rsidR="006925D9" w:rsidRPr="006925D9">
        <w:rPr>
          <w:rFonts w:ascii="Times New Roman" w:hAnsi="Times New Roman" w:cs="Times New Roman"/>
          <w:sz w:val="24"/>
          <w:szCs w:val="24"/>
        </w:rPr>
        <w:t>umber of nationalities in the board</w:t>
      </w:r>
      <w:r w:rsidR="00C43AEE">
        <w:rPr>
          <w:rFonts w:ascii="Times New Roman" w:hAnsi="Times New Roman" w:cs="Times New Roman"/>
          <w:sz w:val="24"/>
          <w:szCs w:val="24"/>
        </w:rPr>
        <w:t xml:space="preserve">).  The variables are described and </w:t>
      </w:r>
      <w:r w:rsidR="00C376B8" w:rsidRPr="004F538D">
        <w:rPr>
          <w:rFonts w:ascii="Times New Roman" w:hAnsi="Times New Roman" w:cs="Times New Roman"/>
          <w:sz w:val="24"/>
          <w:szCs w:val="24"/>
        </w:rPr>
        <w:t xml:space="preserve">defined in </w:t>
      </w:r>
      <w:r w:rsidR="006B44FA" w:rsidRPr="004F538D">
        <w:rPr>
          <w:rFonts w:ascii="Times New Roman" w:hAnsi="Times New Roman" w:cs="Times New Roman"/>
          <w:sz w:val="24"/>
          <w:szCs w:val="24"/>
        </w:rPr>
        <w:t>A</w:t>
      </w:r>
      <w:r w:rsidR="00C376B8" w:rsidRPr="004F538D">
        <w:rPr>
          <w:rFonts w:ascii="Times New Roman" w:hAnsi="Times New Roman" w:cs="Times New Roman"/>
          <w:sz w:val="24"/>
          <w:szCs w:val="24"/>
        </w:rPr>
        <w:t>ppendix 1.</w:t>
      </w:r>
    </w:p>
    <w:p w14:paraId="63491A3E" w14:textId="77777777" w:rsidR="00D51393" w:rsidRPr="004F538D" w:rsidRDefault="00D51393" w:rsidP="00D51393">
      <w:pPr>
        <w:pStyle w:val="ListParagraph"/>
        <w:numPr>
          <w:ilvl w:val="2"/>
          <w:numId w:val="25"/>
        </w:numPr>
        <w:jc w:val="both"/>
        <w:rPr>
          <w:rFonts w:ascii="Times New Roman" w:hAnsi="Times New Roman" w:cs="Times New Roman"/>
          <w:i/>
          <w:sz w:val="24"/>
          <w:szCs w:val="24"/>
        </w:rPr>
      </w:pPr>
      <w:r w:rsidRPr="004F538D">
        <w:rPr>
          <w:rFonts w:ascii="Times New Roman" w:hAnsi="Times New Roman" w:cs="Times New Roman"/>
          <w:i/>
          <w:sz w:val="24"/>
          <w:szCs w:val="24"/>
        </w:rPr>
        <w:t>Control variables</w:t>
      </w:r>
    </w:p>
    <w:p w14:paraId="494048F9" w14:textId="77777777" w:rsidR="007675EC" w:rsidRPr="004F538D" w:rsidRDefault="00D51393" w:rsidP="00D51393">
      <w:pPr>
        <w:jc w:val="both"/>
        <w:rPr>
          <w:rFonts w:ascii="Times New Roman" w:hAnsi="Times New Roman" w:cs="Times New Roman"/>
          <w:sz w:val="24"/>
          <w:szCs w:val="24"/>
        </w:rPr>
      </w:pPr>
      <w:r w:rsidRPr="004F538D">
        <w:rPr>
          <w:rFonts w:ascii="Times New Roman" w:hAnsi="Times New Roman" w:cs="Times New Roman"/>
          <w:sz w:val="24"/>
          <w:szCs w:val="24"/>
        </w:rPr>
        <w:t>In addition to our test variable, we include a set of control variables as follows. Prior studies have established a positive association between liquidity and ARD (N</w:t>
      </w:r>
      <w:r w:rsidR="007675EC" w:rsidRPr="004F538D">
        <w:rPr>
          <w:rFonts w:ascii="Times New Roman" w:hAnsi="Times New Roman" w:cs="Times New Roman"/>
          <w:sz w:val="24"/>
          <w:szCs w:val="24"/>
        </w:rPr>
        <w:t xml:space="preserve">ehme, Assaker &amp; Khalife, 2015). </w:t>
      </w:r>
      <w:r w:rsidRPr="004F538D">
        <w:rPr>
          <w:rFonts w:ascii="Times New Roman" w:hAnsi="Times New Roman" w:cs="Times New Roman"/>
          <w:sz w:val="24"/>
          <w:szCs w:val="24"/>
        </w:rPr>
        <w:t>With regard to complexity measured by the ratio of inventory and receivables to total assets, a positive association with ARD has been established by studies such as Lee and Jahng (2008), Habib (2015)</w:t>
      </w:r>
      <w:r w:rsidR="007675EC" w:rsidRPr="004F538D">
        <w:rPr>
          <w:rFonts w:ascii="Times New Roman" w:hAnsi="Times New Roman" w:cs="Times New Roman"/>
          <w:sz w:val="24"/>
          <w:szCs w:val="24"/>
        </w:rPr>
        <w:t xml:space="preserve"> and Ghafran and Yasmin (2017). </w:t>
      </w:r>
      <w:r w:rsidRPr="004F538D">
        <w:rPr>
          <w:rFonts w:ascii="Times New Roman" w:hAnsi="Times New Roman" w:cs="Times New Roman"/>
          <w:sz w:val="24"/>
          <w:szCs w:val="24"/>
        </w:rPr>
        <w:t xml:space="preserve">Jaggi and Tsui (1999), Ika and Ghazali (2012) and Swanson and Zhang (2018) have established a positive association between a firm’s financial condition (distress) and ARD. With regard to dual language reporting, Tauringana, Kyeyune and Opio (2008) found a negative association with ARD while Rusmin and Evans (2017) established a negative association between family ownership and ARD. </w:t>
      </w:r>
    </w:p>
    <w:p w14:paraId="40B7B936" w14:textId="415716DC" w:rsidR="00D51393" w:rsidRPr="004F538D" w:rsidRDefault="00D51393" w:rsidP="00C376B8">
      <w:pPr>
        <w:jc w:val="both"/>
        <w:rPr>
          <w:rFonts w:ascii="Times New Roman" w:hAnsi="Times New Roman" w:cs="Times New Roman"/>
          <w:sz w:val="24"/>
          <w:szCs w:val="24"/>
        </w:rPr>
      </w:pPr>
      <w:r w:rsidRPr="004F538D">
        <w:rPr>
          <w:rFonts w:ascii="Times New Roman" w:hAnsi="Times New Roman" w:cs="Times New Roman"/>
          <w:sz w:val="24"/>
          <w:szCs w:val="24"/>
        </w:rPr>
        <w:t>There have been mixed findings on the association between firm size and ARD, with some studies establishing a positive association (Leventis, Weetman &amp; Caramanis, 2005; Afify, 2009; Rezaei &amp; Mohd-Saleh, 2018). Majority of the studies have established a negative association between firm size and ARD (Jaggi &amp; Tsui, 1999; Tauringana, Kyeyune &amp; Opio, 2008; Habib &amp; Bhuiyan, 2011; Sultana, Singh &amp; Zahn, 2015; Shin, Lee &amp; Son, 2016; Meckfessel &amp; Sellers</w:t>
      </w:r>
      <w:r w:rsidR="007675EC" w:rsidRPr="004F538D">
        <w:rPr>
          <w:rFonts w:ascii="Times New Roman" w:hAnsi="Times New Roman" w:cs="Times New Roman"/>
          <w:sz w:val="24"/>
          <w:szCs w:val="24"/>
        </w:rPr>
        <w:t xml:space="preserve">, 2017; Swanson &amp; Zhang, 2018). </w:t>
      </w:r>
      <w:r w:rsidRPr="004F538D">
        <w:rPr>
          <w:rFonts w:ascii="Times New Roman" w:hAnsi="Times New Roman" w:cs="Times New Roman"/>
          <w:sz w:val="24"/>
          <w:szCs w:val="24"/>
        </w:rPr>
        <w:t xml:space="preserve">In terms of a firm’s financial performance, most studies have established a negative association with ARD (Jaggi &amp; Tsui, 1999; Lee &amp; Jahng, 2008; Afify, 2009; Nehme, Assaker &amp; Khalife, 2015; Alfraih, 2016; Oussii &amp; Taktak, 2018; Rezaei &amp; Mohd-Saleh, 2018). </w:t>
      </w:r>
      <w:r w:rsidR="00D40EE5" w:rsidRPr="004F538D">
        <w:rPr>
          <w:rFonts w:ascii="Times New Roman" w:hAnsi="Times New Roman" w:cs="Times New Roman"/>
          <w:sz w:val="24"/>
          <w:szCs w:val="24"/>
        </w:rPr>
        <w:t xml:space="preserve">However, </w:t>
      </w:r>
      <w:r w:rsidRPr="004F538D">
        <w:rPr>
          <w:rFonts w:ascii="Times New Roman" w:hAnsi="Times New Roman" w:cs="Times New Roman"/>
          <w:sz w:val="24"/>
          <w:szCs w:val="24"/>
        </w:rPr>
        <w:t>Dao and Pham (2014) established a positive association between a firm’s profitability and ARD.</w:t>
      </w:r>
    </w:p>
    <w:p w14:paraId="6733C28B" w14:textId="14B717C0" w:rsidR="003F798F" w:rsidRPr="004F538D" w:rsidRDefault="00D40EE5" w:rsidP="00D40EE5">
      <w:pPr>
        <w:jc w:val="both"/>
        <w:rPr>
          <w:rFonts w:ascii="Times New Roman" w:hAnsi="Times New Roman" w:cs="Times New Roman"/>
          <w:sz w:val="24"/>
          <w:szCs w:val="24"/>
        </w:rPr>
      </w:pPr>
      <w:r w:rsidRPr="004F538D">
        <w:rPr>
          <w:rFonts w:ascii="Times New Roman" w:hAnsi="Times New Roman" w:cs="Times New Roman"/>
          <w:sz w:val="24"/>
          <w:szCs w:val="24"/>
        </w:rPr>
        <w:t>Prior studies such as Leventis, Weetman and Caramanis (2005), Alfraih (2016), Ghafran and Yasmin (2017)</w:t>
      </w:r>
      <w:r w:rsidR="005109B4" w:rsidRPr="004F538D">
        <w:rPr>
          <w:rFonts w:ascii="Times New Roman" w:hAnsi="Times New Roman" w:cs="Times New Roman"/>
          <w:sz w:val="24"/>
          <w:szCs w:val="24"/>
        </w:rPr>
        <w:t xml:space="preserve"> and </w:t>
      </w:r>
      <w:r w:rsidRPr="004F538D">
        <w:rPr>
          <w:rFonts w:ascii="Times New Roman" w:hAnsi="Times New Roman" w:cs="Times New Roman"/>
          <w:sz w:val="24"/>
          <w:szCs w:val="24"/>
        </w:rPr>
        <w:t>Hussin, Bamahros and Shukeri (2018)</w:t>
      </w:r>
      <w:r w:rsidR="005109B4" w:rsidRPr="004F538D">
        <w:rPr>
          <w:rFonts w:ascii="Times New Roman" w:hAnsi="Times New Roman" w:cs="Times New Roman"/>
          <w:sz w:val="24"/>
          <w:szCs w:val="24"/>
        </w:rPr>
        <w:t xml:space="preserve"> have established a negative association between Big 4 auditors and ARD. However, studies such as Afify (2009), Hassan (2016), Shin, Lee, Lee and Son (2016) and Meckfessel and Sellers (2017) have found a positive association between Big 4 auditors and ARD.</w:t>
      </w:r>
      <w:r w:rsidR="00B61709" w:rsidRPr="004F538D">
        <w:rPr>
          <w:rFonts w:ascii="Times New Roman" w:hAnsi="Times New Roman" w:cs="Times New Roman"/>
          <w:sz w:val="24"/>
          <w:szCs w:val="24"/>
        </w:rPr>
        <w:t xml:space="preserve"> </w:t>
      </w:r>
      <w:r w:rsidR="008A20E1" w:rsidRPr="004F538D">
        <w:rPr>
          <w:rFonts w:ascii="Times New Roman" w:hAnsi="Times New Roman" w:cs="Times New Roman"/>
          <w:sz w:val="24"/>
          <w:szCs w:val="24"/>
        </w:rPr>
        <w:t xml:space="preserve">In terms of </w:t>
      </w:r>
      <w:r w:rsidR="00D11AE1">
        <w:rPr>
          <w:rFonts w:ascii="Times New Roman" w:hAnsi="Times New Roman" w:cs="Times New Roman"/>
          <w:sz w:val="24"/>
          <w:szCs w:val="24"/>
        </w:rPr>
        <w:t xml:space="preserve">the </w:t>
      </w:r>
      <w:r w:rsidR="008A20E1" w:rsidRPr="004F538D">
        <w:rPr>
          <w:rFonts w:ascii="Times New Roman" w:hAnsi="Times New Roman" w:cs="Times New Roman"/>
          <w:sz w:val="24"/>
          <w:szCs w:val="24"/>
        </w:rPr>
        <w:t>audit season, studies such as Habib, Bhuiyan and Huang (2018) and Hussin, Bamahros and Shukeri (2018) have established a negative association between auditor’s busy periods</w:t>
      </w:r>
      <w:r w:rsidR="009E4311" w:rsidRPr="004F538D">
        <w:rPr>
          <w:rFonts w:ascii="Times New Roman" w:hAnsi="Times New Roman" w:cs="Times New Roman"/>
          <w:sz w:val="24"/>
          <w:szCs w:val="24"/>
        </w:rPr>
        <w:t xml:space="preserve"> and ARD. However, </w:t>
      </w:r>
      <w:r w:rsidR="008A20E1" w:rsidRPr="004F538D">
        <w:rPr>
          <w:rFonts w:ascii="Times New Roman" w:hAnsi="Times New Roman" w:cs="Times New Roman"/>
          <w:sz w:val="24"/>
          <w:szCs w:val="24"/>
        </w:rPr>
        <w:t>Rezaei and Mohd-Saleh (2018)</w:t>
      </w:r>
      <w:r w:rsidR="009E4311" w:rsidRPr="004F538D">
        <w:rPr>
          <w:rFonts w:ascii="Times New Roman" w:hAnsi="Times New Roman" w:cs="Times New Roman"/>
          <w:sz w:val="24"/>
          <w:szCs w:val="24"/>
        </w:rPr>
        <w:t xml:space="preserve"> found a positive association between auditor’s peak periods and ARD.</w:t>
      </w:r>
      <w:r w:rsidR="00801937" w:rsidRPr="004F538D">
        <w:rPr>
          <w:rFonts w:ascii="Times New Roman" w:hAnsi="Times New Roman" w:cs="Times New Roman"/>
          <w:sz w:val="24"/>
          <w:szCs w:val="24"/>
        </w:rPr>
        <w:t xml:space="preserve"> In </w:t>
      </w:r>
      <w:r w:rsidR="00E85129">
        <w:rPr>
          <w:rFonts w:ascii="Times New Roman" w:hAnsi="Times New Roman" w:cs="Times New Roman"/>
          <w:sz w:val="24"/>
          <w:szCs w:val="24"/>
        </w:rPr>
        <w:t>this study, we argue that cross-</w:t>
      </w:r>
      <w:r w:rsidR="00801937" w:rsidRPr="004F538D">
        <w:rPr>
          <w:rFonts w:ascii="Times New Roman" w:hAnsi="Times New Roman" w:cs="Times New Roman"/>
          <w:sz w:val="24"/>
          <w:szCs w:val="24"/>
        </w:rPr>
        <w:t>listed firms may exhibit reduced ARD owing to auditor concentration in the various jurisdictions in which the cross-listed firms are domiciled. Finally</w:t>
      </w:r>
      <w:r w:rsidR="003F798F" w:rsidRPr="004F538D">
        <w:rPr>
          <w:rFonts w:ascii="Times New Roman" w:hAnsi="Times New Roman" w:cs="Times New Roman"/>
          <w:sz w:val="24"/>
          <w:szCs w:val="24"/>
        </w:rPr>
        <w:t>, extant studies have established that having more subsidiaries leads to longer ARDs (Lee &amp; Jahng, 2008; Habib &amp;</w:t>
      </w:r>
      <w:r w:rsidR="00E85129">
        <w:rPr>
          <w:rFonts w:ascii="Times New Roman" w:hAnsi="Times New Roman" w:cs="Times New Roman"/>
          <w:sz w:val="24"/>
          <w:szCs w:val="24"/>
        </w:rPr>
        <w:t xml:space="preserve"> </w:t>
      </w:r>
      <w:r w:rsidR="003F798F" w:rsidRPr="004F538D">
        <w:rPr>
          <w:rFonts w:ascii="Times New Roman" w:hAnsi="Times New Roman" w:cs="Times New Roman"/>
          <w:sz w:val="24"/>
          <w:szCs w:val="24"/>
        </w:rPr>
        <w:t>Bhuiyan, 2011; Dao &amp; Pham, 2014; Chan, Luo &amp; Mo, 2016; Ghafran &amp; Yasmin, 2017; Habib, Bhuiyan &amp; Huang, 2018).</w:t>
      </w:r>
      <w:r w:rsidR="00D11AE1">
        <w:rPr>
          <w:rStyle w:val="FootnoteReference"/>
          <w:rFonts w:ascii="Times New Roman" w:hAnsi="Times New Roman" w:cs="Times New Roman"/>
          <w:sz w:val="24"/>
          <w:szCs w:val="24"/>
        </w:rPr>
        <w:footnoteReference w:id="8"/>
      </w:r>
    </w:p>
    <w:p w14:paraId="5C80C955" w14:textId="3EFD2F09" w:rsidR="00F315C1" w:rsidRPr="004F538D" w:rsidRDefault="00B201FA" w:rsidP="005002FD">
      <w:pPr>
        <w:pStyle w:val="ListParagraph"/>
        <w:numPr>
          <w:ilvl w:val="0"/>
          <w:numId w:val="26"/>
        </w:numPr>
        <w:jc w:val="both"/>
        <w:rPr>
          <w:rFonts w:ascii="Times New Roman" w:hAnsi="Times New Roman" w:cs="Times New Roman"/>
          <w:b/>
          <w:sz w:val="24"/>
          <w:szCs w:val="24"/>
        </w:rPr>
      </w:pPr>
      <w:r w:rsidRPr="004F538D">
        <w:rPr>
          <w:rFonts w:ascii="Times New Roman" w:hAnsi="Times New Roman" w:cs="Times New Roman"/>
          <w:b/>
          <w:sz w:val="24"/>
          <w:szCs w:val="24"/>
        </w:rPr>
        <w:t>Methodology</w:t>
      </w:r>
      <w:r w:rsidR="00F315C1" w:rsidRPr="004F538D">
        <w:rPr>
          <w:rFonts w:ascii="Times New Roman" w:hAnsi="Times New Roman" w:cs="Times New Roman"/>
          <w:b/>
          <w:sz w:val="24"/>
          <w:szCs w:val="24"/>
        </w:rPr>
        <w:t xml:space="preserve"> </w:t>
      </w:r>
      <w:r w:rsidR="008815D0" w:rsidRPr="004F538D">
        <w:rPr>
          <w:rFonts w:ascii="Times New Roman" w:hAnsi="Times New Roman" w:cs="Times New Roman"/>
          <w:b/>
          <w:sz w:val="24"/>
          <w:szCs w:val="24"/>
        </w:rPr>
        <w:t xml:space="preserve">and </w:t>
      </w:r>
      <w:r w:rsidR="00F315C1" w:rsidRPr="004F538D">
        <w:rPr>
          <w:rFonts w:ascii="Times New Roman" w:hAnsi="Times New Roman" w:cs="Times New Roman"/>
          <w:b/>
          <w:sz w:val="24"/>
          <w:szCs w:val="24"/>
        </w:rPr>
        <w:t>data</w:t>
      </w:r>
    </w:p>
    <w:p w14:paraId="77A30668" w14:textId="772642F6" w:rsidR="009901B4" w:rsidRPr="004F538D" w:rsidRDefault="009901B4" w:rsidP="009901B4">
      <w:pPr>
        <w:pStyle w:val="ListParagraph"/>
        <w:numPr>
          <w:ilvl w:val="1"/>
          <w:numId w:val="26"/>
        </w:numPr>
        <w:jc w:val="both"/>
        <w:rPr>
          <w:rFonts w:ascii="Times New Roman" w:hAnsi="Times New Roman" w:cs="Times New Roman"/>
          <w:i/>
          <w:sz w:val="24"/>
          <w:szCs w:val="24"/>
        </w:rPr>
      </w:pPr>
      <w:r w:rsidRPr="004F538D">
        <w:rPr>
          <w:rFonts w:ascii="Times New Roman" w:hAnsi="Times New Roman" w:cs="Times New Roman"/>
          <w:i/>
          <w:sz w:val="24"/>
          <w:szCs w:val="24"/>
        </w:rPr>
        <w:t>Sample and data</w:t>
      </w:r>
    </w:p>
    <w:p w14:paraId="339173C4" w14:textId="36D973D8" w:rsidR="005002FD" w:rsidRDefault="008815D0" w:rsidP="009901B4">
      <w:pPr>
        <w:jc w:val="both"/>
        <w:rPr>
          <w:rFonts w:ascii="Times New Roman" w:hAnsi="Times New Roman" w:cs="Times New Roman"/>
          <w:sz w:val="24"/>
          <w:szCs w:val="24"/>
        </w:rPr>
      </w:pPr>
      <w:r w:rsidRPr="004F538D">
        <w:rPr>
          <w:rFonts w:ascii="Times New Roman" w:hAnsi="Times New Roman" w:cs="Times New Roman"/>
          <w:sz w:val="24"/>
          <w:szCs w:val="24"/>
        </w:rPr>
        <w:t xml:space="preserve">The study targeted the 67 listed companies on the NSE over a ten-year period from 2007-2016. </w:t>
      </w:r>
      <w:r w:rsidR="005002FD" w:rsidRPr="004F538D">
        <w:rPr>
          <w:rFonts w:ascii="Times New Roman" w:hAnsi="Times New Roman" w:cs="Times New Roman"/>
          <w:sz w:val="24"/>
          <w:szCs w:val="24"/>
        </w:rPr>
        <w:t>Data were ha</w:t>
      </w:r>
      <w:r w:rsidRPr="004F538D">
        <w:rPr>
          <w:rFonts w:ascii="Times New Roman" w:hAnsi="Times New Roman" w:cs="Times New Roman"/>
          <w:sz w:val="24"/>
          <w:szCs w:val="24"/>
        </w:rPr>
        <w:t>n</w:t>
      </w:r>
      <w:r w:rsidR="005002FD" w:rsidRPr="004F538D">
        <w:rPr>
          <w:rFonts w:ascii="Times New Roman" w:hAnsi="Times New Roman" w:cs="Times New Roman"/>
          <w:sz w:val="24"/>
          <w:szCs w:val="24"/>
        </w:rPr>
        <w:t>d collected from a variety of sources ranging from audited annual reports of the companies in the sample</w:t>
      </w:r>
      <w:r w:rsidRPr="004F538D">
        <w:rPr>
          <w:rFonts w:ascii="Times New Roman" w:hAnsi="Times New Roman" w:cs="Times New Roman"/>
          <w:sz w:val="24"/>
          <w:szCs w:val="24"/>
        </w:rPr>
        <w:t xml:space="preserve">, </w:t>
      </w:r>
      <w:r w:rsidR="005002FD" w:rsidRPr="004F538D">
        <w:rPr>
          <w:rFonts w:ascii="Times New Roman" w:hAnsi="Times New Roman" w:cs="Times New Roman"/>
          <w:sz w:val="24"/>
          <w:szCs w:val="24"/>
        </w:rPr>
        <w:t>Market screener (</w:t>
      </w:r>
      <w:hyperlink r:id="rId9" w:history="1">
        <w:r w:rsidR="00E85129" w:rsidRPr="006154C2">
          <w:rPr>
            <w:rStyle w:val="Hyperlink"/>
            <w:rFonts w:ascii="Times New Roman" w:hAnsi="Times New Roman" w:cs="Times New Roman"/>
            <w:sz w:val="24"/>
            <w:szCs w:val="24"/>
          </w:rPr>
          <w:t>https://www.marketscreener.com</w:t>
        </w:r>
      </w:hyperlink>
      <w:r w:rsidRPr="004F538D">
        <w:rPr>
          <w:rFonts w:ascii="Times New Roman" w:hAnsi="Times New Roman" w:cs="Times New Roman"/>
          <w:sz w:val="24"/>
          <w:szCs w:val="24"/>
        </w:rPr>
        <w:t>) among other internet sources. The final sample comprises of an u</w:t>
      </w:r>
      <w:r w:rsidR="00E85129">
        <w:rPr>
          <w:rFonts w:ascii="Times New Roman" w:hAnsi="Times New Roman" w:cs="Times New Roman"/>
          <w:sz w:val="24"/>
          <w:szCs w:val="24"/>
        </w:rPr>
        <w:t>nbalanced panel dataset with 543</w:t>
      </w:r>
      <w:r w:rsidRPr="004F538D">
        <w:rPr>
          <w:rFonts w:ascii="Times New Roman" w:hAnsi="Times New Roman" w:cs="Times New Roman"/>
          <w:sz w:val="24"/>
          <w:szCs w:val="24"/>
        </w:rPr>
        <w:t xml:space="preserve"> firm-year observations for 55 listed companies over the ten-year period. Table 2, panels A and B present the sample chosen for the study.</w:t>
      </w:r>
      <w:r w:rsidR="006E4C8C">
        <w:rPr>
          <w:rFonts w:ascii="Times New Roman" w:hAnsi="Times New Roman" w:cs="Times New Roman"/>
          <w:sz w:val="24"/>
          <w:szCs w:val="24"/>
        </w:rPr>
        <w:t xml:space="preserve"> </w:t>
      </w:r>
      <w:r w:rsidR="00074B33" w:rsidRPr="004F538D">
        <w:rPr>
          <w:rFonts w:ascii="Times New Roman" w:hAnsi="Times New Roman" w:cs="Times New Roman"/>
          <w:sz w:val="24"/>
          <w:szCs w:val="24"/>
        </w:rPr>
        <w:t>According to Table 2, panel B, banks constituted the highest proportion of the firms in the sample (20</w:t>
      </w:r>
      <w:r w:rsidR="007C0881">
        <w:rPr>
          <w:rFonts w:ascii="Times New Roman" w:hAnsi="Times New Roman" w:cs="Times New Roman"/>
          <w:sz w:val="24"/>
          <w:szCs w:val="24"/>
        </w:rPr>
        <w:t xml:space="preserve"> percent</w:t>
      </w:r>
      <w:r w:rsidR="00074B33" w:rsidRPr="004F538D">
        <w:rPr>
          <w:rFonts w:ascii="Times New Roman" w:hAnsi="Times New Roman" w:cs="Times New Roman"/>
          <w:sz w:val="24"/>
          <w:szCs w:val="24"/>
        </w:rPr>
        <w:t>) followed by manufacturing companies (15</w:t>
      </w:r>
      <w:r w:rsidR="007C0881">
        <w:rPr>
          <w:rFonts w:ascii="Times New Roman" w:hAnsi="Times New Roman" w:cs="Times New Roman"/>
          <w:sz w:val="24"/>
          <w:szCs w:val="24"/>
        </w:rPr>
        <w:t xml:space="preserve"> percent</w:t>
      </w:r>
      <w:r w:rsidR="00074B33" w:rsidRPr="004F538D">
        <w:rPr>
          <w:rFonts w:ascii="Times New Roman" w:hAnsi="Times New Roman" w:cs="Times New Roman"/>
          <w:sz w:val="24"/>
          <w:szCs w:val="24"/>
        </w:rPr>
        <w:t>). There was only one</w:t>
      </w:r>
      <w:r w:rsidR="009E26B6" w:rsidRPr="004F538D">
        <w:rPr>
          <w:rFonts w:ascii="Times New Roman" w:hAnsi="Times New Roman" w:cs="Times New Roman"/>
          <w:sz w:val="24"/>
          <w:szCs w:val="24"/>
        </w:rPr>
        <w:t xml:space="preserve"> company in the</w:t>
      </w:r>
      <w:r w:rsidR="00074B33" w:rsidRPr="004F538D">
        <w:rPr>
          <w:rFonts w:ascii="Times New Roman" w:hAnsi="Times New Roman" w:cs="Times New Roman"/>
          <w:sz w:val="24"/>
          <w:szCs w:val="24"/>
        </w:rPr>
        <w:t xml:space="preserve"> telecommunication</w:t>
      </w:r>
      <w:r w:rsidR="006D56C2" w:rsidRPr="004F538D">
        <w:rPr>
          <w:rFonts w:ascii="Times New Roman" w:hAnsi="Times New Roman" w:cs="Times New Roman"/>
          <w:sz w:val="24"/>
          <w:szCs w:val="24"/>
        </w:rPr>
        <w:t>s</w:t>
      </w:r>
      <w:r w:rsidR="00074B33" w:rsidRPr="004F538D">
        <w:rPr>
          <w:rFonts w:ascii="Times New Roman" w:hAnsi="Times New Roman" w:cs="Times New Roman"/>
          <w:sz w:val="24"/>
          <w:szCs w:val="24"/>
        </w:rPr>
        <w:t xml:space="preserve"> </w:t>
      </w:r>
      <w:r w:rsidR="009E26B6" w:rsidRPr="004F538D">
        <w:rPr>
          <w:rFonts w:ascii="Times New Roman" w:hAnsi="Times New Roman" w:cs="Times New Roman"/>
          <w:sz w:val="24"/>
          <w:szCs w:val="24"/>
        </w:rPr>
        <w:t xml:space="preserve">sector </w:t>
      </w:r>
      <w:r w:rsidR="00074B33" w:rsidRPr="004F538D">
        <w:rPr>
          <w:rFonts w:ascii="Times New Roman" w:hAnsi="Times New Roman" w:cs="Times New Roman"/>
          <w:sz w:val="24"/>
          <w:szCs w:val="24"/>
        </w:rPr>
        <w:t>in the sample.</w:t>
      </w:r>
    </w:p>
    <w:p w14:paraId="5A8C5BCB" w14:textId="77777777" w:rsidR="00450441" w:rsidRDefault="00450441" w:rsidP="00170D06">
      <w:pPr>
        <w:jc w:val="center"/>
        <w:rPr>
          <w:rFonts w:ascii="Times New Roman" w:hAnsi="Times New Roman" w:cs="Times New Roman"/>
          <w:b/>
          <w:sz w:val="24"/>
          <w:szCs w:val="24"/>
        </w:rPr>
      </w:pPr>
    </w:p>
    <w:p w14:paraId="71689956" w14:textId="53517712" w:rsidR="00752AF6" w:rsidRDefault="00170D06" w:rsidP="00170D06">
      <w:pPr>
        <w:jc w:val="center"/>
        <w:rPr>
          <w:rFonts w:ascii="Times New Roman" w:hAnsi="Times New Roman" w:cs="Times New Roman"/>
          <w:b/>
          <w:sz w:val="24"/>
          <w:szCs w:val="24"/>
        </w:rPr>
      </w:pPr>
      <w:r w:rsidRPr="00170D06">
        <w:rPr>
          <w:rFonts w:ascii="Times New Roman" w:hAnsi="Times New Roman" w:cs="Times New Roman"/>
          <w:b/>
          <w:sz w:val="24"/>
          <w:szCs w:val="24"/>
        </w:rPr>
        <w:t>[Insert Table 2 about here]</w:t>
      </w:r>
    </w:p>
    <w:p w14:paraId="55AA4E84" w14:textId="77777777" w:rsidR="00450441" w:rsidRDefault="00450441" w:rsidP="00170D06">
      <w:pPr>
        <w:jc w:val="center"/>
        <w:rPr>
          <w:rFonts w:ascii="Times New Roman" w:hAnsi="Times New Roman" w:cs="Times New Roman"/>
          <w:b/>
          <w:sz w:val="24"/>
          <w:szCs w:val="24"/>
        </w:rPr>
      </w:pPr>
    </w:p>
    <w:p w14:paraId="051613C8" w14:textId="467CFA1D" w:rsidR="00F315C1" w:rsidRPr="004F538D" w:rsidRDefault="00FD06EA" w:rsidP="00F315C1">
      <w:pPr>
        <w:pStyle w:val="ListParagraph"/>
        <w:numPr>
          <w:ilvl w:val="1"/>
          <w:numId w:val="26"/>
        </w:numPr>
        <w:jc w:val="both"/>
        <w:rPr>
          <w:rFonts w:ascii="Times New Roman" w:hAnsi="Times New Roman" w:cs="Times New Roman"/>
          <w:i/>
          <w:sz w:val="24"/>
          <w:szCs w:val="24"/>
        </w:rPr>
      </w:pPr>
      <w:r w:rsidRPr="004F538D">
        <w:rPr>
          <w:rFonts w:ascii="Times New Roman" w:hAnsi="Times New Roman" w:cs="Times New Roman"/>
          <w:i/>
          <w:sz w:val="24"/>
          <w:szCs w:val="24"/>
        </w:rPr>
        <w:t xml:space="preserve">Construction of the </w:t>
      </w:r>
      <w:r w:rsidR="00A74CCE" w:rsidRPr="004F538D">
        <w:rPr>
          <w:rFonts w:ascii="Times New Roman" w:hAnsi="Times New Roman" w:cs="Times New Roman"/>
          <w:i/>
          <w:sz w:val="24"/>
          <w:szCs w:val="24"/>
        </w:rPr>
        <w:t>CG-</w:t>
      </w:r>
      <w:r w:rsidR="00F315C1" w:rsidRPr="004F538D">
        <w:rPr>
          <w:rFonts w:ascii="Times New Roman" w:hAnsi="Times New Roman" w:cs="Times New Roman"/>
          <w:i/>
          <w:sz w:val="24"/>
          <w:szCs w:val="24"/>
        </w:rPr>
        <w:t xml:space="preserve">index </w:t>
      </w:r>
    </w:p>
    <w:p w14:paraId="2568C8D5" w14:textId="10797292" w:rsidR="00F315C1" w:rsidRPr="004F538D" w:rsidRDefault="00007F46" w:rsidP="002732F0">
      <w:pPr>
        <w:jc w:val="both"/>
        <w:rPr>
          <w:rFonts w:ascii="Times New Roman" w:hAnsi="Times New Roman" w:cs="Times New Roman"/>
          <w:sz w:val="24"/>
          <w:szCs w:val="24"/>
        </w:rPr>
      </w:pPr>
      <w:r w:rsidRPr="004F538D">
        <w:rPr>
          <w:rFonts w:ascii="Times New Roman" w:hAnsi="Times New Roman" w:cs="Times New Roman"/>
          <w:sz w:val="24"/>
          <w:szCs w:val="24"/>
        </w:rPr>
        <w:t>The mai</w:t>
      </w:r>
      <w:r w:rsidR="000D78DF">
        <w:rPr>
          <w:rFonts w:ascii="Times New Roman" w:hAnsi="Times New Roman" w:cs="Times New Roman"/>
          <w:sz w:val="24"/>
          <w:szCs w:val="24"/>
        </w:rPr>
        <w:t>n test variable for the study i</w:t>
      </w:r>
      <w:r w:rsidRPr="004F538D">
        <w:rPr>
          <w:rFonts w:ascii="Times New Roman" w:hAnsi="Times New Roman" w:cs="Times New Roman"/>
          <w:sz w:val="24"/>
          <w:szCs w:val="24"/>
        </w:rPr>
        <w:t xml:space="preserve">s the CG-Index and its constituent components. </w:t>
      </w:r>
      <w:r w:rsidR="00FD06EA" w:rsidRPr="004F538D">
        <w:rPr>
          <w:rFonts w:ascii="Times New Roman" w:hAnsi="Times New Roman" w:cs="Times New Roman"/>
          <w:sz w:val="24"/>
          <w:szCs w:val="24"/>
        </w:rPr>
        <w:t xml:space="preserve">The </w:t>
      </w:r>
      <w:r w:rsidR="00CE6DBC" w:rsidRPr="004F538D">
        <w:rPr>
          <w:rFonts w:ascii="Times New Roman" w:hAnsi="Times New Roman" w:cs="Times New Roman"/>
          <w:sz w:val="24"/>
          <w:szCs w:val="24"/>
        </w:rPr>
        <w:t xml:space="preserve">initial list </w:t>
      </w:r>
      <w:r w:rsidR="000D78DF">
        <w:rPr>
          <w:rFonts w:ascii="Times New Roman" w:hAnsi="Times New Roman" w:cs="Times New Roman"/>
          <w:sz w:val="24"/>
          <w:szCs w:val="24"/>
        </w:rPr>
        <w:t>of CG-related characteristics i</w:t>
      </w:r>
      <w:r w:rsidR="00CE6DBC" w:rsidRPr="004F538D">
        <w:rPr>
          <w:rFonts w:ascii="Times New Roman" w:hAnsi="Times New Roman" w:cs="Times New Roman"/>
          <w:sz w:val="24"/>
          <w:szCs w:val="24"/>
        </w:rPr>
        <w:t>s developed from the following sources</w:t>
      </w:r>
      <w:r w:rsidR="00FD06EA" w:rsidRPr="004F538D">
        <w:rPr>
          <w:rFonts w:ascii="Times New Roman" w:hAnsi="Times New Roman" w:cs="Times New Roman"/>
          <w:sz w:val="24"/>
          <w:szCs w:val="24"/>
        </w:rPr>
        <w:t>:</w:t>
      </w:r>
    </w:p>
    <w:p w14:paraId="69A78AF0" w14:textId="77777777" w:rsidR="008A6095" w:rsidRPr="004F538D" w:rsidRDefault="008A6095" w:rsidP="008A6095">
      <w:pPr>
        <w:pStyle w:val="ListParagraph"/>
        <w:numPr>
          <w:ilvl w:val="0"/>
          <w:numId w:val="32"/>
        </w:numPr>
        <w:jc w:val="both"/>
        <w:rPr>
          <w:rFonts w:ascii="Times New Roman" w:hAnsi="Times New Roman" w:cs="Times New Roman"/>
          <w:sz w:val="24"/>
          <w:szCs w:val="24"/>
        </w:rPr>
      </w:pPr>
      <w:r w:rsidRPr="004F538D">
        <w:rPr>
          <w:rFonts w:ascii="Times New Roman" w:hAnsi="Times New Roman" w:cs="Times New Roman"/>
          <w:sz w:val="24"/>
          <w:szCs w:val="24"/>
        </w:rPr>
        <w:t xml:space="preserve">The provisions contained in the OECD </w:t>
      </w:r>
      <w:r>
        <w:rPr>
          <w:rFonts w:ascii="Times New Roman" w:hAnsi="Times New Roman" w:cs="Times New Roman"/>
          <w:sz w:val="24"/>
          <w:szCs w:val="24"/>
        </w:rPr>
        <w:t>CG</w:t>
      </w:r>
      <w:r w:rsidRPr="004F538D">
        <w:rPr>
          <w:rFonts w:ascii="Times New Roman" w:hAnsi="Times New Roman" w:cs="Times New Roman"/>
          <w:sz w:val="24"/>
          <w:szCs w:val="24"/>
        </w:rPr>
        <w:t xml:space="preserve"> code;</w:t>
      </w:r>
    </w:p>
    <w:p w14:paraId="79659ADC" w14:textId="23386254" w:rsidR="00FD06EA" w:rsidRPr="004F538D" w:rsidRDefault="00FD06EA" w:rsidP="002732F0">
      <w:pPr>
        <w:pStyle w:val="ListParagraph"/>
        <w:numPr>
          <w:ilvl w:val="0"/>
          <w:numId w:val="32"/>
        </w:numPr>
        <w:jc w:val="both"/>
        <w:rPr>
          <w:rFonts w:ascii="Times New Roman" w:hAnsi="Times New Roman" w:cs="Times New Roman"/>
          <w:sz w:val="24"/>
          <w:szCs w:val="24"/>
        </w:rPr>
      </w:pPr>
      <w:r w:rsidRPr="004F538D">
        <w:rPr>
          <w:rFonts w:ascii="Times New Roman" w:hAnsi="Times New Roman" w:cs="Times New Roman"/>
          <w:sz w:val="24"/>
          <w:szCs w:val="24"/>
        </w:rPr>
        <w:t xml:space="preserve">The provisions in the </w:t>
      </w:r>
      <w:r w:rsidR="006E4C8C">
        <w:rPr>
          <w:rFonts w:ascii="Times New Roman" w:hAnsi="Times New Roman" w:cs="Times New Roman"/>
          <w:sz w:val="24"/>
          <w:szCs w:val="24"/>
        </w:rPr>
        <w:t xml:space="preserve">2015 </w:t>
      </w:r>
      <w:r w:rsidRPr="004F538D">
        <w:rPr>
          <w:rFonts w:ascii="Times New Roman" w:hAnsi="Times New Roman" w:cs="Times New Roman"/>
          <w:sz w:val="24"/>
          <w:szCs w:val="24"/>
        </w:rPr>
        <w:t>CCGSI in Kenya;</w:t>
      </w:r>
    </w:p>
    <w:p w14:paraId="31850CA2" w14:textId="7DF5129C" w:rsidR="00FD06EA" w:rsidRPr="004F538D" w:rsidRDefault="00FD06EA" w:rsidP="002732F0">
      <w:pPr>
        <w:pStyle w:val="ListParagraph"/>
        <w:numPr>
          <w:ilvl w:val="0"/>
          <w:numId w:val="32"/>
        </w:numPr>
        <w:jc w:val="both"/>
        <w:rPr>
          <w:rFonts w:ascii="Times New Roman" w:hAnsi="Times New Roman" w:cs="Times New Roman"/>
          <w:sz w:val="24"/>
          <w:szCs w:val="24"/>
        </w:rPr>
      </w:pPr>
      <w:r w:rsidRPr="004F538D">
        <w:rPr>
          <w:rFonts w:ascii="Times New Roman" w:hAnsi="Times New Roman" w:cs="Times New Roman"/>
          <w:sz w:val="24"/>
          <w:szCs w:val="24"/>
        </w:rPr>
        <w:t xml:space="preserve">The CG provisions in </w:t>
      </w:r>
      <w:r w:rsidR="000D78DF">
        <w:rPr>
          <w:rFonts w:ascii="Times New Roman" w:hAnsi="Times New Roman" w:cs="Times New Roman"/>
          <w:sz w:val="24"/>
          <w:szCs w:val="24"/>
        </w:rPr>
        <w:t xml:space="preserve">the </w:t>
      </w:r>
      <w:r w:rsidRPr="004F538D">
        <w:rPr>
          <w:rFonts w:ascii="Times New Roman" w:hAnsi="Times New Roman" w:cs="Times New Roman"/>
          <w:sz w:val="24"/>
          <w:szCs w:val="24"/>
        </w:rPr>
        <w:t>Kenya</w:t>
      </w:r>
      <w:r w:rsidR="000D78DF">
        <w:rPr>
          <w:rFonts w:ascii="Times New Roman" w:hAnsi="Times New Roman" w:cs="Times New Roman"/>
          <w:sz w:val="24"/>
          <w:szCs w:val="24"/>
        </w:rPr>
        <w:t>n</w:t>
      </w:r>
      <w:r w:rsidRPr="004F538D">
        <w:rPr>
          <w:rFonts w:ascii="Times New Roman" w:hAnsi="Times New Roman" w:cs="Times New Roman"/>
          <w:sz w:val="24"/>
          <w:szCs w:val="24"/>
        </w:rPr>
        <w:t xml:space="preserve"> Companies Act 2015;</w:t>
      </w:r>
    </w:p>
    <w:p w14:paraId="1BF902C4" w14:textId="2A36E7D5" w:rsidR="00FD06EA" w:rsidRPr="004F538D" w:rsidRDefault="00FD06EA" w:rsidP="002732F0">
      <w:pPr>
        <w:pStyle w:val="ListParagraph"/>
        <w:numPr>
          <w:ilvl w:val="0"/>
          <w:numId w:val="32"/>
        </w:numPr>
        <w:jc w:val="both"/>
        <w:rPr>
          <w:rFonts w:ascii="Times New Roman" w:hAnsi="Times New Roman" w:cs="Times New Roman"/>
          <w:sz w:val="24"/>
          <w:szCs w:val="24"/>
        </w:rPr>
      </w:pPr>
      <w:r w:rsidRPr="004F538D">
        <w:rPr>
          <w:rFonts w:ascii="Times New Roman" w:hAnsi="Times New Roman" w:cs="Times New Roman"/>
          <w:sz w:val="24"/>
          <w:szCs w:val="24"/>
        </w:rPr>
        <w:t>Other CG items were borrowed from extant literature</w:t>
      </w:r>
      <w:r w:rsidR="00CE6DBC" w:rsidRPr="004F538D">
        <w:rPr>
          <w:rFonts w:ascii="Times New Roman" w:hAnsi="Times New Roman" w:cs="Times New Roman"/>
          <w:sz w:val="24"/>
          <w:szCs w:val="24"/>
        </w:rPr>
        <w:t xml:space="preserve"> (see Gompers, Ishii &amp; Metrick, 2003; Ken &amp; Zunker 2013; Black et al., 2017).</w:t>
      </w:r>
    </w:p>
    <w:p w14:paraId="138CE4FD" w14:textId="413179A0" w:rsidR="00B9153D" w:rsidRPr="004F538D" w:rsidRDefault="0063650B" w:rsidP="002732F0">
      <w:pPr>
        <w:jc w:val="both"/>
        <w:rPr>
          <w:rFonts w:ascii="Times New Roman" w:hAnsi="Times New Roman" w:cs="Times New Roman"/>
          <w:sz w:val="24"/>
          <w:szCs w:val="24"/>
        </w:rPr>
      </w:pPr>
      <w:r w:rsidRPr="004F538D">
        <w:rPr>
          <w:rFonts w:ascii="Times New Roman" w:hAnsi="Times New Roman" w:cs="Times New Roman"/>
          <w:sz w:val="24"/>
          <w:szCs w:val="24"/>
        </w:rPr>
        <w:t xml:space="preserve">In applying steps (i) to (iv), a </w:t>
      </w:r>
      <w:r w:rsidR="001A6429" w:rsidRPr="004F538D">
        <w:rPr>
          <w:rFonts w:ascii="Times New Roman" w:hAnsi="Times New Roman" w:cs="Times New Roman"/>
          <w:sz w:val="24"/>
          <w:szCs w:val="24"/>
        </w:rPr>
        <w:t xml:space="preserve">comprehensive </w:t>
      </w:r>
      <w:r w:rsidRPr="004F538D">
        <w:rPr>
          <w:rFonts w:ascii="Times New Roman" w:hAnsi="Times New Roman" w:cs="Times New Roman"/>
          <w:sz w:val="24"/>
          <w:szCs w:val="24"/>
        </w:rPr>
        <w:t xml:space="preserve">CG-Index with 37 items </w:t>
      </w:r>
      <w:r w:rsidR="000D78DF">
        <w:rPr>
          <w:rFonts w:ascii="Times New Roman" w:hAnsi="Times New Roman" w:cs="Times New Roman"/>
          <w:sz w:val="24"/>
          <w:szCs w:val="24"/>
        </w:rPr>
        <w:t>i</w:t>
      </w:r>
      <w:r w:rsidR="001A6429" w:rsidRPr="004F538D">
        <w:rPr>
          <w:rFonts w:ascii="Times New Roman" w:hAnsi="Times New Roman" w:cs="Times New Roman"/>
          <w:sz w:val="24"/>
          <w:szCs w:val="24"/>
        </w:rPr>
        <w:t>s developed. T</w:t>
      </w:r>
      <w:r w:rsidRPr="004F538D">
        <w:rPr>
          <w:rFonts w:ascii="Times New Roman" w:hAnsi="Times New Roman" w:cs="Times New Roman"/>
          <w:sz w:val="24"/>
          <w:szCs w:val="24"/>
        </w:rPr>
        <w:t>o determine t</w:t>
      </w:r>
      <w:r w:rsidR="00FD06EA" w:rsidRPr="004F538D">
        <w:rPr>
          <w:rFonts w:ascii="Times New Roman" w:hAnsi="Times New Roman" w:cs="Times New Roman"/>
          <w:sz w:val="24"/>
          <w:szCs w:val="24"/>
        </w:rPr>
        <w:t xml:space="preserve">he final items to include in the CG-Index, </w:t>
      </w:r>
      <w:r w:rsidR="000D78DF">
        <w:rPr>
          <w:rFonts w:ascii="Times New Roman" w:hAnsi="Times New Roman" w:cs="Times New Roman"/>
          <w:sz w:val="24"/>
          <w:szCs w:val="24"/>
        </w:rPr>
        <w:t>the following steps a</w:t>
      </w:r>
      <w:r w:rsidR="00B9153D" w:rsidRPr="004F538D">
        <w:rPr>
          <w:rFonts w:ascii="Times New Roman" w:hAnsi="Times New Roman" w:cs="Times New Roman"/>
          <w:sz w:val="24"/>
          <w:szCs w:val="24"/>
        </w:rPr>
        <w:t>re followed:</w:t>
      </w:r>
    </w:p>
    <w:p w14:paraId="5C413ABA" w14:textId="6B7EE3FF" w:rsidR="00B9153D" w:rsidRPr="004F538D" w:rsidRDefault="00B9153D" w:rsidP="00B9153D">
      <w:pPr>
        <w:pStyle w:val="ListParagraph"/>
        <w:numPr>
          <w:ilvl w:val="0"/>
          <w:numId w:val="41"/>
        </w:numPr>
        <w:jc w:val="both"/>
        <w:rPr>
          <w:rFonts w:ascii="Times New Roman" w:hAnsi="Times New Roman" w:cs="Times New Roman"/>
          <w:sz w:val="24"/>
          <w:szCs w:val="24"/>
        </w:rPr>
      </w:pPr>
      <w:r w:rsidRPr="004F538D">
        <w:rPr>
          <w:rFonts w:ascii="Times New Roman" w:hAnsi="Times New Roman" w:cs="Times New Roman"/>
          <w:sz w:val="24"/>
          <w:szCs w:val="24"/>
        </w:rPr>
        <w:t>A</w:t>
      </w:r>
      <w:r w:rsidR="00B87255" w:rsidRPr="004F538D">
        <w:rPr>
          <w:rFonts w:ascii="Times New Roman" w:hAnsi="Times New Roman" w:cs="Times New Roman"/>
          <w:sz w:val="24"/>
          <w:szCs w:val="24"/>
        </w:rPr>
        <w:t>ll</w:t>
      </w:r>
      <w:r w:rsidR="00FD06EA" w:rsidRPr="004F538D">
        <w:rPr>
          <w:rFonts w:ascii="Times New Roman" w:hAnsi="Times New Roman" w:cs="Times New Roman"/>
          <w:sz w:val="24"/>
          <w:szCs w:val="24"/>
        </w:rPr>
        <w:t xml:space="preserve"> significant items that have b</w:t>
      </w:r>
      <w:r w:rsidR="000D78DF">
        <w:rPr>
          <w:rFonts w:ascii="Times New Roman" w:hAnsi="Times New Roman" w:cs="Times New Roman"/>
          <w:sz w:val="24"/>
          <w:szCs w:val="24"/>
        </w:rPr>
        <w:t>een established by literature a</w:t>
      </w:r>
      <w:r w:rsidR="00FD06EA" w:rsidRPr="004F538D">
        <w:rPr>
          <w:rFonts w:ascii="Times New Roman" w:hAnsi="Times New Roman" w:cs="Times New Roman"/>
          <w:sz w:val="24"/>
          <w:szCs w:val="24"/>
        </w:rPr>
        <w:t xml:space="preserve">re </w:t>
      </w:r>
      <w:r w:rsidR="001A6429" w:rsidRPr="004F538D">
        <w:rPr>
          <w:rFonts w:ascii="Times New Roman" w:hAnsi="Times New Roman" w:cs="Times New Roman"/>
          <w:sz w:val="24"/>
          <w:szCs w:val="24"/>
        </w:rPr>
        <w:t>considered</w:t>
      </w:r>
      <w:r w:rsidR="00FD06EA" w:rsidRPr="004F538D">
        <w:rPr>
          <w:rFonts w:ascii="Times New Roman" w:hAnsi="Times New Roman" w:cs="Times New Roman"/>
          <w:sz w:val="24"/>
          <w:szCs w:val="24"/>
        </w:rPr>
        <w:t xml:space="preserve">. In this case, </w:t>
      </w:r>
      <w:r w:rsidR="00D22E7A" w:rsidRPr="004F538D">
        <w:rPr>
          <w:rFonts w:ascii="Times New Roman" w:hAnsi="Times New Roman" w:cs="Times New Roman"/>
          <w:sz w:val="24"/>
          <w:szCs w:val="24"/>
        </w:rPr>
        <w:t xml:space="preserve">variables such as AC experience, </w:t>
      </w:r>
      <w:r w:rsidR="00960A99" w:rsidRPr="004F538D">
        <w:rPr>
          <w:rFonts w:ascii="Times New Roman" w:hAnsi="Times New Roman" w:cs="Times New Roman"/>
          <w:sz w:val="24"/>
          <w:szCs w:val="24"/>
        </w:rPr>
        <w:t xml:space="preserve">AC independence, </w:t>
      </w:r>
      <w:r w:rsidR="004D4FC5">
        <w:rPr>
          <w:rFonts w:ascii="Times New Roman" w:hAnsi="Times New Roman" w:cs="Times New Roman"/>
          <w:sz w:val="24"/>
          <w:szCs w:val="24"/>
        </w:rPr>
        <w:t>b</w:t>
      </w:r>
      <w:r w:rsidR="00960A99" w:rsidRPr="004F538D">
        <w:rPr>
          <w:rFonts w:ascii="Times New Roman" w:hAnsi="Times New Roman" w:cs="Times New Roman"/>
          <w:sz w:val="24"/>
          <w:szCs w:val="24"/>
        </w:rPr>
        <w:t xml:space="preserve">oard meetings and </w:t>
      </w:r>
      <w:r w:rsidR="00D22E7A" w:rsidRPr="004F538D">
        <w:rPr>
          <w:rFonts w:ascii="Times New Roman" w:hAnsi="Times New Roman" w:cs="Times New Roman"/>
          <w:sz w:val="24"/>
          <w:szCs w:val="24"/>
        </w:rPr>
        <w:t>NEDs in the board had a consistent and significant association with ARD (</w:t>
      </w:r>
      <w:r w:rsidR="006C6636" w:rsidRPr="004F538D">
        <w:rPr>
          <w:rFonts w:ascii="Times New Roman" w:hAnsi="Times New Roman" w:cs="Times New Roman"/>
          <w:sz w:val="24"/>
          <w:szCs w:val="24"/>
        </w:rPr>
        <w:t xml:space="preserve">Tauringana, Kyeyune </w:t>
      </w:r>
      <w:r w:rsidR="00EA480C" w:rsidRPr="004F538D">
        <w:rPr>
          <w:rFonts w:ascii="Times New Roman" w:hAnsi="Times New Roman" w:cs="Times New Roman"/>
          <w:sz w:val="24"/>
          <w:szCs w:val="24"/>
        </w:rPr>
        <w:t>&amp;</w:t>
      </w:r>
      <w:r w:rsidR="006C6636" w:rsidRPr="004F538D">
        <w:rPr>
          <w:rFonts w:ascii="Times New Roman" w:hAnsi="Times New Roman" w:cs="Times New Roman"/>
          <w:sz w:val="24"/>
          <w:szCs w:val="24"/>
        </w:rPr>
        <w:t xml:space="preserve"> Opio, 2008; Nehme, Assaker &amp; Khalife, 2015; Sultana, Singh &amp; Zahn, 2015</w:t>
      </w:r>
      <w:r w:rsidR="00EA480C" w:rsidRPr="004F538D">
        <w:rPr>
          <w:rFonts w:ascii="Times New Roman" w:hAnsi="Times New Roman" w:cs="Times New Roman"/>
          <w:sz w:val="24"/>
          <w:szCs w:val="24"/>
        </w:rPr>
        <w:t>; Chan, Luo &amp; Mo, 2016</w:t>
      </w:r>
      <w:r w:rsidR="006C6636" w:rsidRPr="004F538D">
        <w:rPr>
          <w:rFonts w:ascii="Times New Roman" w:hAnsi="Times New Roman" w:cs="Times New Roman"/>
          <w:sz w:val="24"/>
          <w:szCs w:val="24"/>
        </w:rPr>
        <w:t>)</w:t>
      </w:r>
      <w:r w:rsidR="004D4FC5">
        <w:rPr>
          <w:rFonts w:ascii="Times New Roman" w:hAnsi="Times New Roman" w:cs="Times New Roman"/>
          <w:sz w:val="24"/>
          <w:szCs w:val="24"/>
        </w:rPr>
        <w:t xml:space="preserve">. </w:t>
      </w:r>
      <w:r w:rsidR="00D22E7A" w:rsidRPr="004F538D">
        <w:rPr>
          <w:rFonts w:ascii="Times New Roman" w:hAnsi="Times New Roman" w:cs="Times New Roman"/>
          <w:sz w:val="24"/>
          <w:szCs w:val="24"/>
        </w:rPr>
        <w:t>Variables such as AC meetings and AC size ha</w:t>
      </w:r>
      <w:r w:rsidR="004D4FC5">
        <w:rPr>
          <w:rFonts w:ascii="Times New Roman" w:hAnsi="Times New Roman" w:cs="Times New Roman"/>
          <w:sz w:val="24"/>
          <w:szCs w:val="24"/>
        </w:rPr>
        <w:t>ve been found to have</w:t>
      </w:r>
      <w:r w:rsidR="00D22E7A" w:rsidRPr="004F538D">
        <w:rPr>
          <w:rFonts w:ascii="Times New Roman" w:hAnsi="Times New Roman" w:cs="Times New Roman"/>
          <w:sz w:val="24"/>
          <w:szCs w:val="24"/>
        </w:rPr>
        <w:t xml:space="preserve"> a significant and positive association with ARD (</w:t>
      </w:r>
      <w:r w:rsidR="000428C4" w:rsidRPr="004F538D">
        <w:rPr>
          <w:rFonts w:ascii="Times New Roman" w:hAnsi="Times New Roman" w:cs="Times New Roman"/>
          <w:sz w:val="24"/>
          <w:szCs w:val="24"/>
        </w:rPr>
        <w:t>Nehme, Assaker &amp; Khalife, 2015; Hussin, Bamahros &amp; Shukeri, 2018)</w:t>
      </w:r>
      <w:r w:rsidR="0063650B" w:rsidRPr="004F538D">
        <w:rPr>
          <w:rFonts w:ascii="Times New Roman" w:hAnsi="Times New Roman" w:cs="Times New Roman"/>
          <w:sz w:val="24"/>
          <w:szCs w:val="24"/>
        </w:rPr>
        <w:t xml:space="preserve">. </w:t>
      </w:r>
    </w:p>
    <w:p w14:paraId="0BB543CD" w14:textId="667BDBB1" w:rsidR="00C012BE" w:rsidRPr="004F538D" w:rsidRDefault="001A6429" w:rsidP="00B9153D">
      <w:pPr>
        <w:pStyle w:val="ListParagraph"/>
        <w:numPr>
          <w:ilvl w:val="0"/>
          <w:numId w:val="41"/>
        </w:numPr>
        <w:jc w:val="both"/>
        <w:rPr>
          <w:rFonts w:ascii="Times New Roman" w:hAnsi="Times New Roman" w:cs="Times New Roman"/>
          <w:sz w:val="24"/>
          <w:szCs w:val="24"/>
        </w:rPr>
      </w:pPr>
      <w:r w:rsidRPr="004F538D">
        <w:rPr>
          <w:rFonts w:ascii="Times New Roman" w:hAnsi="Times New Roman" w:cs="Times New Roman"/>
          <w:sz w:val="24"/>
          <w:szCs w:val="24"/>
        </w:rPr>
        <w:t>Consistent with Black et al. (2017)</w:t>
      </w:r>
      <w:r w:rsidR="0063650B" w:rsidRPr="004F538D">
        <w:rPr>
          <w:rFonts w:ascii="Times New Roman" w:hAnsi="Times New Roman" w:cs="Times New Roman"/>
          <w:sz w:val="24"/>
          <w:szCs w:val="24"/>
        </w:rPr>
        <w:t xml:space="preserve">, a </w:t>
      </w:r>
      <w:r w:rsidRPr="004F538D">
        <w:rPr>
          <w:rFonts w:ascii="Times New Roman" w:hAnsi="Times New Roman" w:cs="Times New Roman"/>
          <w:sz w:val="24"/>
          <w:szCs w:val="24"/>
        </w:rPr>
        <w:t xml:space="preserve">panel </w:t>
      </w:r>
      <w:r w:rsidR="00B87255" w:rsidRPr="004F538D">
        <w:rPr>
          <w:rFonts w:ascii="Times New Roman" w:hAnsi="Times New Roman" w:cs="Times New Roman"/>
          <w:sz w:val="24"/>
          <w:szCs w:val="24"/>
        </w:rPr>
        <w:t xml:space="preserve">multivariate regression between the 37 CG items and ARD was performed </w:t>
      </w:r>
      <w:r w:rsidR="004744E9" w:rsidRPr="004F538D">
        <w:rPr>
          <w:rFonts w:ascii="Times New Roman" w:hAnsi="Times New Roman" w:cs="Times New Roman"/>
          <w:sz w:val="24"/>
          <w:szCs w:val="24"/>
        </w:rPr>
        <w:t>to establish the</w:t>
      </w:r>
      <w:r w:rsidR="00B87255" w:rsidRPr="004F538D">
        <w:rPr>
          <w:rFonts w:ascii="Times New Roman" w:hAnsi="Times New Roman" w:cs="Times New Roman"/>
          <w:sz w:val="24"/>
          <w:szCs w:val="24"/>
        </w:rPr>
        <w:t xml:space="preserve"> significant CG items (at the 5 percent level) </w:t>
      </w:r>
      <w:r w:rsidRPr="004F538D">
        <w:rPr>
          <w:rFonts w:ascii="Times New Roman" w:hAnsi="Times New Roman" w:cs="Times New Roman"/>
          <w:sz w:val="24"/>
          <w:szCs w:val="24"/>
        </w:rPr>
        <w:t xml:space="preserve">for inclusion in the </w:t>
      </w:r>
      <w:r w:rsidR="00B87255" w:rsidRPr="004F538D">
        <w:rPr>
          <w:rFonts w:ascii="Times New Roman" w:hAnsi="Times New Roman" w:cs="Times New Roman"/>
          <w:sz w:val="24"/>
          <w:szCs w:val="24"/>
        </w:rPr>
        <w:t>CG-Index</w:t>
      </w:r>
      <w:r w:rsidRPr="004F538D">
        <w:rPr>
          <w:rFonts w:ascii="Times New Roman" w:hAnsi="Times New Roman" w:cs="Times New Roman"/>
          <w:sz w:val="24"/>
          <w:szCs w:val="24"/>
        </w:rPr>
        <w:t xml:space="preserve">. </w:t>
      </w:r>
      <w:r w:rsidR="00C012BE" w:rsidRPr="004F538D">
        <w:rPr>
          <w:rFonts w:ascii="Times New Roman" w:hAnsi="Times New Roman" w:cs="Times New Roman"/>
          <w:sz w:val="24"/>
          <w:szCs w:val="24"/>
        </w:rPr>
        <w:t xml:space="preserve"> </w:t>
      </w:r>
      <w:r w:rsidR="00C45403">
        <w:rPr>
          <w:rFonts w:ascii="Times New Roman" w:hAnsi="Times New Roman" w:cs="Times New Roman"/>
          <w:sz w:val="24"/>
          <w:szCs w:val="24"/>
        </w:rPr>
        <w:t>The model used i</w:t>
      </w:r>
      <w:r w:rsidRPr="004F538D">
        <w:rPr>
          <w:rFonts w:ascii="Times New Roman" w:hAnsi="Times New Roman" w:cs="Times New Roman"/>
          <w:sz w:val="24"/>
          <w:szCs w:val="24"/>
        </w:rPr>
        <w:t>s as follows:</w:t>
      </w:r>
    </w:p>
    <w:p w14:paraId="6F5F1664" w14:textId="6CF5A376" w:rsidR="00C012BE" w:rsidRPr="004F538D" w:rsidRDefault="00FF16EF" w:rsidP="000428C4">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lnARD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ij</m:t>
              </m:r>
            </m:sub>
          </m:sSub>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t=j</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CG_Item</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e>
          </m:nary>
        </m:oMath>
      </m:oMathPara>
    </w:p>
    <w:p w14:paraId="737F5E24" w14:textId="776319EE" w:rsidR="00073823" w:rsidRPr="004F538D" w:rsidRDefault="00AD36E4" w:rsidP="00B9153D">
      <w:pPr>
        <w:ind w:left="720"/>
        <w:jc w:val="both"/>
        <w:rPr>
          <w:rFonts w:ascii="Times New Roman" w:hAnsi="Times New Roman" w:cs="Times New Roman"/>
          <w:sz w:val="24"/>
          <w:szCs w:val="24"/>
        </w:rPr>
      </w:pPr>
      <w:r w:rsidRPr="004F538D">
        <w:rPr>
          <w:rFonts w:ascii="Times New Roman" w:hAnsi="Times New Roman" w:cs="Times New Roman"/>
          <w:sz w:val="24"/>
          <w:szCs w:val="24"/>
        </w:rPr>
        <w:t xml:space="preserve">Where, </w:t>
      </w:r>
      <w:r w:rsidRPr="004F538D">
        <w:rPr>
          <w:rFonts w:ascii="Times New Roman" w:hAnsi="Times New Roman" w:cs="Times New Roman"/>
          <w:i/>
          <w:sz w:val="24"/>
          <w:szCs w:val="24"/>
        </w:rPr>
        <w:t>lnARD</w:t>
      </w:r>
      <w:r w:rsidRPr="004F538D">
        <w:rPr>
          <w:rFonts w:ascii="Times New Roman" w:hAnsi="Times New Roman" w:cs="Times New Roman"/>
          <w:i/>
          <w:sz w:val="24"/>
          <w:szCs w:val="24"/>
          <w:vertAlign w:val="subscript"/>
        </w:rPr>
        <w:t>it</w:t>
      </w:r>
      <w:r w:rsidRPr="004F538D">
        <w:rPr>
          <w:rFonts w:ascii="Times New Roman" w:hAnsi="Times New Roman" w:cs="Times New Roman"/>
          <w:sz w:val="24"/>
          <w:szCs w:val="24"/>
        </w:rPr>
        <w:t xml:space="preserve"> is the natural logarithm of ARD of firm </w:t>
      </w:r>
      <w:r w:rsidRPr="004F538D">
        <w:rPr>
          <w:rFonts w:ascii="Times New Roman" w:hAnsi="Times New Roman" w:cs="Times New Roman"/>
          <w:i/>
          <w:sz w:val="24"/>
          <w:szCs w:val="24"/>
        </w:rPr>
        <w:t>i</w:t>
      </w:r>
      <w:r w:rsidRPr="004F538D">
        <w:rPr>
          <w:rFonts w:ascii="Times New Roman" w:hAnsi="Times New Roman" w:cs="Times New Roman"/>
          <w:sz w:val="24"/>
          <w:szCs w:val="24"/>
        </w:rPr>
        <w:t xml:space="preserve"> in time </w:t>
      </w:r>
      <w:r w:rsidRPr="004F538D">
        <w:rPr>
          <w:rFonts w:ascii="Times New Roman" w:hAnsi="Times New Roman" w:cs="Times New Roman"/>
          <w:i/>
          <w:sz w:val="24"/>
          <w:szCs w:val="24"/>
        </w:rPr>
        <w:t>t</w:t>
      </w:r>
      <w:r w:rsidRPr="004F538D">
        <w:rPr>
          <w:rFonts w:ascii="Times New Roman" w:hAnsi="Times New Roman" w:cs="Times New Roman"/>
          <w:sz w:val="24"/>
          <w:szCs w:val="24"/>
        </w:rPr>
        <w:t xml:space="preserve">, </w:t>
      </w:r>
      <w:r w:rsidRPr="004F538D">
        <w:rPr>
          <w:rFonts w:ascii="Times New Roman" w:hAnsi="Times New Roman" w:cs="Times New Roman"/>
          <w:i/>
          <w:sz w:val="24"/>
          <w:szCs w:val="24"/>
        </w:rPr>
        <w:t>CG_Item</w:t>
      </w:r>
      <w:r w:rsidRPr="004F538D">
        <w:rPr>
          <w:rFonts w:ascii="Times New Roman" w:hAnsi="Times New Roman" w:cs="Times New Roman"/>
          <w:i/>
          <w:sz w:val="24"/>
          <w:szCs w:val="24"/>
          <w:vertAlign w:val="subscript"/>
        </w:rPr>
        <w:t>it</w:t>
      </w:r>
      <w:r w:rsidRPr="004F538D">
        <w:rPr>
          <w:rFonts w:ascii="Times New Roman" w:hAnsi="Times New Roman" w:cs="Times New Roman"/>
          <w:sz w:val="24"/>
          <w:szCs w:val="24"/>
        </w:rPr>
        <w:t xml:space="preserve"> represents the specific CG items in the </w:t>
      </w:r>
      <w:r w:rsidR="004744E9" w:rsidRPr="004F538D">
        <w:rPr>
          <w:rFonts w:ascii="Times New Roman" w:hAnsi="Times New Roman" w:cs="Times New Roman"/>
          <w:sz w:val="24"/>
          <w:szCs w:val="24"/>
        </w:rPr>
        <w:t xml:space="preserve">comprehensive </w:t>
      </w:r>
      <w:r w:rsidRPr="004F538D">
        <w:rPr>
          <w:rFonts w:ascii="Times New Roman" w:hAnsi="Times New Roman" w:cs="Times New Roman"/>
          <w:sz w:val="24"/>
          <w:szCs w:val="24"/>
        </w:rPr>
        <w:t xml:space="preserve">index. </w:t>
      </w:r>
      <w:r w:rsidR="00AA6250" w:rsidRPr="004F538D">
        <w:rPr>
          <w:rFonts w:ascii="Times New Roman" w:hAnsi="Times New Roman" w:cs="Times New Roman"/>
          <w:sz w:val="24"/>
          <w:szCs w:val="24"/>
        </w:rPr>
        <w:t>O</w:t>
      </w:r>
      <w:r w:rsidR="004379D3" w:rsidRPr="004F538D">
        <w:rPr>
          <w:rFonts w:ascii="Times New Roman" w:hAnsi="Times New Roman" w:cs="Times New Roman"/>
          <w:sz w:val="24"/>
          <w:szCs w:val="24"/>
        </w:rPr>
        <w:t xml:space="preserve">wing to observed heterogeneity in CG practices across the 55 </w:t>
      </w:r>
      <w:r w:rsidR="001C194E">
        <w:rPr>
          <w:rFonts w:ascii="Times New Roman" w:hAnsi="Times New Roman" w:cs="Times New Roman"/>
          <w:sz w:val="24"/>
          <w:szCs w:val="24"/>
        </w:rPr>
        <w:t xml:space="preserve">listed companies in the sample, </w:t>
      </w:r>
      <w:r w:rsidR="004379D3" w:rsidRPr="004F538D">
        <w:rPr>
          <w:rFonts w:ascii="Times New Roman" w:hAnsi="Times New Roman" w:cs="Times New Roman"/>
          <w:sz w:val="24"/>
          <w:szCs w:val="24"/>
        </w:rPr>
        <w:t>we include the cross-section, industry and firm-year controls in th</w:t>
      </w:r>
      <w:r w:rsidR="004D4FC5">
        <w:rPr>
          <w:rFonts w:ascii="Times New Roman" w:hAnsi="Times New Roman" w:cs="Times New Roman"/>
          <w:sz w:val="24"/>
          <w:szCs w:val="24"/>
        </w:rPr>
        <w:t>e</w:t>
      </w:r>
      <w:r w:rsidR="004379D3" w:rsidRPr="004F538D">
        <w:rPr>
          <w:rFonts w:ascii="Times New Roman" w:hAnsi="Times New Roman" w:cs="Times New Roman"/>
          <w:sz w:val="24"/>
          <w:szCs w:val="24"/>
        </w:rPr>
        <w:t xml:space="preserve"> model.</w:t>
      </w:r>
      <w:r w:rsidR="00B04B92" w:rsidRPr="004F538D">
        <w:rPr>
          <w:rStyle w:val="FootnoteReference"/>
          <w:rFonts w:ascii="Times New Roman" w:hAnsi="Times New Roman" w:cs="Times New Roman"/>
          <w:sz w:val="24"/>
          <w:szCs w:val="24"/>
        </w:rPr>
        <w:footnoteReference w:id="9"/>
      </w:r>
      <w:r w:rsidR="003B5193" w:rsidRPr="004F538D">
        <w:rPr>
          <w:rFonts w:ascii="Times New Roman" w:hAnsi="Times New Roman" w:cs="Times New Roman"/>
          <w:sz w:val="24"/>
          <w:szCs w:val="24"/>
        </w:rPr>
        <w:t xml:space="preserve"> The significant CG items</w:t>
      </w:r>
      <w:r w:rsidR="001C194E">
        <w:rPr>
          <w:rFonts w:ascii="Times New Roman" w:hAnsi="Times New Roman" w:cs="Times New Roman"/>
          <w:sz w:val="24"/>
          <w:szCs w:val="24"/>
        </w:rPr>
        <w:t xml:space="preserve"> from the estimation model a</w:t>
      </w:r>
      <w:r w:rsidR="005B44B0" w:rsidRPr="004F538D">
        <w:rPr>
          <w:rFonts w:ascii="Times New Roman" w:hAnsi="Times New Roman" w:cs="Times New Roman"/>
          <w:sz w:val="24"/>
          <w:szCs w:val="24"/>
        </w:rPr>
        <w:t xml:space="preserve">re board size, board meetings, board committees, non-executive directors in the board, “executive” board chair, timely disclosure, auditor tenure over five years, number of women in the board, number of nationalities in the board, </w:t>
      </w:r>
      <w:r w:rsidR="004D4FC5">
        <w:rPr>
          <w:rFonts w:ascii="Times New Roman" w:hAnsi="Times New Roman" w:cs="Times New Roman"/>
          <w:sz w:val="24"/>
          <w:szCs w:val="24"/>
        </w:rPr>
        <w:t xml:space="preserve">disclosure of the existence of a </w:t>
      </w:r>
      <w:r w:rsidR="005B44B0" w:rsidRPr="004F538D">
        <w:rPr>
          <w:rFonts w:ascii="Times New Roman" w:hAnsi="Times New Roman" w:cs="Times New Roman"/>
          <w:sz w:val="24"/>
          <w:szCs w:val="24"/>
        </w:rPr>
        <w:t>board charter, annual governance audit disclosure, foreign ownership and closely regulated firms.</w:t>
      </w:r>
    </w:p>
    <w:p w14:paraId="287DE058" w14:textId="3F097479" w:rsidR="00B9153D" w:rsidRPr="004F538D" w:rsidRDefault="00B9153D" w:rsidP="005D7C82">
      <w:pPr>
        <w:jc w:val="both"/>
        <w:rPr>
          <w:rFonts w:ascii="Times New Roman" w:hAnsi="Times New Roman" w:cs="Times New Roman"/>
          <w:sz w:val="24"/>
          <w:szCs w:val="24"/>
        </w:rPr>
      </w:pPr>
      <w:r w:rsidRPr="004F538D">
        <w:rPr>
          <w:rFonts w:ascii="Times New Roman" w:hAnsi="Times New Roman" w:cs="Times New Roman"/>
          <w:sz w:val="24"/>
          <w:szCs w:val="24"/>
        </w:rPr>
        <w:t>Based on the results from step</w:t>
      </w:r>
      <w:r w:rsidR="00802472" w:rsidRPr="004F538D">
        <w:rPr>
          <w:rFonts w:ascii="Times New Roman" w:hAnsi="Times New Roman" w:cs="Times New Roman"/>
          <w:sz w:val="24"/>
          <w:szCs w:val="24"/>
        </w:rPr>
        <w:t>s</w:t>
      </w:r>
      <w:r w:rsidR="003D1045">
        <w:rPr>
          <w:rFonts w:ascii="Times New Roman" w:hAnsi="Times New Roman" w:cs="Times New Roman"/>
          <w:sz w:val="24"/>
          <w:szCs w:val="24"/>
        </w:rPr>
        <w:t xml:space="preserve"> (1) and (2), the final CG-I</w:t>
      </w:r>
      <w:r w:rsidRPr="004F538D">
        <w:rPr>
          <w:rFonts w:ascii="Times New Roman" w:hAnsi="Times New Roman" w:cs="Times New Roman"/>
          <w:sz w:val="24"/>
          <w:szCs w:val="24"/>
        </w:rPr>
        <w:t>ndex comprising of</w:t>
      </w:r>
      <w:r w:rsidR="00ED5DE5" w:rsidRPr="004F538D">
        <w:rPr>
          <w:rFonts w:ascii="Times New Roman" w:hAnsi="Times New Roman" w:cs="Times New Roman"/>
          <w:sz w:val="24"/>
          <w:szCs w:val="24"/>
        </w:rPr>
        <w:t xml:space="preserve"> </w:t>
      </w:r>
      <w:r w:rsidR="004D4FC5">
        <w:rPr>
          <w:rFonts w:ascii="Times New Roman" w:hAnsi="Times New Roman" w:cs="Times New Roman"/>
          <w:sz w:val="24"/>
          <w:szCs w:val="24"/>
        </w:rPr>
        <w:t>8</w:t>
      </w:r>
      <w:r w:rsidR="00810012" w:rsidRPr="004F538D">
        <w:rPr>
          <w:rFonts w:ascii="Times New Roman" w:hAnsi="Times New Roman" w:cs="Times New Roman"/>
          <w:sz w:val="24"/>
          <w:szCs w:val="24"/>
        </w:rPr>
        <w:t xml:space="preserve"> most significant and commonly shared CG characteristics </w:t>
      </w:r>
      <w:r w:rsidR="001C194E">
        <w:rPr>
          <w:rFonts w:ascii="Times New Roman" w:hAnsi="Times New Roman" w:cs="Times New Roman"/>
          <w:sz w:val="24"/>
          <w:szCs w:val="24"/>
        </w:rPr>
        <w:t>i</w:t>
      </w:r>
      <w:r w:rsidR="004D4FC5">
        <w:rPr>
          <w:rFonts w:ascii="Times New Roman" w:hAnsi="Times New Roman" w:cs="Times New Roman"/>
          <w:sz w:val="24"/>
          <w:szCs w:val="24"/>
        </w:rPr>
        <w:t>s developed</w:t>
      </w:r>
      <w:r w:rsidRPr="004F538D">
        <w:rPr>
          <w:rFonts w:ascii="Times New Roman" w:hAnsi="Times New Roman" w:cs="Times New Roman"/>
          <w:sz w:val="24"/>
          <w:szCs w:val="24"/>
        </w:rPr>
        <w:t>.</w:t>
      </w:r>
      <w:r w:rsidR="004D4FC5">
        <w:rPr>
          <w:rFonts w:ascii="Times New Roman" w:hAnsi="Times New Roman" w:cs="Times New Roman"/>
          <w:sz w:val="24"/>
          <w:szCs w:val="24"/>
        </w:rPr>
        <w:t xml:space="preserve"> Appendix 1 provides a summary of the CG-Index items</w:t>
      </w:r>
      <w:r w:rsidR="001B67CB">
        <w:rPr>
          <w:rFonts w:ascii="Times New Roman" w:hAnsi="Times New Roman" w:cs="Times New Roman"/>
          <w:sz w:val="24"/>
          <w:szCs w:val="24"/>
        </w:rPr>
        <w:t>.</w:t>
      </w:r>
      <w:r w:rsidRPr="004F538D">
        <w:rPr>
          <w:rFonts w:ascii="Times New Roman" w:hAnsi="Times New Roman" w:cs="Times New Roman"/>
          <w:sz w:val="24"/>
          <w:szCs w:val="24"/>
        </w:rPr>
        <w:t xml:space="preserve"> </w:t>
      </w:r>
    </w:p>
    <w:p w14:paraId="00260EF7" w14:textId="77777777" w:rsidR="00BB7B04" w:rsidRPr="004F538D" w:rsidRDefault="00BB7B04" w:rsidP="00BB7B04">
      <w:pPr>
        <w:pStyle w:val="ListParagraph"/>
        <w:numPr>
          <w:ilvl w:val="1"/>
          <w:numId w:val="26"/>
        </w:numPr>
        <w:jc w:val="both"/>
        <w:rPr>
          <w:rFonts w:ascii="Times New Roman" w:hAnsi="Times New Roman" w:cs="Times New Roman"/>
          <w:i/>
          <w:sz w:val="24"/>
          <w:szCs w:val="24"/>
        </w:rPr>
      </w:pPr>
      <w:r w:rsidRPr="004F538D">
        <w:rPr>
          <w:rFonts w:ascii="Times New Roman" w:hAnsi="Times New Roman" w:cs="Times New Roman"/>
          <w:i/>
          <w:iCs/>
          <w:sz w:val="24"/>
          <w:szCs w:val="24"/>
        </w:rPr>
        <w:t>Estimation model</w:t>
      </w:r>
    </w:p>
    <w:p w14:paraId="3574301D" w14:textId="33A3497D" w:rsidR="00B01ECF" w:rsidRPr="004F538D" w:rsidRDefault="00B01ECF" w:rsidP="00BB7B04">
      <w:pPr>
        <w:jc w:val="both"/>
        <w:rPr>
          <w:rFonts w:ascii="Times New Roman" w:hAnsi="Times New Roman" w:cs="Times New Roman"/>
          <w:sz w:val="24"/>
          <w:szCs w:val="24"/>
        </w:rPr>
      </w:pPr>
      <w:r w:rsidRPr="004F538D">
        <w:rPr>
          <w:rFonts w:ascii="Times New Roman" w:hAnsi="Times New Roman" w:cs="Times New Roman"/>
          <w:sz w:val="24"/>
          <w:szCs w:val="24"/>
        </w:rPr>
        <w:t>The dep</w:t>
      </w:r>
      <w:r w:rsidR="00BB1694">
        <w:rPr>
          <w:rFonts w:ascii="Times New Roman" w:hAnsi="Times New Roman" w:cs="Times New Roman"/>
          <w:sz w:val="24"/>
          <w:szCs w:val="24"/>
        </w:rPr>
        <w:t>endent variable for the study i</w:t>
      </w:r>
      <w:r w:rsidRPr="004F538D">
        <w:rPr>
          <w:rFonts w:ascii="Times New Roman" w:hAnsi="Times New Roman" w:cs="Times New Roman"/>
          <w:sz w:val="24"/>
          <w:szCs w:val="24"/>
        </w:rPr>
        <w:t xml:space="preserve">s the natural logarithm of ARD modelled as a function of the test variable (i.e., the CG-Index score) among a set of control variables </w:t>
      </w:r>
      <w:r w:rsidR="00BB1694">
        <w:rPr>
          <w:rFonts w:ascii="Times New Roman" w:hAnsi="Times New Roman" w:cs="Times New Roman"/>
          <w:sz w:val="24"/>
          <w:szCs w:val="24"/>
        </w:rPr>
        <w:t>adopted from extant l</w:t>
      </w:r>
      <w:r w:rsidRPr="004F538D">
        <w:rPr>
          <w:rFonts w:ascii="Times New Roman" w:hAnsi="Times New Roman" w:cs="Times New Roman"/>
          <w:sz w:val="24"/>
          <w:szCs w:val="24"/>
        </w:rPr>
        <w:t>iterature.</w:t>
      </w:r>
      <w:r w:rsidR="002A352B" w:rsidRPr="004F538D">
        <w:rPr>
          <w:rFonts w:ascii="Times New Roman" w:hAnsi="Times New Roman" w:cs="Times New Roman"/>
          <w:sz w:val="24"/>
          <w:szCs w:val="24"/>
        </w:rPr>
        <w:t xml:space="preserve"> The estimation model utilized is as follows:</w:t>
      </w:r>
    </w:p>
    <w:p w14:paraId="28AF4CBA" w14:textId="71914707" w:rsidR="00C1154B" w:rsidRPr="004F538D" w:rsidRDefault="00FF16EF" w:rsidP="00C1154B">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lnARD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CG_Index</m:t>
                  </m:r>
                </m:e>
                <m:sub>
                  <m:r>
                    <w:rPr>
                      <w:rFonts w:ascii="Cambria Math" w:hAnsi="Cambria Math" w:cs="Times New Roman"/>
                      <w:sz w:val="24"/>
                      <w:szCs w:val="24"/>
                    </w:rPr>
                    <m:t>it</m:t>
                  </m:r>
                </m:sub>
              </m:sSub>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LIQUID</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LOSS</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INV_REC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Z_SCORE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DUAL</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FAMILY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sSub>
            <m:sSubPr>
              <m:ctrlPr>
                <w:rPr>
                  <w:rFonts w:ascii="Cambria Math" w:hAnsi="Cambria Math" w:cs="Times New Roman"/>
                  <w:i/>
                  <w:sz w:val="24"/>
                  <w:szCs w:val="24"/>
                </w:rPr>
              </m:ctrlPr>
            </m:sSubPr>
            <m:e>
              <m:r>
                <w:rPr>
                  <w:rFonts w:ascii="Cambria Math" w:hAnsi="Cambria Math" w:cs="Times New Roman"/>
                  <w:sz w:val="24"/>
                  <w:szCs w:val="24"/>
                </w:rPr>
                <m:t>SIZE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ROE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sSub>
            <m:sSubPr>
              <m:ctrlPr>
                <w:rPr>
                  <w:rFonts w:ascii="Cambria Math" w:hAnsi="Cambria Math" w:cs="Times New Roman"/>
                  <w:i/>
                  <w:sz w:val="24"/>
                  <w:szCs w:val="24"/>
                </w:rPr>
              </m:ctrlPr>
            </m:sSubPr>
            <m:e>
              <m:r>
                <w:rPr>
                  <w:rFonts w:ascii="Cambria Math" w:hAnsi="Cambria Math" w:cs="Times New Roman"/>
                  <w:sz w:val="24"/>
                  <w:szCs w:val="24"/>
                </w:rPr>
                <m:t>KAMS</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m:oMathPara>
    </w:p>
    <w:p w14:paraId="3505558A" w14:textId="349E010E" w:rsidR="00C1154B" w:rsidRDefault="00144E58" w:rsidP="00BB7B04">
      <w:pPr>
        <w:jc w:val="both"/>
        <w:rPr>
          <w:rFonts w:ascii="Times New Roman" w:hAnsi="Times New Roman" w:cs="Times New Roman"/>
          <w:sz w:val="24"/>
          <w:szCs w:val="24"/>
        </w:rPr>
      </w:pPr>
      <w:r w:rsidRPr="004F538D">
        <w:rPr>
          <w:rFonts w:ascii="Times New Roman" w:hAnsi="Times New Roman" w:cs="Times New Roman"/>
          <w:sz w:val="24"/>
          <w:szCs w:val="24"/>
        </w:rPr>
        <w:t xml:space="preserve">Where, </w:t>
      </w:r>
      <w:r w:rsidRPr="00677067">
        <w:rPr>
          <w:rFonts w:ascii="Times New Roman" w:hAnsi="Times New Roman" w:cs="Times New Roman"/>
          <w:i/>
          <w:sz w:val="24"/>
          <w:szCs w:val="24"/>
        </w:rPr>
        <w:t>lnARD</w:t>
      </w:r>
      <w:r w:rsidR="00677067">
        <w:rPr>
          <w:rFonts w:ascii="Times New Roman" w:hAnsi="Times New Roman" w:cs="Times New Roman"/>
          <w:sz w:val="24"/>
          <w:szCs w:val="24"/>
        </w:rPr>
        <w:t xml:space="preserve"> i</w:t>
      </w:r>
      <w:r w:rsidR="00A15C68">
        <w:rPr>
          <w:rFonts w:ascii="Times New Roman" w:hAnsi="Times New Roman" w:cs="Times New Roman"/>
          <w:sz w:val="24"/>
          <w:szCs w:val="24"/>
        </w:rPr>
        <w:t xml:space="preserve">s the natural </w:t>
      </w:r>
      <w:r w:rsidRPr="004F538D">
        <w:rPr>
          <w:rFonts w:ascii="Times New Roman" w:hAnsi="Times New Roman" w:cs="Times New Roman"/>
          <w:sz w:val="24"/>
          <w:szCs w:val="24"/>
        </w:rPr>
        <w:t xml:space="preserve">logarithm of ARD, </w:t>
      </w:r>
      <w:r w:rsidRPr="004F538D">
        <w:rPr>
          <w:rFonts w:ascii="Times New Roman" w:hAnsi="Times New Roman" w:cs="Times New Roman"/>
          <w:i/>
          <w:sz w:val="24"/>
          <w:szCs w:val="24"/>
        </w:rPr>
        <w:t>CG_Index</w:t>
      </w:r>
      <w:r w:rsidR="00D51393" w:rsidRPr="004F538D">
        <w:rPr>
          <w:rFonts w:ascii="Times New Roman" w:hAnsi="Times New Roman" w:cs="Times New Roman"/>
          <w:i/>
          <w:sz w:val="24"/>
          <w:szCs w:val="24"/>
        </w:rPr>
        <w:t xml:space="preserve"> </w:t>
      </w:r>
      <w:r w:rsidRPr="004F538D">
        <w:rPr>
          <w:rFonts w:ascii="Times New Roman" w:hAnsi="Times New Roman" w:cs="Times New Roman"/>
          <w:sz w:val="24"/>
          <w:szCs w:val="24"/>
        </w:rPr>
        <w:t>represents the</w:t>
      </w:r>
      <w:r w:rsidR="00A15C68">
        <w:rPr>
          <w:rFonts w:ascii="Times New Roman" w:hAnsi="Times New Roman" w:cs="Times New Roman"/>
          <w:sz w:val="24"/>
          <w:szCs w:val="24"/>
        </w:rPr>
        <w:t xml:space="preserve"> CG score derived using the CG-I</w:t>
      </w:r>
      <w:r w:rsidRPr="004F538D">
        <w:rPr>
          <w:rFonts w:ascii="Times New Roman" w:hAnsi="Times New Roman" w:cs="Times New Roman"/>
          <w:sz w:val="24"/>
          <w:szCs w:val="24"/>
        </w:rPr>
        <w:t>ndex.</w:t>
      </w:r>
      <w:r w:rsidR="00F36C6A">
        <w:rPr>
          <w:rFonts w:ascii="Times New Roman" w:hAnsi="Times New Roman" w:cs="Times New Roman"/>
          <w:sz w:val="24"/>
          <w:szCs w:val="24"/>
        </w:rPr>
        <w:t xml:space="preserve"> </w:t>
      </w:r>
      <w:r w:rsidR="00EF251C" w:rsidRPr="004F538D">
        <w:rPr>
          <w:rFonts w:ascii="Times New Roman" w:hAnsi="Times New Roman" w:cs="Times New Roman"/>
          <w:sz w:val="24"/>
          <w:szCs w:val="24"/>
        </w:rPr>
        <w:t xml:space="preserve">The model includes a set of control variables which are defined in Table 3. In addition, cross-section, industry and firm-year controls are </w:t>
      </w:r>
      <w:r w:rsidR="00F36C6A">
        <w:rPr>
          <w:rFonts w:ascii="Times New Roman" w:hAnsi="Times New Roman" w:cs="Times New Roman"/>
          <w:sz w:val="24"/>
          <w:szCs w:val="24"/>
        </w:rPr>
        <w:t>included</w:t>
      </w:r>
      <w:r w:rsidR="00EF251C" w:rsidRPr="004F538D">
        <w:rPr>
          <w:rFonts w:ascii="Times New Roman" w:hAnsi="Times New Roman" w:cs="Times New Roman"/>
          <w:sz w:val="24"/>
          <w:szCs w:val="24"/>
        </w:rPr>
        <w:t xml:space="preserve"> in the model.</w:t>
      </w:r>
    </w:p>
    <w:p w14:paraId="19B64AC1" w14:textId="77777777" w:rsidR="00170D06" w:rsidRDefault="00170D06" w:rsidP="00BB7B04">
      <w:pPr>
        <w:jc w:val="both"/>
        <w:rPr>
          <w:rFonts w:ascii="Times New Roman" w:hAnsi="Times New Roman" w:cs="Times New Roman"/>
          <w:sz w:val="24"/>
          <w:szCs w:val="24"/>
        </w:rPr>
      </w:pPr>
    </w:p>
    <w:p w14:paraId="015E9214" w14:textId="2416B314" w:rsidR="00170D06" w:rsidRPr="00170D06" w:rsidRDefault="00170D06" w:rsidP="00170D06">
      <w:pPr>
        <w:jc w:val="center"/>
        <w:rPr>
          <w:rFonts w:ascii="Times New Roman" w:hAnsi="Times New Roman" w:cs="Times New Roman"/>
          <w:b/>
          <w:sz w:val="24"/>
          <w:szCs w:val="24"/>
        </w:rPr>
      </w:pPr>
      <w:r w:rsidRPr="00170D06">
        <w:rPr>
          <w:rFonts w:ascii="Times New Roman" w:hAnsi="Times New Roman" w:cs="Times New Roman"/>
          <w:b/>
          <w:sz w:val="24"/>
          <w:szCs w:val="24"/>
        </w:rPr>
        <w:t>[Insert Table 3 about here]</w:t>
      </w:r>
    </w:p>
    <w:p w14:paraId="6F29CA6C" w14:textId="77777777" w:rsidR="006107F2" w:rsidRDefault="006107F2" w:rsidP="003A3CD9">
      <w:pPr>
        <w:spacing w:after="0"/>
        <w:jc w:val="both"/>
        <w:rPr>
          <w:rFonts w:ascii="Times New Roman" w:hAnsi="Times New Roman" w:cs="Times New Roman"/>
          <w:sz w:val="24"/>
          <w:szCs w:val="24"/>
        </w:rPr>
      </w:pPr>
    </w:p>
    <w:p w14:paraId="4051D7BB" w14:textId="79C5CAFB" w:rsidR="00C65F41" w:rsidRPr="004F538D" w:rsidRDefault="00902FB1" w:rsidP="007C0F83">
      <w:pPr>
        <w:jc w:val="both"/>
        <w:rPr>
          <w:rFonts w:ascii="Times New Roman" w:hAnsi="Times New Roman" w:cs="Times New Roman"/>
          <w:sz w:val="24"/>
          <w:szCs w:val="24"/>
        </w:rPr>
      </w:pPr>
      <w:r w:rsidRPr="004F538D">
        <w:rPr>
          <w:rFonts w:ascii="Times New Roman" w:hAnsi="Times New Roman" w:cs="Times New Roman"/>
          <w:sz w:val="24"/>
          <w:szCs w:val="24"/>
        </w:rPr>
        <w:t xml:space="preserve">A </w:t>
      </w:r>
      <w:r w:rsidR="00C65F41" w:rsidRPr="004F538D">
        <w:rPr>
          <w:rFonts w:ascii="Times New Roman" w:hAnsi="Times New Roman" w:cs="Times New Roman"/>
          <w:sz w:val="24"/>
          <w:szCs w:val="24"/>
        </w:rPr>
        <w:t xml:space="preserve">panel </w:t>
      </w:r>
      <w:r w:rsidRPr="004F538D">
        <w:rPr>
          <w:rFonts w:ascii="Times New Roman" w:hAnsi="Times New Roman" w:cs="Times New Roman"/>
          <w:sz w:val="24"/>
          <w:szCs w:val="24"/>
        </w:rPr>
        <w:t>ordinary</w:t>
      </w:r>
      <w:r w:rsidR="00C65F41" w:rsidRPr="004F538D">
        <w:rPr>
          <w:rFonts w:ascii="Times New Roman" w:hAnsi="Times New Roman" w:cs="Times New Roman"/>
          <w:sz w:val="24"/>
          <w:szCs w:val="24"/>
        </w:rPr>
        <w:t xml:space="preserve"> least squares regression model is adopted. The results of the Hausman Test produced a Chi-square statistic of </w:t>
      </w:r>
      <w:r w:rsidR="004D1844" w:rsidRPr="004F538D">
        <w:rPr>
          <w:rFonts w:ascii="Times New Roman" w:hAnsi="Times New Roman" w:cs="Times New Roman"/>
          <w:sz w:val="24"/>
          <w:szCs w:val="24"/>
        </w:rPr>
        <w:t>26.153</w:t>
      </w:r>
      <w:r w:rsidR="00C65F41" w:rsidRPr="004F538D">
        <w:rPr>
          <w:rFonts w:ascii="Times New Roman" w:hAnsi="Times New Roman" w:cs="Times New Roman"/>
          <w:sz w:val="24"/>
          <w:szCs w:val="24"/>
        </w:rPr>
        <w:t xml:space="preserve"> (p = 0.0</w:t>
      </w:r>
      <w:r w:rsidR="004D1844" w:rsidRPr="004F538D">
        <w:rPr>
          <w:rFonts w:ascii="Times New Roman" w:hAnsi="Times New Roman" w:cs="Times New Roman"/>
          <w:sz w:val="24"/>
          <w:szCs w:val="24"/>
        </w:rPr>
        <w:t>1</w:t>
      </w:r>
      <w:r w:rsidR="00C65F41" w:rsidRPr="004F538D">
        <w:rPr>
          <w:rFonts w:ascii="Times New Roman" w:hAnsi="Times New Roman" w:cs="Times New Roman"/>
          <w:sz w:val="24"/>
          <w:szCs w:val="24"/>
        </w:rPr>
        <w:t xml:space="preserve">0) and this informed the use of fixed effects model in the regression analyses. This approach is consistent with studies such as Salleh, Baatwah and Ahmad (2017) and </w:t>
      </w:r>
      <w:r w:rsidR="000D3E07">
        <w:rPr>
          <w:rFonts w:ascii="Times New Roman" w:hAnsi="Times New Roman" w:cs="Times New Roman"/>
          <w:sz w:val="24"/>
          <w:szCs w:val="24"/>
        </w:rPr>
        <w:t xml:space="preserve">Habib and </w:t>
      </w:r>
      <w:r w:rsidR="00C65F41" w:rsidRPr="004F538D">
        <w:rPr>
          <w:rFonts w:ascii="Times New Roman" w:hAnsi="Times New Roman" w:cs="Times New Roman"/>
          <w:sz w:val="24"/>
          <w:szCs w:val="24"/>
        </w:rPr>
        <w:t>Muhammadi (2018).</w:t>
      </w:r>
      <w:r w:rsidRPr="004F538D">
        <w:rPr>
          <w:rFonts w:ascii="Times New Roman" w:hAnsi="Times New Roman" w:cs="Times New Roman"/>
          <w:sz w:val="24"/>
          <w:szCs w:val="24"/>
        </w:rPr>
        <w:t xml:space="preserve"> Due to potential self-selection bias in the variables being tested, a Heckman </w:t>
      </w:r>
      <w:r w:rsidR="00F67C47" w:rsidRPr="004F538D">
        <w:rPr>
          <w:rFonts w:ascii="Times New Roman" w:hAnsi="Times New Roman" w:cs="Times New Roman"/>
          <w:sz w:val="24"/>
          <w:szCs w:val="24"/>
        </w:rPr>
        <w:t>self-</w:t>
      </w:r>
      <w:r w:rsidRPr="004F538D">
        <w:rPr>
          <w:rFonts w:ascii="Times New Roman" w:hAnsi="Times New Roman" w:cs="Times New Roman"/>
          <w:sz w:val="24"/>
          <w:szCs w:val="24"/>
        </w:rPr>
        <w:t xml:space="preserve">selection approach </w:t>
      </w:r>
      <w:r w:rsidR="00F67C47" w:rsidRPr="004F538D">
        <w:rPr>
          <w:rFonts w:ascii="Times New Roman" w:hAnsi="Times New Roman" w:cs="Times New Roman"/>
          <w:sz w:val="24"/>
          <w:szCs w:val="24"/>
        </w:rPr>
        <w:t xml:space="preserve">is </w:t>
      </w:r>
      <w:r w:rsidR="00F654D0">
        <w:rPr>
          <w:rFonts w:ascii="Times New Roman" w:hAnsi="Times New Roman" w:cs="Times New Roman"/>
          <w:sz w:val="24"/>
          <w:szCs w:val="24"/>
        </w:rPr>
        <w:t>performed</w:t>
      </w:r>
      <w:r w:rsidR="00F67C47" w:rsidRPr="004F538D">
        <w:rPr>
          <w:rFonts w:ascii="Times New Roman" w:hAnsi="Times New Roman" w:cs="Times New Roman"/>
          <w:sz w:val="24"/>
          <w:szCs w:val="24"/>
        </w:rPr>
        <w:t xml:space="preserve"> in one of the robustness checks.</w:t>
      </w:r>
      <w:r w:rsidRPr="004F538D">
        <w:rPr>
          <w:rFonts w:ascii="Times New Roman" w:hAnsi="Times New Roman" w:cs="Times New Roman"/>
          <w:sz w:val="24"/>
          <w:szCs w:val="24"/>
        </w:rPr>
        <w:t xml:space="preserve"> </w:t>
      </w:r>
    </w:p>
    <w:p w14:paraId="54B7A903" w14:textId="3BA05439" w:rsidR="00F315C1" w:rsidRPr="004F538D" w:rsidRDefault="00F315C1" w:rsidP="00C71382">
      <w:pPr>
        <w:pStyle w:val="ListParagraph"/>
        <w:numPr>
          <w:ilvl w:val="0"/>
          <w:numId w:val="26"/>
        </w:numPr>
        <w:spacing w:before="240"/>
        <w:jc w:val="both"/>
        <w:rPr>
          <w:rFonts w:ascii="Times New Roman" w:hAnsi="Times New Roman" w:cs="Times New Roman"/>
          <w:b/>
          <w:sz w:val="24"/>
          <w:szCs w:val="24"/>
        </w:rPr>
      </w:pPr>
      <w:r w:rsidRPr="004F538D">
        <w:rPr>
          <w:rFonts w:ascii="Times New Roman" w:hAnsi="Times New Roman" w:cs="Times New Roman"/>
          <w:b/>
          <w:sz w:val="24"/>
          <w:szCs w:val="24"/>
        </w:rPr>
        <w:t>Results and discussion</w:t>
      </w:r>
    </w:p>
    <w:p w14:paraId="32F3DC39" w14:textId="77777777" w:rsidR="00F315C1" w:rsidRPr="004F538D" w:rsidRDefault="00F315C1" w:rsidP="00F315C1">
      <w:pPr>
        <w:pStyle w:val="ListParagraph"/>
        <w:numPr>
          <w:ilvl w:val="1"/>
          <w:numId w:val="27"/>
        </w:numPr>
        <w:jc w:val="both"/>
        <w:rPr>
          <w:rFonts w:ascii="Times New Roman" w:hAnsi="Times New Roman" w:cs="Times New Roman"/>
          <w:i/>
          <w:sz w:val="24"/>
          <w:szCs w:val="24"/>
        </w:rPr>
      </w:pPr>
      <w:r w:rsidRPr="004F538D">
        <w:rPr>
          <w:rFonts w:ascii="Times New Roman" w:hAnsi="Times New Roman" w:cs="Times New Roman"/>
          <w:i/>
          <w:sz w:val="24"/>
          <w:szCs w:val="24"/>
        </w:rPr>
        <w:t>Descriptive statistics</w:t>
      </w:r>
    </w:p>
    <w:p w14:paraId="611B2F10" w14:textId="4E75C92D" w:rsidR="00D51CBF" w:rsidRPr="004F538D" w:rsidRDefault="00C71382" w:rsidP="00D65B3A">
      <w:pPr>
        <w:jc w:val="both"/>
        <w:rPr>
          <w:rFonts w:ascii="Times New Roman" w:hAnsi="Times New Roman" w:cs="Times New Roman"/>
          <w:sz w:val="24"/>
          <w:szCs w:val="24"/>
        </w:rPr>
      </w:pPr>
      <w:r w:rsidRPr="004F538D">
        <w:rPr>
          <w:rFonts w:ascii="Times New Roman" w:hAnsi="Times New Roman" w:cs="Times New Roman"/>
          <w:sz w:val="24"/>
          <w:szCs w:val="24"/>
        </w:rPr>
        <w:t>Table 4</w:t>
      </w:r>
      <w:r w:rsidR="008A1BF0" w:rsidRPr="004F538D">
        <w:rPr>
          <w:rFonts w:ascii="Times New Roman" w:hAnsi="Times New Roman" w:cs="Times New Roman"/>
          <w:sz w:val="24"/>
          <w:szCs w:val="24"/>
        </w:rPr>
        <w:t xml:space="preserve"> presents the descriptive statistics on all variables in the study. In absolute terms, the mean (median) ARD </w:t>
      </w:r>
      <w:r w:rsidR="0034461C" w:rsidRPr="004F538D">
        <w:rPr>
          <w:rFonts w:ascii="Times New Roman" w:hAnsi="Times New Roman" w:cs="Times New Roman"/>
          <w:sz w:val="24"/>
          <w:szCs w:val="24"/>
        </w:rPr>
        <w:t xml:space="preserve">in days is 86.310 (84.000). </w:t>
      </w:r>
      <w:r w:rsidR="005C6A4D" w:rsidRPr="004F538D">
        <w:rPr>
          <w:rFonts w:ascii="Times New Roman" w:hAnsi="Times New Roman" w:cs="Times New Roman"/>
          <w:sz w:val="24"/>
          <w:szCs w:val="24"/>
        </w:rPr>
        <w:t>The ARD is slightly higher than the</w:t>
      </w:r>
      <w:r w:rsidR="007B7B3F">
        <w:rPr>
          <w:rFonts w:ascii="Times New Roman" w:hAnsi="Times New Roman" w:cs="Times New Roman"/>
          <w:sz w:val="24"/>
          <w:szCs w:val="24"/>
        </w:rPr>
        <w:t xml:space="preserve"> </w:t>
      </w:r>
      <w:r w:rsidR="005C6A4D" w:rsidRPr="004F538D">
        <w:rPr>
          <w:rFonts w:ascii="Times New Roman" w:hAnsi="Times New Roman" w:cs="Times New Roman"/>
          <w:sz w:val="24"/>
          <w:szCs w:val="24"/>
        </w:rPr>
        <w:t>75.490 days reported by Tauringana, Kyeyune and Opio (2008) for listed firms in Kenya over the period 2005-</w:t>
      </w:r>
      <w:r w:rsidR="0038230B" w:rsidRPr="004F538D">
        <w:rPr>
          <w:rFonts w:ascii="Times New Roman" w:hAnsi="Times New Roman" w:cs="Times New Roman"/>
          <w:sz w:val="24"/>
          <w:szCs w:val="24"/>
        </w:rPr>
        <w:t>20</w:t>
      </w:r>
      <w:r w:rsidR="005C6A4D" w:rsidRPr="004F538D">
        <w:rPr>
          <w:rFonts w:ascii="Times New Roman" w:hAnsi="Times New Roman" w:cs="Times New Roman"/>
          <w:sz w:val="24"/>
          <w:szCs w:val="24"/>
        </w:rPr>
        <w:t>06</w:t>
      </w:r>
      <w:r w:rsidR="00E2076F" w:rsidRPr="004F538D">
        <w:rPr>
          <w:rFonts w:ascii="Times New Roman" w:hAnsi="Times New Roman" w:cs="Times New Roman"/>
          <w:sz w:val="24"/>
          <w:szCs w:val="24"/>
        </w:rPr>
        <w:t xml:space="preserve"> but is within the requirement by the Kenyan Capital Markets Authority to file the audited annual report within </w:t>
      </w:r>
      <w:r w:rsidR="00333AFE">
        <w:rPr>
          <w:rFonts w:ascii="Times New Roman" w:hAnsi="Times New Roman" w:cs="Times New Roman"/>
          <w:sz w:val="24"/>
          <w:szCs w:val="24"/>
        </w:rPr>
        <w:t>six</w:t>
      </w:r>
      <w:r w:rsidR="00E2076F" w:rsidRPr="004F538D">
        <w:rPr>
          <w:rFonts w:ascii="Times New Roman" w:hAnsi="Times New Roman" w:cs="Times New Roman"/>
          <w:sz w:val="24"/>
          <w:szCs w:val="24"/>
        </w:rPr>
        <w:t xml:space="preserve"> months</w:t>
      </w:r>
      <w:r w:rsidR="00333AFE">
        <w:rPr>
          <w:rFonts w:ascii="Times New Roman" w:hAnsi="Times New Roman" w:cs="Times New Roman"/>
          <w:sz w:val="24"/>
          <w:szCs w:val="24"/>
        </w:rPr>
        <w:t xml:space="preserve"> after year end</w:t>
      </w:r>
      <w:r w:rsidR="005C6A4D" w:rsidRPr="004F538D">
        <w:rPr>
          <w:rFonts w:ascii="Times New Roman" w:hAnsi="Times New Roman" w:cs="Times New Roman"/>
          <w:sz w:val="24"/>
          <w:szCs w:val="24"/>
        </w:rPr>
        <w:t>.</w:t>
      </w:r>
      <w:r w:rsidR="00E2076F" w:rsidRPr="004F538D">
        <w:rPr>
          <w:rFonts w:ascii="Times New Roman" w:hAnsi="Times New Roman" w:cs="Times New Roman"/>
          <w:sz w:val="24"/>
          <w:szCs w:val="24"/>
        </w:rPr>
        <w:t xml:space="preserve"> </w:t>
      </w:r>
      <w:r w:rsidR="005C6A4D" w:rsidRPr="004F538D">
        <w:rPr>
          <w:rFonts w:ascii="Times New Roman" w:hAnsi="Times New Roman" w:cs="Times New Roman"/>
          <w:sz w:val="24"/>
          <w:szCs w:val="24"/>
        </w:rPr>
        <w:t xml:space="preserve"> </w:t>
      </w:r>
      <w:r w:rsidR="00E2076F" w:rsidRPr="004F538D">
        <w:rPr>
          <w:rFonts w:ascii="Times New Roman" w:hAnsi="Times New Roman" w:cs="Times New Roman"/>
          <w:sz w:val="24"/>
          <w:szCs w:val="24"/>
        </w:rPr>
        <w:t xml:space="preserve">There is only one instance where </w:t>
      </w:r>
      <w:r w:rsidR="004F290D">
        <w:rPr>
          <w:rFonts w:ascii="Times New Roman" w:hAnsi="Times New Roman" w:cs="Times New Roman"/>
          <w:sz w:val="24"/>
          <w:szCs w:val="24"/>
        </w:rPr>
        <w:t>a</w:t>
      </w:r>
      <w:r w:rsidR="00E2076F" w:rsidRPr="004F538D">
        <w:rPr>
          <w:rFonts w:ascii="Times New Roman" w:hAnsi="Times New Roman" w:cs="Times New Roman"/>
          <w:sz w:val="24"/>
          <w:szCs w:val="24"/>
        </w:rPr>
        <w:t xml:space="preserve"> company in the sample had an ARD above the regulatory limit in one year (218 days).</w:t>
      </w:r>
      <w:r w:rsidR="00E2076F" w:rsidRPr="004F538D">
        <w:rPr>
          <w:rStyle w:val="FootnoteReference"/>
          <w:rFonts w:ascii="Times New Roman" w:hAnsi="Times New Roman" w:cs="Times New Roman"/>
          <w:color w:val="000000"/>
          <w:sz w:val="20"/>
          <w:szCs w:val="20"/>
        </w:rPr>
        <w:footnoteReference w:id="10"/>
      </w:r>
      <w:r w:rsidR="00D51CBF" w:rsidRPr="004F538D">
        <w:rPr>
          <w:rFonts w:ascii="Times New Roman" w:hAnsi="Times New Roman" w:cs="Times New Roman"/>
          <w:sz w:val="24"/>
          <w:szCs w:val="24"/>
        </w:rPr>
        <w:t xml:space="preserve"> </w:t>
      </w:r>
      <w:r w:rsidR="0038230B" w:rsidRPr="004F538D">
        <w:rPr>
          <w:rFonts w:ascii="Times New Roman" w:hAnsi="Times New Roman" w:cs="Times New Roman"/>
          <w:sz w:val="24"/>
          <w:szCs w:val="24"/>
        </w:rPr>
        <w:t xml:space="preserve">The mean (median) </w:t>
      </w:r>
      <w:r w:rsidR="0038230B" w:rsidRPr="00CB2A3D">
        <w:rPr>
          <w:rFonts w:ascii="Times New Roman" w:hAnsi="Times New Roman" w:cs="Times New Roman"/>
          <w:i/>
          <w:sz w:val="24"/>
          <w:szCs w:val="24"/>
        </w:rPr>
        <w:t>lnARD</w:t>
      </w:r>
      <w:r w:rsidR="0038230B" w:rsidRPr="004F538D">
        <w:rPr>
          <w:rFonts w:ascii="Times New Roman" w:hAnsi="Times New Roman" w:cs="Times New Roman"/>
          <w:sz w:val="24"/>
          <w:szCs w:val="24"/>
        </w:rPr>
        <w:t xml:space="preserve"> of 4.408 (4.431) reflects a relatively normal distribution.</w:t>
      </w:r>
      <w:r w:rsidR="0038230B" w:rsidRPr="004F538D">
        <w:rPr>
          <w:rStyle w:val="FootnoteReference"/>
          <w:rFonts w:ascii="Times New Roman" w:hAnsi="Times New Roman" w:cs="Times New Roman"/>
          <w:sz w:val="24"/>
          <w:szCs w:val="24"/>
        </w:rPr>
        <w:footnoteReference w:id="11"/>
      </w:r>
    </w:p>
    <w:p w14:paraId="377F2FB1" w14:textId="19FCAB4A" w:rsidR="00892BD5" w:rsidRPr="004F538D" w:rsidRDefault="00D51CBF" w:rsidP="00B00455">
      <w:pPr>
        <w:jc w:val="both"/>
        <w:rPr>
          <w:rFonts w:ascii="Times New Roman" w:hAnsi="Times New Roman" w:cs="Times New Roman"/>
          <w:sz w:val="24"/>
          <w:szCs w:val="24"/>
        </w:rPr>
      </w:pPr>
      <w:r w:rsidRPr="004F538D">
        <w:rPr>
          <w:rFonts w:ascii="Times New Roman" w:hAnsi="Times New Roman" w:cs="Times New Roman"/>
          <w:sz w:val="24"/>
          <w:szCs w:val="24"/>
        </w:rPr>
        <w:t xml:space="preserve">The reported mean ARD of 86.310 days is </w:t>
      </w:r>
      <w:r w:rsidR="0034461C" w:rsidRPr="004F538D">
        <w:rPr>
          <w:rFonts w:ascii="Times New Roman" w:hAnsi="Times New Roman" w:cs="Times New Roman"/>
          <w:sz w:val="24"/>
          <w:szCs w:val="24"/>
        </w:rPr>
        <w:t xml:space="preserve">higher than 67.212 days for Egyptian firms (Afify, 2009), 61.000 days for New Zealand firms (Habib &amp; Bhuiyan, 2011), 61.960 days for Compustat firms (Dao &amp; Pham, 2014), </w:t>
      </w:r>
      <w:r w:rsidRPr="004F538D">
        <w:rPr>
          <w:rFonts w:ascii="Times New Roman" w:hAnsi="Times New Roman" w:cs="Times New Roman"/>
          <w:sz w:val="24"/>
          <w:szCs w:val="24"/>
        </w:rPr>
        <w:t xml:space="preserve">84.340 days for Chinese firms according to Habib (2015) and 79 days for Indonesian firms according to Rusmin and Evans (2017). It is however lower than the ARD of </w:t>
      </w:r>
      <w:r w:rsidR="00E21998" w:rsidRPr="004F538D">
        <w:rPr>
          <w:rFonts w:ascii="Times New Roman" w:hAnsi="Times New Roman" w:cs="Times New Roman"/>
          <w:sz w:val="24"/>
          <w:szCs w:val="24"/>
        </w:rPr>
        <w:t>86.660</w:t>
      </w:r>
      <w:r w:rsidRPr="004F538D">
        <w:rPr>
          <w:rFonts w:ascii="Times New Roman" w:hAnsi="Times New Roman" w:cs="Times New Roman"/>
          <w:sz w:val="24"/>
          <w:szCs w:val="24"/>
        </w:rPr>
        <w:t xml:space="preserve"> days for Chinese firms (</w:t>
      </w:r>
      <w:r w:rsidR="00E21998" w:rsidRPr="004F538D">
        <w:rPr>
          <w:rFonts w:ascii="Times New Roman" w:hAnsi="Times New Roman" w:cs="Times New Roman"/>
          <w:sz w:val="24"/>
          <w:szCs w:val="24"/>
        </w:rPr>
        <w:t xml:space="preserve">Chan, Luo </w:t>
      </w:r>
      <w:r w:rsidRPr="004F538D">
        <w:rPr>
          <w:rFonts w:ascii="Times New Roman" w:hAnsi="Times New Roman" w:cs="Times New Roman"/>
          <w:sz w:val="24"/>
          <w:szCs w:val="24"/>
        </w:rPr>
        <w:t xml:space="preserve">&amp; </w:t>
      </w:r>
      <w:r w:rsidR="00E21998" w:rsidRPr="004F538D">
        <w:rPr>
          <w:rFonts w:ascii="Times New Roman" w:hAnsi="Times New Roman" w:cs="Times New Roman"/>
          <w:sz w:val="24"/>
          <w:szCs w:val="24"/>
        </w:rPr>
        <w:t>Mo</w:t>
      </w:r>
      <w:r w:rsidRPr="004F538D">
        <w:rPr>
          <w:rFonts w:ascii="Times New Roman" w:hAnsi="Times New Roman" w:cs="Times New Roman"/>
          <w:sz w:val="24"/>
          <w:szCs w:val="24"/>
        </w:rPr>
        <w:t xml:space="preserve">, </w:t>
      </w:r>
      <w:r w:rsidR="00E21998" w:rsidRPr="004F538D">
        <w:rPr>
          <w:rFonts w:ascii="Times New Roman" w:hAnsi="Times New Roman" w:cs="Times New Roman"/>
          <w:sz w:val="24"/>
          <w:szCs w:val="24"/>
        </w:rPr>
        <w:t xml:space="preserve">2016) </w:t>
      </w:r>
      <w:r w:rsidRPr="004F538D">
        <w:rPr>
          <w:rFonts w:ascii="Times New Roman" w:hAnsi="Times New Roman" w:cs="Times New Roman"/>
          <w:sz w:val="24"/>
          <w:szCs w:val="24"/>
        </w:rPr>
        <w:t xml:space="preserve">and 136 days for Tunisian firms according to Oussii and Taktak (2018). </w:t>
      </w:r>
      <w:r w:rsidR="00892BD5" w:rsidRPr="004F538D">
        <w:rPr>
          <w:rFonts w:ascii="Times New Roman" w:hAnsi="Times New Roman" w:cs="Times New Roman"/>
          <w:sz w:val="24"/>
          <w:szCs w:val="24"/>
        </w:rPr>
        <w:t>The findings depict that the ARD keeps changing over time as shown by the difference between the present study and Tauringana, Kyeyune and Opio (2008) in the case of Kenyan listed firms and the two studies by Habib (2015) and Chan, Luo and Mo (2016) in the case of Chinese firms.</w:t>
      </w:r>
    </w:p>
    <w:p w14:paraId="62A2D184" w14:textId="0A71C604" w:rsidR="00054E92" w:rsidRPr="004F538D" w:rsidRDefault="00501774" w:rsidP="00D65B3A">
      <w:pPr>
        <w:jc w:val="both"/>
        <w:rPr>
          <w:rFonts w:ascii="Times New Roman" w:hAnsi="Times New Roman" w:cs="Times New Roman"/>
          <w:sz w:val="24"/>
          <w:szCs w:val="24"/>
        </w:rPr>
      </w:pPr>
      <w:r w:rsidRPr="004F538D">
        <w:rPr>
          <w:rFonts w:ascii="Times New Roman" w:hAnsi="Times New Roman" w:cs="Times New Roman"/>
          <w:sz w:val="24"/>
          <w:szCs w:val="24"/>
        </w:rPr>
        <w:t xml:space="preserve">The results in Table 4 reveal that the companies in the sample have adopted the CG mechanisms </w:t>
      </w:r>
      <w:r w:rsidR="00E74B25" w:rsidRPr="004F538D">
        <w:rPr>
          <w:rFonts w:ascii="Times New Roman" w:hAnsi="Times New Roman" w:cs="Times New Roman"/>
          <w:sz w:val="24"/>
          <w:szCs w:val="24"/>
        </w:rPr>
        <w:t xml:space="preserve">included in the appendix with a mean(median) </w:t>
      </w:r>
      <w:r w:rsidRPr="004F538D">
        <w:rPr>
          <w:rFonts w:ascii="Times New Roman" w:hAnsi="Times New Roman" w:cs="Times New Roman"/>
          <w:sz w:val="24"/>
          <w:szCs w:val="24"/>
        </w:rPr>
        <w:t>sco</w:t>
      </w:r>
      <w:r w:rsidR="006D6270" w:rsidRPr="004F538D">
        <w:rPr>
          <w:rFonts w:ascii="Times New Roman" w:hAnsi="Times New Roman" w:cs="Times New Roman"/>
          <w:sz w:val="24"/>
          <w:szCs w:val="24"/>
        </w:rPr>
        <w:t xml:space="preserve">re of </w:t>
      </w:r>
      <w:r w:rsidR="00076011" w:rsidRPr="004F538D">
        <w:rPr>
          <w:rFonts w:ascii="Times New Roman" w:hAnsi="Times New Roman" w:cs="Times New Roman"/>
          <w:sz w:val="24"/>
          <w:szCs w:val="24"/>
        </w:rPr>
        <w:t>56.</w:t>
      </w:r>
      <w:r w:rsidR="00F17A59">
        <w:rPr>
          <w:rFonts w:ascii="Times New Roman" w:hAnsi="Times New Roman" w:cs="Times New Roman"/>
          <w:sz w:val="24"/>
          <w:szCs w:val="24"/>
        </w:rPr>
        <w:t xml:space="preserve">7 </w:t>
      </w:r>
      <w:r w:rsidR="00E74B25" w:rsidRPr="004F538D">
        <w:rPr>
          <w:rFonts w:ascii="Times New Roman" w:hAnsi="Times New Roman" w:cs="Times New Roman"/>
          <w:sz w:val="24"/>
          <w:szCs w:val="24"/>
        </w:rPr>
        <w:t>(</w:t>
      </w:r>
      <w:r w:rsidR="00076011" w:rsidRPr="004F538D">
        <w:rPr>
          <w:rFonts w:ascii="Times New Roman" w:hAnsi="Times New Roman" w:cs="Times New Roman"/>
          <w:sz w:val="24"/>
          <w:szCs w:val="24"/>
        </w:rPr>
        <w:t>62.5</w:t>
      </w:r>
      <w:r w:rsidR="00E74B25" w:rsidRPr="004F538D">
        <w:rPr>
          <w:rFonts w:ascii="Times New Roman" w:hAnsi="Times New Roman" w:cs="Times New Roman"/>
          <w:sz w:val="24"/>
          <w:szCs w:val="24"/>
        </w:rPr>
        <w:t xml:space="preserve">) </w:t>
      </w:r>
      <w:r w:rsidRPr="004F538D">
        <w:rPr>
          <w:rFonts w:ascii="Times New Roman" w:hAnsi="Times New Roman" w:cs="Times New Roman"/>
          <w:sz w:val="24"/>
          <w:szCs w:val="24"/>
        </w:rPr>
        <w:t>percent.</w:t>
      </w:r>
      <w:r w:rsidR="001F18F9" w:rsidRPr="004F538D">
        <w:rPr>
          <w:rFonts w:ascii="Times New Roman" w:hAnsi="Times New Roman" w:cs="Times New Roman"/>
          <w:sz w:val="24"/>
          <w:szCs w:val="24"/>
        </w:rPr>
        <w:t xml:space="preserve"> This score is higher than the 52 percent established by </w:t>
      </w:r>
      <w:r w:rsidR="001F18F9" w:rsidRPr="004F538D">
        <w:rPr>
          <w:rFonts w:ascii="Times New Roman" w:hAnsi="Times New Roman" w:cs="Times New Roman"/>
          <w:sz w:val="24"/>
          <w:szCs w:val="26"/>
        </w:rPr>
        <w:t>B</w:t>
      </w:r>
      <w:r w:rsidR="001F18F9" w:rsidRPr="004F538D">
        <w:rPr>
          <w:rFonts w:ascii="Times New Roman" w:hAnsi="Times New Roman" w:cs="Times New Roman"/>
          <w:sz w:val="24"/>
          <w:szCs w:val="24"/>
        </w:rPr>
        <w:t xml:space="preserve">aatwah, Salleh and Ahmad (2015) for listed companies on the Muscat Securities Market. </w:t>
      </w:r>
      <w:r w:rsidRPr="004F538D">
        <w:rPr>
          <w:rFonts w:ascii="Times New Roman" w:hAnsi="Times New Roman" w:cs="Times New Roman"/>
          <w:sz w:val="24"/>
          <w:szCs w:val="24"/>
        </w:rPr>
        <w:t>Notably, 79 percent of the firms’ AC members have financial expertise</w:t>
      </w:r>
      <w:r w:rsidR="001F18F9" w:rsidRPr="004F538D">
        <w:rPr>
          <w:rFonts w:ascii="Times New Roman" w:hAnsi="Times New Roman" w:cs="Times New Roman"/>
          <w:sz w:val="24"/>
          <w:szCs w:val="24"/>
        </w:rPr>
        <w:t xml:space="preserve"> compared to 92 percent of FTSE350 firms (Ghafran &amp; Yasmin, 2017)</w:t>
      </w:r>
      <w:r w:rsidRPr="004F538D">
        <w:rPr>
          <w:rFonts w:ascii="Times New Roman" w:hAnsi="Times New Roman" w:cs="Times New Roman"/>
          <w:sz w:val="24"/>
          <w:szCs w:val="24"/>
        </w:rPr>
        <w:t xml:space="preserve">. The results show that a typical board has 8 members with a majority of them being non-executive (5 members). The results also depict that </w:t>
      </w:r>
      <w:r w:rsidR="00C14689" w:rsidRPr="004F538D">
        <w:rPr>
          <w:rFonts w:ascii="Times New Roman" w:hAnsi="Times New Roman" w:cs="Times New Roman"/>
          <w:sz w:val="24"/>
          <w:szCs w:val="24"/>
        </w:rPr>
        <w:t>the boards of listed companies in Kenya score low in diversity as shown by the number of women and the number of nat</w:t>
      </w:r>
      <w:r w:rsidR="00054E92" w:rsidRPr="004F538D">
        <w:rPr>
          <w:rFonts w:ascii="Times New Roman" w:hAnsi="Times New Roman" w:cs="Times New Roman"/>
          <w:sz w:val="24"/>
          <w:szCs w:val="24"/>
        </w:rPr>
        <w:t>i</w:t>
      </w:r>
      <w:r w:rsidR="001F18F9" w:rsidRPr="004F538D">
        <w:rPr>
          <w:rFonts w:ascii="Times New Roman" w:hAnsi="Times New Roman" w:cs="Times New Roman"/>
          <w:sz w:val="24"/>
          <w:szCs w:val="24"/>
        </w:rPr>
        <w:t xml:space="preserve">onalities </w:t>
      </w:r>
      <w:r w:rsidR="00625CAB">
        <w:rPr>
          <w:rFonts w:ascii="Times New Roman" w:hAnsi="Times New Roman" w:cs="Times New Roman"/>
          <w:sz w:val="24"/>
          <w:szCs w:val="24"/>
        </w:rPr>
        <w:t xml:space="preserve">represented </w:t>
      </w:r>
      <w:r w:rsidR="001F18F9" w:rsidRPr="004F538D">
        <w:rPr>
          <w:rFonts w:ascii="Times New Roman" w:hAnsi="Times New Roman" w:cs="Times New Roman"/>
          <w:sz w:val="24"/>
          <w:szCs w:val="24"/>
        </w:rPr>
        <w:t>in the board.</w:t>
      </w:r>
      <w:r w:rsidR="00D11E49" w:rsidRPr="004F538D">
        <w:rPr>
          <w:rFonts w:ascii="Times New Roman" w:hAnsi="Times New Roman" w:cs="Times New Roman"/>
          <w:sz w:val="24"/>
          <w:szCs w:val="24"/>
        </w:rPr>
        <w:t xml:space="preserve"> According to the results, the independent board members have served for an average </w:t>
      </w:r>
      <w:r w:rsidR="00F17A59">
        <w:rPr>
          <w:rFonts w:ascii="Times New Roman" w:hAnsi="Times New Roman" w:cs="Times New Roman"/>
          <w:sz w:val="24"/>
          <w:szCs w:val="24"/>
        </w:rPr>
        <w:t>of 2 years. The results show a maximum tenure of</w:t>
      </w:r>
      <w:r w:rsidR="00D11E49" w:rsidRPr="004F538D">
        <w:rPr>
          <w:rFonts w:ascii="Times New Roman" w:hAnsi="Times New Roman" w:cs="Times New Roman"/>
          <w:sz w:val="24"/>
          <w:szCs w:val="24"/>
        </w:rPr>
        <w:t xml:space="preserve"> 8 years which is within the regulatory limit of 9 years according the code of </w:t>
      </w:r>
      <w:r w:rsidR="00625CAB">
        <w:rPr>
          <w:rFonts w:ascii="Times New Roman" w:hAnsi="Times New Roman" w:cs="Times New Roman"/>
          <w:sz w:val="24"/>
          <w:szCs w:val="24"/>
        </w:rPr>
        <w:t>CG</w:t>
      </w:r>
      <w:r w:rsidR="00D11E49" w:rsidRPr="004F538D">
        <w:rPr>
          <w:rFonts w:ascii="Times New Roman" w:hAnsi="Times New Roman" w:cs="Times New Roman"/>
          <w:sz w:val="24"/>
          <w:szCs w:val="24"/>
        </w:rPr>
        <w:t xml:space="preserve"> for listed companies in Kenya</w:t>
      </w:r>
      <w:r w:rsidR="00CC678E" w:rsidRPr="004F538D">
        <w:rPr>
          <w:rFonts w:ascii="Times New Roman" w:hAnsi="Times New Roman" w:cs="Times New Roman"/>
          <w:sz w:val="24"/>
          <w:szCs w:val="24"/>
        </w:rPr>
        <w:t xml:space="preserve"> (CCGSI, 2015)</w:t>
      </w:r>
      <w:r w:rsidR="00D11E49" w:rsidRPr="004F538D">
        <w:rPr>
          <w:rFonts w:ascii="Times New Roman" w:hAnsi="Times New Roman" w:cs="Times New Roman"/>
          <w:sz w:val="24"/>
          <w:szCs w:val="24"/>
        </w:rPr>
        <w:t>.</w:t>
      </w:r>
    </w:p>
    <w:p w14:paraId="131D6EBD" w14:textId="2661B3AA" w:rsidR="00507F0F" w:rsidRDefault="00054E92" w:rsidP="00B566F2">
      <w:pPr>
        <w:jc w:val="both"/>
        <w:rPr>
          <w:rFonts w:ascii="Times New Roman" w:hAnsi="Times New Roman" w:cs="Times New Roman"/>
          <w:sz w:val="24"/>
          <w:szCs w:val="24"/>
        </w:rPr>
      </w:pPr>
      <w:r w:rsidRPr="004F538D">
        <w:rPr>
          <w:rFonts w:ascii="Times New Roman" w:hAnsi="Times New Roman" w:cs="Times New Roman"/>
          <w:sz w:val="24"/>
          <w:szCs w:val="24"/>
        </w:rPr>
        <w:t xml:space="preserve">With regard to the control variables, the results show that the sampled companies demonstrate a </w:t>
      </w:r>
      <w:r w:rsidR="00561C78" w:rsidRPr="004F538D">
        <w:rPr>
          <w:rFonts w:ascii="Times New Roman" w:hAnsi="Times New Roman" w:cs="Times New Roman"/>
          <w:sz w:val="24"/>
          <w:szCs w:val="24"/>
        </w:rPr>
        <w:t xml:space="preserve">relatively </w:t>
      </w:r>
      <w:r w:rsidRPr="004F538D">
        <w:rPr>
          <w:rFonts w:ascii="Times New Roman" w:hAnsi="Times New Roman" w:cs="Times New Roman"/>
          <w:sz w:val="24"/>
          <w:szCs w:val="24"/>
        </w:rPr>
        <w:t xml:space="preserve">good liquidity position above the threshold of 2. </w:t>
      </w:r>
      <w:r w:rsidR="0069117A" w:rsidRPr="004F538D">
        <w:rPr>
          <w:rFonts w:ascii="Times New Roman" w:hAnsi="Times New Roman" w:cs="Times New Roman"/>
          <w:sz w:val="24"/>
          <w:szCs w:val="24"/>
        </w:rPr>
        <w:t>The average inventory and receivables to total assets is 1</w:t>
      </w:r>
      <w:r w:rsidR="00E52D26" w:rsidRPr="004F538D">
        <w:rPr>
          <w:rFonts w:ascii="Times New Roman" w:hAnsi="Times New Roman" w:cs="Times New Roman"/>
          <w:sz w:val="24"/>
          <w:szCs w:val="24"/>
        </w:rPr>
        <w:t>6.8</w:t>
      </w:r>
      <w:r w:rsidR="0069117A" w:rsidRPr="004F538D">
        <w:rPr>
          <w:rFonts w:ascii="Times New Roman" w:hAnsi="Times New Roman" w:cs="Times New Roman"/>
          <w:sz w:val="24"/>
          <w:szCs w:val="24"/>
        </w:rPr>
        <w:t xml:space="preserve"> percent </w:t>
      </w:r>
      <w:r w:rsidR="00B35B46" w:rsidRPr="004F538D">
        <w:rPr>
          <w:rFonts w:ascii="Times New Roman" w:hAnsi="Times New Roman" w:cs="Times New Roman"/>
          <w:sz w:val="24"/>
          <w:szCs w:val="24"/>
        </w:rPr>
        <w:t xml:space="preserve">which is lower than the 27.28 percent reported for FTSE 350 firms (Ghafran &amp; Yasmin, 2017). The firms in the sample have a mean </w:t>
      </w:r>
      <w:r w:rsidR="0069117A" w:rsidRPr="004F538D">
        <w:rPr>
          <w:rFonts w:ascii="Times New Roman" w:hAnsi="Times New Roman" w:cs="Times New Roman"/>
          <w:sz w:val="24"/>
          <w:szCs w:val="24"/>
        </w:rPr>
        <w:t>Z-Score of -2.355</w:t>
      </w:r>
      <w:r w:rsidR="00B35B46" w:rsidRPr="004F538D">
        <w:rPr>
          <w:rFonts w:ascii="Times New Roman" w:hAnsi="Times New Roman" w:cs="Times New Roman"/>
          <w:sz w:val="24"/>
          <w:szCs w:val="24"/>
        </w:rPr>
        <w:t xml:space="preserve"> which seems to be lower than the -14.60 established for Indonesian firms by Ika and Ghazali (2012). </w:t>
      </w:r>
      <w:r w:rsidR="0069117A" w:rsidRPr="004F538D">
        <w:rPr>
          <w:rFonts w:ascii="Times New Roman" w:hAnsi="Times New Roman" w:cs="Times New Roman"/>
          <w:sz w:val="24"/>
          <w:szCs w:val="24"/>
        </w:rPr>
        <w:t xml:space="preserve">We also find that 53 percent of the firms sampled provided the annual report in both Swahili and English </w:t>
      </w:r>
      <w:r w:rsidR="00813700" w:rsidRPr="004F538D">
        <w:rPr>
          <w:rFonts w:ascii="Times New Roman" w:hAnsi="Times New Roman" w:cs="Times New Roman"/>
          <w:sz w:val="24"/>
          <w:szCs w:val="24"/>
        </w:rPr>
        <w:t xml:space="preserve">which is lower than the 61 percent established for Kenyan listed firms by Tauringana, Kyeyune and Opio (2008) over the period 2005-2006. </w:t>
      </w:r>
      <w:r w:rsidR="00AA0C2A" w:rsidRPr="004F538D">
        <w:rPr>
          <w:rFonts w:ascii="Times New Roman" w:hAnsi="Times New Roman" w:cs="Times New Roman"/>
          <w:sz w:val="24"/>
          <w:szCs w:val="24"/>
        </w:rPr>
        <w:t>In terms of ownership, we find that 16.6</w:t>
      </w:r>
      <w:r w:rsidR="002F57B9">
        <w:rPr>
          <w:rFonts w:ascii="Times New Roman" w:hAnsi="Times New Roman" w:cs="Times New Roman"/>
          <w:sz w:val="24"/>
          <w:szCs w:val="24"/>
        </w:rPr>
        <w:t xml:space="preserve"> percent </w:t>
      </w:r>
      <w:r w:rsidR="00AA0C2A" w:rsidRPr="004F538D">
        <w:rPr>
          <w:rFonts w:ascii="Times New Roman" w:hAnsi="Times New Roman" w:cs="Times New Roman"/>
          <w:sz w:val="24"/>
          <w:szCs w:val="24"/>
        </w:rPr>
        <w:t>of the firms were family-owned.</w:t>
      </w:r>
      <w:r w:rsidR="00813700" w:rsidRPr="004F538D">
        <w:rPr>
          <w:rFonts w:ascii="Times New Roman" w:hAnsi="Times New Roman" w:cs="Times New Roman"/>
          <w:sz w:val="24"/>
          <w:szCs w:val="24"/>
        </w:rPr>
        <w:t xml:space="preserve"> T</w:t>
      </w:r>
      <w:r w:rsidR="00AA0C2A" w:rsidRPr="004F538D">
        <w:rPr>
          <w:rFonts w:ascii="Times New Roman" w:hAnsi="Times New Roman" w:cs="Times New Roman"/>
          <w:sz w:val="24"/>
          <w:szCs w:val="24"/>
        </w:rPr>
        <w:t xml:space="preserve">he average ROE </w:t>
      </w:r>
      <w:r w:rsidR="00813700" w:rsidRPr="004F538D">
        <w:rPr>
          <w:rFonts w:ascii="Times New Roman" w:hAnsi="Times New Roman" w:cs="Times New Roman"/>
          <w:sz w:val="24"/>
          <w:szCs w:val="24"/>
        </w:rPr>
        <w:t xml:space="preserve">for the sampled firms </w:t>
      </w:r>
      <w:r w:rsidR="00AA0C2A" w:rsidRPr="004F538D">
        <w:rPr>
          <w:rFonts w:ascii="Times New Roman" w:hAnsi="Times New Roman" w:cs="Times New Roman"/>
          <w:sz w:val="24"/>
          <w:szCs w:val="24"/>
        </w:rPr>
        <w:t>was 2.0</w:t>
      </w:r>
      <w:r w:rsidR="006D6270" w:rsidRPr="004F538D">
        <w:rPr>
          <w:rFonts w:ascii="Times New Roman" w:hAnsi="Times New Roman" w:cs="Times New Roman"/>
          <w:sz w:val="24"/>
          <w:szCs w:val="24"/>
        </w:rPr>
        <w:t>41</w:t>
      </w:r>
      <w:r w:rsidR="00813700" w:rsidRPr="004F538D">
        <w:rPr>
          <w:rFonts w:ascii="Times New Roman" w:hAnsi="Times New Roman" w:cs="Times New Roman"/>
          <w:sz w:val="24"/>
          <w:szCs w:val="24"/>
        </w:rPr>
        <w:t xml:space="preserve"> with 90 percent of the firms being audited by a Big 4 audit firm</w:t>
      </w:r>
      <w:r w:rsidR="00AA0C2A" w:rsidRPr="004F538D">
        <w:rPr>
          <w:rFonts w:ascii="Times New Roman" w:hAnsi="Times New Roman" w:cs="Times New Roman"/>
          <w:sz w:val="24"/>
          <w:szCs w:val="24"/>
        </w:rPr>
        <w:t>.</w:t>
      </w:r>
      <w:r w:rsidR="00813700" w:rsidRPr="004F538D">
        <w:rPr>
          <w:rFonts w:ascii="Times New Roman" w:hAnsi="Times New Roman" w:cs="Times New Roman"/>
          <w:sz w:val="24"/>
          <w:szCs w:val="24"/>
        </w:rPr>
        <w:t xml:space="preserve"> The results show that 64.6 percent of the firms have December as their financial year. This represents a relatively large number of companies being audited at around the same time, implying more work for the auditors</w:t>
      </w:r>
      <w:r w:rsidR="0058671A" w:rsidRPr="004F538D">
        <w:rPr>
          <w:rFonts w:ascii="Times New Roman" w:hAnsi="Times New Roman" w:cs="Times New Roman"/>
          <w:sz w:val="24"/>
          <w:szCs w:val="24"/>
        </w:rPr>
        <w:t xml:space="preserve"> which could impact the timeliness of the annual reports</w:t>
      </w:r>
      <w:r w:rsidR="00813700" w:rsidRPr="004F538D">
        <w:rPr>
          <w:rFonts w:ascii="Times New Roman" w:hAnsi="Times New Roman" w:cs="Times New Roman"/>
          <w:sz w:val="24"/>
          <w:szCs w:val="24"/>
        </w:rPr>
        <w:t>.</w:t>
      </w:r>
      <w:r w:rsidR="0058671A" w:rsidRPr="004F538D">
        <w:rPr>
          <w:rFonts w:ascii="Times New Roman" w:hAnsi="Times New Roman" w:cs="Times New Roman"/>
          <w:sz w:val="24"/>
          <w:szCs w:val="24"/>
        </w:rPr>
        <w:t xml:space="preserve"> </w:t>
      </w:r>
      <w:r w:rsidR="00C03FAA" w:rsidRPr="004F538D">
        <w:rPr>
          <w:rFonts w:ascii="Times New Roman" w:hAnsi="Times New Roman" w:cs="Times New Roman"/>
          <w:sz w:val="24"/>
          <w:szCs w:val="24"/>
        </w:rPr>
        <w:t>Finally, w</w:t>
      </w:r>
      <w:r w:rsidR="0058671A" w:rsidRPr="004F538D">
        <w:rPr>
          <w:rFonts w:ascii="Times New Roman" w:hAnsi="Times New Roman" w:cs="Times New Roman"/>
          <w:sz w:val="24"/>
          <w:szCs w:val="24"/>
        </w:rPr>
        <w:t>e find that 20.1</w:t>
      </w:r>
      <w:r w:rsidR="002F57B9">
        <w:rPr>
          <w:rFonts w:ascii="Times New Roman" w:hAnsi="Times New Roman" w:cs="Times New Roman"/>
          <w:sz w:val="24"/>
          <w:szCs w:val="24"/>
        </w:rPr>
        <w:t xml:space="preserve"> percent of the firms are cross-</w:t>
      </w:r>
      <w:r w:rsidR="0058671A" w:rsidRPr="004F538D">
        <w:rPr>
          <w:rFonts w:ascii="Times New Roman" w:hAnsi="Times New Roman" w:cs="Times New Roman"/>
          <w:sz w:val="24"/>
          <w:szCs w:val="24"/>
        </w:rPr>
        <w:t xml:space="preserve">listed </w:t>
      </w:r>
      <w:r w:rsidR="002F57B9">
        <w:rPr>
          <w:rFonts w:ascii="Times New Roman" w:hAnsi="Times New Roman" w:cs="Times New Roman"/>
          <w:sz w:val="24"/>
          <w:szCs w:val="24"/>
        </w:rPr>
        <w:t xml:space="preserve">and operating </w:t>
      </w:r>
      <w:r w:rsidR="0058671A" w:rsidRPr="004F538D">
        <w:rPr>
          <w:rFonts w:ascii="Times New Roman" w:hAnsi="Times New Roman" w:cs="Times New Roman"/>
          <w:sz w:val="24"/>
          <w:szCs w:val="24"/>
        </w:rPr>
        <w:t>at least one subsidiary</w:t>
      </w:r>
      <w:r w:rsidR="002F57B9">
        <w:rPr>
          <w:rFonts w:ascii="Times New Roman" w:hAnsi="Times New Roman" w:cs="Times New Roman"/>
          <w:sz w:val="24"/>
          <w:szCs w:val="24"/>
        </w:rPr>
        <w:t xml:space="preserve"> company.</w:t>
      </w:r>
    </w:p>
    <w:p w14:paraId="15E0C762" w14:textId="6B4DB3A8" w:rsidR="00170D06" w:rsidRPr="00170D06" w:rsidRDefault="00170D06" w:rsidP="00170D06">
      <w:pPr>
        <w:jc w:val="center"/>
        <w:rPr>
          <w:rFonts w:ascii="Times New Roman" w:hAnsi="Times New Roman" w:cs="Times New Roman"/>
          <w:b/>
          <w:sz w:val="24"/>
          <w:szCs w:val="24"/>
        </w:rPr>
      </w:pPr>
      <w:r w:rsidRPr="00170D06">
        <w:rPr>
          <w:rFonts w:ascii="Times New Roman" w:hAnsi="Times New Roman" w:cs="Times New Roman"/>
          <w:b/>
          <w:sz w:val="24"/>
          <w:szCs w:val="24"/>
        </w:rPr>
        <w:t>[Insert Table 4 about here]</w:t>
      </w:r>
    </w:p>
    <w:p w14:paraId="2A32ED84" w14:textId="77777777" w:rsidR="00F315C1" w:rsidRPr="004F538D" w:rsidRDefault="00F315C1" w:rsidP="00F315C1">
      <w:pPr>
        <w:pStyle w:val="ListParagraph"/>
        <w:numPr>
          <w:ilvl w:val="1"/>
          <w:numId w:val="27"/>
        </w:numPr>
        <w:jc w:val="both"/>
        <w:rPr>
          <w:rFonts w:ascii="Times New Roman" w:hAnsi="Times New Roman" w:cs="Times New Roman"/>
          <w:i/>
          <w:sz w:val="24"/>
          <w:szCs w:val="24"/>
        </w:rPr>
      </w:pPr>
      <w:r w:rsidRPr="004F538D">
        <w:rPr>
          <w:rFonts w:ascii="Times New Roman" w:hAnsi="Times New Roman" w:cs="Times New Roman"/>
          <w:i/>
          <w:sz w:val="24"/>
          <w:szCs w:val="24"/>
        </w:rPr>
        <w:t>Correlation analysis</w:t>
      </w:r>
    </w:p>
    <w:p w14:paraId="48DC9943" w14:textId="436FA493" w:rsidR="00A960E7" w:rsidRPr="004F538D" w:rsidRDefault="00A1019D" w:rsidP="00A960E7">
      <w:pPr>
        <w:jc w:val="both"/>
        <w:rPr>
          <w:rFonts w:ascii="Times New Roman" w:hAnsi="Times New Roman" w:cs="Times New Roman"/>
          <w:sz w:val="24"/>
          <w:szCs w:val="24"/>
        </w:rPr>
      </w:pPr>
      <w:r w:rsidRPr="004F538D">
        <w:rPr>
          <w:rFonts w:ascii="Times New Roman" w:hAnsi="Times New Roman" w:cs="Times New Roman"/>
          <w:sz w:val="24"/>
          <w:szCs w:val="24"/>
        </w:rPr>
        <w:t>Table 5 reports the Spearman’s correlation coefficients. According to the table, the ARD seems to be negatively correlated with most of the CG variables with the exception of financial expertise</w:t>
      </w:r>
      <w:r w:rsidR="00F10766" w:rsidRPr="004F538D">
        <w:rPr>
          <w:rFonts w:ascii="Times New Roman" w:hAnsi="Times New Roman" w:cs="Times New Roman"/>
          <w:sz w:val="24"/>
          <w:szCs w:val="24"/>
        </w:rPr>
        <w:t xml:space="preserve"> in the AC.</w:t>
      </w:r>
      <w:r w:rsidR="00250048" w:rsidRPr="004F538D">
        <w:rPr>
          <w:rFonts w:ascii="Times New Roman" w:hAnsi="Times New Roman" w:cs="Times New Roman"/>
          <w:sz w:val="24"/>
          <w:szCs w:val="24"/>
        </w:rPr>
        <w:t xml:space="preserve"> This points to potential increased ARD when boards have many financial experts in the AC. </w:t>
      </w:r>
      <w:r w:rsidR="00741E71" w:rsidRPr="004F538D">
        <w:rPr>
          <w:rFonts w:ascii="Times New Roman" w:hAnsi="Times New Roman" w:cs="Times New Roman"/>
          <w:sz w:val="24"/>
          <w:szCs w:val="24"/>
        </w:rPr>
        <w:t>As a preliminary confirmation of our testable hypothesis</w:t>
      </w:r>
      <w:r w:rsidR="009D3836">
        <w:rPr>
          <w:rFonts w:ascii="Times New Roman" w:hAnsi="Times New Roman" w:cs="Times New Roman"/>
          <w:sz w:val="24"/>
          <w:szCs w:val="24"/>
        </w:rPr>
        <w:t xml:space="preserve"> (</w:t>
      </w:r>
      <w:r w:rsidR="009D3836" w:rsidRPr="009D3836">
        <w:rPr>
          <w:rFonts w:ascii="Times New Roman" w:hAnsi="Times New Roman" w:cs="Times New Roman"/>
          <w:i/>
          <w:sz w:val="24"/>
          <w:szCs w:val="24"/>
        </w:rPr>
        <w:t>H1</w:t>
      </w:r>
      <w:r w:rsidR="009D3836">
        <w:rPr>
          <w:rFonts w:ascii="Times New Roman" w:hAnsi="Times New Roman" w:cs="Times New Roman"/>
          <w:sz w:val="24"/>
          <w:szCs w:val="24"/>
        </w:rPr>
        <w:t>)</w:t>
      </w:r>
      <w:r w:rsidR="00741E71" w:rsidRPr="004F538D">
        <w:rPr>
          <w:rFonts w:ascii="Times New Roman" w:hAnsi="Times New Roman" w:cs="Times New Roman"/>
          <w:sz w:val="24"/>
          <w:szCs w:val="24"/>
        </w:rPr>
        <w:t>, the</w:t>
      </w:r>
      <w:r w:rsidR="007A5CAB" w:rsidRPr="004F538D">
        <w:rPr>
          <w:rFonts w:ascii="Times New Roman" w:hAnsi="Times New Roman" w:cs="Times New Roman"/>
          <w:sz w:val="24"/>
          <w:szCs w:val="24"/>
        </w:rPr>
        <w:t xml:space="preserve"> results depict a highly significant and negative</w:t>
      </w:r>
      <w:r w:rsidR="00741E71" w:rsidRPr="004F538D">
        <w:rPr>
          <w:rFonts w:ascii="Times New Roman" w:hAnsi="Times New Roman" w:cs="Times New Roman"/>
          <w:sz w:val="24"/>
          <w:szCs w:val="24"/>
        </w:rPr>
        <w:t xml:space="preserve"> correlation between the </w:t>
      </w:r>
      <w:r w:rsidR="00741E71" w:rsidRPr="004F538D">
        <w:rPr>
          <w:rFonts w:ascii="Times New Roman" w:hAnsi="Times New Roman" w:cs="Times New Roman"/>
          <w:i/>
          <w:sz w:val="24"/>
          <w:szCs w:val="24"/>
        </w:rPr>
        <w:t>CG_INDEX</w:t>
      </w:r>
      <w:r w:rsidR="00741E71" w:rsidRPr="004F538D">
        <w:rPr>
          <w:rFonts w:ascii="Times New Roman" w:hAnsi="Times New Roman" w:cs="Times New Roman"/>
          <w:sz w:val="24"/>
          <w:szCs w:val="24"/>
        </w:rPr>
        <w:t xml:space="preserve"> and </w:t>
      </w:r>
      <w:r w:rsidR="00741E71" w:rsidRPr="004F538D">
        <w:rPr>
          <w:rFonts w:ascii="Times New Roman" w:hAnsi="Times New Roman" w:cs="Times New Roman"/>
          <w:i/>
          <w:sz w:val="24"/>
          <w:szCs w:val="24"/>
        </w:rPr>
        <w:t>ARD</w:t>
      </w:r>
      <w:r w:rsidR="00741E71" w:rsidRPr="004F538D">
        <w:rPr>
          <w:rFonts w:ascii="Times New Roman" w:hAnsi="Times New Roman" w:cs="Times New Roman"/>
          <w:sz w:val="24"/>
          <w:szCs w:val="24"/>
        </w:rPr>
        <w:t xml:space="preserve"> </w:t>
      </w:r>
      <w:r w:rsidR="007A5CAB" w:rsidRPr="004F538D">
        <w:rPr>
          <w:rFonts w:ascii="Times New Roman" w:hAnsi="Times New Roman" w:cs="Times New Roman"/>
          <w:sz w:val="24"/>
          <w:szCs w:val="24"/>
        </w:rPr>
        <w:t>(coefficient = -0.</w:t>
      </w:r>
      <w:r w:rsidR="00A03119" w:rsidRPr="004F538D">
        <w:rPr>
          <w:rFonts w:ascii="Times New Roman" w:hAnsi="Times New Roman" w:cs="Times New Roman"/>
          <w:sz w:val="24"/>
          <w:szCs w:val="24"/>
        </w:rPr>
        <w:t>084, p-value 0.05</w:t>
      </w:r>
      <w:r w:rsidR="007A5CAB" w:rsidRPr="004F538D">
        <w:rPr>
          <w:rFonts w:ascii="Times New Roman" w:hAnsi="Times New Roman" w:cs="Times New Roman"/>
          <w:sz w:val="24"/>
          <w:szCs w:val="24"/>
        </w:rPr>
        <w:t>0). This points to a potential positive contribution of the composite CG measure on the timeliness of annual reports. We confirm this conjecture by performing panel regression analyses in the preceding section. According to the results, t</w:t>
      </w:r>
      <w:r w:rsidR="00F10766" w:rsidRPr="004F538D">
        <w:rPr>
          <w:rFonts w:ascii="Times New Roman" w:hAnsi="Times New Roman" w:cs="Times New Roman"/>
          <w:sz w:val="24"/>
          <w:szCs w:val="24"/>
        </w:rPr>
        <w:t>he highest and lowest correlation coefficients are 0.626 and -0.387 which are below 0.8. Further, the v</w:t>
      </w:r>
      <w:r w:rsidR="00250048" w:rsidRPr="004F538D">
        <w:rPr>
          <w:rFonts w:ascii="Times New Roman" w:hAnsi="Times New Roman" w:cs="Times New Roman"/>
          <w:sz w:val="24"/>
          <w:szCs w:val="24"/>
        </w:rPr>
        <w:t>ariance-inflation factors</w:t>
      </w:r>
      <w:r w:rsidR="00FF7C60">
        <w:rPr>
          <w:rFonts w:ascii="Times New Roman" w:hAnsi="Times New Roman" w:cs="Times New Roman"/>
          <w:sz w:val="24"/>
          <w:szCs w:val="24"/>
        </w:rPr>
        <w:t xml:space="preserve"> (VIFs)</w:t>
      </w:r>
      <w:r w:rsidR="00250048" w:rsidRPr="004F538D">
        <w:rPr>
          <w:rFonts w:ascii="Times New Roman" w:hAnsi="Times New Roman" w:cs="Times New Roman"/>
          <w:sz w:val="24"/>
          <w:szCs w:val="24"/>
        </w:rPr>
        <w:t xml:space="preserve"> are below 5, implying </w:t>
      </w:r>
      <w:r w:rsidR="00F10766" w:rsidRPr="004F538D">
        <w:rPr>
          <w:rFonts w:ascii="Times New Roman" w:hAnsi="Times New Roman" w:cs="Times New Roman"/>
          <w:sz w:val="24"/>
          <w:szCs w:val="24"/>
        </w:rPr>
        <w:t>that multicollinearity was not a problem</w:t>
      </w:r>
      <w:r w:rsidR="00250048" w:rsidRPr="004F538D">
        <w:rPr>
          <w:rFonts w:ascii="Times New Roman" w:hAnsi="Times New Roman" w:cs="Times New Roman"/>
          <w:sz w:val="24"/>
          <w:szCs w:val="24"/>
        </w:rPr>
        <w:t>.</w:t>
      </w:r>
    </w:p>
    <w:p w14:paraId="753A969B" w14:textId="77777777" w:rsidR="00DD7AF2" w:rsidRDefault="00DD7AF2" w:rsidP="00250048">
      <w:pPr>
        <w:rPr>
          <w:rFonts w:ascii="Times New Roman" w:hAnsi="Times New Roman" w:cs="Times New Roman"/>
        </w:rPr>
      </w:pPr>
    </w:p>
    <w:p w14:paraId="29F95307" w14:textId="0E52F3DD" w:rsidR="00170D06" w:rsidRDefault="00170D06" w:rsidP="003C6690">
      <w:pPr>
        <w:jc w:val="center"/>
        <w:rPr>
          <w:rFonts w:ascii="Times New Roman" w:hAnsi="Times New Roman" w:cs="Times New Roman"/>
          <w:b/>
        </w:rPr>
      </w:pPr>
      <w:r>
        <w:rPr>
          <w:rFonts w:ascii="Times New Roman" w:hAnsi="Times New Roman" w:cs="Times New Roman"/>
          <w:b/>
        </w:rPr>
        <w:t>[Insert Table 5 about here]</w:t>
      </w:r>
    </w:p>
    <w:p w14:paraId="72B6C635" w14:textId="1A1BA18E" w:rsidR="004A3E15" w:rsidRPr="004F538D" w:rsidRDefault="004A3E15" w:rsidP="00F315C1">
      <w:pPr>
        <w:pStyle w:val="ListParagraph"/>
        <w:numPr>
          <w:ilvl w:val="1"/>
          <w:numId w:val="27"/>
        </w:numPr>
        <w:jc w:val="both"/>
        <w:rPr>
          <w:rFonts w:ascii="Times New Roman" w:hAnsi="Times New Roman" w:cs="Times New Roman"/>
          <w:i/>
          <w:sz w:val="24"/>
          <w:szCs w:val="24"/>
        </w:rPr>
      </w:pPr>
      <w:r w:rsidRPr="004F538D">
        <w:rPr>
          <w:rFonts w:ascii="Times New Roman" w:hAnsi="Times New Roman" w:cs="Times New Roman"/>
          <w:i/>
          <w:sz w:val="24"/>
          <w:szCs w:val="24"/>
        </w:rPr>
        <w:t>Estimation results</w:t>
      </w:r>
    </w:p>
    <w:p w14:paraId="33B9EC12" w14:textId="43B96435" w:rsidR="00B66A4E" w:rsidRPr="004F538D" w:rsidRDefault="00DD1CDA" w:rsidP="00506EB2">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4"/>
        </w:rPr>
        <w:t xml:space="preserve">In Table 6, we report the results of the regression analyses. According to the </w:t>
      </w:r>
      <w:r w:rsidR="00C32C2D">
        <w:rPr>
          <w:rFonts w:ascii="Times New Roman" w:hAnsi="Times New Roman" w:cs="Times New Roman"/>
          <w:sz w:val="24"/>
          <w:szCs w:val="24"/>
        </w:rPr>
        <w:t>results</w:t>
      </w:r>
      <w:r w:rsidRPr="004F538D">
        <w:rPr>
          <w:rFonts w:ascii="Times New Roman" w:hAnsi="Times New Roman" w:cs="Times New Roman"/>
          <w:sz w:val="24"/>
          <w:szCs w:val="24"/>
        </w:rPr>
        <w:t>,</w:t>
      </w:r>
      <w:r w:rsidR="00353804" w:rsidRPr="004F538D">
        <w:rPr>
          <w:rFonts w:ascii="Times New Roman" w:hAnsi="Times New Roman" w:cs="Times New Roman"/>
          <w:sz w:val="24"/>
          <w:szCs w:val="24"/>
        </w:rPr>
        <w:t xml:space="preserve"> the </w:t>
      </w:r>
      <w:r w:rsidR="00353804" w:rsidRPr="006F7554">
        <w:rPr>
          <w:rFonts w:ascii="Times New Roman" w:hAnsi="Times New Roman" w:cs="Times New Roman"/>
          <w:i/>
          <w:sz w:val="24"/>
          <w:szCs w:val="24"/>
        </w:rPr>
        <w:t>lnARD</w:t>
      </w:r>
      <w:r w:rsidR="00353804" w:rsidRPr="004F538D">
        <w:rPr>
          <w:rFonts w:ascii="Times New Roman" w:hAnsi="Times New Roman" w:cs="Times New Roman"/>
          <w:sz w:val="24"/>
          <w:szCs w:val="24"/>
        </w:rPr>
        <w:t xml:space="preserve"> is positively associated with </w:t>
      </w:r>
      <w:r w:rsidR="00F05B8F" w:rsidRPr="004F538D">
        <w:rPr>
          <w:rFonts w:ascii="Times New Roman" w:hAnsi="Times New Roman" w:cs="Times New Roman"/>
          <w:sz w:val="24"/>
          <w:szCs w:val="24"/>
        </w:rPr>
        <w:t>all CG</w:t>
      </w:r>
      <w:r w:rsidR="00E87235" w:rsidRPr="004F538D">
        <w:rPr>
          <w:rFonts w:ascii="Times New Roman" w:hAnsi="Times New Roman" w:cs="Times New Roman"/>
          <w:sz w:val="24"/>
          <w:szCs w:val="24"/>
        </w:rPr>
        <w:t xml:space="preserve">-Index items except </w:t>
      </w:r>
      <w:r w:rsidR="006F7554">
        <w:rPr>
          <w:rFonts w:ascii="Times New Roman" w:hAnsi="Times New Roman" w:cs="Times New Roman"/>
          <w:sz w:val="24"/>
          <w:szCs w:val="24"/>
        </w:rPr>
        <w:t xml:space="preserve">the </w:t>
      </w:r>
      <w:r w:rsidR="008741FC" w:rsidRPr="004F538D">
        <w:rPr>
          <w:rFonts w:ascii="Times New Roman" w:hAnsi="Times New Roman" w:cs="Times New Roman"/>
          <w:sz w:val="24"/>
          <w:szCs w:val="24"/>
        </w:rPr>
        <w:t xml:space="preserve">number of women in the board, </w:t>
      </w:r>
      <w:r w:rsidR="006F7554">
        <w:rPr>
          <w:rFonts w:ascii="Times New Roman" w:hAnsi="Times New Roman" w:cs="Times New Roman"/>
          <w:sz w:val="24"/>
          <w:szCs w:val="24"/>
        </w:rPr>
        <w:t xml:space="preserve">the </w:t>
      </w:r>
      <w:r w:rsidR="008741FC" w:rsidRPr="004F538D">
        <w:rPr>
          <w:rFonts w:ascii="Times New Roman" w:hAnsi="Times New Roman" w:cs="Times New Roman"/>
          <w:sz w:val="24"/>
          <w:szCs w:val="24"/>
        </w:rPr>
        <w:t xml:space="preserve">number of nationalities in the board and independent directors’ tenure </w:t>
      </w:r>
      <w:r w:rsidR="00646268" w:rsidRPr="004F538D">
        <w:rPr>
          <w:rFonts w:ascii="Times New Roman" w:hAnsi="Times New Roman" w:cs="Times New Roman"/>
          <w:sz w:val="24"/>
          <w:szCs w:val="24"/>
        </w:rPr>
        <w:t>which have negative coefficients</w:t>
      </w:r>
      <w:r w:rsidR="00E87235" w:rsidRPr="004F538D">
        <w:rPr>
          <w:rFonts w:ascii="Times New Roman" w:hAnsi="Times New Roman" w:cs="Times New Roman"/>
          <w:sz w:val="24"/>
          <w:szCs w:val="24"/>
        </w:rPr>
        <w:t>.</w:t>
      </w:r>
      <w:r w:rsidR="00795F10" w:rsidRPr="004F538D">
        <w:rPr>
          <w:rFonts w:ascii="Times New Roman" w:hAnsi="Times New Roman" w:cs="Times New Roman"/>
          <w:sz w:val="24"/>
          <w:szCs w:val="24"/>
        </w:rPr>
        <w:t xml:space="preserve"> More specifically, the </w:t>
      </w:r>
      <w:r w:rsidR="00646268" w:rsidRPr="004F538D">
        <w:rPr>
          <w:rFonts w:ascii="Times New Roman" w:hAnsi="Times New Roman" w:cs="Times New Roman"/>
          <w:sz w:val="24"/>
          <w:szCs w:val="24"/>
        </w:rPr>
        <w:t xml:space="preserve">results show that </w:t>
      </w:r>
      <w:r w:rsidR="0071223C" w:rsidRPr="004F538D">
        <w:rPr>
          <w:rFonts w:ascii="Times New Roman" w:hAnsi="Times New Roman" w:cs="Times New Roman"/>
          <w:sz w:val="24"/>
          <w:szCs w:val="24"/>
        </w:rPr>
        <w:t>AC members with</w:t>
      </w:r>
      <w:r w:rsidR="00646268" w:rsidRPr="004F538D">
        <w:rPr>
          <w:rFonts w:ascii="Times New Roman" w:hAnsi="Times New Roman" w:cs="Times New Roman"/>
          <w:sz w:val="24"/>
          <w:szCs w:val="24"/>
        </w:rPr>
        <w:t xml:space="preserve"> financial expertise </w:t>
      </w:r>
      <w:r w:rsidR="0071223C" w:rsidRPr="004F538D">
        <w:rPr>
          <w:rFonts w:ascii="Times New Roman" w:hAnsi="Times New Roman" w:cs="Times New Roman"/>
          <w:sz w:val="24"/>
          <w:szCs w:val="24"/>
        </w:rPr>
        <w:t xml:space="preserve">are associated with a </w:t>
      </w:r>
      <w:r w:rsidR="006C2EC1">
        <w:rPr>
          <w:rFonts w:ascii="Times New Roman" w:hAnsi="Times New Roman" w:cs="Times New Roman"/>
          <w:sz w:val="24"/>
          <w:szCs w:val="24"/>
        </w:rPr>
        <w:t>longer</w:t>
      </w:r>
      <w:r w:rsidR="0071223C" w:rsidRPr="004F538D">
        <w:rPr>
          <w:rFonts w:ascii="Times New Roman" w:hAnsi="Times New Roman" w:cs="Times New Roman"/>
          <w:sz w:val="24"/>
          <w:szCs w:val="24"/>
        </w:rPr>
        <w:t xml:space="preserve"> ARD</w:t>
      </w:r>
      <w:r w:rsidR="00646268" w:rsidRPr="004F538D">
        <w:rPr>
          <w:rFonts w:ascii="Times New Roman" w:hAnsi="Times New Roman" w:cs="Times New Roman"/>
          <w:sz w:val="24"/>
          <w:szCs w:val="24"/>
        </w:rPr>
        <w:t xml:space="preserve"> (coefficient = 0.</w:t>
      </w:r>
      <w:r w:rsidR="00080060" w:rsidRPr="004F538D">
        <w:rPr>
          <w:rFonts w:ascii="Times New Roman" w:hAnsi="Times New Roman" w:cs="Times New Roman"/>
          <w:sz w:val="24"/>
          <w:szCs w:val="24"/>
        </w:rPr>
        <w:t>09</w:t>
      </w:r>
      <w:r w:rsidR="0071223C" w:rsidRPr="004F538D">
        <w:rPr>
          <w:rFonts w:ascii="Times New Roman" w:hAnsi="Times New Roman" w:cs="Times New Roman"/>
          <w:sz w:val="24"/>
          <w:szCs w:val="24"/>
        </w:rPr>
        <w:t>3, t-value = 1.94</w:t>
      </w:r>
      <w:r w:rsidR="00646268" w:rsidRPr="004F538D">
        <w:rPr>
          <w:rFonts w:ascii="Times New Roman" w:hAnsi="Times New Roman" w:cs="Times New Roman"/>
          <w:sz w:val="24"/>
          <w:szCs w:val="24"/>
        </w:rPr>
        <w:t xml:space="preserve">). </w:t>
      </w:r>
      <w:r w:rsidR="006C2EC1">
        <w:rPr>
          <w:rFonts w:ascii="Times New Roman" w:hAnsi="Times New Roman" w:cs="Times New Roman"/>
          <w:sz w:val="24"/>
          <w:szCs w:val="24"/>
        </w:rPr>
        <w:t xml:space="preserve">The finding </w:t>
      </w:r>
      <w:r w:rsidR="00C80537">
        <w:rPr>
          <w:rFonts w:ascii="Times New Roman" w:hAnsi="Times New Roman" w:cs="Times New Roman"/>
          <w:sz w:val="24"/>
          <w:szCs w:val="24"/>
        </w:rPr>
        <w:t xml:space="preserve">alludes to </w:t>
      </w:r>
      <w:r w:rsidR="006C2EC1">
        <w:rPr>
          <w:rFonts w:ascii="Times New Roman" w:hAnsi="Times New Roman" w:cs="Times New Roman"/>
          <w:sz w:val="24"/>
          <w:szCs w:val="24"/>
        </w:rPr>
        <w:t xml:space="preserve">agency theory </w:t>
      </w:r>
      <w:r w:rsidR="00C80537">
        <w:rPr>
          <w:rFonts w:ascii="Times New Roman" w:hAnsi="Times New Roman" w:cs="Times New Roman"/>
          <w:sz w:val="24"/>
          <w:szCs w:val="24"/>
        </w:rPr>
        <w:t xml:space="preserve">which posits that </w:t>
      </w:r>
      <w:r w:rsidR="006C2EC1">
        <w:rPr>
          <w:rFonts w:ascii="Times New Roman" w:hAnsi="Times New Roman" w:cs="Times New Roman"/>
          <w:sz w:val="24"/>
          <w:szCs w:val="24"/>
        </w:rPr>
        <w:t xml:space="preserve">AC members with financial expertise may spend time </w:t>
      </w:r>
      <w:r w:rsidR="00C80537">
        <w:rPr>
          <w:rFonts w:ascii="Times New Roman" w:hAnsi="Times New Roman" w:cs="Times New Roman"/>
          <w:sz w:val="24"/>
          <w:szCs w:val="24"/>
        </w:rPr>
        <w:t>in</w:t>
      </w:r>
      <w:r w:rsidR="006C2EC1">
        <w:rPr>
          <w:rFonts w:ascii="Times New Roman" w:hAnsi="Times New Roman" w:cs="Times New Roman"/>
          <w:sz w:val="24"/>
          <w:szCs w:val="24"/>
        </w:rPr>
        <w:t xml:space="preserve"> ensur</w:t>
      </w:r>
      <w:r w:rsidR="00C80537">
        <w:rPr>
          <w:rFonts w:ascii="Times New Roman" w:hAnsi="Times New Roman" w:cs="Times New Roman"/>
          <w:sz w:val="24"/>
          <w:szCs w:val="24"/>
        </w:rPr>
        <w:t>ing</w:t>
      </w:r>
      <w:r w:rsidR="006C2EC1">
        <w:rPr>
          <w:rFonts w:ascii="Times New Roman" w:hAnsi="Times New Roman" w:cs="Times New Roman"/>
          <w:sz w:val="24"/>
          <w:szCs w:val="24"/>
        </w:rPr>
        <w:t xml:space="preserve"> </w:t>
      </w:r>
      <w:r w:rsidR="00BE2EFC">
        <w:rPr>
          <w:rFonts w:ascii="Times New Roman" w:hAnsi="Times New Roman" w:cs="Times New Roman"/>
          <w:sz w:val="24"/>
          <w:szCs w:val="24"/>
        </w:rPr>
        <w:t xml:space="preserve">that </w:t>
      </w:r>
      <w:r w:rsidR="006C2EC1">
        <w:rPr>
          <w:rFonts w:ascii="Times New Roman" w:hAnsi="Times New Roman" w:cs="Times New Roman"/>
          <w:sz w:val="24"/>
          <w:szCs w:val="24"/>
        </w:rPr>
        <w:t>auditors</w:t>
      </w:r>
      <w:r w:rsidR="00BE2EFC">
        <w:rPr>
          <w:rFonts w:ascii="Times New Roman" w:hAnsi="Times New Roman" w:cs="Times New Roman"/>
          <w:sz w:val="24"/>
          <w:szCs w:val="24"/>
        </w:rPr>
        <w:t>’</w:t>
      </w:r>
      <w:r w:rsidR="006C2EC1">
        <w:rPr>
          <w:rFonts w:ascii="Times New Roman" w:hAnsi="Times New Roman" w:cs="Times New Roman"/>
          <w:sz w:val="24"/>
          <w:szCs w:val="24"/>
        </w:rPr>
        <w:t xml:space="preserve"> work is </w:t>
      </w:r>
      <w:r w:rsidR="00C80537">
        <w:rPr>
          <w:rFonts w:ascii="Times New Roman" w:hAnsi="Times New Roman" w:cs="Times New Roman"/>
          <w:sz w:val="24"/>
          <w:szCs w:val="24"/>
        </w:rPr>
        <w:t>competently</w:t>
      </w:r>
      <w:r w:rsidR="006C2EC1">
        <w:rPr>
          <w:rFonts w:ascii="Times New Roman" w:hAnsi="Times New Roman" w:cs="Times New Roman"/>
          <w:sz w:val="24"/>
          <w:szCs w:val="24"/>
        </w:rPr>
        <w:t xml:space="preserve"> undertaken </w:t>
      </w:r>
      <w:r w:rsidR="00C80537">
        <w:rPr>
          <w:rFonts w:ascii="Times New Roman" w:hAnsi="Times New Roman" w:cs="Times New Roman"/>
          <w:sz w:val="24"/>
          <w:szCs w:val="24"/>
        </w:rPr>
        <w:t xml:space="preserve">and comprehend audit judgments (Powell &amp; Anisc, 1997). </w:t>
      </w:r>
      <w:r w:rsidR="00646268" w:rsidRPr="004F538D">
        <w:rPr>
          <w:rFonts w:ascii="Times New Roman" w:hAnsi="Times New Roman" w:cs="Times New Roman"/>
          <w:sz w:val="24"/>
          <w:szCs w:val="24"/>
        </w:rPr>
        <w:t>Th</w:t>
      </w:r>
      <w:r w:rsidR="00BE2EFC">
        <w:rPr>
          <w:rFonts w:ascii="Times New Roman" w:hAnsi="Times New Roman" w:cs="Times New Roman"/>
          <w:sz w:val="24"/>
          <w:szCs w:val="24"/>
        </w:rPr>
        <w:t>e finding</w:t>
      </w:r>
      <w:r w:rsidR="00646268" w:rsidRPr="004F538D">
        <w:rPr>
          <w:rFonts w:ascii="Times New Roman" w:hAnsi="Times New Roman" w:cs="Times New Roman"/>
          <w:sz w:val="24"/>
          <w:szCs w:val="24"/>
        </w:rPr>
        <w:t xml:space="preserve"> is consistent with Nehme, Assaker and Khalife (2015)</w:t>
      </w:r>
      <w:r w:rsidR="00BE2EFC">
        <w:rPr>
          <w:rFonts w:ascii="Times New Roman" w:hAnsi="Times New Roman" w:cs="Times New Roman"/>
          <w:sz w:val="24"/>
          <w:szCs w:val="24"/>
        </w:rPr>
        <w:t xml:space="preserve"> who posit that a</w:t>
      </w:r>
      <w:r w:rsidR="00CD6ADA" w:rsidRPr="004F538D">
        <w:rPr>
          <w:rFonts w:ascii="Times New Roman" w:hAnsi="Times New Roman" w:cs="Times New Roman"/>
          <w:sz w:val="24"/>
          <w:szCs w:val="24"/>
        </w:rPr>
        <w:t xml:space="preserve"> higher proportion of AC members </w:t>
      </w:r>
      <w:r w:rsidR="0082279F" w:rsidRPr="004F538D">
        <w:rPr>
          <w:rFonts w:ascii="Times New Roman" w:hAnsi="Times New Roman" w:cs="Times New Roman"/>
          <w:sz w:val="24"/>
          <w:szCs w:val="24"/>
        </w:rPr>
        <w:t>with financial expertise are</w:t>
      </w:r>
      <w:r w:rsidR="00CD6ADA" w:rsidRPr="004F538D">
        <w:rPr>
          <w:rFonts w:ascii="Times New Roman" w:hAnsi="Times New Roman" w:cs="Times New Roman"/>
          <w:sz w:val="24"/>
          <w:szCs w:val="24"/>
        </w:rPr>
        <w:t xml:space="preserve"> </w:t>
      </w:r>
      <w:r w:rsidR="00E51FDC" w:rsidRPr="004F538D">
        <w:rPr>
          <w:rFonts w:ascii="Times New Roman" w:hAnsi="Times New Roman" w:cs="Times New Roman"/>
          <w:sz w:val="24"/>
          <w:szCs w:val="24"/>
        </w:rPr>
        <w:t xml:space="preserve">likely to probe auditor’s suggestions before reaching a consensus on the </w:t>
      </w:r>
      <w:r w:rsidR="0067273E" w:rsidRPr="004F538D">
        <w:rPr>
          <w:rFonts w:ascii="Times New Roman" w:hAnsi="Times New Roman" w:cs="Times New Roman"/>
          <w:sz w:val="24"/>
          <w:szCs w:val="24"/>
        </w:rPr>
        <w:t xml:space="preserve">matters raised by the auditor. </w:t>
      </w:r>
      <w:r w:rsidR="00E51FDC" w:rsidRPr="004F538D">
        <w:rPr>
          <w:rFonts w:ascii="Times New Roman" w:hAnsi="Times New Roman" w:cs="Times New Roman"/>
          <w:sz w:val="24"/>
          <w:szCs w:val="24"/>
        </w:rPr>
        <w:t>Th</w:t>
      </w:r>
      <w:r w:rsidR="005A3D74">
        <w:rPr>
          <w:rFonts w:ascii="Times New Roman" w:hAnsi="Times New Roman" w:cs="Times New Roman"/>
          <w:sz w:val="24"/>
          <w:szCs w:val="24"/>
        </w:rPr>
        <w:t>e finding</w:t>
      </w:r>
      <w:r w:rsidR="00E51FDC" w:rsidRPr="004F538D">
        <w:rPr>
          <w:rFonts w:ascii="Times New Roman" w:hAnsi="Times New Roman" w:cs="Times New Roman"/>
          <w:sz w:val="24"/>
          <w:szCs w:val="24"/>
        </w:rPr>
        <w:t xml:space="preserve"> is contrary to the belie</w:t>
      </w:r>
      <w:r w:rsidR="00110DD5" w:rsidRPr="004F538D">
        <w:rPr>
          <w:rFonts w:ascii="Times New Roman" w:hAnsi="Times New Roman" w:cs="Times New Roman"/>
          <w:sz w:val="24"/>
          <w:szCs w:val="24"/>
        </w:rPr>
        <w:t xml:space="preserve">f </w:t>
      </w:r>
      <w:r w:rsidR="00E51FDC" w:rsidRPr="004F538D">
        <w:rPr>
          <w:rFonts w:ascii="Times New Roman" w:hAnsi="Times New Roman" w:cs="Times New Roman"/>
          <w:sz w:val="24"/>
          <w:szCs w:val="24"/>
        </w:rPr>
        <w:t xml:space="preserve">that having more financial experts in the AC would have fostered cooperation with the auditor hence leading to a reduced ARD. </w:t>
      </w:r>
    </w:p>
    <w:p w14:paraId="3CAE0332" w14:textId="1DC2A3EF" w:rsidR="00110DD5" w:rsidRPr="004F538D" w:rsidRDefault="00E51FDC" w:rsidP="00506EB2">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4"/>
        </w:rPr>
        <w:t>The results reveal a positive associa</w:t>
      </w:r>
      <w:r w:rsidR="00080060" w:rsidRPr="004F538D">
        <w:rPr>
          <w:rFonts w:ascii="Times New Roman" w:hAnsi="Times New Roman" w:cs="Times New Roman"/>
          <w:sz w:val="24"/>
          <w:szCs w:val="24"/>
        </w:rPr>
        <w:t xml:space="preserve">tion between independent, non-executive </w:t>
      </w:r>
      <w:r w:rsidRPr="004F538D">
        <w:rPr>
          <w:rFonts w:ascii="Times New Roman" w:hAnsi="Times New Roman" w:cs="Times New Roman"/>
          <w:sz w:val="24"/>
          <w:szCs w:val="24"/>
        </w:rPr>
        <w:t xml:space="preserve">AC members and </w:t>
      </w:r>
      <w:r w:rsidR="006F7554">
        <w:rPr>
          <w:rFonts w:ascii="Times New Roman" w:hAnsi="Times New Roman" w:cs="Times New Roman"/>
          <w:sz w:val="24"/>
          <w:szCs w:val="24"/>
        </w:rPr>
        <w:t xml:space="preserve">the </w:t>
      </w:r>
      <w:r w:rsidRPr="004F538D">
        <w:rPr>
          <w:rFonts w:ascii="Times New Roman" w:hAnsi="Times New Roman" w:cs="Times New Roman"/>
          <w:sz w:val="24"/>
          <w:szCs w:val="24"/>
        </w:rPr>
        <w:t>ARD (coefficient = 0.0</w:t>
      </w:r>
      <w:r w:rsidR="0071223C" w:rsidRPr="004F538D">
        <w:rPr>
          <w:rFonts w:ascii="Times New Roman" w:hAnsi="Times New Roman" w:cs="Times New Roman"/>
          <w:sz w:val="24"/>
          <w:szCs w:val="24"/>
        </w:rPr>
        <w:t>1</w:t>
      </w:r>
      <w:r w:rsidR="00080060" w:rsidRPr="004F538D">
        <w:rPr>
          <w:rFonts w:ascii="Times New Roman" w:hAnsi="Times New Roman" w:cs="Times New Roman"/>
          <w:sz w:val="24"/>
          <w:szCs w:val="24"/>
        </w:rPr>
        <w:t>8</w:t>
      </w:r>
      <w:r w:rsidRPr="004F538D">
        <w:rPr>
          <w:rFonts w:ascii="Times New Roman" w:hAnsi="Times New Roman" w:cs="Times New Roman"/>
          <w:sz w:val="24"/>
          <w:szCs w:val="24"/>
        </w:rPr>
        <w:t xml:space="preserve">, t-value = </w:t>
      </w:r>
      <w:r w:rsidR="0071223C" w:rsidRPr="004F538D">
        <w:rPr>
          <w:rFonts w:ascii="Times New Roman" w:hAnsi="Times New Roman" w:cs="Times New Roman"/>
          <w:sz w:val="24"/>
          <w:szCs w:val="24"/>
        </w:rPr>
        <w:t>3.20</w:t>
      </w:r>
      <w:r w:rsidRPr="004F538D">
        <w:rPr>
          <w:rFonts w:ascii="Times New Roman" w:hAnsi="Times New Roman" w:cs="Times New Roman"/>
          <w:sz w:val="24"/>
          <w:szCs w:val="24"/>
        </w:rPr>
        <w:t>).</w:t>
      </w:r>
      <w:r w:rsidR="00110DD5" w:rsidRPr="004F538D">
        <w:rPr>
          <w:rFonts w:ascii="Times New Roman" w:hAnsi="Times New Roman" w:cs="Times New Roman"/>
          <w:sz w:val="24"/>
          <w:szCs w:val="24"/>
        </w:rPr>
        <w:t xml:space="preserve"> </w:t>
      </w:r>
      <w:r w:rsidR="00E12FE0" w:rsidRPr="004F538D">
        <w:rPr>
          <w:rFonts w:ascii="Times New Roman" w:hAnsi="Times New Roman" w:cs="Times New Roman"/>
          <w:sz w:val="24"/>
          <w:szCs w:val="24"/>
        </w:rPr>
        <w:t xml:space="preserve">However, the </w:t>
      </w:r>
      <w:r w:rsidR="00D22298" w:rsidRPr="004F538D">
        <w:rPr>
          <w:rFonts w:ascii="Times New Roman" w:hAnsi="Times New Roman" w:cs="Times New Roman"/>
          <w:sz w:val="24"/>
          <w:szCs w:val="24"/>
        </w:rPr>
        <w:t>sign of the</w:t>
      </w:r>
      <w:r w:rsidR="00E12FE0" w:rsidRPr="004F538D">
        <w:rPr>
          <w:rFonts w:ascii="Times New Roman" w:hAnsi="Times New Roman" w:cs="Times New Roman"/>
          <w:sz w:val="24"/>
          <w:szCs w:val="24"/>
        </w:rPr>
        <w:t xml:space="preserve"> coefficient </w:t>
      </w:r>
      <w:r w:rsidR="00D22298" w:rsidRPr="004F538D">
        <w:rPr>
          <w:rFonts w:ascii="Times New Roman" w:hAnsi="Times New Roman" w:cs="Times New Roman"/>
          <w:sz w:val="24"/>
          <w:szCs w:val="24"/>
        </w:rPr>
        <w:t xml:space="preserve">changes while its significance </w:t>
      </w:r>
      <w:r w:rsidR="00E12FE0" w:rsidRPr="004F538D">
        <w:rPr>
          <w:rFonts w:ascii="Times New Roman" w:hAnsi="Times New Roman" w:cs="Times New Roman"/>
          <w:sz w:val="24"/>
          <w:szCs w:val="24"/>
        </w:rPr>
        <w:t>diminishes when all</w:t>
      </w:r>
      <w:r w:rsidR="006F7554">
        <w:rPr>
          <w:rFonts w:ascii="Times New Roman" w:hAnsi="Times New Roman" w:cs="Times New Roman"/>
          <w:sz w:val="24"/>
          <w:szCs w:val="24"/>
        </w:rPr>
        <w:t xml:space="preserve"> the</w:t>
      </w:r>
      <w:r w:rsidR="00E12FE0" w:rsidRPr="004F538D">
        <w:rPr>
          <w:rFonts w:ascii="Times New Roman" w:hAnsi="Times New Roman" w:cs="Times New Roman"/>
          <w:sz w:val="24"/>
          <w:szCs w:val="24"/>
        </w:rPr>
        <w:t xml:space="preserve"> CG-index items are considered in one model</w:t>
      </w:r>
      <w:r w:rsidR="006F7554">
        <w:rPr>
          <w:rFonts w:ascii="Times New Roman" w:hAnsi="Times New Roman" w:cs="Times New Roman"/>
          <w:sz w:val="24"/>
          <w:szCs w:val="24"/>
        </w:rPr>
        <w:t xml:space="preserve"> (M</w:t>
      </w:r>
      <w:r w:rsidR="00D22298" w:rsidRPr="004F538D">
        <w:rPr>
          <w:rFonts w:ascii="Times New Roman" w:hAnsi="Times New Roman" w:cs="Times New Roman"/>
          <w:sz w:val="24"/>
          <w:szCs w:val="24"/>
        </w:rPr>
        <w:t>odel 9)</w:t>
      </w:r>
      <w:r w:rsidR="00E12FE0" w:rsidRPr="004F538D">
        <w:rPr>
          <w:rFonts w:ascii="Times New Roman" w:hAnsi="Times New Roman" w:cs="Times New Roman"/>
          <w:sz w:val="24"/>
          <w:szCs w:val="24"/>
        </w:rPr>
        <w:t xml:space="preserve">. </w:t>
      </w:r>
      <w:r w:rsidR="00110DD5" w:rsidRPr="004F538D">
        <w:rPr>
          <w:rFonts w:ascii="Times New Roman" w:hAnsi="Times New Roman" w:cs="Times New Roman"/>
          <w:sz w:val="24"/>
          <w:szCs w:val="24"/>
        </w:rPr>
        <w:t xml:space="preserve">In a meta-analysis, Durand (2019) argues that board independence influences ARD some countries but not others. The finding is contrary to Nehme, Assaker and Khalife (2015) </w:t>
      </w:r>
      <w:r w:rsidR="00080060" w:rsidRPr="004F538D">
        <w:rPr>
          <w:rFonts w:ascii="Times New Roman" w:hAnsi="Times New Roman" w:cs="Times New Roman"/>
          <w:sz w:val="24"/>
          <w:szCs w:val="24"/>
        </w:rPr>
        <w:t xml:space="preserve">and Sultana, Singh and Zahn (2015) </w:t>
      </w:r>
      <w:r w:rsidR="00110DD5" w:rsidRPr="004F538D">
        <w:rPr>
          <w:rFonts w:ascii="Times New Roman" w:hAnsi="Times New Roman" w:cs="Times New Roman"/>
          <w:sz w:val="24"/>
          <w:szCs w:val="24"/>
        </w:rPr>
        <w:t>who find that boards with more independent, non-executive directors have shorter ARD</w:t>
      </w:r>
      <w:r w:rsidR="00FA3BE9">
        <w:rPr>
          <w:rFonts w:ascii="Times New Roman" w:hAnsi="Times New Roman" w:cs="Times New Roman"/>
          <w:sz w:val="24"/>
          <w:szCs w:val="24"/>
        </w:rPr>
        <w:t>s</w:t>
      </w:r>
      <w:r w:rsidR="00110DD5" w:rsidRPr="004F538D">
        <w:rPr>
          <w:rFonts w:ascii="Times New Roman" w:hAnsi="Times New Roman" w:cs="Times New Roman"/>
          <w:sz w:val="24"/>
          <w:szCs w:val="24"/>
        </w:rPr>
        <w:t>. It would be argued that companies often seek independent board members to aid in primarily financial oversight. As established earlier, the independent</w:t>
      </w:r>
      <w:r w:rsidR="00080060" w:rsidRPr="004F538D">
        <w:rPr>
          <w:rFonts w:ascii="Times New Roman" w:hAnsi="Times New Roman" w:cs="Times New Roman"/>
          <w:sz w:val="24"/>
          <w:szCs w:val="24"/>
        </w:rPr>
        <w:t>, non-executive</w:t>
      </w:r>
      <w:r w:rsidR="00110DD5" w:rsidRPr="004F538D">
        <w:rPr>
          <w:rFonts w:ascii="Times New Roman" w:hAnsi="Times New Roman" w:cs="Times New Roman"/>
          <w:sz w:val="24"/>
          <w:szCs w:val="24"/>
        </w:rPr>
        <w:t xml:space="preserve"> </w:t>
      </w:r>
      <w:r w:rsidR="00080060" w:rsidRPr="004F538D">
        <w:rPr>
          <w:rFonts w:ascii="Times New Roman" w:hAnsi="Times New Roman" w:cs="Times New Roman"/>
          <w:sz w:val="24"/>
          <w:szCs w:val="24"/>
        </w:rPr>
        <w:t>AC</w:t>
      </w:r>
      <w:r w:rsidR="00110DD5" w:rsidRPr="004F538D">
        <w:rPr>
          <w:rFonts w:ascii="Times New Roman" w:hAnsi="Times New Roman" w:cs="Times New Roman"/>
          <w:sz w:val="24"/>
          <w:szCs w:val="24"/>
        </w:rPr>
        <w:t xml:space="preserve"> members who are well versed with financial matters tend to take longer to agree with auditor’s suggestions hence resulting into a longer ARD.</w:t>
      </w:r>
    </w:p>
    <w:p w14:paraId="65D9F425" w14:textId="36FC1CF6" w:rsidR="00BE798C" w:rsidRPr="004F538D" w:rsidRDefault="00110DD5" w:rsidP="00506EB2">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4"/>
        </w:rPr>
        <w:t>The results illustrate a positive association between board size and ARD (coefficient = 0.0</w:t>
      </w:r>
      <w:r w:rsidR="00080060" w:rsidRPr="004F538D">
        <w:rPr>
          <w:rFonts w:ascii="Times New Roman" w:hAnsi="Times New Roman" w:cs="Times New Roman"/>
          <w:sz w:val="24"/>
          <w:szCs w:val="24"/>
        </w:rPr>
        <w:t>1</w:t>
      </w:r>
      <w:r w:rsidR="0071223C" w:rsidRPr="004F538D">
        <w:rPr>
          <w:rFonts w:ascii="Times New Roman" w:hAnsi="Times New Roman" w:cs="Times New Roman"/>
          <w:sz w:val="24"/>
          <w:szCs w:val="24"/>
        </w:rPr>
        <w:t>1</w:t>
      </w:r>
      <w:r w:rsidRPr="004F538D">
        <w:rPr>
          <w:rFonts w:ascii="Times New Roman" w:hAnsi="Times New Roman" w:cs="Times New Roman"/>
          <w:sz w:val="24"/>
          <w:szCs w:val="24"/>
        </w:rPr>
        <w:t xml:space="preserve">, t-value = </w:t>
      </w:r>
      <w:r w:rsidR="0071223C" w:rsidRPr="004F538D">
        <w:rPr>
          <w:rFonts w:ascii="Times New Roman" w:hAnsi="Times New Roman" w:cs="Times New Roman"/>
          <w:sz w:val="24"/>
          <w:szCs w:val="24"/>
        </w:rPr>
        <w:t>2.50</w:t>
      </w:r>
      <w:r w:rsidRPr="004F538D">
        <w:rPr>
          <w:rFonts w:ascii="Times New Roman" w:hAnsi="Times New Roman" w:cs="Times New Roman"/>
          <w:sz w:val="24"/>
          <w:szCs w:val="24"/>
        </w:rPr>
        <w:t>), a finding which mirrors Hassan (2016). The finding is in line with agency theory that posits that a large board may create communication and coordination challenges</w:t>
      </w:r>
      <w:r w:rsidR="00646944" w:rsidRPr="004F538D">
        <w:rPr>
          <w:rFonts w:ascii="Times New Roman" w:hAnsi="Times New Roman" w:cs="Times New Roman"/>
          <w:sz w:val="24"/>
          <w:szCs w:val="24"/>
        </w:rPr>
        <w:t xml:space="preserve"> with a reduction in board members’ participation (Jensen, 1993). Hassan (2016) argues that the long association between a large board and ARD is </w:t>
      </w:r>
      <w:r w:rsidR="00FA3BE9">
        <w:rPr>
          <w:rFonts w:ascii="Times New Roman" w:hAnsi="Times New Roman" w:cs="Times New Roman"/>
          <w:sz w:val="24"/>
          <w:szCs w:val="24"/>
        </w:rPr>
        <w:t>due to the time it takes to</w:t>
      </w:r>
      <w:r w:rsidR="00646944" w:rsidRPr="004F538D">
        <w:rPr>
          <w:rFonts w:ascii="Times New Roman" w:hAnsi="Times New Roman" w:cs="Times New Roman"/>
          <w:sz w:val="24"/>
          <w:szCs w:val="24"/>
        </w:rPr>
        <w:t xml:space="preserve"> reach an agreement with the auditor on certain matters of </w:t>
      </w:r>
      <w:r w:rsidR="00561C21" w:rsidRPr="004F538D">
        <w:rPr>
          <w:rFonts w:ascii="Times New Roman" w:hAnsi="Times New Roman" w:cs="Times New Roman"/>
          <w:sz w:val="24"/>
          <w:szCs w:val="24"/>
        </w:rPr>
        <w:t>importance in the audit</w:t>
      </w:r>
      <w:r w:rsidR="00646944" w:rsidRPr="004F538D">
        <w:rPr>
          <w:rFonts w:ascii="Times New Roman" w:hAnsi="Times New Roman" w:cs="Times New Roman"/>
          <w:sz w:val="24"/>
          <w:szCs w:val="24"/>
        </w:rPr>
        <w:t>.</w:t>
      </w:r>
      <w:r w:rsidR="00561C21" w:rsidRPr="004F538D">
        <w:rPr>
          <w:rFonts w:ascii="Times New Roman" w:hAnsi="Times New Roman" w:cs="Times New Roman"/>
          <w:sz w:val="24"/>
          <w:szCs w:val="24"/>
        </w:rPr>
        <w:t xml:space="preserve"> We find that, the more </w:t>
      </w:r>
      <w:r w:rsidR="005A3D74">
        <w:rPr>
          <w:rFonts w:ascii="Times New Roman" w:hAnsi="Times New Roman" w:cs="Times New Roman"/>
          <w:sz w:val="24"/>
          <w:szCs w:val="24"/>
        </w:rPr>
        <w:t xml:space="preserve">frequent </w:t>
      </w:r>
      <w:r w:rsidR="00561C21" w:rsidRPr="004F538D">
        <w:rPr>
          <w:rFonts w:ascii="Times New Roman" w:hAnsi="Times New Roman" w:cs="Times New Roman"/>
          <w:sz w:val="24"/>
          <w:szCs w:val="24"/>
        </w:rPr>
        <w:t>the board meets, the longer the ARD (coefficient = 0.</w:t>
      </w:r>
      <w:r w:rsidR="00080060" w:rsidRPr="004F538D">
        <w:rPr>
          <w:rFonts w:ascii="Times New Roman" w:hAnsi="Times New Roman" w:cs="Times New Roman"/>
          <w:sz w:val="24"/>
          <w:szCs w:val="24"/>
        </w:rPr>
        <w:t>008</w:t>
      </w:r>
      <w:r w:rsidR="00561C21" w:rsidRPr="004F538D">
        <w:rPr>
          <w:rFonts w:ascii="Times New Roman" w:hAnsi="Times New Roman" w:cs="Times New Roman"/>
          <w:sz w:val="24"/>
          <w:szCs w:val="24"/>
        </w:rPr>
        <w:t xml:space="preserve">, t-value = </w:t>
      </w:r>
      <w:r w:rsidR="00E757D6" w:rsidRPr="004F538D">
        <w:rPr>
          <w:rFonts w:ascii="Times New Roman" w:hAnsi="Times New Roman" w:cs="Times New Roman"/>
          <w:sz w:val="24"/>
          <w:szCs w:val="24"/>
        </w:rPr>
        <w:t>5.1</w:t>
      </w:r>
      <w:r w:rsidR="00080060" w:rsidRPr="004F538D">
        <w:rPr>
          <w:rFonts w:ascii="Times New Roman" w:hAnsi="Times New Roman" w:cs="Times New Roman"/>
          <w:sz w:val="24"/>
          <w:szCs w:val="24"/>
        </w:rPr>
        <w:t>6</w:t>
      </w:r>
      <w:r w:rsidR="00561C21" w:rsidRPr="004F538D">
        <w:rPr>
          <w:rFonts w:ascii="Times New Roman" w:hAnsi="Times New Roman" w:cs="Times New Roman"/>
          <w:sz w:val="24"/>
          <w:szCs w:val="24"/>
        </w:rPr>
        <w:t xml:space="preserve">). This would imply that the more the board meets, the longer it takes decisions to be </w:t>
      </w:r>
      <w:r w:rsidR="005A3D74">
        <w:rPr>
          <w:rFonts w:ascii="Times New Roman" w:hAnsi="Times New Roman" w:cs="Times New Roman"/>
          <w:sz w:val="24"/>
          <w:szCs w:val="24"/>
        </w:rPr>
        <w:t>made</w:t>
      </w:r>
      <w:r w:rsidR="00561C21" w:rsidRPr="004F538D">
        <w:rPr>
          <w:rFonts w:ascii="Times New Roman" w:hAnsi="Times New Roman" w:cs="Times New Roman"/>
          <w:sz w:val="24"/>
          <w:szCs w:val="24"/>
        </w:rPr>
        <w:t xml:space="preserve"> leading to a longer ARD. This is contrary to the belief that more frequent board meetings are likely to address problems as they arise and are therefore quicker in approving the release of annual report (Tauringana, Kyeyune &amp; Opio, 2008; Chan, Luo &amp; Mo, 2016)</w:t>
      </w:r>
      <w:r w:rsidR="00BE798C" w:rsidRPr="004F538D">
        <w:rPr>
          <w:rFonts w:ascii="Times New Roman" w:hAnsi="Times New Roman" w:cs="Times New Roman"/>
          <w:sz w:val="24"/>
          <w:szCs w:val="24"/>
        </w:rPr>
        <w:t xml:space="preserve">. </w:t>
      </w:r>
      <w:r w:rsidR="00080060" w:rsidRPr="004F538D">
        <w:rPr>
          <w:rFonts w:ascii="Times New Roman" w:hAnsi="Times New Roman" w:cs="Times New Roman"/>
          <w:sz w:val="24"/>
          <w:szCs w:val="24"/>
        </w:rPr>
        <w:t>According to the results, and consistent with previous findings with regard to the AC membership, firms with more independent directors in the board experience longer ARD (coefficient = 0.0</w:t>
      </w:r>
      <w:r w:rsidR="00E757D6" w:rsidRPr="004F538D">
        <w:rPr>
          <w:rFonts w:ascii="Times New Roman" w:hAnsi="Times New Roman" w:cs="Times New Roman"/>
          <w:sz w:val="24"/>
          <w:szCs w:val="24"/>
        </w:rPr>
        <w:t>19</w:t>
      </w:r>
      <w:r w:rsidR="00080060" w:rsidRPr="004F538D">
        <w:rPr>
          <w:rFonts w:ascii="Times New Roman" w:hAnsi="Times New Roman" w:cs="Times New Roman"/>
          <w:sz w:val="24"/>
          <w:szCs w:val="24"/>
        </w:rPr>
        <w:t>, t-value = 5.</w:t>
      </w:r>
      <w:r w:rsidR="00E757D6" w:rsidRPr="004F538D">
        <w:rPr>
          <w:rFonts w:ascii="Times New Roman" w:hAnsi="Times New Roman" w:cs="Times New Roman"/>
          <w:sz w:val="24"/>
          <w:szCs w:val="24"/>
        </w:rPr>
        <w:t>08</w:t>
      </w:r>
      <w:r w:rsidR="00080060" w:rsidRPr="004F538D">
        <w:rPr>
          <w:rFonts w:ascii="Times New Roman" w:hAnsi="Times New Roman" w:cs="Times New Roman"/>
          <w:sz w:val="24"/>
          <w:szCs w:val="24"/>
        </w:rPr>
        <w:t>).</w:t>
      </w:r>
      <w:r w:rsidR="00427F8E" w:rsidRPr="004F538D">
        <w:rPr>
          <w:rFonts w:ascii="Times New Roman" w:hAnsi="Times New Roman" w:cs="Times New Roman"/>
          <w:sz w:val="24"/>
          <w:szCs w:val="24"/>
        </w:rPr>
        <w:t xml:space="preserve"> </w:t>
      </w:r>
      <w:r w:rsidR="00B66A4E" w:rsidRPr="004F538D">
        <w:rPr>
          <w:rFonts w:ascii="Times New Roman" w:hAnsi="Times New Roman" w:cs="Times New Roman"/>
          <w:sz w:val="24"/>
          <w:szCs w:val="24"/>
        </w:rPr>
        <w:t xml:space="preserve">It seems that having more independent directors in </w:t>
      </w:r>
      <w:r w:rsidR="006B275A">
        <w:rPr>
          <w:rFonts w:ascii="Times New Roman" w:hAnsi="Times New Roman" w:cs="Times New Roman"/>
          <w:sz w:val="24"/>
          <w:szCs w:val="24"/>
        </w:rPr>
        <w:t xml:space="preserve">the </w:t>
      </w:r>
      <w:r w:rsidR="00B66A4E" w:rsidRPr="004F538D">
        <w:rPr>
          <w:rFonts w:ascii="Times New Roman" w:hAnsi="Times New Roman" w:cs="Times New Roman"/>
          <w:sz w:val="24"/>
          <w:szCs w:val="24"/>
        </w:rPr>
        <w:t xml:space="preserve">boards of listed firms in Kenya brings in more scrutiny to the financial reporting and oversight which increases the time taken to release the audit report. </w:t>
      </w:r>
    </w:p>
    <w:p w14:paraId="2978E8D1" w14:textId="00EFEC5A" w:rsidR="00E77FB4" w:rsidRPr="004F538D" w:rsidRDefault="00BE798C" w:rsidP="00506EB2">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4"/>
        </w:rPr>
        <w:t>In terms of board diversity, w</w:t>
      </w:r>
      <w:r w:rsidR="00E77FB4" w:rsidRPr="004F538D">
        <w:rPr>
          <w:rFonts w:ascii="Times New Roman" w:hAnsi="Times New Roman" w:cs="Times New Roman"/>
          <w:sz w:val="24"/>
          <w:szCs w:val="24"/>
        </w:rPr>
        <w:t>e</w:t>
      </w:r>
      <w:r w:rsidR="00080060" w:rsidRPr="004F538D">
        <w:rPr>
          <w:rFonts w:ascii="Times New Roman" w:hAnsi="Times New Roman" w:cs="Times New Roman"/>
          <w:sz w:val="24"/>
          <w:szCs w:val="24"/>
        </w:rPr>
        <w:t xml:space="preserve"> find </w:t>
      </w:r>
      <w:r w:rsidR="00E77FB4" w:rsidRPr="004F538D">
        <w:rPr>
          <w:rFonts w:ascii="Times New Roman" w:hAnsi="Times New Roman" w:cs="Times New Roman"/>
          <w:sz w:val="24"/>
          <w:szCs w:val="24"/>
        </w:rPr>
        <w:t>a negative association between women in the board and ARD (coefficient = -0.</w:t>
      </w:r>
      <w:r w:rsidR="00B50116" w:rsidRPr="004F538D">
        <w:rPr>
          <w:rFonts w:ascii="Times New Roman" w:hAnsi="Times New Roman" w:cs="Times New Roman"/>
          <w:sz w:val="24"/>
          <w:szCs w:val="24"/>
        </w:rPr>
        <w:t>032</w:t>
      </w:r>
      <w:r w:rsidR="00E77FB4" w:rsidRPr="004F538D">
        <w:rPr>
          <w:rFonts w:ascii="Times New Roman" w:hAnsi="Times New Roman" w:cs="Times New Roman"/>
          <w:sz w:val="24"/>
          <w:szCs w:val="24"/>
        </w:rPr>
        <w:t>, t-value = -2.</w:t>
      </w:r>
      <w:r w:rsidR="00B50116" w:rsidRPr="004F538D">
        <w:rPr>
          <w:rFonts w:ascii="Times New Roman" w:hAnsi="Times New Roman" w:cs="Times New Roman"/>
          <w:sz w:val="24"/>
          <w:szCs w:val="24"/>
        </w:rPr>
        <w:t>7</w:t>
      </w:r>
      <w:r w:rsidR="00E77FB4" w:rsidRPr="004F538D">
        <w:rPr>
          <w:rFonts w:ascii="Times New Roman" w:hAnsi="Times New Roman" w:cs="Times New Roman"/>
          <w:sz w:val="24"/>
          <w:szCs w:val="24"/>
        </w:rPr>
        <w:t>6).</w:t>
      </w:r>
      <w:r w:rsidR="00B66A4E" w:rsidRPr="004F538D">
        <w:rPr>
          <w:rFonts w:ascii="Times New Roman" w:hAnsi="Times New Roman" w:cs="Times New Roman"/>
          <w:sz w:val="24"/>
          <w:szCs w:val="24"/>
        </w:rPr>
        <w:t xml:space="preserve"> The influence of women in </w:t>
      </w:r>
      <w:r w:rsidR="006B275A">
        <w:rPr>
          <w:rFonts w:ascii="Times New Roman" w:hAnsi="Times New Roman" w:cs="Times New Roman"/>
          <w:sz w:val="24"/>
          <w:szCs w:val="24"/>
        </w:rPr>
        <w:t xml:space="preserve">the </w:t>
      </w:r>
      <w:r w:rsidR="00B66A4E" w:rsidRPr="004F538D">
        <w:rPr>
          <w:rFonts w:ascii="Times New Roman" w:hAnsi="Times New Roman" w:cs="Times New Roman"/>
          <w:sz w:val="24"/>
          <w:szCs w:val="24"/>
        </w:rPr>
        <w:t>board on ARD has been largely under-explored and</w:t>
      </w:r>
      <w:r w:rsidR="006B275A">
        <w:rPr>
          <w:rFonts w:ascii="Times New Roman" w:hAnsi="Times New Roman" w:cs="Times New Roman"/>
          <w:sz w:val="24"/>
          <w:szCs w:val="24"/>
        </w:rPr>
        <w:t xml:space="preserve"> this</w:t>
      </w:r>
      <w:r w:rsidR="00B66A4E" w:rsidRPr="004F538D">
        <w:rPr>
          <w:rFonts w:ascii="Times New Roman" w:hAnsi="Times New Roman" w:cs="Times New Roman"/>
          <w:sz w:val="24"/>
          <w:szCs w:val="24"/>
        </w:rPr>
        <w:t xml:space="preserve"> is perhaps a new and interesting finding on the role of gender diversity in the board towards an improvement in the timeliness of annual reports. It seems that having more women in the board helps in compelling the auditor to release the audit</w:t>
      </w:r>
      <w:r w:rsidR="00877A50">
        <w:rPr>
          <w:rFonts w:ascii="Times New Roman" w:hAnsi="Times New Roman" w:cs="Times New Roman"/>
          <w:sz w:val="24"/>
          <w:szCs w:val="24"/>
        </w:rPr>
        <w:t xml:space="preserve">ed accounts in a timely manner. </w:t>
      </w:r>
      <w:r w:rsidR="006B2499">
        <w:rPr>
          <w:rFonts w:ascii="Times New Roman" w:hAnsi="Times New Roman" w:cs="Times New Roman"/>
          <w:sz w:val="24"/>
          <w:szCs w:val="24"/>
        </w:rPr>
        <w:t xml:space="preserve">Next, </w:t>
      </w:r>
      <w:r w:rsidR="00B66A4E" w:rsidRPr="004F538D">
        <w:rPr>
          <w:rFonts w:ascii="Times New Roman" w:hAnsi="Times New Roman" w:cs="Times New Roman"/>
          <w:sz w:val="24"/>
          <w:szCs w:val="24"/>
        </w:rPr>
        <w:t>t</w:t>
      </w:r>
      <w:r w:rsidR="00E77FB4" w:rsidRPr="004F538D">
        <w:rPr>
          <w:rFonts w:ascii="Times New Roman" w:hAnsi="Times New Roman" w:cs="Times New Roman"/>
          <w:sz w:val="24"/>
          <w:szCs w:val="24"/>
        </w:rPr>
        <w:t>he results show a negative association between the number of nationalities in the board and ARD (coefficient = -0.02</w:t>
      </w:r>
      <w:r w:rsidR="00B50116" w:rsidRPr="004F538D">
        <w:rPr>
          <w:rFonts w:ascii="Times New Roman" w:hAnsi="Times New Roman" w:cs="Times New Roman"/>
          <w:sz w:val="24"/>
          <w:szCs w:val="24"/>
        </w:rPr>
        <w:t>8</w:t>
      </w:r>
      <w:r w:rsidR="00E77FB4" w:rsidRPr="004F538D">
        <w:rPr>
          <w:rFonts w:ascii="Times New Roman" w:hAnsi="Times New Roman" w:cs="Times New Roman"/>
          <w:sz w:val="24"/>
          <w:szCs w:val="24"/>
        </w:rPr>
        <w:t>, t-value = -</w:t>
      </w:r>
      <w:r w:rsidR="00B50116" w:rsidRPr="004F538D">
        <w:rPr>
          <w:rFonts w:ascii="Times New Roman" w:hAnsi="Times New Roman" w:cs="Times New Roman"/>
          <w:sz w:val="24"/>
          <w:szCs w:val="24"/>
        </w:rPr>
        <w:t>3.84</w:t>
      </w:r>
      <w:r w:rsidR="00E77FB4" w:rsidRPr="004F538D">
        <w:rPr>
          <w:rFonts w:ascii="Times New Roman" w:hAnsi="Times New Roman" w:cs="Times New Roman"/>
          <w:sz w:val="24"/>
          <w:szCs w:val="24"/>
        </w:rPr>
        <w:t>).</w:t>
      </w:r>
      <w:r w:rsidR="00CC36E4" w:rsidRPr="004F538D">
        <w:rPr>
          <w:rFonts w:ascii="Times New Roman" w:hAnsi="Times New Roman" w:cs="Times New Roman"/>
          <w:sz w:val="24"/>
          <w:szCs w:val="24"/>
        </w:rPr>
        <w:t xml:space="preserve"> This is yet another underexplored area where the results seem to suggest that boards with diverse representation from various nationalities are useful in reducing the ARD hence improving the timeliness of annual reports.</w:t>
      </w:r>
      <w:r w:rsidR="000C07B1" w:rsidRPr="004F538D">
        <w:rPr>
          <w:rFonts w:ascii="Times New Roman" w:hAnsi="Times New Roman" w:cs="Times New Roman"/>
          <w:sz w:val="24"/>
          <w:szCs w:val="24"/>
        </w:rPr>
        <w:t xml:space="preserve"> </w:t>
      </w:r>
      <w:r w:rsidR="00E77FB4" w:rsidRPr="004F538D">
        <w:rPr>
          <w:rFonts w:ascii="Times New Roman" w:hAnsi="Times New Roman" w:cs="Times New Roman"/>
          <w:sz w:val="24"/>
          <w:szCs w:val="24"/>
        </w:rPr>
        <w:t>The results illustrate that the longer the tenure of independent directors, the shorter the ARD (coefficient = -0.0</w:t>
      </w:r>
      <w:r w:rsidR="00B50116" w:rsidRPr="004F538D">
        <w:rPr>
          <w:rFonts w:ascii="Times New Roman" w:hAnsi="Times New Roman" w:cs="Times New Roman"/>
          <w:sz w:val="24"/>
          <w:szCs w:val="24"/>
        </w:rPr>
        <w:t>69, t-value</w:t>
      </w:r>
      <w:r w:rsidR="009F42AE">
        <w:rPr>
          <w:rFonts w:ascii="Times New Roman" w:hAnsi="Times New Roman" w:cs="Times New Roman"/>
          <w:sz w:val="24"/>
          <w:szCs w:val="24"/>
        </w:rPr>
        <w:t xml:space="preserve"> </w:t>
      </w:r>
      <w:r w:rsidR="00B50116" w:rsidRPr="004F538D">
        <w:rPr>
          <w:rFonts w:ascii="Times New Roman" w:hAnsi="Times New Roman" w:cs="Times New Roman"/>
          <w:sz w:val="24"/>
          <w:szCs w:val="24"/>
        </w:rPr>
        <w:t>=</w:t>
      </w:r>
      <w:r w:rsidR="009F42AE">
        <w:rPr>
          <w:rFonts w:ascii="Times New Roman" w:hAnsi="Times New Roman" w:cs="Times New Roman"/>
          <w:sz w:val="24"/>
          <w:szCs w:val="24"/>
        </w:rPr>
        <w:t xml:space="preserve"> </w:t>
      </w:r>
      <w:r w:rsidR="00B50116" w:rsidRPr="004F538D">
        <w:rPr>
          <w:rFonts w:ascii="Times New Roman" w:hAnsi="Times New Roman" w:cs="Times New Roman"/>
          <w:sz w:val="24"/>
          <w:szCs w:val="24"/>
        </w:rPr>
        <w:t>-2.01</w:t>
      </w:r>
      <w:r w:rsidR="00E77FB4" w:rsidRPr="004F538D">
        <w:rPr>
          <w:rFonts w:ascii="Times New Roman" w:hAnsi="Times New Roman" w:cs="Times New Roman"/>
          <w:sz w:val="24"/>
          <w:szCs w:val="24"/>
        </w:rPr>
        <w:t>).</w:t>
      </w:r>
      <w:r w:rsidR="00EB7D9A" w:rsidRPr="004F538D">
        <w:rPr>
          <w:rFonts w:ascii="Times New Roman" w:hAnsi="Times New Roman" w:cs="Times New Roman"/>
          <w:sz w:val="24"/>
          <w:szCs w:val="24"/>
        </w:rPr>
        <w:t xml:space="preserve"> This implies that independent directors who have served in the board for a longer period are likely to have better understanding of the business and are aware of areas of control weakness and will be quick to point out the areas for auditor’s attention. The finding seems to mirror Ghafran and Yasmin (2017) who found that board members who serve longer </w:t>
      </w:r>
      <w:r w:rsidR="005A3D74">
        <w:rPr>
          <w:rFonts w:ascii="Times New Roman" w:hAnsi="Times New Roman" w:cs="Times New Roman"/>
          <w:sz w:val="24"/>
          <w:szCs w:val="24"/>
        </w:rPr>
        <w:t xml:space="preserve">in the board </w:t>
      </w:r>
      <w:r w:rsidR="00EB7D9A" w:rsidRPr="004F538D">
        <w:rPr>
          <w:rFonts w:ascii="Times New Roman" w:hAnsi="Times New Roman" w:cs="Times New Roman"/>
          <w:sz w:val="24"/>
          <w:szCs w:val="24"/>
        </w:rPr>
        <w:t>as AC chairs are associated with reduced ARD.</w:t>
      </w:r>
    </w:p>
    <w:p w14:paraId="25D28734" w14:textId="2A531255" w:rsidR="000C07B1" w:rsidRPr="004F538D" w:rsidRDefault="00E77FB4" w:rsidP="009F42AE">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4"/>
        </w:rPr>
        <w:t>Finally, and in confirmation with our testable hypothesis</w:t>
      </w:r>
      <w:r w:rsidR="0017609F" w:rsidRPr="004F538D">
        <w:rPr>
          <w:rFonts w:ascii="Times New Roman" w:hAnsi="Times New Roman" w:cs="Times New Roman"/>
          <w:sz w:val="24"/>
          <w:szCs w:val="24"/>
        </w:rPr>
        <w:t xml:space="preserve"> (</w:t>
      </w:r>
      <w:r w:rsidR="0017609F" w:rsidRPr="004F538D">
        <w:rPr>
          <w:rFonts w:ascii="Times New Roman" w:hAnsi="Times New Roman" w:cs="Times New Roman"/>
          <w:i/>
          <w:sz w:val="24"/>
          <w:szCs w:val="24"/>
        </w:rPr>
        <w:t>H1</w:t>
      </w:r>
      <w:r w:rsidR="0017609F" w:rsidRPr="004F538D">
        <w:rPr>
          <w:rFonts w:ascii="Times New Roman" w:hAnsi="Times New Roman" w:cs="Times New Roman"/>
          <w:sz w:val="24"/>
          <w:szCs w:val="24"/>
        </w:rPr>
        <w:t>)</w:t>
      </w:r>
      <w:r w:rsidRPr="004F538D">
        <w:rPr>
          <w:rFonts w:ascii="Times New Roman" w:hAnsi="Times New Roman" w:cs="Times New Roman"/>
          <w:sz w:val="24"/>
          <w:szCs w:val="24"/>
        </w:rPr>
        <w:t xml:space="preserve">, the findings show a </w:t>
      </w:r>
      <w:r w:rsidR="00C85E82" w:rsidRPr="004F538D">
        <w:rPr>
          <w:rFonts w:ascii="Times New Roman" w:hAnsi="Times New Roman" w:cs="Times New Roman"/>
          <w:sz w:val="24"/>
          <w:szCs w:val="24"/>
        </w:rPr>
        <w:t xml:space="preserve">highly </w:t>
      </w:r>
      <w:r w:rsidRPr="004F538D">
        <w:rPr>
          <w:rFonts w:ascii="Times New Roman" w:hAnsi="Times New Roman" w:cs="Times New Roman"/>
          <w:sz w:val="24"/>
          <w:szCs w:val="24"/>
        </w:rPr>
        <w:t>significant and negative association between the composite CG-</w:t>
      </w:r>
      <w:r w:rsidR="003D1045">
        <w:rPr>
          <w:rFonts w:ascii="Times New Roman" w:hAnsi="Times New Roman" w:cs="Times New Roman"/>
          <w:sz w:val="24"/>
          <w:szCs w:val="24"/>
        </w:rPr>
        <w:t>I</w:t>
      </w:r>
      <w:r w:rsidRPr="004F538D">
        <w:rPr>
          <w:rFonts w:ascii="Times New Roman" w:hAnsi="Times New Roman" w:cs="Times New Roman"/>
          <w:sz w:val="24"/>
          <w:szCs w:val="24"/>
        </w:rPr>
        <w:t>ndex and ARD (coefficient = -0.</w:t>
      </w:r>
      <w:r w:rsidR="00C85E82" w:rsidRPr="004F538D">
        <w:rPr>
          <w:rFonts w:ascii="Times New Roman" w:hAnsi="Times New Roman" w:cs="Times New Roman"/>
          <w:sz w:val="24"/>
          <w:szCs w:val="24"/>
        </w:rPr>
        <w:t>366</w:t>
      </w:r>
      <w:r w:rsidRPr="004F538D">
        <w:rPr>
          <w:rFonts w:ascii="Times New Roman" w:hAnsi="Times New Roman" w:cs="Times New Roman"/>
          <w:sz w:val="24"/>
          <w:szCs w:val="24"/>
        </w:rPr>
        <w:t>, t-value -</w:t>
      </w:r>
      <w:r w:rsidR="00C85E82" w:rsidRPr="004F538D">
        <w:rPr>
          <w:rFonts w:ascii="Times New Roman" w:hAnsi="Times New Roman" w:cs="Times New Roman"/>
          <w:sz w:val="24"/>
          <w:szCs w:val="24"/>
        </w:rPr>
        <w:t>2.89</w:t>
      </w:r>
      <w:r w:rsidRPr="004F538D">
        <w:rPr>
          <w:rFonts w:ascii="Times New Roman" w:hAnsi="Times New Roman" w:cs="Times New Roman"/>
          <w:sz w:val="24"/>
          <w:szCs w:val="24"/>
        </w:rPr>
        <w:t>).</w:t>
      </w:r>
      <w:r w:rsidR="000C07B1" w:rsidRPr="004F538D">
        <w:rPr>
          <w:rFonts w:ascii="Times New Roman" w:hAnsi="Times New Roman" w:cs="Times New Roman"/>
          <w:sz w:val="24"/>
          <w:szCs w:val="24"/>
        </w:rPr>
        <w:t xml:space="preserve"> </w:t>
      </w:r>
      <w:r w:rsidR="00CA7FA8" w:rsidRPr="004F538D">
        <w:rPr>
          <w:rFonts w:ascii="Times New Roman" w:hAnsi="Times New Roman" w:cs="Times New Roman"/>
          <w:sz w:val="24"/>
          <w:szCs w:val="24"/>
        </w:rPr>
        <w:t>Although not explicit as is the case in the present study, the finding</w:t>
      </w:r>
      <w:r w:rsidR="000C07B1" w:rsidRPr="004F538D">
        <w:rPr>
          <w:rFonts w:ascii="Times New Roman" w:hAnsi="Times New Roman" w:cs="Times New Roman"/>
          <w:sz w:val="24"/>
          <w:szCs w:val="24"/>
        </w:rPr>
        <w:t xml:space="preserve"> is </w:t>
      </w:r>
      <w:r w:rsidR="006A14E1" w:rsidRPr="004F538D">
        <w:rPr>
          <w:rFonts w:ascii="Times New Roman" w:hAnsi="Times New Roman" w:cs="Times New Roman"/>
          <w:sz w:val="24"/>
          <w:szCs w:val="24"/>
        </w:rPr>
        <w:t xml:space="preserve">in support of </w:t>
      </w:r>
      <w:r w:rsidR="006A14E1" w:rsidRPr="004F538D">
        <w:rPr>
          <w:rFonts w:ascii="Times New Roman" w:hAnsi="Times New Roman" w:cs="Times New Roman"/>
          <w:sz w:val="24"/>
          <w:szCs w:val="26"/>
        </w:rPr>
        <w:t xml:space="preserve">Nehme, Assaker and Khalife (2015)’s general findings that variables relating to the board of directors have a negative association with ARD. </w:t>
      </w:r>
      <w:r w:rsidR="00CA7FA8" w:rsidRPr="004F538D">
        <w:rPr>
          <w:rFonts w:ascii="Times New Roman" w:hAnsi="Times New Roman" w:cs="Times New Roman"/>
          <w:sz w:val="24"/>
          <w:szCs w:val="26"/>
        </w:rPr>
        <w:t>The results also mirror Tauringana, Kyeyune and Opio (2008)’s findings of a significant and negative association between CG mechanisms and ARD.</w:t>
      </w:r>
      <w:r w:rsidR="002567E2" w:rsidRPr="004F538D">
        <w:rPr>
          <w:rFonts w:ascii="Times New Roman" w:hAnsi="Times New Roman" w:cs="Times New Roman"/>
          <w:sz w:val="24"/>
          <w:szCs w:val="26"/>
        </w:rPr>
        <w:t xml:space="preserve"> The findings also mirror B</w:t>
      </w:r>
      <w:r w:rsidR="000C07B1" w:rsidRPr="004F538D">
        <w:rPr>
          <w:rFonts w:ascii="Times New Roman" w:hAnsi="Times New Roman" w:cs="Times New Roman"/>
          <w:sz w:val="24"/>
          <w:szCs w:val="24"/>
        </w:rPr>
        <w:t>aatwah, Salleh and Ahmad (2015) and Ghafran and Yasmin (2017) who found a negative association between AC quality and ARD.</w:t>
      </w:r>
      <w:r w:rsidR="00F83408" w:rsidRPr="004F538D">
        <w:rPr>
          <w:rFonts w:ascii="Times New Roman" w:hAnsi="Times New Roman" w:cs="Times New Roman"/>
          <w:sz w:val="24"/>
          <w:szCs w:val="24"/>
        </w:rPr>
        <w:t xml:space="preserve"> </w:t>
      </w:r>
      <w:r w:rsidR="00D778FB" w:rsidRPr="004F538D">
        <w:rPr>
          <w:rFonts w:ascii="Times New Roman" w:hAnsi="Times New Roman" w:cs="Times New Roman"/>
          <w:sz w:val="24"/>
          <w:szCs w:val="24"/>
        </w:rPr>
        <w:t>The significant and n</w:t>
      </w:r>
      <w:r w:rsidR="003D1045">
        <w:rPr>
          <w:rFonts w:ascii="Times New Roman" w:hAnsi="Times New Roman" w:cs="Times New Roman"/>
          <w:sz w:val="24"/>
          <w:szCs w:val="24"/>
        </w:rPr>
        <w:t>egative association between CG-I</w:t>
      </w:r>
      <w:r w:rsidR="00D778FB" w:rsidRPr="004F538D">
        <w:rPr>
          <w:rFonts w:ascii="Times New Roman" w:hAnsi="Times New Roman" w:cs="Times New Roman"/>
          <w:sz w:val="24"/>
          <w:szCs w:val="24"/>
        </w:rPr>
        <w:t>ndex and ARD illustrates the joint influence of CG mechanisms on the timeliness of annual reports. It can be argued that taking a granular view of CG mechanisms may not provide the overall contribution of CG on the timeliness of annual reports. The results provide empirical evidence on the need to examine CG in totality when assessing its influence on the timeliness of annual reports.</w:t>
      </w:r>
    </w:p>
    <w:p w14:paraId="559E970C" w14:textId="74ECDAED" w:rsidR="004C1407" w:rsidRPr="004F538D" w:rsidRDefault="000B1802" w:rsidP="00506EB2">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4"/>
        </w:rPr>
        <w:t>With regard to control variables, we find that firms that report in dual language experience reduced ARD, and this is consistent across all models</w:t>
      </w:r>
      <w:r w:rsidR="00C55412" w:rsidRPr="004F538D">
        <w:rPr>
          <w:rFonts w:ascii="Times New Roman" w:hAnsi="Times New Roman" w:cs="Times New Roman"/>
          <w:sz w:val="24"/>
          <w:szCs w:val="24"/>
        </w:rPr>
        <w:t xml:space="preserve"> and with Tauringana, Kyeyune and Opio (2008)</w:t>
      </w:r>
      <w:r w:rsidRPr="004F538D">
        <w:rPr>
          <w:rFonts w:ascii="Times New Roman" w:hAnsi="Times New Roman" w:cs="Times New Roman"/>
          <w:sz w:val="24"/>
          <w:szCs w:val="24"/>
        </w:rPr>
        <w:t xml:space="preserve">. </w:t>
      </w:r>
      <w:r w:rsidR="00C55412" w:rsidRPr="004F538D">
        <w:rPr>
          <w:rFonts w:ascii="Times New Roman" w:hAnsi="Times New Roman" w:cs="Times New Roman"/>
          <w:sz w:val="24"/>
          <w:szCs w:val="24"/>
        </w:rPr>
        <w:t>Consistent with Rusmin and Evans (2017)</w:t>
      </w:r>
      <w:r w:rsidRPr="004F538D">
        <w:rPr>
          <w:rFonts w:ascii="Times New Roman" w:hAnsi="Times New Roman" w:cs="Times New Roman"/>
          <w:sz w:val="24"/>
          <w:szCs w:val="24"/>
        </w:rPr>
        <w:t>, the results reveal that family-owned firms have shorter ARD, a</w:t>
      </w:r>
      <w:r w:rsidR="00876B4F" w:rsidRPr="004F538D">
        <w:rPr>
          <w:rFonts w:ascii="Times New Roman" w:hAnsi="Times New Roman" w:cs="Times New Roman"/>
          <w:sz w:val="24"/>
          <w:szCs w:val="24"/>
        </w:rPr>
        <w:t>nd this is significant at the 1 percent</w:t>
      </w:r>
      <w:r w:rsidRPr="004F538D">
        <w:rPr>
          <w:rFonts w:ascii="Times New Roman" w:hAnsi="Times New Roman" w:cs="Times New Roman"/>
          <w:sz w:val="24"/>
          <w:szCs w:val="24"/>
        </w:rPr>
        <w:t xml:space="preserve"> level across the models. </w:t>
      </w:r>
      <w:r w:rsidR="00876B4F" w:rsidRPr="004F538D">
        <w:rPr>
          <w:rFonts w:ascii="Times New Roman" w:hAnsi="Times New Roman" w:cs="Times New Roman"/>
          <w:sz w:val="24"/>
          <w:szCs w:val="24"/>
        </w:rPr>
        <w:t xml:space="preserve">Consistent with studies such as Sultana, Singh and Zahn (2015), Alfraih (2016), Meckfessel and Sellers (2017) and Oussii and Taktak (2018), the results show that firm size is highly significant and negatively associated with ARD. </w:t>
      </w:r>
      <w:r w:rsidRPr="004F538D">
        <w:rPr>
          <w:rFonts w:ascii="Times New Roman" w:hAnsi="Times New Roman" w:cs="Times New Roman"/>
          <w:sz w:val="24"/>
          <w:szCs w:val="24"/>
        </w:rPr>
        <w:t>According to the results, a firm’s profitability, as measured by ROE, has a significant and negative association with ARD at the 1</w:t>
      </w:r>
      <w:r w:rsidR="00A21E12" w:rsidRPr="004F538D">
        <w:rPr>
          <w:rFonts w:ascii="Times New Roman" w:hAnsi="Times New Roman" w:cs="Times New Roman"/>
          <w:sz w:val="24"/>
          <w:szCs w:val="24"/>
        </w:rPr>
        <w:t xml:space="preserve"> percent </w:t>
      </w:r>
      <w:r w:rsidRPr="004F538D">
        <w:rPr>
          <w:rFonts w:ascii="Times New Roman" w:hAnsi="Times New Roman" w:cs="Times New Roman"/>
          <w:sz w:val="24"/>
          <w:szCs w:val="24"/>
        </w:rPr>
        <w:t>level</w:t>
      </w:r>
      <w:r w:rsidR="00C55412" w:rsidRPr="004F538D">
        <w:rPr>
          <w:rFonts w:ascii="Times New Roman" w:hAnsi="Times New Roman" w:cs="Times New Roman"/>
          <w:sz w:val="24"/>
          <w:szCs w:val="24"/>
        </w:rPr>
        <w:t>, and this is consistent with studies such as Lee and Jahng (2008), Nehme, Assaker and Khalife (2015), Alfraih (2016), Habib, Bhuiyan and Huang (2018), Oussii and Taktak (2018) and Rezaei and Mohd-Saleh (2018)</w:t>
      </w:r>
      <w:r w:rsidRPr="004F538D">
        <w:rPr>
          <w:rFonts w:ascii="Times New Roman" w:hAnsi="Times New Roman" w:cs="Times New Roman"/>
          <w:sz w:val="24"/>
          <w:szCs w:val="24"/>
        </w:rPr>
        <w:t xml:space="preserve">. We further find </w:t>
      </w:r>
      <w:r w:rsidR="004714E5" w:rsidRPr="004F538D">
        <w:rPr>
          <w:rFonts w:ascii="Times New Roman" w:hAnsi="Times New Roman" w:cs="Times New Roman"/>
          <w:sz w:val="24"/>
          <w:szCs w:val="24"/>
        </w:rPr>
        <w:t>a highl</w:t>
      </w:r>
      <w:r w:rsidR="004C1407" w:rsidRPr="004F538D">
        <w:rPr>
          <w:rFonts w:ascii="Times New Roman" w:hAnsi="Times New Roman" w:cs="Times New Roman"/>
          <w:sz w:val="24"/>
          <w:szCs w:val="24"/>
        </w:rPr>
        <w:t>y significant and negative association between</w:t>
      </w:r>
      <w:r w:rsidRPr="004F538D">
        <w:rPr>
          <w:rFonts w:ascii="Times New Roman" w:hAnsi="Times New Roman" w:cs="Times New Roman"/>
          <w:sz w:val="24"/>
          <w:szCs w:val="24"/>
        </w:rPr>
        <w:t xml:space="preserve"> firms audited by Big 4 auditors </w:t>
      </w:r>
      <w:r w:rsidR="004C1407" w:rsidRPr="004F538D">
        <w:rPr>
          <w:rFonts w:ascii="Times New Roman" w:hAnsi="Times New Roman" w:cs="Times New Roman"/>
          <w:sz w:val="24"/>
          <w:szCs w:val="24"/>
        </w:rPr>
        <w:t>and</w:t>
      </w:r>
      <w:r w:rsidRPr="004F538D">
        <w:rPr>
          <w:rFonts w:ascii="Times New Roman" w:hAnsi="Times New Roman" w:cs="Times New Roman"/>
          <w:sz w:val="24"/>
          <w:szCs w:val="24"/>
        </w:rPr>
        <w:t xml:space="preserve"> ARD and this</w:t>
      </w:r>
      <w:r w:rsidR="004C1407" w:rsidRPr="004F538D">
        <w:rPr>
          <w:rFonts w:ascii="Times New Roman" w:hAnsi="Times New Roman" w:cs="Times New Roman"/>
          <w:sz w:val="24"/>
          <w:szCs w:val="24"/>
        </w:rPr>
        <w:t xml:space="preserve"> is consistent with Leventis, Weetman and Caramanis (2005), Alfraih (2016), Ghafran and Yasmin (2017) and Hussin, Bamahros and Shukeri (2018). </w:t>
      </w:r>
      <w:r w:rsidR="00077054" w:rsidRPr="004F538D">
        <w:rPr>
          <w:rFonts w:ascii="Times New Roman" w:hAnsi="Times New Roman" w:cs="Times New Roman"/>
          <w:sz w:val="24"/>
          <w:szCs w:val="24"/>
        </w:rPr>
        <w:t xml:space="preserve">This demonstrates that being audited by a Big 4 audit firm is particularly useful in reducing the ARD, and we note that </w:t>
      </w:r>
      <w:r w:rsidR="00A46DA0">
        <w:rPr>
          <w:rFonts w:ascii="Times New Roman" w:hAnsi="Times New Roman" w:cs="Times New Roman"/>
          <w:sz w:val="24"/>
          <w:szCs w:val="24"/>
        </w:rPr>
        <w:t xml:space="preserve">over </w:t>
      </w:r>
      <w:r w:rsidR="00077054" w:rsidRPr="004F538D">
        <w:rPr>
          <w:rFonts w:ascii="Times New Roman" w:hAnsi="Times New Roman" w:cs="Times New Roman"/>
          <w:sz w:val="24"/>
          <w:szCs w:val="24"/>
        </w:rPr>
        <w:t>90</w:t>
      </w:r>
      <w:r w:rsidR="007C0881">
        <w:rPr>
          <w:rFonts w:ascii="Times New Roman" w:hAnsi="Times New Roman" w:cs="Times New Roman"/>
          <w:sz w:val="24"/>
          <w:szCs w:val="24"/>
        </w:rPr>
        <w:t xml:space="preserve"> percent</w:t>
      </w:r>
      <w:r w:rsidR="00077054" w:rsidRPr="004F538D">
        <w:rPr>
          <w:rFonts w:ascii="Times New Roman" w:hAnsi="Times New Roman" w:cs="Times New Roman"/>
          <w:sz w:val="24"/>
          <w:szCs w:val="24"/>
        </w:rPr>
        <w:t xml:space="preserve"> of the listed firms in the sample are audited by Big 4 audit firms.</w:t>
      </w:r>
    </w:p>
    <w:p w14:paraId="5776645C" w14:textId="3D97A2D2" w:rsidR="000B1802" w:rsidRDefault="000B1802" w:rsidP="00506EB2">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4"/>
        </w:rPr>
        <w:t xml:space="preserve">According to the results, </w:t>
      </w:r>
      <w:r w:rsidR="00077054" w:rsidRPr="004F538D">
        <w:rPr>
          <w:rFonts w:ascii="Times New Roman" w:hAnsi="Times New Roman" w:cs="Times New Roman"/>
          <w:sz w:val="24"/>
          <w:szCs w:val="24"/>
        </w:rPr>
        <w:t xml:space="preserve">and consistent with Rezaei and Mohd-Saleh (2018), </w:t>
      </w:r>
      <w:r w:rsidR="00D86A01" w:rsidRPr="004F538D">
        <w:rPr>
          <w:rFonts w:ascii="Times New Roman" w:hAnsi="Times New Roman" w:cs="Times New Roman"/>
          <w:sz w:val="24"/>
          <w:szCs w:val="24"/>
        </w:rPr>
        <w:t>firms whose financial year end is December have shorter ARDs, perhaps to cat</w:t>
      </w:r>
      <w:r w:rsidR="00A21E12" w:rsidRPr="004F538D">
        <w:rPr>
          <w:rFonts w:ascii="Times New Roman" w:hAnsi="Times New Roman" w:cs="Times New Roman"/>
          <w:sz w:val="24"/>
          <w:szCs w:val="24"/>
        </w:rPr>
        <w:t xml:space="preserve">er for the peak periods. The results show that cross-listed firms experience shorter ARDs, possibly due to auditor establishment and concentration in the various jurisdictions in which the companies are cross-listed. Finally, </w:t>
      </w:r>
      <w:r w:rsidR="00D86A01" w:rsidRPr="004F538D">
        <w:rPr>
          <w:rFonts w:ascii="Times New Roman" w:hAnsi="Times New Roman" w:cs="Times New Roman"/>
          <w:sz w:val="24"/>
          <w:szCs w:val="24"/>
        </w:rPr>
        <w:t xml:space="preserve">firms with more </w:t>
      </w:r>
      <w:r w:rsidR="000A11DB" w:rsidRPr="004F538D">
        <w:rPr>
          <w:rFonts w:ascii="Times New Roman" w:hAnsi="Times New Roman" w:cs="Times New Roman"/>
          <w:sz w:val="24"/>
          <w:szCs w:val="24"/>
        </w:rPr>
        <w:t>subsidiaries</w:t>
      </w:r>
      <w:r w:rsidR="00D86A01" w:rsidRPr="004F538D">
        <w:rPr>
          <w:rFonts w:ascii="Times New Roman" w:hAnsi="Times New Roman" w:cs="Times New Roman"/>
          <w:sz w:val="24"/>
          <w:szCs w:val="24"/>
        </w:rPr>
        <w:t xml:space="preserve"> experience longer ARD</w:t>
      </w:r>
      <w:r w:rsidR="00077054" w:rsidRPr="004F538D">
        <w:rPr>
          <w:rFonts w:ascii="Times New Roman" w:hAnsi="Times New Roman" w:cs="Times New Roman"/>
          <w:sz w:val="24"/>
          <w:szCs w:val="24"/>
        </w:rPr>
        <w:t xml:space="preserve">, and this is consistent with Lee and Jahng (2008), Habib and Bhuiyan (2011), Dao and Pham (2014), Chan, Luo and Mo (2016), Ghafran and Yasmin (2017), Rusmin and Evans (2017), Habib, Bhuiyan and Huang (2018) and Rezaei and Mohd-Saleh (2018). </w:t>
      </w:r>
      <w:r w:rsidR="00D86A01" w:rsidRPr="004F538D">
        <w:rPr>
          <w:rFonts w:ascii="Times New Roman" w:hAnsi="Times New Roman" w:cs="Times New Roman"/>
          <w:sz w:val="24"/>
          <w:szCs w:val="24"/>
        </w:rPr>
        <w:t>The regression models show that the adjusted R</w:t>
      </w:r>
      <w:r w:rsidR="00D86A01" w:rsidRPr="004F538D">
        <w:rPr>
          <w:rFonts w:ascii="Times New Roman" w:hAnsi="Times New Roman" w:cs="Times New Roman"/>
          <w:sz w:val="24"/>
          <w:szCs w:val="24"/>
          <w:vertAlign w:val="superscript"/>
        </w:rPr>
        <w:t>2</w:t>
      </w:r>
      <w:r w:rsidR="00622DE0" w:rsidRPr="004F538D">
        <w:rPr>
          <w:rFonts w:ascii="Times New Roman" w:hAnsi="Times New Roman" w:cs="Times New Roman"/>
          <w:sz w:val="24"/>
          <w:szCs w:val="24"/>
        </w:rPr>
        <w:t xml:space="preserve"> when all CG-index items are</w:t>
      </w:r>
      <w:r w:rsidR="00D86A01" w:rsidRPr="004F538D">
        <w:rPr>
          <w:rFonts w:ascii="Times New Roman" w:hAnsi="Times New Roman" w:cs="Times New Roman"/>
          <w:sz w:val="24"/>
          <w:szCs w:val="24"/>
        </w:rPr>
        <w:t xml:space="preserve"> included is at its high of </w:t>
      </w:r>
      <w:r w:rsidR="00622DE0" w:rsidRPr="004F538D">
        <w:rPr>
          <w:rFonts w:ascii="Times New Roman" w:hAnsi="Times New Roman" w:cs="Times New Roman"/>
          <w:sz w:val="24"/>
          <w:szCs w:val="24"/>
        </w:rPr>
        <w:t>24.5 percent,</w:t>
      </w:r>
      <w:r w:rsidR="00D86A01" w:rsidRPr="004F538D">
        <w:rPr>
          <w:rFonts w:ascii="Times New Roman" w:hAnsi="Times New Roman" w:cs="Times New Roman"/>
          <w:sz w:val="24"/>
          <w:szCs w:val="24"/>
        </w:rPr>
        <w:t xml:space="preserve"> which </w:t>
      </w:r>
      <w:r w:rsidR="0024110C" w:rsidRPr="004F538D">
        <w:rPr>
          <w:rFonts w:ascii="Times New Roman" w:hAnsi="Times New Roman" w:cs="Times New Roman"/>
          <w:sz w:val="24"/>
          <w:szCs w:val="24"/>
        </w:rPr>
        <w:t xml:space="preserve">implies that the inclusion of all CG items </w:t>
      </w:r>
      <w:r w:rsidR="00A46DA0">
        <w:rPr>
          <w:rFonts w:ascii="Times New Roman" w:hAnsi="Times New Roman" w:cs="Times New Roman"/>
          <w:sz w:val="24"/>
          <w:szCs w:val="24"/>
        </w:rPr>
        <w:t xml:space="preserve">in one model </w:t>
      </w:r>
      <w:r w:rsidR="00D86A01" w:rsidRPr="004F538D">
        <w:rPr>
          <w:rFonts w:ascii="Times New Roman" w:hAnsi="Times New Roman" w:cs="Times New Roman"/>
          <w:sz w:val="24"/>
          <w:szCs w:val="24"/>
        </w:rPr>
        <w:t xml:space="preserve">improves the model’s </w:t>
      </w:r>
      <w:r w:rsidR="0024110C" w:rsidRPr="004F538D">
        <w:rPr>
          <w:rFonts w:ascii="Times New Roman" w:hAnsi="Times New Roman" w:cs="Times New Roman"/>
          <w:sz w:val="24"/>
          <w:szCs w:val="24"/>
        </w:rPr>
        <w:t>explanatory power</w:t>
      </w:r>
      <w:r w:rsidR="00D86A01" w:rsidRPr="004F538D">
        <w:rPr>
          <w:rFonts w:ascii="Times New Roman" w:hAnsi="Times New Roman" w:cs="Times New Roman"/>
          <w:sz w:val="24"/>
          <w:szCs w:val="24"/>
        </w:rPr>
        <w:t>.</w:t>
      </w:r>
    </w:p>
    <w:p w14:paraId="13B59E7D" w14:textId="77777777" w:rsidR="003C6690" w:rsidRDefault="003C6690" w:rsidP="00506EB2">
      <w:pPr>
        <w:autoSpaceDE w:val="0"/>
        <w:autoSpaceDN w:val="0"/>
        <w:adjustRightInd w:val="0"/>
        <w:jc w:val="both"/>
        <w:rPr>
          <w:rFonts w:ascii="Times New Roman" w:hAnsi="Times New Roman" w:cs="Times New Roman"/>
          <w:sz w:val="24"/>
          <w:szCs w:val="24"/>
        </w:rPr>
      </w:pPr>
    </w:p>
    <w:p w14:paraId="4C013B74" w14:textId="73070EF6" w:rsidR="003C6690" w:rsidRDefault="003C6690" w:rsidP="003C6690">
      <w:pPr>
        <w:autoSpaceDE w:val="0"/>
        <w:autoSpaceDN w:val="0"/>
        <w:adjustRightInd w:val="0"/>
        <w:jc w:val="center"/>
        <w:rPr>
          <w:rFonts w:ascii="Times New Roman" w:hAnsi="Times New Roman" w:cs="Times New Roman"/>
          <w:sz w:val="24"/>
          <w:szCs w:val="24"/>
        </w:rPr>
      </w:pPr>
      <w:r w:rsidRPr="003C6690">
        <w:rPr>
          <w:rFonts w:ascii="Times New Roman" w:hAnsi="Times New Roman" w:cs="Times New Roman"/>
          <w:b/>
          <w:sz w:val="24"/>
          <w:szCs w:val="24"/>
        </w:rPr>
        <w:t>[Insert Table 6 about here]</w:t>
      </w:r>
    </w:p>
    <w:p w14:paraId="22405C24" w14:textId="57491942" w:rsidR="004A3E15" w:rsidRPr="004F538D" w:rsidRDefault="004A3E15" w:rsidP="00F315C1">
      <w:pPr>
        <w:pStyle w:val="ListParagraph"/>
        <w:numPr>
          <w:ilvl w:val="1"/>
          <w:numId w:val="27"/>
        </w:numPr>
        <w:jc w:val="both"/>
        <w:rPr>
          <w:rFonts w:ascii="Times New Roman" w:hAnsi="Times New Roman" w:cs="Times New Roman"/>
          <w:i/>
          <w:sz w:val="24"/>
          <w:szCs w:val="24"/>
        </w:rPr>
      </w:pPr>
      <w:r w:rsidRPr="004F538D">
        <w:rPr>
          <w:rFonts w:ascii="Times New Roman" w:hAnsi="Times New Roman" w:cs="Times New Roman"/>
          <w:i/>
          <w:sz w:val="24"/>
          <w:szCs w:val="24"/>
        </w:rPr>
        <w:t>Robustness checks</w:t>
      </w:r>
    </w:p>
    <w:p w14:paraId="4045AF44" w14:textId="4C6198F9" w:rsidR="00644603" w:rsidRPr="004F538D" w:rsidRDefault="00644603" w:rsidP="00644603">
      <w:pPr>
        <w:pStyle w:val="ListParagraph"/>
        <w:numPr>
          <w:ilvl w:val="2"/>
          <w:numId w:val="27"/>
        </w:numPr>
        <w:jc w:val="both"/>
        <w:rPr>
          <w:rFonts w:ascii="Times New Roman" w:hAnsi="Times New Roman" w:cs="Times New Roman"/>
          <w:i/>
          <w:sz w:val="24"/>
          <w:szCs w:val="24"/>
        </w:rPr>
      </w:pPr>
      <w:r w:rsidRPr="004F538D">
        <w:rPr>
          <w:rFonts w:ascii="Times New Roman" w:hAnsi="Times New Roman" w:cs="Times New Roman"/>
          <w:i/>
          <w:sz w:val="24"/>
          <w:szCs w:val="24"/>
        </w:rPr>
        <w:t>Self-selection bias</w:t>
      </w:r>
    </w:p>
    <w:p w14:paraId="163E2771" w14:textId="779EBA27" w:rsidR="004A3E15" w:rsidRPr="004F538D" w:rsidRDefault="00145E41" w:rsidP="00506EB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Prior studies o</w:t>
      </w:r>
      <w:r w:rsidR="00315C60" w:rsidRPr="004F538D">
        <w:rPr>
          <w:rFonts w:ascii="Times New Roman" w:hAnsi="Times New Roman" w:cs="Times New Roman"/>
          <w:sz w:val="24"/>
          <w:szCs w:val="24"/>
        </w:rPr>
        <w:t xml:space="preserve">n ARD have established that a self-selection problem arises since clients tend to </w:t>
      </w:r>
      <w:r w:rsidR="00F93722">
        <w:rPr>
          <w:rFonts w:ascii="Times New Roman" w:hAnsi="Times New Roman" w:cs="Times New Roman"/>
          <w:sz w:val="24"/>
          <w:szCs w:val="24"/>
        </w:rPr>
        <w:t>“</w:t>
      </w:r>
      <w:r w:rsidR="00315C60" w:rsidRPr="004F538D">
        <w:rPr>
          <w:rFonts w:ascii="Times New Roman" w:hAnsi="Times New Roman" w:cs="Times New Roman"/>
          <w:sz w:val="24"/>
          <w:szCs w:val="24"/>
        </w:rPr>
        <w:t>self-select</w:t>
      </w:r>
      <w:r w:rsidR="00F93722">
        <w:rPr>
          <w:rFonts w:ascii="Times New Roman" w:hAnsi="Times New Roman" w:cs="Times New Roman"/>
          <w:sz w:val="24"/>
          <w:szCs w:val="24"/>
        </w:rPr>
        <w:t>”</w:t>
      </w:r>
      <w:r w:rsidR="00315C60" w:rsidRPr="004F538D">
        <w:rPr>
          <w:rFonts w:ascii="Times New Roman" w:hAnsi="Times New Roman" w:cs="Times New Roman"/>
          <w:sz w:val="24"/>
          <w:szCs w:val="24"/>
        </w:rPr>
        <w:t xml:space="preserve"> their auditors (Habib &amp; Bhuiyan, 2011; Dao &amp; Pham, 2014).  </w:t>
      </w:r>
      <w:r w:rsidR="00CF2995" w:rsidRPr="004F538D">
        <w:rPr>
          <w:rFonts w:ascii="Times New Roman" w:hAnsi="Times New Roman" w:cs="Times New Roman"/>
          <w:sz w:val="24"/>
          <w:szCs w:val="24"/>
        </w:rPr>
        <w:t xml:space="preserve">This leads to biased OLS regression results. </w:t>
      </w:r>
      <w:r>
        <w:rPr>
          <w:rFonts w:ascii="Times New Roman" w:hAnsi="Times New Roman" w:cs="Times New Roman"/>
          <w:sz w:val="24"/>
          <w:szCs w:val="24"/>
        </w:rPr>
        <w:t>Consistent with Dao and Pham</w:t>
      </w:r>
      <w:r w:rsidR="00321637" w:rsidRPr="004F538D">
        <w:rPr>
          <w:rFonts w:ascii="Times New Roman" w:hAnsi="Times New Roman" w:cs="Times New Roman"/>
          <w:sz w:val="24"/>
          <w:szCs w:val="24"/>
        </w:rPr>
        <w:t xml:space="preserve"> (2014), </w:t>
      </w:r>
      <w:r>
        <w:rPr>
          <w:rFonts w:ascii="Times New Roman" w:hAnsi="Times New Roman" w:cs="Times New Roman"/>
          <w:sz w:val="24"/>
          <w:szCs w:val="24"/>
        </w:rPr>
        <w:t>we apply</w:t>
      </w:r>
      <w:r w:rsidR="00CF2995" w:rsidRPr="004F538D">
        <w:rPr>
          <w:rFonts w:ascii="Times New Roman" w:hAnsi="Times New Roman" w:cs="Times New Roman"/>
          <w:sz w:val="24"/>
          <w:szCs w:val="24"/>
        </w:rPr>
        <w:t xml:space="preserve"> Heckman’s (1979) approach </w:t>
      </w:r>
      <w:r w:rsidR="00321637" w:rsidRPr="004F538D">
        <w:rPr>
          <w:rFonts w:ascii="Times New Roman" w:hAnsi="Times New Roman" w:cs="Times New Roman"/>
          <w:sz w:val="24"/>
          <w:szCs w:val="24"/>
        </w:rPr>
        <w:t>to deal with the self-selection bias in the reported results. To achieve this, we use two-stage lea</w:t>
      </w:r>
      <w:r w:rsidR="00D00F0E" w:rsidRPr="004F538D">
        <w:rPr>
          <w:rFonts w:ascii="Times New Roman" w:hAnsi="Times New Roman" w:cs="Times New Roman"/>
          <w:sz w:val="24"/>
          <w:szCs w:val="24"/>
        </w:rPr>
        <w:t>s</w:t>
      </w:r>
      <w:r w:rsidR="00321637" w:rsidRPr="004F538D">
        <w:rPr>
          <w:rFonts w:ascii="Times New Roman" w:hAnsi="Times New Roman" w:cs="Times New Roman"/>
          <w:sz w:val="24"/>
          <w:szCs w:val="24"/>
        </w:rPr>
        <w:t>t-squares regression (2SLS). The fir</w:t>
      </w:r>
      <w:r w:rsidR="008F099F" w:rsidRPr="004F538D">
        <w:rPr>
          <w:rFonts w:ascii="Times New Roman" w:hAnsi="Times New Roman" w:cs="Times New Roman"/>
          <w:sz w:val="24"/>
          <w:szCs w:val="24"/>
        </w:rPr>
        <w:t>st</w:t>
      </w:r>
      <w:r w:rsidR="00321637" w:rsidRPr="004F538D">
        <w:rPr>
          <w:rFonts w:ascii="Times New Roman" w:hAnsi="Times New Roman" w:cs="Times New Roman"/>
          <w:sz w:val="24"/>
          <w:szCs w:val="24"/>
        </w:rPr>
        <w:t xml:space="preserve"> stage entails obtaining estimates from a probit regression model</w:t>
      </w:r>
      <w:r w:rsidR="002E7D23" w:rsidRPr="004F538D">
        <w:rPr>
          <w:rFonts w:ascii="Times New Roman" w:hAnsi="Times New Roman" w:cs="Times New Roman"/>
          <w:sz w:val="24"/>
          <w:szCs w:val="24"/>
        </w:rPr>
        <w:t xml:space="preserve"> to calculate the inverse Mills ratios. Using the estimates, we construct the following first stage model:</w:t>
      </w:r>
    </w:p>
    <w:p w14:paraId="770F5097" w14:textId="276A3FE4" w:rsidR="00CA0672" w:rsidRPr="004F538D" w:rsidRDefault="00FF16EF" w:rsidP="007E2647">
      <w:pPr>
        <w:spacing w:line="24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CG</m:t>
              </m:r>
              <m:r>
                <m:rPr>
                  <m:sty m:val="p"/>
                </m:rPr>
                <w:rPr>
                  <w:rFonts w:ascii="Cambria Math" w:hAnsi="Cambria Math" w:cs="Times New Roman"/>
                  <w:sz w:val="24"/>
                  <w:szCs w:val="24"/>
                </w:rPr>
                <m:t>_</m:t>
              </m:r>
              <m:r>
                <w:rPr>
                  <w:rFonts w:ascii="Cambria Math" w:hAnsi="Cambria Math" w:cs="Times New Roman"/>
                  <w:sz w:val="24"/>
                  <w:szCs w:val="24"/>
                </w:rPr>
                <m:t>Index</m:t>
              </m:r>
            </m:e>
            <m:sub>
              <m:r>
                <w:rPr>
                  <w:rFonts w:ascii="Cambria Math" w:hAnsi="Cambria Math" w:cs="Times New Roman"/>
                  <w:sz w:val="24"/>
                  <w:szCs w:val="24"/>
                </w:rPr>
                <m:t>it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SIZE</m:t>
              </m:r>
            </m:e>
            <m:sub>
              <m:r>
                <w:rPr>
                  <w:rFonts w:ascii="Cambria Math" w:hAnsi="Cambria Math" w:cs="Times New Roman"/>
                  <w:sz w:val="24"/>
                  <w:szCs w:val="24"/>
                </w:rPr>
                <m:t>it</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ASSET</m:t>
              </m:r>
              <m:r>
                <m:rPr>
                  <m:sty m:val="p"/>
                </m:rPr>
                <w:rPr>
                  <w:rFonts w:ascii="Cambria Math" w:hAnsi="Cambria Math" w:cs="Times New Roman"/>
                  <w:sz w:val="24"/>
                  <w:szCs w:val="24"/>
                </w:rPr>
                <m:t>_</m:t>
              </m:r>
              <m:r>
                <w:rPr>
                  <w:rFonts w:ascii="Cambria Math" w:hAnsi="Cambria Math" w:cs="Times New Roman"/>
                  <w:sz w:val="24"/>
                  <w:szCs w:val="24"/>
                </w:rPr>
                <m:t>TURN</m:t>
              </m:r>
            </m:e>
            <m:sub>
              <m:r>
                <w:rPr>
                  <w:rFonts w:ascii="Cambria Math" w:hAnsi="Cambria Math" w:cs="Times New Roman"/>
                  <w:sz w:val="24"/>
                  <w:szCs w:val="24"/>
                </w:rPr>
                <m:t>it</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DEBT</m:t>
                  </m:r>
                  <m:r>
                    <m:rPr>
                      <m:sty m:val="p"/>
                    </m:rPr>
                    <w:rPr>
                      <w:rFonts w:ascii="Cambria Math" w:hAnsi="Cambria Math" w:cs="Times New Roman"/>
                      <w:sz w:val="24"/>
                      <w:szCs w:val="24"/>
                    </w:rPr>
                    <m:t>_</m:t>
                  </m:r>
                  <m:r>
                    <w:rPr>
                      <w:rFonts w:ascii="Cambria Math" w:hAnsi="Cambria Math" w:cs="Times New Roman"/>
                      <w:sz w:val="24"/>
                      <w:szCs w:val="24"/>
                    </w:rPr>
                    <m:t>TA</m:t>
                  </m:r>
                </m:e>
                <m:sub>
                  <m:r>
                    <w:rPr>
                      <w:rFonts w:ascii="Cambria Math" w:hAnsi="Cambria Math" w:cs="Times New Roman"/>
                      <w:sz w:val="24"/>
                      <w:szCs w:val="24"/>
                    </w:rPr>
                    <m:t>it</m:t>
                  </m:r>
                </m:sub>
              </m:sSub>
              <m:r>
                <m:rPr>
                  <m:sty m:val="p"/>
                </m:rPr>
                <w:rPr>
                  <w:rFonts w:ascii="Cambria Math" w:hAnsi="Cambria Math" w:cs="Times New Roman"/>
                  <w:sz w:val="24"/>
                  <w:szCs w:val="24"/>
                </w:rPr>
                <m:t xml:space="preserve">+ </m:t>
              </m:r>
              <m:r>
                <w:rPr>
                  <w:rFonts w:ascii="Cambria Math" w:hAnsi="Cambria Math" w:cs="Times New Roman"/>
                  <w:sz w:val="24"/>
                  <w:szCs w:val="24"/>
                </w:rPr>
                <m:t>β</m:t>
              </m:r>
            </m:e>
            <m:sub>
              <m:r>
                <m:rPr>
                  <m:sty m:val="p"/>
                </m:rPr>
                <w:rPr>
                  <w:rFonts w:ascii="Cambria Math" w:hAnsi="Cambria Math" w:cs="Times New Roman"/>
                  <w:sz w:val="24"/>
                  <w:szCs w:val="24"/>
                </w:rPr>
                <m:t>4</m:t>
              </m:r>
            </m:sub>
          </m:sSub>
          <m:sSub>
            <m:sSubPr>
              <m:ctrlPr>
                <w:rPr>
                  <w:rFonts w:ascii="Cambria Math" w:hAnsi="Cambria Math" w:cs="Times New Roman"/>
                  <w:sz w:val="24"/>
                  <w:szCs w:val="24"/>
                </w:rPr>
              </m:ctrlPr>
            </m:sSubPr>
            <m:e>
              <m:r>
                <w:rPr>
                  <w:rFonts w:ascii="Cambria Math" w:hAnsi="Cambria Math" w:cs="Times New Roman"/>
                  <w:sz w:val="24"/>
                  <w:szCs w:val="24"/>
                </w:rPr>
                <m:t>C</m:t>
              </m:r>
              <m:r>
                <m:rPr>
                  <m:sty m:val="p"/>
                </m:rPr>
                <w:rPr>
                  <w:rFonts w:ascii="Cambria Math" w:hAnsi="Cambria Math" w:cs="Times New Roman"/>
                  <w:sz w:val="24"/>
                  <w:szCs w:val="24"/>
                </w:rPr>
                <m:t>_</m:t>
              </m:r>
              <m:r>
                <w:rPr>
                  <w:rFonts w:ascii="Cambria Math" w:hAnsi="Cambria Math" w:cs="Times New Roman"/>
                  <w:sz w:val="24"/>
                  <w:szCs w:val="24"/>
                </w:rPr>
                <m:t>ASSETS</m:t>
              </m:r>
            </m:e>
            <m:sub>
              <m:r>
                <w:rPr>
                  <w:rFonts w:ascii="Cambria Math" w:hAnsi="Cambria Math" w:cs="Times New Roman"/>
                  <w:sz w:val="24"/>
                  <w:szCs w:val="24"/>
                </w:rPr>
                <m:t>it</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5</m:t>
              </m:r>
            </m:sub>
          </m:sSub>
          <m:sSub>
            <m:sSubPr>
              <m:ctrlPr>
                <w:rPr>
                  <w:rFonts w:ascii="Cambria Math" w:hAnsi="Cambria Math" w:cs="Times New Roman"/>
                  <w:sz w:val="24"/>
                  <w:szCs w:val="24"/>
                </w:rPr>
              </m:ctrlPr>
            </m:sSubPr>
            <m:e>
              <m:r>
                <w:rPr>
                  <w:rFonts w:ascii="Cambria Math" w:hAnsi="Cambria Math" w:cs="Times New Roman"/>
                  <w:sz w:val="24"/>
                  <w:szCs w:val="24"/>
                </w:rPr>
                <m:t>Q</m:t>
              </m:r>
              <m:r>
                <m:rPr>
                  <m:sty m:val="p"/>
                </m:rPr>
                <w:rPr>
                  <w:rFonts w:ascii="Cambria Math" w:hAnsi="Cambria Math" w:cs="Times New Roman"/>
                  <w:sz w:val="24"/>
                  <w:szCs w:val="24"/>
                </w:rPr>
                <m:t>_</m:t>
              </m:r>
              <m:r>
                <w:rPr>
                  <w:rFonts w:ascii="Cambria Math" w:hAnsi="Cambria Math" w:cs="Times New Roman"/>
                  <w:sz w:val="24"/>
                  <w:szCs w:val="24"/>
                </w:rPr>
                <m:t>RATIO</m:t>
              </m:r>
            </m:e>
            <m:sub>
              <m:r>
                <w:rPr>
                  <w:rFonts w:ascii="Cambria Math" w:hAnsi="Cambria Math" w:cs="Times New Roman"/>
                  <w:sz w:val="24"/>
                  <w:szCs w:val="24"/>
                </w:rPr>
                <m:t>it</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6</m:t>
              </m:r>
            </m:sub>
          </m:sSub>
          <m:sSub>
            <m:sSubPr>
              <m:ctrlPr>
                <w:rPr>
                  <w:rFonts w:ascii="Cambria Math" w:hAnsi="Cambria Math" w:cs="Times New Roman"/>
                  <w:sz w:val="24"/>
                  <w:szCs w:val="24"/>
                </w:rPr>
              </m:ctrlPr>
            </m:sSubPr>
            <m:e>
              <m:r>
                <w:rPr>
                  <w:rFonts w:ascii="Cambria Math" w:hAnsi="Cambria Math" w:cs="Times New Roman"/>
                  <w:sz w:val="24"/>
                  <w:szCs w:val="24"/>
                </w:rPr>
                <m:t>ROA</m:t>
              </m:r>
            </m:e>
            <m:sub>
              <m:r>
                <w:rPr>
                  <w:rFonts w:ascii="Cambria Math" w:hAnsi="Cambria Math" w:cs="Times New Roman"/>
                  <w:sz w:val="24"/>
                  <w:szCs w:val="24"/>
                </w:rPr>
                <m:t>it</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7</m:t>
              </m:r>
            </m:sub>
          </m:sSub>
          <m:sSub>
            <m:sSubPr>
              <m:ctrlPr>
                <w:rPr>
                  <w:rFonts w:ascii="Cambria Math" w:hAnsi="Cambria Math" w:cs="Times New Roman"/>
                  <w:sz w:val="24"/>
                  <w:szCs w:val="24"/>
                </w:rPr>
              </m:ctrlPr>
            </m:sSubPr>
            <m:e>
              <m:r>
                <w:rPr>
                  <w:rFonts w:ascii="Cambria Math" w:hAnsi="Cambria Math" w:cs="Times New Roman"/>
                  <w:sz w:val="24"/>
                  <w:szCs w:val="24"/>
                </w:rPr>
                <m:t>ROA</m:t>
              </m:r>
              <m:r>
                <m:rPr>
                  <m:sty m:val="p"/>
                </m:rPr>
                <w:rPr>
                  <w:rFonts w:ascii="Cambria Math" w:hAnsi="Cambria Math" w:cs="Times New Roman"/>
                  <w:sz w:val="24"/>
                  <w:szCs w:val="24"/>
                </w:rPr>
                <m:t>*</m:t>
              </m:r>
              <m:r>
                <w:rPr>
                  <w:rFonts w:ascii="Cambria Math" w:hAnsi="Cambria Math" w:cs="Times New Roman"/>
                  <w:sz w:val="24"/>
                  <w:szCs w:val="24"/>
                </w:rPr>
                <m:t>LOSS</m:t>
              </m:r>
            </m:e>
            <m:sub>
              <m:r>
                <w:rPr>
                  <w:rFonts w:ascii="Cambria Math" w:hAnsi="Cambria Math" w:cs="Times New Roman"/>
                  <w:sz w:val="24"/>
                  <w:szCs w:val="24"/>
                </w:rPr>
                <m:t>it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m:oMathPara>
    </w:p>
    <w:p w14:paraId="433BBA92" w14:textId="45E7E40F" w:rsidR="00F614A6" w:rsidRPr="004F538D" w:rsidRDefault="00F614A6" w:rsidP="00506EB2">
      <w:pPr>
        <w:autoSpaceDE w:val="0"/>
        <w:autoSpaceDN w:val="0"/>
        <w:adjustRightInd w:val="0"/>
        <w:jc w:val="both"/>
        <w:rPr>
          <w:rFonts w:ascii="Times New Roman" w:hAnsi="Times New Roman" w:cs="Times New Roman"/>
          <w:sz w:val="24"/>
          <w:szCs w:val="24"/>
        </w:rPr>
      </w:pPr>
      <w:r w:rsidRPr="009A69FB">
        <w:rPr>
          <w:rFonts w:ascii="Times New Roman" w:hAnsi="Times New Roman" w:cs="Times New Roman"/>
          <w:i/>
          <w:sz w:val="24"/>
          <w:szCs w:val="24"/>
        </w:rPr>
        <w:t>Where:</w:t>
      </w:r>
      <w:r w:rsidR="007E2647" w:rsidRPr="004F538D">
        <w:rPr>
          <w:rFonts w:ascii="Times New Roman" w:hAnsi="Times New Roman" w:cs="Times New Roman"/>
          <w:sz w:val="24"/>
          <w:szCs w:val="24"/>
        </w:rPr>
        <w:t xml:space="preserve"> </w:t>
      </w:r>
      <w:r w:rsidRPr="004F538D">
        <w:rPr>
          <w:rFonts w:ascii="Times New Roman" w:hAnsi="Times New Roman" w:cs="Times New Roman"/>
          <w:i/>
          <w:sz w:val="24"/>
          <w:szCs w:val="24"/>
        </w:rPr>
        <w:t>SIZE</w:t>
      </w:r>
      <w:r w:rsidRPr="004F538D">
        <w:rPr>
          <w:rFonts w:ascii="Times New Roman" w:hAnsi="Times New Roman" w:cs="Times New Roman"/>
          <w:sz w:val="24"/>
          <w:szCs w:val="24"/>
        </w:rPr>
        <w:t xml:space="preserve"> – the natural logarithm of market capitalization, </w:t>
      </w:r>
      <w:r w:rsidRPr="004F538D">
        <w:rPr>
          <w:rFonts w:ascii="Times New Roman" w:hAnsi="Times New Roman" w:cs="Times New Roman"/>
          <w:i/>
          <w:sz w:val="24"/>
          <w:szCs w:val="24"/>
        </w:rPr>
        <w:t>ASSET_TURN</w:t>
      </w:r>
      <w:r w:rsidRPr="004F538D">
        <w:rPr>
          <w:rFonts w:ascii="Times New Roman" w:hAnsi="Times New Roman" w:cs="Times New Roman"/>
          <w:sz w:val="24"/>
          <w:szCs w:val="24"/>
        </w:rPr>
        <w:t xml:space="preserve"> – asset turnover calculated as sales scaled by total assets, </w:t>
      </w:r>
      <w:r w:rsidR="003237AF" w:rsidRPr="004F538D">
        <w:rPr>
          <w:rFonts w:ascii="Times New Roman" w:hAnsi="Times New Roman" w:cs="Times New Roman"/>
          <w:i/>
          <w:sz w:val="24"/>
          <w:szCs w:val="24"/>
        </w:rPr>
        <w:t>DEBT_TA</w:t>
      </w:r>
      <w:r w:rsidR="003237AF" w:rsidRPr="004F538D">
        <w:rPr>
          <w:rFonts w:ascii="Times New Roman" w:hAnsi="Times New Roman" w:cs="Times New Roman"/>
          <w:sz w:val="24"/>
          <w:szCs w:val="24"/>
        </w:rPr>
        <w:t xml:space="preserve"> – long-term debt to total assets, </w:t>
      </w:r>
      <w:r w:rsidR="003237AF" w:rsidRPr="004F538D">
        <w:rPr>
          <w:rFonts w:ascii="Times New Roman" w:hAnsi="Times New Roman" w:cs="Times New Roman"/>
          <w:i/>
          <w:sz w:val="24"/>
          <w:szCs w:val="24"/>
        </w:rPr>
        <w:t>C_ASSETS</w:t>
      </w:r>
      <w:r w:rsidR="003237AF" w:rsidRPr="004F538D">
        <w:rPr>
          <w:rFonts w:ascii="Times New Roman" w:hAnsi="Times New Roman" w:cs="Times New Roman"/>
          <w:sz w:val="24"/>
          <w:szCs w:val="24"/>
        </w:rPr>
        <w:t xml:space="preserve"> – current assets scaled by total assets, </w:t>
      </w:r>
      <w:r w:rsidR="003237AF" w:rsidRPr="004F538D">
        <w:rPr>
          <w:rFonts w:ascii="Times New Roman" w:hAnsi="Times New Roman" w:cs="Times New Roman"/>
          <w:i/>
          <w:sz w:val="24"/>
          <w:szCs w:val="24"/>
        </w:rPr>
        <w:t>Q_RATIO</w:t>
      </w:r>
      <w:r w:rsidR="003237AF" w:rsidRPr="004F538D">
        <w:rPr>
          <w:rFonts w:ascii="Times New Roman" w:hAnsi="Times New Roman" w:cs="Times New Roman"/>
          <w:sz w:val="24"/>
          <w:szCs w:val="24"/>
        </w:rPr>
        <w:t xml:space="preserve"> – quick </w:t>
      </w:r>
      <w:r w:rsidR="009B3E8A" w:rsidRPr="004F538D">
        <w:rPr>
          <w:rFonts w:ascii="Times New Roman" w:hAnsi="Times New Roman" w:cs="Times New Roman"/>
          <w:sz w:val="24"/>
          <w:szCs w:val="24"/>
        </w:rPr>
        <w:t>ratio</w:t>
      </w:r>
      <w:r w:rsidR="003237AF" w:rsidRPr="004F538D">
        <w:rPr>
          <w:rFonts w:ascii="Times New Roman" w:hAnsi="Times New Roman" w:cs="Times New Roman"/>
          <w:sz w:val="24"/>
          <w:szCs w:val="24"/>
        </w:rPr>
        <w:t xml:space="preserve">, calculated as current assets minus inventories divided by current liabilities, </w:t>
      </w:r>
      <w:r w:rsidR="003237AF" w:rsidRPr="004F538D">
        <w:rPr>
          <w:rFonts w:ascii="Times New Roman" w:hAnsi="Times New Roman" w:cs="Times New Roman"/>
          <w:i/>
          <w:sz w:val="24"/>
          <w:szCs w:val="24"/>
        </w:rPr>
        <w:t>ROA</w:t>
      </w:r>
      <w:r w:rsidR="003237AF" w:rsidRPr="004F538D">
        <w:rPr>
          <w:rFonts w:ascii="Times New Roman" w:hAnsi="Times New Roman" w:cs="Times New Roman"/>
          <w:sz w:val="24"/>
          <w:szCs w:val="24"/>
        </w:rPr>
        <w:t xml:space="preserve"> – return on assets, calculated as net income after tax divided by total assets, </w:t>
      </w:r>
      <w:r w:rsidR="003237AF" w:rsidRPr="004F538D">
        <w:rPr>
          <w:rFonts w:ascii="Times New Roman" w:hAnsi="Times New Roman" w:cs="Times New Roman"/>
          <w:i/>
          <w:sz w:val="24"/>
          <w:szCs w:val="24"/>
        </w:rPr>
        <w:t>LOSS</w:t>
      </w:r>
      <w:r w:rsidR="003237AF" w:rsidRPr="004F538D">
        <w:rPr>
          <w:rFonts w:ascii="Times New Roman" w:hAnsi="Times New Roman" w:cs="Times New Roman"/>
          <w:sz w:val="24"/>
          <w:szCs w:val="24"/>
        </w:rPr>
        <w:t xml:space="preserve"> – a dummy variable which takes 1 when the firm reports a loss and 0 otherwise.</w:t>
      </w:r>
    </w:p>
    <w:p w14:paraId="1DE2291F" w14:textId="097A82C8" w:rsidR="00DD141D" w:rsidRPr="004F538D" w:rsidRDefault="00DD141D" w:rsidP="00506EB2">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4"/>
        </w:rPr>
        <w:t xml:space="preserve">Stage two entails adding the inverse Mills ratios to the main OLS panel regression models. The results, which are not reported, </w:t>
      </w:r>
      <w:r w:rsidR="00E66446">
        <w:rPr>
          <w:rFonts w:ascii="Times New Roman" w:hAnsi="Times New Roman" w:cs="Times New Roman"/>
          <w:sz w:val="24"/>
          <w:szCs w:val="24"/>
        </w:rPr>
        <w:t>are consistent with the previous findings</w:t>
      </w:r>
      <w:r w:rsidRPr="004F538D">
        <w:rPr>
          <w:rFonts w:ascii="Times New Roman" w:hAnsi="Times New Roman" w:cs="Times New Roman"/>
          <w:sz w:val="24"/>
          <w:szCs w:val="24"/>
        </w:rPr>
        <w:t>. More specifically, we find a negative association between CG-Index and ARD</w:t>
      </w:r>
      <w:r w:rsidR="00CF6E96" w:rsidRPr="004F538D">
        <w:rPr>
          <w:rFonts w:ascii="Times New Roman" w:hAnsi="Times New Roman" w:cs="Times New Roman"/>
          <w:sz w:val="24"/>
          <w:szCs w:val="24"/>
        </w:rPr>
        <w:t xml:space="preserve"> (coefficient = -0.373, t-value = -2.75)</w:t>
      </w:r>
      <w:r w:rsidRPr="004F538D">
        <w:rPr>
          <w:rFonts w:ascii="Times New Roman" w:hAnsi="Times New Roman" w:cs="Times New Roman"/>
          <w:sz w:val="24"/>
          <w:szCs w:val="24"/>
        </w:rPr>
        <w:t xml:space="preserve">. The sign and significance of the control variables in the second-stage regression are similar to originally reported results. Compared to the earlier regression model, the explanatory power of the second regression model </w:t>
      </w:r>
      <w:r w:rsidR="00311BE2" w:rsidRPr="004F538D">
        <w:rPr>
          <w:rFonts w:ascii="Times New Roman" w:hAnsi="Times New Roman" w:cs="Times New Roman"/>
          <w:sz w:val="24"/>
          <w:szCs w:val="24"/>
        </w:rPr>
        <w:t>as measured by the adjusted R</w:t>
      </w:r>
      <w:r w:rsidR="00311BE2" w:rsidRPr="004F538D">
        <w:rPr>
          <w:rFonts w:ascii="Times New Roman" w:hAnsi="Times New Roman" w:cs="Times New Roman"/>
          <w:sz w:val="24"/>
          <w:szCs w:val="24"/>
          <w:vertAlign w:val="superscript"/>
        </w:rPr>
        <w:t>2</w:t>
      </w:r>
      <w:r w:rsidR="00311BE2" w:rsidRPr="004F538D">
        <w:rPr>
          <w:rFonts w:ascii="Times New Roman" w:hAnsi="Times New Roman" w:cs="Times New Roman"/>
          <w:sz w:val="24"/>
          <w:szCs w:val="24"/>
        </w:rPr>
        <w:t xml:space="preserve"> </w:t>
      </w:r>
      <w:r w:rsidRPr="004F538D">
        <w:rPr>
          <w:rFonts w:ascii="Times New Roman" w:hAnsi="Times New Roman" w:cs="Times New Roman"/>
          <w:sz w:val="24"/>
          <w:szCs w:val="24"/>
        </w:rPr>
        <w:t xml:space="preserve">is </w:t>
      </w:r>
      <w:r w:rsidR="00311BE2" w:rsidRPr="004F538D">
        <w:rPr>
          <w:rFonts w:ascii="Times New Roman" w:hAnsi="Times New Roman" w:cs="Times New Roman"/>
          <w:sz w:val="24"/>
          <w:szCs w:val="24"/>
        </w:rPr>
        <w:t>21.24</w:t>
      </w:r>
      <w:r w:rsidR="00944EDD" w:rsidRPr="004F538D">
        <w:rPr>
          <w:rFonts w:ascii="Times New Roman" w:hAnsi="Times New Roman" w:cs="Times New Roman"/>
          <w:sz w:val="24"/>
          <w:szCs w:val="24"/>
        </w:rPr>
        <w:t xml:space="preserve"> percent</w:t>
      </w:r>
      <w:r w:rsidRPr="004F538D">
        <w:rPr>
          <w:rFonts w:ascii="Times New Roman" w:hAnsi="Times New Roman" w:cs="Times New Roman"/>
          <w:sz w:val="24"/>
          <w:szCs w:val="24"/>
        </w:rPr>
        <w:t xml:space="preserve">, which is </w:t>
      </w:r>
      <w:r w:rsidR="00311BE2" w:rsidRPr="004F538D">
        <w:rPr>
          <w:rFonts w:ascii="Times New Roman" w:hAnsi="Times New Roman" w:cs="Times New Roman"/>
          <w:sz w:val="24"/>
          <w:szCs w:val="24"/>
        </w:rPr>
        <w:t>marginally higher</w:t>
      </w:r>
      <w:r w:rsidRPr="004F538D">
        <w:rPr>
          <w:rFonts w:ascii="Times New Roman" w:hAnsi="Times New Roman" w:cs="Times New Roman"/>
          <w:sz w:val="24"/>
          <w:szCs w:val="24"/>
        </w:rPr>
        <w:t xml:space="preserve"> </w:t>
      </w:r>
      <w:r w:rsidR="00EB2CEB">
        <w:rPr>
          <w:rFonts w:ascii="Times New Roman" w:hAnsi="Times New Roman" w:cs="Times New Roman"/>
          <w:sz w:val="24"/>
          <w:szCs w:val="24"/>
        </w:rPr>
        <w:t>compared to the previous results</w:t>
      </w:r>
      <w:r w:rsidRPr="004F538D">
        <w:rPr>
          <w:rFonts w:ascii="Times New Roman" w:hAnsi="Times New Roman" w:cs="Times New Roman"/>
          <w:sz w:val="24"/>
          <w:szCs w:val="24"/>
        </w:rPr>
        <w:t>.</w:t>
      </w:r>
    </w:p>
    <w:p w14:paraId="208C5F2D" w14:textId="4A3AC212" w:rsidR="00644603" w:rsidRPr="004F538D" w:rsidRDefault="00644603" w:rsidP="00644603">
      <w:pPr>
        <w:pStyle w:val="ListParagraph"/>
        <w:numPr>
          <w:ilvl w:val="2"/>
          <w:numId w:val="27"/>
        </w:numPr>
        <w:jc w:val="both"/>
        <w:rPr>
          <w:rFonts w:ascii="Times New Roman" w:hAnsi="Times New Roman" w:cs="Times New Roman"/>
          <w:i/>
          <w:sz w:val="24"/>
          <w:szCs w:val="24"/>
        </w:rPr>
      </w:pPr>
      <w:r w:rsidRPr="004F538D">
        <w:rPr>
          <w:rFonts w:ascii="Times New Roman" w:hAnsi="Times New Roman" w:cs="Times New Roman"/>
          <w:i/>
          <w:sz w:val="24"/>
          <w:szCs w:val="24"/>
        </w:rPr>
        <w:t>Replacement of Z</w:t>
      </w:r>
      <w:r w:rsidR="0097418F">
        <w:rPr>
          <w:rFonts w:ascii="Times New Roman" w:hAnsi="Times New Roman" w:cs="Times New Roman"/>
          <w:i/>
          <w:sz w:val="24"/>
          <w:szCs w:val="24"/>
        </w:rPr>
        <w:t>_</w:t>
      </w:r>
      <w:r w:rsidRPr="004F538D">
        <w:rPr>
          <w:rFonts w:ascii="Times New Roman" w:hAnsi="Times New Roman" w:cs="Times New Roman"/>
          <w:i/>
          <w:sz w:val="24"/>
          <w:szCs w:val="24"/>
        </w:rPr>
        <w:t xml:space="preserve">SCORE with ROA and LEVERAGE </w:t>
      </w:r>
    </w:p>
    <w:p w14:paraId="2F8068EC" w14:textId="1F586DF8" w:rsidR="00644603" w:rsidRPr="004F538D" w:rsidRDefault="00644603" w:rsidP="00506EB2">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4"/>
        </w:rPr>
        <w:t xml:space="preserve">The original model measures a firm’s financial condition using </w:t>
      </w:r>
      <w:r w:rsidRPr="004F538D">
        <w:rPr>
          <w:rFonts w:ascii="Times New Roman" w:eastAsia="Times New Roman" w:hAnsi="Times New Roman" w:cs="Times New Roman"/>
          <w:sz w:val="24"/>
          <w:szCs w:val="24"/>
        </w:rPr>
        <w:t xml:space="preserve">Zmijewski (1984)’s Z-Score. </w:t>
      </w:r>
      <w:r w:rsidRPr="004F538D">
        <w:rPr>
          <w:rFonts w:ascii="Times New Roman" w:hAnsi="Times New Roman" w:cs="Times New Roman"/>
          <w:sz w:val="24"/>
          <w:szCs w:val="24"/>
        </w:rPr>
        <w:t xml:space="preserve">We attempt to replace the Z-Score with </w:t>
      </w:r>
      <w:r w:rsidRPr="004F538D">
        <w:rPr>
          <w:rFonts w:ascii="Times New Roman" w:hAnsi="Times New Roman" w:cs="Times New Roman"/>
          <w:i/>
          <w:sz w:val="24"/>
          <w:szCs w:val="24"/>
        </w:rPr>
        <w:t xml:space="preserve">ROA </w:t>
      </w:r>
      <w:r w:rsidRPr="004F538D">
        <w:rPr>
          <w:rFonts w:ascii="Times New Roman" w:hAnsi="Times New Roman" w:cs="Times New Roman"/>
          <w:sz w:val="24"/>
          <w:szCs w:val="24"/>
        </w:rPr>
        <w:t xml:space="preserve">and </w:t>
      </w:r>
      <w:r w:rsidRPr="004F538D">
        <w:rPr>
          <w:rFonts w:ascii="Times New Roman" w:hAnsi="Times New Roman" w:cs="Times New Roman"/>
          <w:i/>
          <w:sz w:val="24"/>
          <w:szCs w:val="24"/>
        </w:rPr>
        <w:t>LEVERAGE</w:t>
      </w:r>
      <w:r w:rsidRPr="004F538D">
        <w:rPr>
          <w:rFonts w:ascii="Times New Roman" w:hAnsi="Times New Roman" w:cs="Times New Roman"/>
          <w:sz w:val="24"/>
          <w:szCs w:val="24"/>
        </w:rPr>
        <w:t xml:space="preserve"> in the models.</w:t>
      </w:r>
      <w:r w:rsidR="00976D76" w:rsidRPr="004F538D">
        <w:rPr>
          <w:rStyle w:val="FootnoteReference"/>
          <w:rFonts w:ascii="Times New Roman" w:hAnsi="Times New Roman" w:cs="Times New Roman"/>
          <w:sz w:val="24"/>
          <w:szCs w:val="24"/>
        </w:rPr>
        <w:footnoteReference w:id="12"/>
      </w:r>
      <w:r w:rsidRPr="004F538D">
        <w:rPr>
          <w:rFonts w:ascii="Times New Roman" w:hAnsi="Times New Roman" w:cs="Times New Roman"/>
          <w:sz w:val="24"/>
          <w:szCs w:val="24"/>
        </w:rPr>
        <w:t xml:space="preserve"> </w:t>
      </w:r>
      <w:r w:rsidR="00CF6E96" w:rsidRPr="004F538D">
        <w:rPr>
          <w:rFonts w:ascii="Times New Roman" w:hAnsi="Times New Roman" w:cs="Times New Roman"/>
          <w:sz w:val="24"/>
          <w:szCs w:val="24"/>
        </w:rPr>
        <w:t>The re-estimation pr</w:t>
      </w:r>
      <w:r w:rsidR="0097418F">
        <w:rPr>
          <w:rFonts w:ascii="Times New Roman" w:hAnsi="Times New Roman" w:cs="Times New Roman"/>
          <w:sz w:val="24"/>
          <w:szCs w:val="24"/>
        </w:rPr>
        <w:t>oduced a coefficient on the CG-I</w:t>
      </w:r>
      <w:r w:rsidR="00CF6E96" w:rsidRPr="004F538D">
        <w:rPr>
          <w:rFonts w:ascii="Times New Roman" w:hAnsi="Times New Roman" w:cs="Times New Roman"/>
          <w:sz w:val="24"/>
          <w:szCs w:val="24"/>
        </w:rPr>
        <w:t>ndex of -0.347 with a t-value of -2.77</w:t>
      </w:r>
      <w:r w:rsidR="005544BF" w:rsidRPr="004F538D">
        <w:rPr>
          <w:rFonts w:ascii="Times New Roman" w:hAnsi="Times New Roman" w:cs="Times New Roman"/>
          <w:sz w:val="24"/>
          <w:szCs w:val="24"/>
        </w:rPr>
        <w:t xml:space="preserve"> which is significant at the 1 percent level</w:t>
      </w:r>
      <w:r w:rsidR="00CF6E96" w:rsidRPr="004F538D">
        <w:rPr>
          <w:rFonts w:ascii="Times New Roman" w:hAnsi="Times New Roman" w:cs="Times New Roman"/>
          <w:sz w:val="24"/>
          <w:szCs w:val="24"/>
        </w:rPr>
        <w:t xml:space="preserve">. With the exception of the coefficients on </w:t>
      </w:r>
      <w:r w:rsidR="00CF6E96" w:rsidRPr="0097418F">
        <w:rPr>
          <w:rFonts w:ascii="Times New Roman" w:hAnsi="Times New Roman" w:cs="Times New Roman"/>
          <w:i/>
          <w:sz w:val="24"/>
          <w:szCs w:val="24"/>
        </w:rPr>
        <w:t>ROA</w:t>
      </w:r>
      <w:r w:rsidR="00CF6E96" w:rsidRPr="004F538D">
        <w:rPr>
          <w:rFonts w:ascii="Times New Roman" w:hAnsi="Times New Roman" w:cs="Times New Roman"/>
          <w:sz w:val="24"/>
          <w:szCs w:val="24"/>
        </w:rPr>
        <w:t xml:space="preserve"> and </w:t>
      </w:r>
      <w:r w:rsidR="00CF6E96" w:rsidRPr="0097418F">
        <w:rPr>
          <w:rFonts w:ascii="Times New Roman" w:hAnsi="Times New Roman" w:cs="Times New Roman"/>
          <w:i/>
          <w:sz w:val="24"/>
          <w:szCs w:val="24"/>
        </w:rPr>
        <w:t>LEV</w:t>
      </w:r>
      <w:r w:rsidR="0097418F">
        <w:rPr>
          <w:rFonts w:ascii="Times New Roman" w:hAnsi="Times New Roman" w:cs="Times New Roman"/>
          <w:i/>
          <w:sz w:val="24"/>
          <w:szCs w:val="24"/>
        </w:rPr>
        <w:t>ERAGE</w:t>
      </w:r>
      <w:r w:rsidR="00CF6E96" w:rsidRPr="004F538D">
        <w:rPr>
          <w:rFonts w:ascii="Times New Roman" w:hAnsi="Times New Roman" w:cs="Times New Roman"/>
          <w:sz w:val="24"/>
          <w:szCs w:val="24"/>
        </w:rPr>
        <w:t>, the results for the controls remain as previously reported.</w:t>
      </w:r>
    </w:p>
    <w:p w14:paraId="74215315" w14:textId="0A8C1E0B" w:rsidR="00644603" w:rsidRPr="004F538D" w:rsidRDefault="00644603" w:rsidP="009B3E8A">
      <w:pPr>
        <w:pStyle w:val="ListParagraph"/>
        <w:numPr>
          <w:ilvl w:val="2"/>
          <w:numId w:val="27"/>
        </w:numPr>
        <w:jc w:val="both"/>
        <w:rPr>
          <w:rFonts w:ascii="Times New Roman" w:hAnsi="Times New Roman" w:cs="Times New Roman"/>
          <w:i/>
          <w:sz w:val="24"/>
          <w:szCs w:val="24"/>
        </w:rPr>
      </w:pPr>
      <w:r w:rsidRPr="004F538D">
        <w:rPr>
          <w:rFonts w:ascii="Times New Roman" w:hAnsi="Times New Roman" w:cs="Times New Roman"/>
          <w:i/>
          <w:sz w:val="24"/>
          <w:szCs w:val="24"/>
        </w:rPr>
        <w:t>Alternative measures of ARD</w:t>
      </w:r>
    </w:p>
    <w:p w14:paraId="31063C6E" w14:textId="1E7F8A0E" w:rsidR="004A3E15" w:rsidRPr="004F538D" w:rsidRDefault="00644603" w:rsidP="00506EB2">
      <w:pPr>
        <w:autoSpaceDE w:val="0"/>
        <w:autoSpaceDN w:val="0"/>
        <w:adjustRightInd w:val="0"/>
        <w:jc w:val="both"/>
        <w:rPr>
          <w:rFonts w:ascii="Times New Roman" w:hAnsi="Times New Roman" w:cs="Times New Roman"/>
          <w:i/>
          <w:iCs/>
          <w:color w:val="FF0000"/>
          <w:sz w:val="20"/>
          <w:szCs w:val="20"/>
        </w:rPr>
      </w:pPr>
      <w:r w:rsidRPr="004F538D">
        <w:rPr>
          <w:rFonts w:ascii="Times New Roman" w:hAnsi="Times New Roman" w:cs="Times New Roman"/>
          <w:sz w:val="24"/>
          <w:szCs w:val="24"/>
        </w:rPr>
        <w:t xml:space="preserve">We include the absolute ARD </w:t>
      </w:r>
      <w:r w:rsidR="0097418F">
        <w:rPr>
          <w:rFonts w:ascii="Times New Roman" w:hAnsi="Times New Roman" w:cs="Times New Roman"/>
          <w:sz w:val="24"/>
          <w:szCs w:val="24"/>
        </w:rPr>
        <w:t xml:space="preserve">in days </w:t>
      </w:r>
      <w:r w:rsidRPr="004F538D">
        <w:rPr>
          <w:rFonts w:ascii="Times New Roman" w:hAnsi="Times New Roman" w:cs="Times New Roman"/>
          <w:sz w:val="24"/>
          <w:szCs w:val="24"/>
        </w:rPr>
        <w:t xml:space="preserve">and ARD </w:t>
      </w:r>
      <w:r w:rsidR="0097418F">
        <w:rPr>
          <w:rFonts w:ascii="Times New Roman" w:hAnsi="Times New Roman" w:cs="Times New Roman"/>
          <w:sz w:val="24"/>
          <w:szCs w:val="24"/>
        </w:rPr>
        <w:t xml:space="preserve">in days </w:t>
      </w:r>
      <w:r w:rsidRPr="004F538D">
        <w:rPr>
          <w:rFonts w:ascii="Times New Roman" w:hAnsi="Times New Roman" w:cs="Times New Roman"/>
          <w:sz w:val="24"/>
          <w:szCs w:val="24"/>
        </w:rPr>
        <w:t xml:space="preserve">scaled by 365 days as </w:t>
      </w:r>
      <w:r w:rsidR="00145E41">
        <w:rPr>
          <w:rFonts w:ascii="Times New Roman" w:hAnsi="Times New Roman" w:cs="Times New Roman"/>
          <w:sz w:val="24"/>
          <w:szCs w:val="24"/>
        </w:rPr>
        <w:t xml:space="preserve">a </w:t>
      </w:r>
      <w:r w:rsidRPr="004F538D">
        <w:rPr>
          <w:rFonts w:ascii="Times New Roman" w:hAnsi="Times New Roman" w:cs="Times New Roman"/>
          <w:sz w:val="24"/>
          <w:szCs w:val="24"/>
        </w:rPr>
        <w:t xml:space="preserve">dependent variable along the test and control variables. </w:t>
      </w:r>
      <w:r w:rsidR="00167353" w:rsidRPr="004F538D">
        <w:rPr>
          <w:rFonts w:ascii="Times New Roman" w:hAnsi="Times New Roman" w:cs="Times New Roman"/>
          <w:sz w:val="24"/>
          <w:szCs w:val="24"/>
        </w:rPr>
        <w:t>In the first insta</w:t>
      </w:r>
      <w:r w:rsidR="0097418F">
        <w:rPr>
          <w:rFonts w:ascii="Times New Roman" w:hAnsi="Times New Roman" w:cs="Times New Roman"/>
          <w:sz w:val="24"/>
          <w:szCs w:val="24"/>
        </w:rPr>
        <w:t>nce, the coefficient on the CG-I</w:t>
      </w:r>
      <w:r w:rsidR="00167353" w:rsidRPr="004F538D">
        <w:rPr>
          <w:rFonts w:ascii="Times New Roman" w:hAnsi="Times New Roman" w:cs="Times New Roman"/>
          <w:sz w:val="24"/>
          <w:szCs w:val="24"/>
        </w:rPr>
        <w:t xml:space="preserve">ndex is -27.791 with a t-value of -3.18. In the second instance, </w:t>
      </w:r>
      <w:r w:rsidR="002B50D6" w:rsidRPr="004F538D">
        <w:rPr>
          <w:rFonts w:ascii="Times New Roman" w:hAnsi="Times New Roman" w:cs="Times New Roman"/>
          <w:sz w:val="24"/>
          <w:szCs w:val="24"/>
        </w:rPr>
        <w:t>the coefficient on the CG-index is -</w:t>
      </w:r>
      <w:r w:rsidR="00E66DCD" w:rsidRPr="004F538D">
        <w:rPr>
          <w:rFonts w:ascii="Times New Roman" w:hAnsi="Times New Roman" w:cs="Times New Roman"/>
          <w:sz w:val="24"/>
          <w:szCs w:val="24"/>
        </w:rPr>
        <w:t>0.076</w:t>
      </w:r>
      <w:r w:rsidR="002B50D6" w:rsidRPr="004F538D">
        <w:rPr>
          <w:rFonts w:ascii="Times New Roman" w:hAnsi="Times New Roman" w:cs="Times New Roman"/>
          <w:sz w:val="24"/>
          <w:szCs w:val="24"/>
        </w:rPr>
        <w:t xml:space="preserve"> with a t-value of -</w:t>
      </w:r>
      <w:r w:rsidR="00E66DCD" w:rsidRPr="004F538D">
        <w:rPr>
          <w:rFonts w:ascii="Times New Roman" w:hAnsi="Times New Roman" w:cs="Times New Roman"/>
          <w:sz w:val="24"/>
          <w:szCs w:val="24"/>
        </w:rPr>
        <w:t>3.18</w:t>
      </w:r>
      <w:r w:rsidR="002B50D6" w:rsidRPr="004F538D">
        <w:rPr>
          <w:rFonts w:ascii="Times New Roman" w:hAnsi="Times New Roman" w:cs="Times New Roman"/>
          <w:sz w:val="24"/>
          <w:szCs w:val="24"/>
        </w:rPr>
        <w:t>.</w:t>
      </w:r>
      <w:r w:rsidR="002065A0" w:rsidRPr="004F538D">
        <w:rPr>
          <w:rFonts w:ascii="Times New Roman" w:hAnsi="Times New Roman" w:cs="Times New Roman"/>
          <w:sz w:val="24"/>
          <w:szCs w:val="24"/>
        </w:rPr>
        <w:t xml:space="preserve"> In both instances, t</w:t>
      </w:r>
      <w:r w:rsidRPr="004F538D">
        <w:rPr>
          <w:rFonts w:ascii="Times New Roman" w:hAnsi="Times New Roman" w:cs="Times New Roman"/>
          <w:sz w:val="24"/>
          <w:szCs w:val="24"/>
        </w:rPr>
        <w:t xml:space="preserve">he results for </w:t>
      </w:r>
      <w:r w:rsidR="00167353" w:rsidRPr="004F538D">
        <w:rPr>
          <w:rFonts w:ascii="Times New Roman" w:hAnsi="Times New Roman" w:cs="Times New Roman"/>
          <w:sz w:val="24"/>
          <w:szCs w:val="24"/>
        </w:rPr>
        <w:t>the</w:t>
      </w:r>
      <w:r w:rsidRPr="004F538D">
        <w:rPr>
          <w:rFonts w:ascii="Times New Roman" w:hAnsi="Times New Roman" w:cs="Times New Roman"/>
          <w:sz w:val="24"/>
          <w:szCs w:val="24"/>
        </w:rPr>
        <w:t xml:space="preserve"> control variables remain as previously reported.</w:t>
      </w:r>
      <w:r w:rsidR="002065A0" w:rsidRPr="004F538D">
        <w:rPr>
          <w:rFonts w:ascii="Times New Roman" w:hAnsi="Times New Roman" w:cs="Times New Roman"/>
          <w:sz w:val="24"/>
          <w:szCs w:val="24"/>
        </w:rPr>
        <w:t xml:space="preserve"> Owing t</w:t>
      </w:r>
      <w:r w:rsidR="00C87D62" w:rsidRPr="004F538D">
        <w:rPr>
          <w:rFonts w:ascii="Times New Roman" w:hAnsi="Times New Roman" w:cs="Times New Roman"/>
          <w:sz w:val="24"/>
          <w:szCs w:val="24"/>
        </w:rPr>
        <w:t>o</w:t>
      </w:r>
      <w:r w:rsidR="002065A0" w:rsidRPr="004F538D">
        <w:rPr>
          <w:rFonts w:ascii="Times New Roman" w:hAnsi="Times New Roman" w:cs="Times New Roman"/>
          <w:sz w:val="24"/>
          <w:szCs w:val="24"/>
        </w:rPr>
        <w:t xml:space="preserve"> space constraints, the detailed robustness results could not be reported in this paper but are available from the corresponding author upon request.</w:t>
      </w:r>
    </w:p>
    <w:p w14:paraId="7527D37F" w14:textId="7ECEAF40" w:rsidR="00F315C1" w:rsidRPr="004F538D" w:rsidRDefault="00F315C1" w:rsidP="004A3E15">
      <w:pPr>
        <w:pStyle w:val="ListParagraph"/>
        <w:numPr>
          <w:ilvl w:val="0"/>
          <w:numId w:val="26"/>
        </w:numPr>
        <w:jc w:val="both"/>
        <w:rPr>
          <w:rFonts w:ascii="Times New Roman" w:hAnsi="Times New Roman" w:cs="Times New Roman"/>
          <w:b/>
          <w:sz w:val="24"/>
          <w:szCs w:val="24"/>
        </w:rPr>
      </w:pPr>
      <w:r w:rsidRPr="004F538D">
        <w:rPr>
          <w:rFonts w:ascii="Times New Roman" w:hAnsi="Times New Roman" w:cs="Times New Roman"/>
          <w:b/>
          <w:sz w:val="24"/>
          <w:szCs w:val="24"/>
        </w:rPr>
        <w:t>Conclusion</w:t>
      </w:r>
    </w:p>
    <w:p w14:paraId="63ADB614" w14:textId="62DD24EC" w:rsidR="00786F42" w:rsidRPr="004F538D" w:rsidRDefault="00B51C9D" w:rsidP="00506EB2">
      <w:pPr>
        <w:autoSpaceDE w:val="0"/>
        <w:autoSpaceDN w:val="0"/>
        <w:adjustRightInd w:val="0"/>
        <w:jc w:val="both"/>
        <w:rPr>
          <w:rFonts w:ascii="Times New Roman" w:hAnsi="Times New Roman" w:cs="Times New Roman"/>
          <w:sz w:val="24"/>
          <w:szCs w:val="24"/>
        </w:rPr>
      </w:pPr>
      <w:r w:rsidRPr="004F538D">
        <w:rPr>
          <w:rFonts w:ascii="Times New Roman" w:hAnsi="Times New Roman" w:cs="Times New Roman"/>
          <w:sz w:val="24"/>
          <w:szCs w:val="26"/>
        </w:rPr>
        <w:t xml:space="preserve">In </w:t>
      </w:r>
      <w:r w:rsidR="005D4AA0" w:rsidRPr="004F538D">
        <w:rPr>
          <w:rFonts w:ascii="Times New Roman" w:hAnsi="Times New Roman" w:cs="Times New Roman"/>
          <w:sz w:val="24"/>
          <w:szCs w:val="26"/>
        </w:rPr>
        <w:t xml:space="preserve">this paper, we examine </w:t>
      </w:r>
      <w:r w:rsidR="00786F42" w:rsidRPr="004F538D">
        <w:rPr>
          <w:rFonts w:ascii="Times New Roman" w:hAnsi="Times New Roman" w:cs="Times New Roman"/>
          <w:sz w:val="24"/>
          <w:szCs w:val="26"/>
        </w:rPr>
        <w:t>the contribution of a composite CG-index on the timeliness</w:t>
      </w:r>
      <w:r w:rsidR="00145E41">
        <w:rPr>
          <w:rFonts w:ascii="Times New Roman" w:hAnsi="Times New Roman" w:cs="Times New Roman"/>
          <w:sz w:val="24"/>
          <w:szCs w:val="26"/>
        </w:rPr>
        <w:t xml:space="preserve"> of annual reports. The study i</w:t>
      </w:r>
      <w:r w:rsidR="00786F42" w:rsidRPr="004F538D">
        <w:rPr>
          <w:rFonts w:ascii="Times New Roman" w:hAnsi="Times New Roman" w:cs="Times New Roman"/>
          <w:sz w:val="24"/>
          <w:szCs w:val="26"/>
        </w:rPr>
        <w:t>s motivated by calls for “</w:t>
      </w:r>
      <w:r w:rsidR="00786F42" w:rsidRPr="004F538D">
        <w:rPr>
          <w:rFonts w:ascii="Times New Roman" w:hAnsi="Times New Roman" w:cs="Times New Roman"/>
          <w:sz w:val="24"/>
          <w:szCs w:val="24"/>
        </w:rPr>
        <w:t xml:space="preserve">professional guidance” on the factors to consider </w:t>
      </w:r>
      <w:r w:rsidR="00AF3779">
        <w:rPr>
          <w:rFonts w:ascii="Times New Roman" w:hAnsi="Times New Roman" w:cs="Times New Roman"/>
          <w:sz w:val="24"/>
          <w:szCs w:val="24"/>
        </w:rPr>
        <w:t>in assessing</w:t>
      </w:r>
      <w:r w:rsidR="00786F42" w:rsidRPr="004F538D">
        <w:rPr>
          <w:rFonts w:ascii="Times New Roman" w:hAnsi="Times New Roman" w:cs="Times New Roman"/>
          <w:sz w:val="24"/>
          <w:szCs w:val="24"/>
        </w:rPr>
        <w:t xml:space="preserve"> the strength of CG when developing an audit strategy (see </w:t>
      </w:r>
      <w:r w:rsidR="009858DD" w:rsidRPr="004F538D">
        <w:rPr>
          <w:rFonts w:ascii="Times New Roman" w:hAnsi="Times New Roman" w:cs="Times New Roman"/>
          <w:sz w:val="24"/>
          <w:szCs w:val="24"/>
        </w:rPr>
        <w:t xml:space="preserve">for instance, </w:t>
      </w:r>
      <w:r w:rsidR="00786F42" w:rsidRPr="004F538D">
        <w:rPr>
          <w:rFonts w:ascii="Times New Roman" w:hAnsi="Times New Roman" w:cs="Times New Roman"/>
          <w:sz w:val="24"/>
          <w:szCs w:val="24"/>
        </w:rPr>
        <w:t xml:space="preserve">Afify, 2009). </w:t>
      </w:r>
      <w:r w:rsidR="00E65DF0">
        <w:rPr>
          <w:rFonts w:ascii="Times New Roman" w:hAnsi="Times New Roman" w:cs="Times New Roman"/>
          <w:sz w:val="24"/>
          <w:szCs w:val="24"/>
        </w:rPr>
        <w:t>W</w:t>
      </w:r>
      <w:r w:rsidR="00786F42" w:rsidRPr="004F538D">
        <w:rPr>
          <w:rFonts w:ascii="Times New Roman" w:hAnsi="Times New Roman" w:cs="Times New Roman"/>
          <w:sz w:val="24"/>
          <w:szCs w:val="24"/>
        </w:rPr>
        <w:t>e argue that for the full effect of CG practices to be felt in the provision of independent assurance, then an examination of a full set of the CG practices is warranted. Companies could focus on granular CG practices as established by prior literature with a view to enhancing the timel</w:t>
      </w:r>
      <w:r w:rsidR="00CE4033">
        <w:rPr>
          <w:rFonts w:ascii="Times New Roman" w:hAnsi="Times New Roman" w:cs="Times New Roman"/>
          <w:sz w:val="24"/>
          <w:szCs w:val="24"/>
        </w:rPr>
        <w:t xml:space="preserve">iness of the annual reports. This leaves the question: </w:t>
      </w:r>
      <w:r w:rsidR="00786F42" w:rsidRPr="004F538D">
        <w:rPr>
          <w:rFonts w:ascii="Times New Roman" w:hAnsi="Times New Roman" w:cs="Times New Roman"/>
          <w:sz w:val="24"/>
          <w:szCs w:val="24"/>
        </w:rPr>
        <w:t xml:space="preserve">is it sufficient to focus on disparate CG aspects? Which </w:t>
      </w:r>
      <w:r w:rsidR="00CE4033">
        <w:rPr>
          <w:rFonts w:ascii="Times New Roman" w:hAnsi="Times New Roman" w:cs="Times New Roman"/>
          <w:sz w:val="24"/>
          <w:szCs w:val="24"/>
        </w:rPr>
        <w:t xml:space="preserve">CG </w:t>
      </w:r>
      <w:r w:rsidR="00786F42" w:rsidRPr="004F538D">
        <w:rPr>
          <w:rFonts w:ascii="Times New Roman" w:hAnsi="Times New Roman" w:cs="Times New Roman"/>
          <w:sz w:val="24"/>
          <w:szCs w:val="24"/>
        </w:rPr>
        <w:t xml:space="preserve">aspects are useful in enhancing the timeliness of annual reports? How can a mix of the </w:t>
      </w:r>
      <w:r w:rsidR="00CE4033">
        <w:rPr>
          <w:rFonts w:ascii="Times New Roman" w:hAnsi="Times New Roman" w:cs="Times New Roman"/>
          <w:sz w:val="24"/>
          <w:szCs w:val="24"/>
        </w:rPr>
        <w:t xml:space="preserve">CG </w:t>
      </w:r>
      <w:r w:rsidR="00786F42" w:rsidRPr="004F538D">
        <w:rPr>
          <w:rFonts w:ascii="Times New Roman" w:hAnsi="Times New Roman" w:cs="Times New Roman"/>
          <w:sz w:val="24"/>
          <w:szCs w:val="24"/>
        </w:rPr>
        <w:t xml:space="preserve">aspects be achieved to ensure that the timeliness of annual reports is addressed much more comprehensively? </w:t>
      </w:r>
      <w:r w:rsidR="000C71F9" w:rsidRPr="004F538D">
        <w:rPr>
          <w:rFonts w:ascii="Times New Roman" w:hAnsi="Times New Roman" w:cs="Times New Roman"/>
          <w:sz w:val="24"/>
          <w:szCs w:val="24"/>
        </w:rPr>
        <w:t>It is these questions which motivated the present study.</w:t>
      </w:r>
    </w:p>
    <w:p w14:paraId="49A509E9" w14:textId="0D2C520B" w:rsidR="003F5106" w:rsidRPr="004F538D" w:rsidRDefault="000C71F9" w:rsidP="00786F42">
      <w:pPr>
        <w:jc w:val="both"/>
        <w:rPr>
          <w:rFonts w:ascii="Times New Roman" w:hAnsi="Times New Roman" w:cs="Times New Roman"/>
          <w:sz w:val="24"/>
          <w:szCs w:val="24"/>
        </w:rPr>
      </w:pPr>
      <w:r w:rsidRPr="004F538D">
        <w:rPr>
          <w:rFonts w:ascii="Times New Roman" w:hAnsi="Times New Roman" w:cs="Times New Roman"/>
          <w:sz w:val="24"/>
          <w:szCs w:val="24"/>
        </w:rPr>
        <w:t xml:space="preserve">Using data obtained from listed companies in Kenya’s NSE, </w:t>
      </w:r>
      <w:r w:rsidR="00061EF5" w:rsidRPr="004F538D">
        <w:rPr>
          <w:rFonts w:ascii="Times New Roman" w:hAnsi="Times New Roman" w:cs="Times New Roman"/>
          <w:sz w:val="24"/>
          <w:szCs w:val="24"/>
        </w:rPr>
        <w:t xml:space="preserve">the results provide empirical evidence of a positive </w:t>
      </w:r>
      <w:r w:rsidR="00CE4033">
        <w:rPr>
          <w:rFonts w:ascii="Times New Roman" w:hAnsi="Times New Roman" w:cs="Times New Roman"/>
          <w:sz w:val="24"/>
          <w:szCs w:val="24"/>
        </w:rPr>
        <w:t>contribution of a composite CG-I</w:t>
      </w:r>
      <w:r w:rsidR="00061EF5" w:rsidRPr="004F538D">
        <w:rPr>
          <w:rFonts w:ascii="Times New Roman" w:hAnsi="Times New Roman" w:cs="Times New Roman"/>
          <w:sz w:val="24"/>
          <w:szCs w:val="24"/>
        </w:rPr>
        <w:t xml:space="preserve">ndex on the timeliness of annual reports. </w:t>
      </w:r>
      <w:r w:rsidR="00967E46" w:rsidRPr="004F538D">
        <w:rPr>
          <w:rFonts w:ascii="Times New Roman" w:hAnsi="Times New Roman" w:cs="Times New Roman"/>
          <w:sz w:val="24"/>
          <w:szCs w:val="24"/>
        </w:rPr>
        <w:t>Of greater contribution to the reduced ARD were CG attributes relating to board diversity in terms of having women and individuals of diverse nationalities in the board. The results also show that the tenure of independent directors is useful in enhancing the timeliness of the annual report. We find that attributes such as having more financial experts in the AC, larger boards, more frequent board meetings and having more independent board members contribute to an increase in the ARD.</w:t>
      </w:r>
      <w:r w:rsidR="003F5106" w:rsidRPr="004F538D">
        <w:rPr>
          <w:rFonts w:ascii="Times New Roman" w:hAnsi="Times New Roman" w:cs="Times New Roman"/>
          <w:sz w:val="24"/>
          <w:szCs w:val="24"/>
        </w:rPr>
        <w:t xml:space="preserve"> These findings are useful in expunging those CG practices that contribute positively towards the timeliness of annual reports and those that do not. It is essential for firms to consider what aspects of their governance could potentially contribute negatively towards the provision of timely information to shareholders and other users. </w:t>
      </w:r>
    </w:p>
    <w:p w14:paraId="072FB9CD" w14:textId="1F3B4C2A" w:rsidR="000C71F9" w:rsidRPr="004F538D" w:rsidRDefault="003F5106" w:rsidP="00786F42">
      <w:pPr>
        <w:jc w:val="both"/>
        <w:rPr>
          <w:rFonts w:ascii="Times New Roman" w:hAnsi="Times New Roman" w:cs="Times New Roman"/>
          <w:sz w:val="24"/>
          <w:szCs w:val="24"/>
        </w:rPr>
      </w:pPr>
      <w:r w:rsidRPr="004F538D">
        <w:rPr>
          <w:rFonts w:ascii="Times New Roman" w:hAnsi="Times New Roman" w:cs="Times New Roman"/>
          <w:sz w:val="24"/>
          <w:szCs w:val="24"/>
        </w:rPr>
        <w:t xml:space="preserve">The study was not without limitations. First, the study </w:t>
      </w:r>
      <w:r w:rsidR="00C743DF">
        <w:rPr>
          <w:rFonts w:ascii="Times New Roman" w:hAnsi="Times New Roman" w:cs="Times New Roman"/>
          <w:sz w:val="24"/>
          <w:szCs w:val="24"/>
        </w:rPr>
        <w:t>focused on listed companies in a sin</w:t>
      </w:r>
      <w:r w:rsidRPr="004F538D">
        <w:rPr>
          <w:rFonts w:ascii="Times New Roman" w:hAnsi="Times New Roman" w:cs="Times New Roman"/>
          <w:sz w:val="24"/>
          <w:szCs w:val="24"/>
        </w:rPr>
        <w:t xml:space="preserve">gle </w:t>
      </w:r>
      <w:r w:rsidR="001D509C">
        <w:rPr>
          <w:rFonts w:ascii="Times New Roman" w:hAnsi="Times New Roman" w:cs="Times New Roman"/>
          <w:sz w:val="24"/>
          <w:szCs w:val="24"/>
        </w:rPr>
        <w:t xml:space="preserve">developing </w:t>
      </w:r>
      <w:r w:rsidRPr="004F538D">
        <w:rPr>
          <w:rFonts w:ascii="Times New Roman" w:hAnsi="Times New Roman" w:cs="Times New Roman"/>
          <w:sz w:val="24"/>
          <w:szCs w:val="24"/>
        </w:rPr>
        <w:t xml:space="preserve">economy and additional studies are certainly necessary. </w:t>
      </w:r>
      <w:r w:rsidR="00852D4D" w:rsidRPr="004F538D">
        <w:rPr>
          <w:rFonts w:ascii="Times New Roman" w:hAnsi="Times New Roman" w:cs="Times New Roman"/>
          <w:sz w:val="24"/>
          <w:szCs w:val="24"/>
        </w:rPr>
        <w:t xml:space="preserve">Secondly, while most of the CG attributes could be obtained from the annual reports and other sources, it would be worthwhile to </w:t>
      </w:r>
      <w:r w:rsidR="001D509C">
        <w:rPr>
          <w:rFonts w:ascii="Times New Roman" w:hAnsi="Times New Roman" w:cs="Times New Roman"/>
          <w:sz w:val="24"/>
          <w:szCs w:val="24"/>
        </w:rPr>
        <w:t xml:space="preserve">conduct </w:t>
      </w:r>
      <w:r w:rsidR="00852D4D" w:rsidRPr="004F538D">
        <w:rPr>
          <w:rFonts w:ascii="Times New Roman" w:hAnsi="Times New Roman" w:cs="Times New Roman"/>
          <w:sz w:val="24"/>
          <w:szCs w:val="24"/>
        </w:rPr>
        <w:t>primary interviews with the boar</w:t>
      </w:r>
      <w:r w:rsidR="00E8740B">
        <w:rPr>
          <w:rFonts w:ascii="Times New Roman" w:hAnsi="Times New Roman" w:cs="Times New Roman"/>
          <w:sz w:val="24"/>
          <w:szCs w:val="24"/>
        </w:rPr>
        <w:t>d and management to dig deeper into</w:t>
      </w:r>
      <w:r w:rsidR="00852D4D" w:rsidRPr="004F538D">
        <w:rPr>
          <w:rFonts w:ascii="Times New Roman" w:hAnsi="Times New Roman" w:cs="Times New Roman"/>
          <w:sz w:val="24"/>
          <w:szCs w:val="24"/>
        </w:rPr>
        <w:t xml:space="preserve"> other unobservable drivers of ARD that are not usually reported in the annual reports.</w:t>
      </w:r>
      <w:r w:rsidR="004579F4" w:rsidRPr="004F538D">
        <w:rPr>
          <w:rFonts w:ascii="Times New Roman" w:hAnsi="Times New Roman" w:cs="Times New Roman"/>
          <w:sz w:val="24"/>
          <w:szCs w:val="24"/>
        </w:rPr>
        <w:t xml:space="preserve"> Further research could perform </w:t>
      </w:r>
      <w:r w:rsidR="00E8740B">
        <w:rPr>
          <w:rFonts w:ascii="Times New Roman" w:hAnsi="Times New Roman" w:cs="Times New Roman"/>
          <w:sz w:val="24"/>
          <w:szCs w:val="24"/>
        </w:rPr>
        <w:t xml:space="preserve">a </w:t>
      </w:r>
      <w:r w:rsidR="004579F4" w:rsidRPr="004F538D">
        <w:rPr>
          <w:rFonts w:ascii="Times New Roman" w:hAnsi="Times New Roman" w:cs="Times New Roman"/>
          <w:sz w:val="24"/>
          <w:szCs w:val="24"/>
        </w:rPr>
        <w:t>deeper examina</w:t>
      </w:r>
      <w:r w:rsidR="00E8740B">
        <w:rPr>
          <w:rFonts w:ascii="Times New Roman" w:hAnsi="Times New Roman" w:cs="Times New Roman"/>
          <w:sz w:val="24"/>
          <w:szCs w:val="24"/>
        </w:rPr>
        <w:t>tion of certain aspects which a</w:t>
      </w:r>
      <w:r w:rsidR="004579F4" w:rsidRPr="004F538D">
        <w:rPr>
          <w:rFonts w:ascii="Times New Roman" w:hAnsi="Times New Roman" w:cs="Times New Roman"/>
          <w:sz w:val="24"/>
          <w:szCs w:val="24"/>
        </w:rPr>
        <w:t>re not comprehensively pursued in this study such as the contribution of ownership dispersion on the timeliness of annual reports.</w:t>
      </w:r>
      <w:r w:rsidR="001D25FF">
        <w:rPr>
          <w:rFonts w:ascii="Times New Roman" w:hAnsi="Times New Roman" w:cs="Times New Roman"/>
          <w:sz w:val="24"/>
          <w:szCs w:val="24"/>
        </w:rPr>
        <w:t xml:space="preserve"> The authors are already pursuing this aspect.</w:t>
      </w:r>
    </w:p>
    <w:p w14:paraId="03EE2B48" w14:textId="77777777" w:rsidR="00967E46" w:rsidRPr="004F538D" w:rsidRDefault="00967E46" w:rsidP="00E55C9A">
      <w:pPr>
        <w:jc w:val="both"/>
        <w:rPr>
          <w:rFonts w:ascii="Times New Roman" w:hAnsi="Times New Roman" w:cs="Times New Roman"/>
          <w:sz w:val="24"/>
          <w:szCs w:val="26"/>
        </w:rPr>
      </w:pPr>
    </w:p>
    <w:p w14:paraId="647AF762" w14:textId="77777777" w:rsidR="005C0DFC" w:rsidRDefault="005C0DFC">
      <w:pPr>
        <w:spacing w:after="160" w:line="259" w:lineRule="auto"/>
        <w:rPr>
          <w:rFonts w:ascii="Times New Roman" w:hAnsi="Times New Roman" w:cs="Times New Roman"/>
          <w:b/>
          <w:sz w:val="24"/>
          <w:szCs w:val="26"/>
        </w:rPr>
      </w:pPr>
      <w:r>
        <w:rPr>
          <w:rFonts w:ascii="Times New Roman" w:hAnsi="Times New Roman" w:cs="Times New Roman"/>
          <w:b/>
          <w:sz w:val="24"/>
          <w:szCs w:val="26"/>
        </w:rPr>
        <w:br w:type="page"/>
      </w:r>
    </w:p>
    <w:p w14:paraId="352D047E" w14:textId="3D6B9D36" w:rsidR="009E1AB1" w:rsidRPr="004F538D" w:rsidRDefault="00F42842" w:rsidP="001F48A3">
      <w:pPr>
        <w:jc w:val="both"/>
        <w:rPr>
          <w:rFonts w:ascii="Times New Roman" w:hAnsi="Times New Roman" w:cs="Times New Roman"/>
          <w:b/>
          <w:sz w:val="24"/>
          <w:szCs w:val="26"/>
        </w:rPr>
      </w:pPr>
      <w:r w:rsidRPr="004F538D">
        <w:rPr>
          <w:rFonts w:ascii="Times New Roman" w:hAnsi="Times New Roman" w:cs="Times New Roman"/>
          <w:b/>
          <w:sz w:val="24"/>
          <w:szCs w:val="26"/>
        </w:rPr>
        <w:t>References</w:t>
      </w:r>
    </w:p>
    <w:p w14:paraId="47B3435D"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sz w:val="24"/>
          <w:szCs w:val="24"/>
        </w:rPr>
        <w:t xml:space="preserve">Afify, H.A.E. (2009), “Determinants of audit report lag: Does implementing corporate governance have any impact? Empirical evidence from Egypt”, </w:t>
      </w:r>
      <w:r w:rsidRPr="0091572F">
        <w:rPr>
          <w:rFonts w:ascii="Times New Roman" w:hAnsi="Times New Roman" w:cs="Times New Roman"/>
          <w:i/>
          <w:sz w:val="24"/>
          <w:szCs w:val="24"/>
        </w:rPr>
        <w:t>Journal of Applied Accounting Research</w:t>
      </w:r>
      <w:r w:rsidRPr="0091572F">
        <w:rPr>
          <w:rFonts w:ascii="Times New Roman" w:hAnsi="Times New Roman" w:cs="Times New Roman"/>
          <w:sz w:val="24"/>
          <w:szCs w:val="24"/>
        </w:rPr>
        <w:t>, Vol. 10 No. 1, pp. pp.56-86.</w:t>
      </w:r>
    </w:p>
    <w:p w14:paraId="432C34A1" w14:textId="0DA6628A" w:rsidR="00CA3FBD" w:rsidRPr="0091572F" w:rsidRDefault="002A6D8E" w:rsidP="00CA3FB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Alfraih, M. M. (2016), “</w:t>
      </w:r>
      <w:r w:rsidR="00CA3FBD" w:rsidRPr="0091572F">
        <w:rPr>
          <w:rFonts w:ascii="Times New Roman" w:hAnsi="Times New Roman" w:cs="Times New Roman"/>
          <w:noProof/>
          <w:sz w:val="24"/>
          <w:szCs w:val="24"/>
        </w:rPr>
        <w:t>Corporate governance mechanisms and audit de</w:t>
      </w:r>
      <w:r>
        <w:rPr>
          <w:rFonts w:ascii="Times New Roman" w:hAnsi="Times New Roman" w:cs="Times New Roman"/>
          <w:noProof/>
          <w:sz w:val="24"/>
          <w:szCs w:val="24"/>
        </w:rPr>
        <w:t xml:space="preserve">lay in a joint audit regulation”, </w:t>
      </w:r>
      <w:r w:rsidR="00CA3FBD" w:rsidRPr="0091572F">
        <w:rPr>
          <w:rFonts w:ascii="Times New Roman" w:hAnsi="Times New Roman" w:cs="Times New Roman"/>
          <w:i/>
          <w:iCs/>
          <w:noProof/>
          <w:sz w:val="24"/>
          <w:szCs w:val="24"/>
        </w:rPr>
        <w:t>Journal of Financial Regulation and Compliance</w:t>
      </w:r>
      <w:r w:rsidR="00CA3FBD" w:rsidRPr="0091572F">
        <w:rPr>
          <w:rFonts w:ascii="Times New Roman" w:hAnsi="Times New Roman" w:cs="Times New Roman"/>
          <w:noProof/>
          <w:sz w:val="24"/>
          <w:szCs w:val="24"/>
        </w:rPr>
        <w:t xml:space="preserve">, </w:t>
      </w:r>
      <w:r w:rsidR="00CA3FBD" w:rsidRPr="002A6D8E">
        <w:rPr>
          <w:rFonts w:ascii="Times New Roman" w:hAnsi="Times New Roman" w:cs="Times New Roman"/>
          <w:noProof/>
          <w:sz w:val="24"/>
          <w:szCs w:val="24"/>
        </w:rPr>
        <w:t xml:space="preserve">Vol </w:t>
      </w:r>
      <w:r w:rsidR="00CA3FBD" w:rsidRPr="002A6D8E">
        <w:rPr>
          <w:rFonts w:ascii="Times New Roman" w:hAnsi="Times New Roman" w:cs="Times New Roman"/>
          <w:iCs/>
          <w:noProof/>
          <w:sz w:val="24"/>
          <w:szCs w:val="24"/>
        </w:rPr>
        <w:t>24</w:t>
      </w:r>
      <w:r w:rsidR="00CA3FBD" w:rsidRPr="002A6D8E">
        <w:rPr>
          <w:rFonts w:ascii="Times New Roman" w:hAnsi="Times New Roman" w:cs="Times New Roman"/>
          <w:noProof/>
          <w:sz w:val="24"/>
          <w:szCs w:val="24"/>
        </w:rPr>
        <w:t xml:space="preserve"> No.3,</w:t>
      </w:r>
      <w:r>
        <w:rPr>
          <w:rFonts w:ascii="Times New Roman" w:hAnsi="Times New Roman" w:cs="Times New Roman"/>
          <w:noProof/>
          <w:sz w:val="24"/>
          <w:szCs w:val="24"/>
        </w:rPr>
        <w:t xml:space="preserve"> pp. 292 - </w:t>
      </w:r>
      <w:r w:rsidR="00CA3FBD" w:rsidRPr="002A6D8E">
        <w:rPr>
          <w:rFonts w:ascii="Times New Roman" w:hAnsi="Times New Roman" w:cs="Times New Roman"/>
          <w:noProof/>
          <w:sz w:val="24"/>
          <w:szCs w:val="24"/>
        </w:rPr>
        <w:t>316.</w:t>
      </w:r>
      <w:r w:rsidR="00CA3FBD" w:rsidRPr="0091572F">
        <w:rPr>
          <w:rFonts w:ascii="Times New Roman" w:hAnsi="Times New Roman" w:cs="Times New Roman"/>
          <w:noProof/>
          <w:sz w:val="24"/>
          <w:szCs w:val="24"/>
        </w:rPr>
        <w:t xml:space="preserve"> </w:t>
      </w:r>
    </w:p>
    <w:p w14:paraId="11EBE945"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Aljifri, K. and Moustafa, M. (2007), “The Impact of Corporate Governance Mechanisms on the Performance of UAE Firms: An Empirical Analysis”, </w:t>
      </w:r>
      <w:r w:rsidRPr="000C39AA">
        <w:rPr>
          <w:rFonts w:ascii="Times New Roman" w:hAnsi="Times New Roman" w:cs="Times New Roman"/>
          <w:i/>
          <w:sz w:val="24"/>
          <w:szCs w:val="24"/>
        </w:rPr>
        <w:t>Journal of Economic and Administrative Sciences</w:t>
      </w:r>
      <w:r w:rsidRPr="0091572F">
        <w:rPr>
          <w:rFonts w:ascii="Times New Roman" w:hAnsi="Times New Roman" w:cs="Times New Roman"/>
          <w:sz w:val="24"/>
          <w:szCs w:val="24"/>
        </w:rPr>
        <w:t>, Vol. 23 No. 2, pp. 71-93.</w:t>
      </w:r>
    </w:p>
    <w:p w14:paraId="2260BB4F" w14:textId="4C5F6BCC"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Al-Matari, E.M., Al-Swidi, A. and Hanim. F. (2014), “The Effect of Board of Directors Characteristics, Audit Committee Characteristics and Executive Committee Characteristics on Firm Performanc</w:t>
      </w:r>
      <w:r w:rsidR="00D9009C">
        <w:rPr>
          <w:rFonts w:ascii="Times New Roman" w:hAnsi="Times New Roman" w:cs="Times New Roman"/>
          <w:sz w:val="24"/>
          <w:szCs w:val="24"/>
        </w:rPr>
        <w:t xml:space="preserve">e in Oman: An Empirical Study”, </w:t>
      </w:r>
      <w:r w:rsidRPr="000C39AA">
        <w:rPr>
          <w:rFonts w:ascii="Times New Roman" w:hAnsi="Times New Roman" w:cs="Times New Roman"/>
          <w:i/>
          <w:sz w:val="24"/>
          <w:szCs w:val="24"/>
        </w:rPr>
        <w:t>Asian Social Science</w:t>
      </w:r>
      <w:r w:rsidRPr="0091572F">
        <w:rPr>
          <w:rFonts w:ascii="Times New Roman" w:hAnsi="Times New Roman" w:cs="Times New Roman"/>
          <w:sz w:val="24"/>
          <w:szCs w:val="24"/>
        </w:rPr>
        <w:t>, Vol. 10 No. 11, pp. 149 - 171.</w:t>
      </w:r>
    </w:p>
    <w:p w14:paraId="73FE84DC" w14:textId="29D8AD05"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A</w:t>
      </w:r>
      <w:r w:rsidR="00D9009C">
        <w:rPr>
          <w:rFonts w:ascii="Times New Roman" w:hAnsi="Times New Roman" w:cs="Times New Roman"/>
          <w:color w:val="222222"/>
          <w:sz w:val="24"/>
          <w:szCs w:val="24"/>
          <w:shd w:val="clear" w:color="auto" w:fill="FFFFFF"/>
        </w:rPr>
        <w:t>shton, R. H., Willingham, J. J.</w:t>
      </w:r>
      <w:r w:rsidRPr="0091572F">
        <w:rPr>
          <w:rFonts w:ascii="Times New Roman" w:hAnsi="Times New Roman" w:cs="Times New Roman"/>
          <w:color w:val="222222"/>
          <w:sz w:val="24"/>
          <w:szCs w:val="24"/>
          <w:shd w:val="clear" w:color="auto" w:fill="FFFFFF"/>
        </w:rPr>
        <w:t xml:space="preserve"> and Elliot, R. K. (1987), “An empirical analysis of audit delay”, </w:t>
      </w:r>
      <w:r w:rsidRPr="0091572F">
        <w:rPr>
          <w:rFonts w:ascii="Times New Roman" w:hAnsi="Times New Roman" w:cs="Times New Roman"/>
          <w:i/>
          <w:color w:val="222222"/>
          <w:sz w:val="24"/>
          <w:szCs w:val="24"/>
          <w:shd w:val="clear" w:color="auto" w:fill="FFFFFF"/>
        </w:rPr>
        <w:t>Journal of Accounting Research</w:t>
      </w:r>
      <w:r w:rsidR="000C39AA">
        <w:rPr>
          <w:rFonts w:ascii="Times New Roman" w:hAnsi="Times New Roman" w:cs="Times New Roman"/>
          <w:color w:val="222222"/>
          <w:sz w:val="24"/>
          <w:szCs w:val="24"/>
          <w:shd w:val="clear" w:color="auto" w:fill="FFFFFF"/>
        </w:rPr>
        <w:t>, Vol. 25</w:t>
      </w:r>
      <w:r w:rsidRPr="0091572F">
        <w:rPr>
          <w:rFonts w:ascii="Times New Roman" w:hAnsi="Times New Roman" w:cs="Times New Roman"/>
          <w:color w:val="222222"/>
          <w:sz w:val="24"/>
          <w:szCs w:val="24"/>
          <w:shd w:val="clear" w:color="auto" w:fill="FFFFFF"/>
        </w:rPr>
        <w:t xml:space="preserve"> No. 2, pp. 275 - 292.</w:t>
      </w:r>
    </w:p>
    <w:p w14:paraId="063BF0D9"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sz w:val="24"/>
          <w:szCs w:val="24"/>
        </w:rPr>
        <w:t xml:space="preserve">Baatwah, S. R. (2015), “Corporate governance mechanisms and audit report timeliness: empirical evidence from Oman”, </w:t>
      </w:r>
      <w:r w:rsidRPr="0091572F">
        <w:rPr>
          <w:rFonts w:ascii="Times New Roman" w:hAnsi="Times New Roman" w:cs="Times New Roman"/>
          <w:i/>
          <w:sz w:val="24"/>
          <w:szCs w:val="24"/>
        </w:rPr>
        <w:t>International Journal Accounting, Auditing and Performance Evaluation</w:t>
      </w:r>
      <w:r w:rsidRPr="0091572F">
        <w:rPr>
          <w:rFonts w:ascii="Times New Roman" w:hAnsi="Times New Roman" w:cs="Times New Roman"/>
          <w:sz w:val="24"/>
          <w:szCs w:val="24"/>
        </w:rPr>
        <w:t>, Vol. 11 Nos. 3/4, pp. 312-337.</w:t>
      </w:r>
    </w:p>
    <w:p w14:paraId="4493714D"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Bédard, J., Chtourou, S. M. and Courteau, L. (2004), “The Effect of Audit Committee Expertise, Independence, and Activity on Aggressive Earnings Management”, </w:t>
      </w:r>
      <w:r w:rsidRPr="0091572F">
        <w:rPr>
          <w:rFonts w:ascii="Times New Roman" w:hAnsi="Times New Roman" w:cs="Times New Roman"/>
          <w:i/>
          <w:sz w:val="24"/>
          <w:szCs w:val="24"/>
        </w:rPr>
        <w:t xml:space="preserve">Auditing: A Journal of Practice &amp; Theory, </w:t>
      </w:r>
      <w:r w:rsidRPr="000C39AA">
        <w:rPr>
          <w:rFonts w:ascii="Times New Roman" w:hAnsi="Times New Roman" w:cs="Times New Roman"/>
          <w:sz w:val="24"/>
          <w:szCs w:val="24"/>
        </w:rPr>
        <w:t>Vol.</w:t>
      </w:r>
      <w:r w:rsidRPr="0091572F">
        <w:rPr>
          <w:rFonts w:ascii="Times New Roman" w:hAnsi="Times New Roman" w:cs="Times New Roman"/>
          <w:sz w:val="24"/>
          <w:szCs w:val="24"/>
        </w:rPr>
        <w:t xml:space="preserve"> 23 No. 2, pp. 13-35.</w:t>
      </w:r>
    </w:p>
    <w:p w14:paraId="676E60DA"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Beekes, W., Brown, P. and Zhang, Q. (2014), “Corporate governance and the in formativeness of disclosures in Australia: a re</w:t>
      </w:r>
      <w:r w:rsidRPr="0091572F">
        <w:rPr>
          <w:rFonts w:ascii="Cambria Math" w:hAnsi="Cambria Math" w:cs="Cambria Math"/>
          <w:sz w:val="24"/>
          <w:szCs w:val="24"/>
        </w:rPr>
        <w:t>‐</w:t>
      </w:r>
      <w:r w:rsidRPr="0091572F">
        <w:rPr>
          <w:rFonts w:ascii="Times New Roman" w:hAnsi="Times New Roman" w:cs="Times New Roman"/>
          <w:sz w:val="24"/>
          <w:szCs w:val="24"/>
        </w:rPr>
        <w:t xml:space="preserve">examination”, </w:t>
      </w:r>
      <w:r w:rsidRPr="0091572F">
        <w:rPr>
          <w:rFonts w:ascii="Times New Roman" w:hAnsi="Times New Roman" w:cs="Times New Roman"/>
          <w:i/>
          <w:sz w:val="24"/>
          <w:szCs w:val="24"/>
        </w:rPr>
        <w:t>Accounting &amp; Finance</w:t>
      </w:r>
      <w:r w:rsidRPr="0091572F">
        <w:rPr>
          <w:rFonts w:ascii="Times New Roman" w:hAnsi="Times New Roman" w:cs="Times New Roman"/>
          <w:sz w:val="24"/>
          <w:szCs w:val="24"/>
        </w:rPr>
        <w:t>, Vol. 55 No. 4, pp. 931 - 963.</w:t>
      </w:r>
    </w:p>
    <w:p w14:paraId="108668C9"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highlight w:val="yellow"/>
        </w:rPr>
      </w:pPr>
      <w:r w:rsidRPr="0091572F">
        <w:rPr>
          <w:rFonts w:ascii="Times New Roman" w:hAnsi="Times New Roman" w:cs="Times New Roman"/>
          <w:sz w:val="24"/>
          <w:szCs w:val="24"/>
        </w:rPr>
        <w:t xml:space="preserve">Berle, A. and Means, G. (1932), </w:t>
      </w:r>
      <w:r w:rsidRPr="000C39AA">
        <w:rPr>
          <w:rFonts w:ascii="Times New Roman" w:hAnsi="Times New Roman" w:cs="Times New Roman"/>
          <w:i/>
          <w:sz w:val="24"/>
          <w:szCs w:val="24"/>
        </w:rPr>
        <w:t>The Modern Corporation and Private Property</w:t>
      </w:r>
      <w:r w:rsidRPr="0091572F">
        <w:rPr>
          <w:rFonts w:ascii="Times New Roman" w:hAnsi="Times New Roman" w:cs="Times New Roman"/>
          <w:sz w:val="24"/>
          <w:szCs w:val="24"/>
        </w:rPr>
        <w:t>, Macmillan, New York.</w:t>
      </w:r>
    </w:p>
    <w:p w14:paraId="0F6E957A"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Black, B., de Carvalho, A.G., Khanna, V., Kim, W. and Yurtoglu, B. (2017), “Corporate governance indices and construct validity”, </w:t>
      </w:r>
      <w:r w:rsidRPr="0091572F">
        <w:rPr>
          <w:rFonts w:ascii="Times New Roman" w:hAnsi="Times New Roman" w:cs="Times New Roman"/>
          <w:i/>
          <w:sz w:val="24"/>
          <w:szCs w:val="24"/>
        </w:rPr>
        <w:t>Corporate Governance, An International Review</w:t>
      </w:r>
      <w:r w:rsidRPr="0091572F">
        <w:rPr>
          <w:rFonts w:ascii="Times New Roman" w:hAnsi="Times New Roman" w:cs="Times New Roman"/>
          <w:sz w:val="24"/>
          <w:szCs w:val="24"/>
        </w:rPr>
        <w:t>, Vol. 25 No. 6, pp. 397-410.</w:t>
      </w:r>
    </w:p>
    <w:p w14:paraId="2069347A"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Boyd, B. K., Adams, R. and Gove, S. (2017), “Editorial: Research methodology of governance studies: challenges and opportunities”, </w:t>
      </w:r>
      <w:r w:rsidRPr="0091572F">
        <w:rPr>
          <w:rFonts w:ascii="Times New Roman" w:hAnsi="Times New Roman" w:cs="Times New Roman"/>
          <w:i/>
          <w:sz w:val="24"/>
          <w:szCs w:val="24"/>
        </w:rPr>
        <w:t>Corporate Governance: An International Review</w:t>
      </w:r>
      <w:r w:rsidRPr="0091572F">
        <w:rPr>
          <w:rFonts w:ascii="Times New Roman" w:hAnsi="Times New Roman" w:cs="Times New Roman"/>
          <w:sz w:val="24"/>
          <w:szCs w:val="24"/>
        </w:rPr>
        <w:t>, Vol. 25 No. 6, pp. 382 - 383.</w:t>
      </w:r>
    </w:p>
    <w:p w14:paraId="7F0EE6E9"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 xml:space="preserve">Cadbury, S.A. (2002), “The Corporate Governance Agenda”, </w:t>
      </w:r>
      <w:r w:rsidRPr="00A90DBE">
        <w:rPr>
          <w:rFonts w:ascii="Times New Roman" w:hAnsi="Times New Roman" w:cs="Times New Roman"/>
          <w:i/>
          <w:color w:val="222222"/>
          <w:sz w:val="24"/>
          <w:szCs w:val="24"/>
          <w:shd w:val="clear" w:color="auto" w:fill="FFFFFF"/>
        </w:rPr>
        <w:t>Corporate Governance, An International Review</w:t>
      </w:r>
      <w:r w:rsidRPr="0091572F">
        <w:rPr>
          <w:rFonts w:ascii="Times New Roman" w:hAnsi="Times New Roman" w:cs="Times New Roman"/>
          <w:color w:val="222222"/>
          <w:sz w:val="24"/>
          <w:szCs w:val="24"/>
          <w:shd w:val="clear" w:color="auto" w:fill="FFFFFF"/>
        </w:rPr>
        <w:t>, Vol. 8 No. 1, pp. 7-15.</w:t>
      </w:r>
    </w:p>
    <w:p w14:paraId="79BD7A7E"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Capital Markets Authority</w:t>
      </w:r>
      <w:r>
        <w:rPr>
          <w:rFonts w:ascii="Times New Roman" w:hAnsi="Times New Roman" w:cs="Times New Roman"/>
          <w:sz w:val="24"/>
          <w:szCs w:val="24"/>
        </w:rPr>
        <w:t xml:space="preserve"> (CMA)</w:t>
      </w:r>
      <w:r w:rsidRPr="0091572F">
        <w:rPr>
          <w:rFonts w:ascii="Times New Roman" w:hAnsi="Times New Roman" w:cs="Times New Roman"/>
          <w:sz w:val="24"/>
          <w:szCs w:val="24"/>
        </w:rPr>
        <w:t xml:space="preserve"> (2015), </w:t>
      </w:r>
      <w:r w:rsidRPr="00171BD7">
        <w:rPr>
          <w:rFonts w:ascii="Times New Roman" w:hAnsi="Times New Roman" w:cs="Times New Roman"/>
          <w:i/>
          <w:sz w:val="24"/>
          <w:szCs w:val="24"/>
        </w:rPr>
        <w:t>The Code of Corporate Governance Practices For Issuers of Securities to the Public 2015</w:t>
      </w:r>
      <w:r w:rsidRPr="0091572F">
        <w:rPr>
          <w:rFonts w:ascii="Times New Roman" w:hAnsi="Times New Roman" w:cs="Times New Roman"/>
          <w:sz w:val="24"/>
          <w:szCs w:val="24"/>
        </w:rPr>
        <w:t>, The Government Printer, Nairobi.</w:t>
      </w:r>
    </w:p>
    <w:p w14:paraId="75112BBB" w14:textId="60902EBE" w:rsidR="00CA3FBD" w:rsidRPr="0091572F" w:rsidRDefault="00A90DBE"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Chan, K. H., Luo, V. W. and</w:t>
      </w:r>
      <w:r w:rsidR="00CA3FBD" w:rsidRPr="0091572F">
        <w:rPr>
          <w:rFonts w:ascii="Times New Roman" w:hAnsi="Times New Roman" w:cs="Times New Roman"/>
          <w:color w:val="222222"/>
          <w:sz w:val="24"/>
          <w:szCs w:val="24"/>
          <w:shd w:val="clear" w:color="auto" w:fill="FFFFFF"/>
        </w:rPr>
        <w:t xml:space="preserve"> Mo, P. L. (2016)</w:t>
      </w:r>
      <w:r>
        <w:rPr>
          <w:rFonts w:ascii="Times New Roman" w:hAnsi="Times New Roman" w:cs="Times New Roman"/>
          <w:color w:val="222222"/>
          <w:sz w:val="24"/>
          <w:szCs w:val="24"/>
          <w:shd w:val="clear" w:color="auto" w:fill="FFFFFF"/>
        </w:rPr>
        <w:t>, “</w:t>
      </w:r>
      <w:r w:rsidR="00CA3FBD" w:rsidRPr="0091572F">
        <w:rPr>
          <w:rFonts w:ascii="Times New Roman" w:hAnsi="Times New Roman" w:cs="Times New Roman"/>
          <w:color w:val="222222"/>
          <w:sz w:val="24"/>
          <w:szCs w:val="24"/>
          <w:shd w:val="clear" w:color="auto" w:fill="FFFFFF"/>
        </w:rPr>
        <w:t>Determinants and implications of long audit repo</w:t>
      </w:r>
      <w:r>
        <w:rPr>
          <w:rFonts w:ascii="Times New Roman" w:hAnsi="Times New Roman" w:cs="Times New Roman"/>
          <w:color w:val="222222"/>
          <w:sz w:val="24"/>
          <w:szCs w:val="24"/>
          <w:shd w:val="clear" w:color="auto" w:fill="FFFFFF"/>
        </w:rPr>
        <w:t xml:space="preserve">rting lags: Evidence from China”, </w:t>
      </w:r>
      <w:r w:rsidR="00CA3FBD" w:rsidRPr="00A90DBE">
        <w:rPr>
          <w:rFonts w:ascii="Times New Roman" w:hAnsi="Times New Roman" w:cs="Times New Roman"/>
          <w:i/>
          <w:color w:val="222222"/>
          <w:sz w:val="24"/>
          <w:szCs w:val="24"/>
          <w:shd w:val="clear" w:color="auto" w:fill="FFFFFF"/>
        </w:rPr>
        <w:t>Accounting and Business Research</w:t>
      </w:r>
      <w:r w:rsidR="00CA3FBD" w:rsidRPr="0091572F">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Vol. </w:t>
      </w:r>
      <w:r w:rsidR="00CA3FBD" w:rsidRPr="0091572F">
        <w:rPr>
          <w:rFonts w:ascii="Times New Roman" w:hAnsi="Times New Roman" w:cs="Times New Roman"/>
          <w:color w:val="222222"/>
          <w:sz w:val="24"/>
          <w:szCs w:val="24"/>
          <w:shd w:val="clear" w:color="auto" w:fill="FFFFFF"/>
        </w:rPr>
        <w:t>46</w:t>
      </w:r>
      <w:r>
        <w:rPr>
          <w:rFonts w:ascii="Times New Roman" w:hAnsi="Times New Roman" w:cs="Times New Roman"/>
          <w:color w:val="222222"/>
          <w:sz w:val="24"/>
          <w:szCs w:val="24"/>
          <w:shd w:val="clear" w:color="auto" w:fill="FFFFFF"/>
        </w:rPr>
        <w:t xml:space="preserve"> No. 2</w:t>
      </w:r>
      <w:r w:rsidR="00CA3FBD" w:rsidRPr="0091572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pp. </w:t>
      </w:r>
      <w:r w:rsidR="00CA3FBD" w:rsidRPr="0091572F">
        <w:rPr>
          <w:rFonts w:ascii="Times New Roman" w:hAnsi="Times New Roman" w:cs="Times New Roman"/>
          <w:color w:val="222222"/>
          <w:sz w:val="24"/>
          <w:szCs w:val="24"/>
          <w:shd w:val="clear" w:color="auto" w:fill="FFFFFF"/>
        </w:rPr>
        <w:t>145-166.</w:t>
      </w:r>
    </w:p>
    <w:p w14:paraId="2EC79DCB"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Cohen, J., Krishnamoorthy, G. and Wright, A.M. (2002), “Corporate Governance and the audit process”, </w:t>
      </w:r>
      <w:r w:rsidRPr="0091572F">
        <w:rPr>
          <w:rFonts w:ascii="Times New Roman" w:hAnsi="Times New Roman" w:cs="Times New Roman"/>
          <w:i/>
          <w:sz w:val="24"/>
          <w:szCs w:val="24"/>
        </w:rPr>
        <w:t>Contemporary Accounting Research</w:t>
      </w:r>
      <w:r w:rsidRPr="0091572F">
        <w:rPr>
          <w:rFonts w:ascii="Times New Roman" w:hAnsi="Times New Roman" w:cs="Times New Roman"/>
          <w:sz w:val="24"/>
          <w:szCs w:val="24"/>
        </w:rPr>
        <w:t>, Vol. 19 No. 4, pp. 573-94.</w:t>
      </w:r>
    </w:p>
    <w:p w14:paraId="3AFD4E23"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91572F">
        <w:rPr>
          <w:rFonts w:ascii="Times New Roman" w:hAnsi="Times New Roman" w:cs="Times New Roman"/>
          <w:color w:val="000000"/>
          <w:sz w:val="24"/>
          <w:szCs w:val="24"/>
        </w:rPr>
        <w:t xml:space="preserve">Courtis, J.K. (1976), “Relationships between Timeliness in Corporate Reporting and Corporate Attributes”, </w:t>
      </w:r>
      <w:r w:rsidRPr="0091572F">
        <w:rPr>
          <w:rFonts w:ascii="Times New Roman" w:hAnsi="Times New Roman" w:cs="Times New Roman"/>
          <w:i/>
          <w:color w:val="000000"/>
          <w:sz w:val="24"/>
          <w:szCs w:val="24"/>
        </w:rPr>
        <w:t>Accounting and Business Research</w:t>
      </w:r>
      <w:r w:rsidRPr="0091572F">
        <w:rPr>
          <w:rFonts w:ascii="Times New Roman" w:hAnsi="Times New Roman" w:cs="Times New Roman"/>
          <w:color w:val="000000"/>
          <w:sz w:val="24"/>
          <w:szCs w:val="24"/>
        </w:rPr>
        <w:t>, Vol. 7 No. 25, pp. 45-56.</w:t>
      </w:r>
    </w:p>
    <w:p w14:paraId="22AB62F1"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 xml:space="preserve">Dagli, H., Eyuboglu, K. and Ayaydin, H. (2012), “Performance evaluation of corporate governance index in Turkey”, </w:t>
      </w:r>
      <w:r w:rsidRPr="00A90DBE">
        <w:rPr>
          <w:rFonts w:ascii="Times New Roman" w:hAnsi="Times New Roman" w:cs="Times New Roman"/>
          <w:i/>
          <w:color w:val="222222"/>
          <w:sz w:val="24"/>
          <w:szCs w:val="24"/>
          <w:shd w:val="clear" w:color="auto" w:fill="FFFFFF"/>
        </w:rPr>
        <w:t>Journal of Accounting &amp; Finance</w:t>
      </w:r>
      <w:r w:rsidRPr="0091572F">
        <w:rPr>
          <w:rFonts w:ascii="Times New Roman" w:hAnsi="Times New Roman" w:cs="Times New Roman"/>
          <w:color w:val="222222"/>
          <w:sz w:val="24"/>
          <w:szCs w:val="24"/>
          <w:shd w:val="clear" w:color="auto" w:fill="FFFFFF"/>
        </w:rPr>
        <w:t>, Vol. 12 No. 2, pp. 182-203.</w:t>
      </w:r>
    </w:p>
    <w:p w14:paraId="23FF834E"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sz w:val="24"/>
          <w:szCs w:val="24"/>
        </w:rPr>
        <w:t xml:space="preserve">Dao, M. and Pham, T. (2014), “Audit tenure, auditor specialization and audit report lag”, </w:t>
      </w:r>
      <w:r w:rsidRPr="0091572F">
        <w:rPr>
          <w:rFonts w:ascii="Times New Roman" w:hAnsi="Times New Roman" w:cs="Times New Roman"/>
          <w:i/>
          <w:sz w:val="24"/>
          <w:szCs w:val="24"/>
        </w:rPr>
        <w:t>Managerial Auditing Journal,</w:t>
      </w:r>
      <w:r w:rsidRPr="0091572F">
        <w:rPr>
          <w:rFonts w:ascii="Times New Roman" w:hAnsi="Times New Roman" w:cs="Times New Roman"/>
          <w:sz w:val="24"/>
          <w:szCs w:val="24"/>
        </w:rPr>
        <w:t xml:space="preserve"> Vol. 29 No. 6, pp. 490-512.</w:t>
      </w:r>
    </w:p>
    <w:p w14:paraId="1C5D1351" w14:textId="250725E3"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highlight w:val="yellow"/>
        </w:rPr>
      </w:pPr>
      <w:r w:rsidRPr="0091572F">
        <w:rPr>
          <w:rFonts w:ascii="Times New Roman" w:hAnsi="Times New Roman" w:cs="Times New Roman"/>
          <w:color w:val="222222"/>
          <w:sz w:val="24"/>
          <w:szCs w:val="24"/>
          <w:shd w:val="clear" w:color="auto" w:fill="FFFFFF"/>
        </w:rPr>
        <w:t>Davis, B. and Whittred, G. P. (1980), “The association between selected corporate attributes and</w:t>
      </w:r>
      <w:r w:rsidRPr="0091572F">
        <w:rPr>
          <w:rFonts w:ascii="Times New Roman" w:hAnsi="Times New Roman" w:cs="Times New Roman"/>
          <w:noProof/>
          <w:sz w:val="24"/>
          <w:szCs w:val="24"/>
        </w:rPr>
        <w:t xml:space="preserve"> timeliness in corporate reporting: further analysis”, </w:t>
      </w:r>
      <w:r w:rsidRPr="0091572F">
        <w:rPr>
          <w:rFonts w:ascii="Times New Roman" w:hAnsi="Times New Roman" w:cs="Times New Roman"/>
          <w:i/>
          <w:iCs/>
          <w:noProof/>
          <w:sz w:val="24"/>
          <w:szCs w:val="24"/>
        </w:rPr>
        <w:t xml:space="preserve">Abacus, </w:t>
      </w:r>
      <w:r w:rsidR="00366A8E">
        <w:rPr>
          <w:rFonts w:ascii="Times New Roman" w:hAnsi="Times New Roman" w:cs="Times New Roman"/>
          <w:iCs/>
          <w:noProof/>
          <w:sz w:val="24"/>
          <w:szCs w:val="24"/>
        </w:rPr>
        <w:t>Vol. 16 No. 1,</w:t>
      </w:r>
      <w:r w:rsidRPr="0091572F">
        <w:rPr>
          <w:rFonts w:ascii="Times New Roman" w:hAnsi="Times New Roman" w:cs="Times New Roman"/>
          <w:iCs/>
          <w:noProof/>
          <w:sz w:val="24"/>
          <w:szCs w:val="24"/>
        </w:rPr>
        <w:t xml:space="preserve"> pp. 48–60</w:t>
      </w:r>
      <w:r w:rsidRPr="0091572F">
        <w:rPr>
          <w:rFonts w:ascii="Times New Roman" w:hAnsi="Times New Roman" w:cs="Times New Roman"/>
          <w:noProof/>
          <w:sz w:val="24"/>
          <w:szCs w:val="24"/>
        </w:rPr>
        <w:t>.</w:t>
      </w:r>
    </w:p>
    <w:p w14:paraId="39BAC4F2"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Donald, L. and Davis, J.H. (1991), “Stewardship Theory or Agency Theory: CEO Governance and Shareholder Returns”, </w:t>
      </w:r>
      <w:r w:rsidRPr="00C166D0">
        <w:rPr>
          <w:rFonts w:ascii="Times New Roman" w:hAnsi="Times New Roman" w:cs="Times New Roman"/>
          <w:i/>
          <w:sz w:val="24"/>
          <w:szCs w:val="24"/>
        </w:rPr>
        <w:t>Australian Journal of Management</w:t>
      </w:r>
      <w:r w:rsidRPr="0091572F">
        <w:rPr>
          <w:rFonts w:ascii="Times New Roman" w:hAnsi="Times New Roman" w:cs="Times New Roman"/>
          <w:sz w:val="24"/>
          <w:szCs w:val="24"/>
        </w:rPr>
        <w:t>, Vol. 16 No, 1, pp. 49-65.</w:t>
      </w:r>
    </w:p>
    <w:p w14:paraId="4D224C6F" w14:textId="40024734"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Durand, G. (2019)</w:t>
      </w:r>
      <w:r w:rsidR="00C166D0">
        <w:rPr>
          <w:rFonts w:ascii="Times New Roman" w:hAnsi="Times New Roman" w:cs="Times New Roman"/>
          <w:color w:val="222222"/>
          <w:sz w:val="24"/>
          <w:szCs w:val="24"/>
          <w:shd w:val="clear" w:color="auto" w:fill="FFFFFF"/>
        </w:rPr>
        <w:t>,</w:t>
      </w:r>
      <w:r w:rsidRPr="0091572F">
        <w:rPr>
          <w:rFonts w:ascii="Times New Roman" w:hAnsi="Times New Roman" w:cs="Times New Roman"/>
          <w:color w:val="222222"/>
          <w:sz w:val="24"/>
          <w:szCs w:val="24"/>
          <w:shd w:val="clear" w:color="auto" w:fill="FFFFFF"/>
        </w:rPr>
        <w:t xml:space="preserve"> “The determinants of au</w:t>
      </w:r>
      <w:r w:rsidR="00C166D0">
        <w:rPr>
          <w:rFonts w:ascii="Times New Roman" w:hAnsi="Times New Roman" w:cs="Times New Roman"/>
          <w:color w:val="222222"/>
          <w:sz w:val="24"/>
          <w:szCs w:val="24"/>
          <w:shd w:val="clear" w:color="auto" w:fill="FFFFFF"/>
        </w:rPr>
        <w:t>dit report lag: a meta-analysis,</w:t>
      </w:r>
      <w:r w:rsidRPr="0091572F">
        <w:rPr>
          <w:rFonts w:ascii="Times New Roman" w:hAnsi="Times New Roman" w:cs="Times New Roman"/>
          <w:color w:val="222222"/>
          <w:sz w:val="24"/>
          <w:szCs w:val="24"/>
          <w:shd w:val="clear" w:color="auto" w:fill="FFFFFF"/>
        </w:rPr>
        <w:t>” </w:t>
      </w:r>
      <w:r w:rsidRPr="00C166D0">
        <w:rPr>
          <w:rFonts w:ascii="Times New Roman" w:hAnsi="Times New Roman" w:cs="Times New Roman"/>
          <w:i/>
          <w:color w:val="222222"/>
          <w:sz w:val="24"/>
          <w:szCs w:val="24"/>
          <w:shd w:val="clear" w:color="auto" w:fill="FFFFFF"/>
        </w:rPr>
        <w:t>Managerial Auditing Journal</w:t>
      </w:r>
      <w:r w:rsidRPr="0091572F">
        <w:rPr>
          <w:rFonts w:ascii="Times New Roman" w:hAnsi="Times New Roman" w:cs="Times New Roman"/>
          <w:color w:val="222222"/>
          <w:sz w:val="24"/>
          <w:szCs w:val="24"/>
          <w:shd w:val="clear" w:color="auto" w:fill="FFFFFF"/>
        </w:rPr>
        <w:t>, Vol. 34 No.1, pp. 44-75</w:t>
      </w:r>
    </w:p>
    <w:p w14:paraId="37DB13F8"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highlight w:val="yellow"/>
        </w:rPr>
      </w:pPr>
      <w:r w:rsidRPr="0091572F">
        <w:rPr>
          <w:rFonts w:ascii="Times New Roman" w:hAnsi="Times New Roman" w:cs="Times New Roman"/>
          <w:sz w:val="24"/>
          <w:szCs w:val="24"/>
        </w:rPr>
        <w:t xml:space="preserve">Dyer, J. C. and Mchugh, A.J. (1980), “The Timeliness of the Australian Annual Report”, </w:t>
      </w:r>
      <w:r w:rsidRPr="00C166D0">
        <w:rPr>
          <w:rFonts w:ascii="Times New Roman" w:hAnsi="Times New Roman" w:cs="Times New Roman"/>
          <w:i/>
          <w:sz w:val="24"/>
          <w:szCs w:val="24"/>
        </w:rPr>
        <w:t>Journal of Accounting Research</w:t>
      </w:r>
      <w:r w:rsidRPr="0091572F">
        <w:rPr>
          <w:rFonts w:ascii="Times New Roman" w:hAnsi="Times New Roman" w:cs="Times New Roman"/>
          <w:sz w:val="24"/>
          <w:szCs w:val="24"/>
        </w:rPr>
        <w:t xml:space="preserve">, </w:t>
      </w:r>
      <w:r w:rsidRPr="0091572F">
        <w:rPr>
          <w:rFonts w:ascii="Times New Roman" w:hAnsi="Times New Roman" w:cs="Times New Roman"/>
          <w:color w:val="333333"/>
          <w:sz w:val="24"/>
          <w:szCs w:val="24"/>
          <w:shd w:val="clear" w:color="auto" w:fill="FFFFFF"/>
        </w:rPr>
        <w:t>Vol. 18 No. 2, pp. 623-628.</w:t>
      </w:r>
    </w:p>
    <w:p w14:paraId="6A99DC2B"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 xml:space="preserve">Fama, E.F. and Jensen, M.C. (1983), “Separation of Ownership and Control”, </w:t>
      </w:r>
      <w:r w:rsidRPr="007273FE">
        <w:rPr>
          <w:rFonts w:ascii="Times New Roman" w:hAnsi="Times New Roman" w:cs="Times New Roman"/>
          <w:i/>
          <w:color w:val="222222"/>
          <w:sz w:val="24"/>
          <w:szCs w:val="24"/>
          <w:shd w:val="clear" w:color="auto" w:fill="FFFFFF"/>
        </w:rPr>
        <w:t>Journal of Law and Economics</w:t>
      </w:r>
      <w:r w:rsidRPr="0091572F">
        <w:rPr>
          <w:rFonts w:ascii="Times New Roman" w:hAnsi="Times New Roman" w:cs="Times New Roman"/>
          <w:color w:val="222222"/>
          <w:sz w:val="24"/>
          <w:szCs w:val="24"/>
          <w:shd w:val="clear" w:color="auto" w:fill="FFFFFF"/>
        </w:rPr>
        <w:t>, Vol. 26 No. 2, pp. 301-325.</w:t>
      </w:r>
    </w:p>
    <w:p w14:paraId="2BA05DFA" w14:textId="12ABFAAE" w:rsidR="00CA3FBD" w:rsidRPr="0091572F" w:rsidRDefault="007273FE"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Ghafran, C. and Yasmin, S. (2018), “</w:t>
      </w:r>
      <w:r w:rsidR="00CA3FBD" w:rsidRPr="0091572F">
        <w:rPr>
          <w:rFonts w:ascii="Times New Roman" w:hAnsi="Times New Roman" w:cs="Times New Roman"/>
          <w:color w:val="222222"/>
          <w:sz w:val="24"/>
          <w:szCs w:val="24"/>
          <w:shd w:val="clear" w:color="auto" w:fill="FFFFFF"/>
        </w:rPr>
        <w:t>Audit committee chair and financial reporting timeliness: A focus on financial, experiential and monitoring expertise</w:t>
      </w:r>
      <w:r>
        <w:rPr>
          <w:rFonts w:ascii="Times New Roman" w:hAnsi="Times New Roman" w:cs="Times New Roman"/>
          <w:color w:val="222222"/>
          <w:sz w:val="24"/>
          <w:szCs w:val="24"/>
          <w:shd w:val="clear" w:color="auto" w:fill="FFFFFF"/>
        </w:rPr>
        <w:t xml:space="preserve">”, </w:t>
      </w:r>
      <w:r w:rsidR="00CA3FBD" w:rsidRPr="007273FE">
        <w:rPr>
          <w:rFonts w:ascii="Times New Roman" w:hAnsi="Times New Roman" w:cs="Times New Roman"/>
          <w:i/>
          <w:color w:val="222222"/>
          <w:sz w:val="24"/>
          <w:szCs w:val="24"/>
          <w:shd w:val="clear" w:color="auto" w:fill="FFFFFF"/>
        </w:rPr>
        <w:t>International Journal of Auditing</w:t>
      </w:r>
      <w:r w:rsidR="00CA3FBD" w:rsidRPr="0091572F">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Vol. </w:t>
      </w:r>
      <w:r w:rsidR="00CA3FBD" w:rsidRPr="0091572F">
        <w:rPr>
          <w:rFonts w:ascii="Times New Roman" w:hAnsi="Times New Roman" w:cs="Times New Roman"/>
          <w:color w:val="222222"/>
          <w:sz w:val="24"/>
          <w:szCs w:val="24"/>
          <w:shd w:val="clear" w:color="auto" w:fill="FFFFFF"/>
        </w:rPr>
        <w:t>22</w:t>
      </w:r>
      <w:r>
        <w:rPr>
          <w:rFonts w:ascii="Times New Roman" w:hAnsi="Times New Roman" w:cs="Times New Roman"/>
          <w:color w:val="222222"/>
          <w:sz w:val="24"/>
          <w:szCs w:val="24"/>
          <w:shd w:val="clear" w:color="auto" w:fill="FFFFFF"/>
        </w:rPr>
        <w:t xml:space="preserve"> No. 1</w:t>
      </w:r>
      <w:r w:rsidR="00CA3FBD" w:rsidRPr="0091572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pp. </w:t>
      </w:r>
      <w:r w:rsidR="00CA3FBD" w:rsidRPr="0091572F">
        <w:rPr>
          <w:rFonts w:ascii="Times New Roman" w:hAnsi="Times New Roman" w:cs="Times New Roman"/>
          <w:color w:val="222222"/>
          <w:sz w:val="24"/>
          <w:szCs w:val="24"/>
          <w:shd w:val="clear" w:color="auto" w:fill="FFFFFF"/>
        </w:rPr>
        <w:t>13-24.</w:t>
      </w:r>
    </w:p>
    <w:p w14:paraId="4241F911"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lang w:val="en-GB"/>
        </w:rPr>
      </w:pPr>
      <w:r w:rsidRPr="0091572F">
        <w:rPr>
          <w:rFonts w:ascii="Times New Roman" w:hAnsi="Times New Roman" w:cs="Times New Roman"/>
          <w:sz w:val="24"/>
          <w:szCs w:val="24"/>
        </w:rPr>
        <w:t xml:space="preserve">Gompers, P. A., Ishii, J. L. and Metrick, A. (2003), “Corporate Governance and Equity Prices”, </w:t>
      </w:r>
      <w:r w:rsidRPr="0091572F">
        <w:rPr>
          <w:rFonts w:ascii="Times New Roman" w:hAnsi="Times New Roman" w:cs="Times New Roman"/>
          <w:i/>
          <w:sz w:val="24"/>
          <w:szCs w:val="24"/>
        </w:rPr>
        <w:t>Quarterly Journal of Economics</w:t>
      </w:r>
      <w:r w:rsidRPr="0091572F">
        <w:rPr>
          <w:rFonts w:ascii="Times New Roman" w:hAnsi="Times New Roman" w:cs="Times New Roman"/>
          <w:sz w:val="24"/>
          <w:szCs w:val="24"/>
        </w:rPr>
        <w:t>, Vol. 118 No. 1, pp. 107-155.</w:t>
      </w:r>
    </w:p>
    <w:p w14:paraId="77FCD252"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 xml:space="preserve">Government of Kenya (GOK) (2015), </w:t>
      </w:r>
      <w:r w:rsidRPr="00171BD7">
        <w:rPr>
          <w:rFonts w:ascii="Times New Roman" w:hAnsi="Times New Roman" w:cs="Times New Roman"/>
          <w:i/>
          <w:color w:val="222222"/>
          <w:sz w:val="24"/>
          <w:szCs w:val="24"/>
          <w:shd w:val="clear" w:color="auto" w:fill="FFFFFF"/>
        </w:rPr>
        <w:t>The Companies Act</w:t>
      </w:r>
      <w:r w:rsidRPr="0091572F">
        <w:rPr>
          <w:rFonts w:ascii="Times New Roman" w:hAnsi="Times New Roman" w:cs="Times New Roman"/>
          <w:color w:val="222222"/>
          <w:sz w:val="24"/>
          <w:szCs w:val="24"/>
          <w:shd w:val="clear" w:color="auto" w:fill="FFFFFF"/>
        </w:rPr>
        <w:t>, The Government Printer, Nairobi.</w:t>
      </w:r>
    </w:p>
    <w:p w14:paraId="391D8921"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color w:val="000000"/>
          <w:sz w:val="24"/>
          <w:szCs w:val="24"/>
        </w:rPr>
        <w:t xml:space="preserve">Habib, A. (2015), “The New Chinese Accounting Standards and Audit Report Lag”, </w:t>
      </w:r>
      <w:r w:rsidRPr="0091572F">
        <w:rPr>
          <w:rFonts w:ascii="Times New Roman" w:hAnsi="Times New Roman" w:cs="Times New Roman"/>
          <w:i/>
          <w:sz w:val="24"/>
          <w:szCs w:val="24"/>
        </w:rPr>
        <w:t>International Journal of Auditing</w:t>
      </w:r>
      <w:r w:rsidRPr="0091572F">
        <w:rPr>
          <w:rFonts w:ascii="Times New Roman" w:hAnsi="Times New Roman" w:cs="Times New Roman"/>
          <w:sz w:val="24"/>
          <w:szCs w:val="24"/>
        </w:rPr>
        <w:t xml:space="preserve">, Vol. </w:t>
      </w:r>
      <w:r w:rsidRPr="0091572F">
        <w:rPr>
          <w:rFonts w:ascii="Times New Roman" w:hAnsi="Times New Roman" w:cs="Times New Roman"/>
          <w:bCs/>
          <w:sz w:val="24"/>
          <w:szCs w:val="24"/>
        </w:rPr>
        <w:t xml:space="preserve">19 No. 1, pp. </w:t>
      </w:r>
      <w:r w:rsidRPr="0091572F">
        <w:rPr>
          <w:rFonts w:ascii="Times New Roman" w:hAnsi="Times New Roman" w:cs="Times New Roman"/>
          <w:sz w:val="24"/>
          <w:szCs w:val="24"/>
        </w:rPr>
        <w:t>1–14.</w:t>
      </w:r>
    </w:p>
    <w:p w14:paraId="3D227BD9" w14:textId="5CC4170D"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sz w:val="24"/>
          <w:szCs w:val="24"/>
        </w:rPr>
        <w:t xml:space="preserve">Habib, A. and Bhuiyan, B.U. (2011), “Audit firm industry specialization and the audit report lag”, </w:t>
      </w:r>
      <w:r w:rsidRPr="0091572F">
        <w:rPr>
          <w:rFonts w:ascii="Times New Roman" w:hAnsi="Times New Roman" w:cs="Times New Roman"/>
          <w:i/>
          <w:sz w:val="24"/>
          <w:szCs w:val="24"/>
        </w:rPr>
        <w:t>Journal of International Accounting, Auditing and Taxation</w:t>
      </w:r>
      <w:r w:rsidR="006D49E3">
        <w:rPr>
          <w:rFonts w:ascii="Times New Roman" w:hAnsi="Times New Roman" w:cs="Times New Roman"/>
          <w:sz w:val="24"/>
          <w:szCs w:val="24"/>
        </w:rPr>
        <w:t xml:space="preserve">, Vol. 20 No. 1, pp. 32 - </w:t>
      </w:r>
      <w:r w:rsidRPr="0091572F">
        <w:rPr>
          <w:rFonts w:ascii="Times New Roman" w:hAnsi="Times New Roman" w:cs="Times New Roman"/>
          <w:sz w:val="24"/>
          <w:szCs w:val="24"/>
        </w:rPr>
        <w:t>44.</w:t>
      </w:r>
    </w:p>
    <w:p w14:paraId="700CF5F0"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Habib, A. and Muhammadi, A.H.</w:t>
      </w:r>
      <w:r>
        <w:rPr>
          <w:rFonts w:ascii="Times New Roman" w:hAnsi="Times New Roman" w:cs="Times New Roman"/>
          <w:sz w:val="24"/>
          <w:szCs w:val="24"/>
        </w:rPr>
        <w:t xml:space="preserve"> (2018)</w:t>
      </w:r>
      <w:r w:rsidRPr="0091572F">
        <w:rPr>
          <w:rFonts w:ascii="Times New Roman" w:hAnsi="Times New Roman" w:cs="Times New Roman"/>
          <w:sz w:val="24"/>
          <w:szCs w:val="24"/>
        </w:rPr>
        <w:t xml:space="preserve">, “Political connections and audit report lag: Indonesian evidence”, </w:t>
      </w:r>
      <w:r w:rsidRPr="0091572F">
        <w:rPr>
          <w:rFonts w:ascii="Times New Roman" w:hAnsi="Times New Roman" w:cs="Times New Roman"/>
          <w:i/>
          <w:sz w:val="24"/>
          <w:szCs w:val="24"/>
        </w:rPr>
        <w:t>International Journal of Accounting &amp; Information Management</w:t>
      </w:r>
      <w:r w:rsidRPr="0091572F">
        <w:rPr>
          <w:rFonts w:ascii="Times New Roman" w:hAnsi="Times New Roman" w:cs="Times New Roman"/>
          <w:sz w:val="24"/>
          <w:szCs w:val="24"/>
        </w:rPr>
        <w:t>, Vol. 26 No. 1, pp.</w:t>
      </w:r>
      <w:r>
        <w:rPr>
          <w:rFonts w:ascii="Times New Roman" w:hAnsi="Times New Roman" w:cs="Times New Roman"/>
          <w:sz w:val="24"/>
          <w:szCs w:val="24"/>
        </w:rPr>
        <w:t xml:space="preserve"> </w:t>
      </w:r>
      <w:r w:rsidRPr="0091572F">
        <w:rPr>
          <w:rFonts w:ascii="Times New Roman" w:hAnsi="Times New Roman" w:cs="Times New Roman"/>
          <w:sz w:val="24"/>
          <w:szCs w:val="24"/>
        </w:rPr>
        <w:t>59-80.</w:t>
      </w:r>
    </w:p>
    <w:p w14:paraId="3C43F70B" w14:textId="77777777" w:rsidR="00CA3FBD" w:rsidRDefault="00CA3FBD" w:rsidP="00CA3FB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1572F">
        <w:rPr>
          <w:rFonts w:ascii="Times New Roman" w:hAnsi="Times New Roman" w:cs="Times New Roman"/>
          <w:noProof/>
          <w:sz w:val="24"/>
          <w:szCs w:val="24"/>
        </w:rPr>
        <w:t>Habib, A., Bhuiyan, M. B. U., Huang, H. J. and Miah, M. S. (2018), “Determinants of audit report lag: A meta</w:t>
      </w:r>
      <w:r w:rsidRPr="0091572F">
        <w:rPr>
          <w:rFonts w:ascii="Cambria Math" w:hAnsi="Cambria Math" w:cs="Cambria Math"/>
          <w:noProof/>
          <w:sz w:val="24"/>
          <w:szCs w:val="24"/>
        </w:rPr>
        <w:t>‐</w:t>
      </w:r>
      <w:r w:rsidRPr="0091572F">
        <w:rPr>
          <w:rFonts w:ascii="Times New Roman" w:hAnsi="Times New Roman" w:cs="Times New Roman"/>
          <w:noProof/>
          <w:sz w:val="24"/>
          <w:szCs w:val="24"/>
        </w:rPr>
        <w:t xml:space="preserve">analysis”, </w:t>
      </w:r>
      <w:r w:rsidRPr="0091572F">
        <w:rPr>
          <w:rFonts w:ascii="Times New Roman" w:hAnsi="Times New Roman" w:cs="Times New Roman"/>
          <w:i/>
          <w:iCs/>
          <w:noProof/>
          <w:sz w:val="24"/>
          <w:szCs w:val="24"/>
        </w:rPr>
        <w:t>International Journal of Auditing</w:t>
      </w:r>
      <w:r>
        <w:rPr>
          <w:rFonts w:ascii="Times New Roman" w:hAnsi="Times New Roman" w:cs="Times New Roman"/>
          <w:noProof/>
          <w:sz w:val="24"/>
          <w:szCs w:val="24"/>
        </w:rPr>
        <w:t>, Vol. 23 No. 1, pp. 20-44.</w:t>
      </w:r>
    </w:p>
    <w:p w14:paraId="16692868" w14:textId="2018ACB0" w:rsidR="00CA3FBD" w:rsidRPr="00190633" w:rsidRDefault="00190633" w:rsidP="00CA3FB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Hassan, Y. (2016), “</w:t>
      </w:r>
      <w:r w:rsidR="00CA3FBD" w:rsidRPr="0091572F">
        <w:rPr>
          <w:rFonts w:ascii="Times New Roman" w:hAnsi="Times New Roman" w:cs="Times New Roman"/>
          <w:noProof/>
          <w:sz w:val="24"/>
          <w:szCs w:val="24"/>
        </w:rPr>
        <w:t>Determinants of audit report lag: evidence from Palestine</w:t>
      </w:r>
      <w:r>
        <w:rPr>
          <w:rFonts w:ascii="Times New Roman" w:hAnsi="Times New Roman" w:cs="Times New Roman"/>
          <w:noProof/>
          <w:sz w:val="24"/>
          <w:szCs w:val="24"/>
        </w:rPr>
        <w:t xml:space="preserve">”, </w:t>
      </w:r>
      <w:r w:rsidR="00CA3FBD" w:rsidRPr="0091572F">
        <w:rPr>
          <w:rFonts w:ascii="Times New Roman" w:hAnsi="Times New Roman" w:cs="Times New Roman"/>
          <w:i/>
          <w:iCs/>
          <w:noProof/>
          <w:sz w:val="24"/>
          <w:szCs w:val="24"/>
        </w:rPr>
        <w:t>Journal of Accounting in Emerging Economies</w:t>
      </w:r>
      <w:r w:rsidR="00CA3FBD" w:rsidRPr="0091572F">
        <w:rPr>
          <w:rFonts w:ascii="Times New Roman" w:hAnsi="Times New Roman" w:cs="Times New Roman"/>
          <w:noProof/>
          <w:sz w:val="24"/>
          <w:szCs w:val="24"/>
        </w:rPr>
        <w:t>,</w:t>
      </w:r>
      <w:r w:rsidR="00CA3FBD" w:rsidRPr="00190633">
        <w:rPr>
          <w:rFonts w:ascii="Times New Roman" w:hAnsi="Times New Roman" w:cs="Times New Roman"/>
          <w:noProof/>
          <w:sz w:val="24"/>
          <w:szCs w:val="24"/>
        </w:rPr>
        <w:t xml:space="preserve">Vol. </w:t>
      </w:r>
      <w:r w:rsidR="00CA3FBD" w:rsidRPr="00190633">
        <w:rPr>
          <w:rFonts w:ascii="Times New Roman" w:hAnsi="Times New Roman" w:cs="Times New Roman"/>
          <w:iCs/>
          <w:noProof/>
          <w:sz w:val="24"/>
          <w:szCs w:val="24"/>
        </w:rPr>
        <w:t>6</w:t>
      </w:r>
      <w:r w:rsidR="00CA3FBD" w:rsidRPr="00190633">
        <w:rPr>
          <w:rFonts w:ascii="Times New Roman" w:hAnsi="Times New Roman" w:cs="Times New Roman"/>
          <w:noProof/>
          <w:sz w:val="24"/>
          <w:szCs w:val="24"/>
        </w:rPr>
        <w:t xml:space="preserve"> No.1,</w:t>
      </w:r>
      <w:r>
        <w:rPr>
          <w:rFonts w:ascii="Times New Roman" w:hAnsi="Times New Roman" w:cs="Times New Roman"/>
          <w:noProof/>
          <w:sz w:val="24"/>
          <w:szCs w:val="24"/>
        </w:rPr>
        <w:t xml:space="preserve"> pp. 13 - </w:t>
      </w:r>
      <w:r w:rsidR="00CA3FBD" w:rsidRPr="00190633">
        <w:rPr>
          <w:rFonts w:ascii="Times New Roman" w:hAnsi="Times New Roman" w:cs="Times New Roman"/>
          <w:noProof/>
          <w:sz w:val="24"/>
          <w:szCs w:val="24"/>
        </w:rPr>
        <w:t>32.</w:t>
      </w:r>
    </w:p>
    <w:p w14:paraId="5B3FD53A" w14:textId="5E6C3612" w:rsidR="00CA3FBD" w:rsidRPr="0091572F" w:rsidRDefault="00190633" w:rsidP="00CA3FB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Heckman, J. J. (1979), “</w:t>
      </w:r>
      <w:r w:rsidR="00CA3FBD" w:rsidRPr="0091572F">
        <w:rPr>
          <w:rFonts w:ascii="Times New Roman" w:hAnsi="Times New Roman" w:cs="Times New Roman"/>
          <w:noProof/>
          <w:sz w:val="24"/>
          <w:szCs w:val="24"/>
        </w:rPr>
        <w:t>Sample selection bias as a specification error</w:t>
      </w:r>
      <w:r>
        <w:rPr>
          <w:rFonts w:ascii="Times New Roman" w:hAnsi="Times New Roman" w:cs="Times New Roman"/>
          <w:noProof/>
          <w:sz w:val="24"/>
          <w:szCs w:val="24"/>
        </w:rPr>
        <w:t xml:space="preserve">”, </w:t>
      </w:r>
      <w:r w:rsidR="00695891">
        <w:rPr>
          <w:rFonts w:ascii="Times New Roman" w:hAnsi="Times New Roman" w:cs="Times New Roman"/>
          <w:i/>
          <w:noProof/>
          <w:sz w:val="24"/>
          <w:szCs w:val="24"/>
        </w:rPr>
        <w:t>Econometrica,</w:t>
      </w:r>
      <w:r w:rsidR="00CA3FBD" w:rsidRPr="00190633">
        <w:rPr>
          <w:rFonts w:ascii="Times New Roman" w:hAnsi="Times New Roman" w:cs="Times New Roman"/>
          <w:i/>
          <w:iCs/>
          <w:noProof/>
          <w:sz w:val="24"/>
          <w:szCs w:val="24"/>
        </w:rPr>
        <w:t xml:space="preserve"> </w:t>
      </w:r>
      <w:r w:rsidR="00CA3FBD" w:rsidRPr="0091572F">
        <w:rPr>
          <w:rFonts w:ascii="Times New Roman" w:hAnsi="Times New Roman" w:cs="Times New Roman"/>
          <w:i/>
          <w:iCs/>
          <w:noProof/>
          <w:sz w:val="24"/>
          <w:szCs w:val="24"/>
        </w:rPr>
        <w:t>Journal of the Econometric Society</w:t>
      </w:r>
      <w:r>
        <w:rPr>
          <w:rFonts w:ascii="Times New Roman" w:hAnsi="Times New Roman" w:cs="Times New Roman"/>
          <w:noProof/>
          <w:sz w:val="24"/>
          <w:szCs w:val="24"/>
        </w:rPr>
        <w:t xml:space="preserve">, Vol. 47 No. 1, pp. 153 - </w:t>
      </w:r>
      <w:r w:rsidR="00CA3FBD" w:rsidRPr="0091572F">
        <w:rPr>
          <w:rFonts w:ascii="Times New Roman" w:hAnsi="Times New Roman" w:cs="Times New Roman"/>
          <w:noProof/>
          <w:sz w:val="24"/>
          <w:szCs w:val="24"/>
        </w:rPr>
        <w:t>161.</w:t>
      </w:r>
    </w:p>
    <w:p w14:paraId="3AE3FBCB" w14:textId="641F47EE"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Hussin, W. N.W., Bamahros, H. M. and Shukeri, S. N. (2018), “Lead engagement partner workload, partner-client tenure and audit report</w:t>
      </w:r>
      <w:r w:rsidR="00695891">
        <w:rPr>
          <w:rFonts w:ascii="Times New Roman" w:hAnsi="Times New Roman" w:cs="Times New Roman"/>
          <w:sz w:val="24"/>
          <w:szCs w:val="24"/>
        </w:rPr>
        <w:t>ing lag: Evidence from Malaysia”</w:t>
      </w:r>
      <w:r w:rsidRPr="0091572F">
        <w:rPr>
          <w:rFonts w:ascii="Times New Roman" w:hAnsi="Times New Roman" w:cs="Times New Roman"/>
          <w:sz w:val="24"/>
          <w:szCs w:val="24"/>
        </w:rPr>
        <w:t>, </w:t>
      </w:r>
      <w:r w:rsidRPr="0091572F">
        <w:rPr>
          <w:rFonts w:ascii="Times New Roman" w:hAnsi="Times New Roman" w:cs="Times New Roman"/>
          <w:i/>
          <w:sz w:val="24"/>
          <w:szCs w:val="24"/>
        </w:rPr>
        <w:t>Managerial Auditing Journal</w:t>
      </w:r>
      <w:r w:rsidRPr="0091572F">
        <w:rPr>
          <w:rFonts w:ascii="Times New Roman" w:hAnsi="Times New Roman" w:cs="Times New Roman"/>
          <w:sz w:val="24"/>
          <w:szCs w:val="24"/>
        </w:rPr>
        <w:t>, Vol. 33 No. 3, pp. 246-266.</w:t>
      </w:r>
    </w:p>
    <w:p w14:paraId="573F7FE6"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sz w:val="24"/>
          <w:szCs w:val="24"/>
        </w:rPr>
        <w:t xml:space="preserve">Ika, S.R. and Ghazali, N. A. M. (2012), “Audit committee effectiveness and timeliness of reporting: Indonesian evidence”, </w:t>
      </w:r>
      <w:r w:rsidRPr="0091572F">
        <w:rPr>
          <w:rFonts w:ascii="Times New Roman" w:hAnsi="Times New Roman" w:cs="Times New Roman"/>
          <w:i/>
          <w:sz w:val="24"/>
          <w:szCs w:val="24"/>
        </w:rPr>
        <w:t>Managerial Auditing Journal</w:t>
      </w:r>
      <w:r w:rsidRPr="0091572F">
        <w:rPr>
          <w:rFonts w:ascii="Times New Roman" w:hAnsi="Times New Roman" w:cs="Times New Roman"/>
          <w:sz w:val="24"/>
          <w:szCs w:val="24"/>
        </w:rPr>
        <w:t>, Vol. 27 No. 4, pp. 403-424.</w:t>
      </w:r>
    </w:p>
    <w:p w14:paraId="3A1A7CA3"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 xml:space="preserve">International Accounting Standards Board (IASB) (2016), </w:t>
      </w:r>
      <w:r w:rsidRPr="00255183">
        <w:rPr>
          <w:rFonts w:ascii="Times New Roman" w:hAnsi="Times New Roman" w:cs="Times New Roman"/>
          <w:i/>
          <w:color w:val="222222"/>
          <w:sz w:val="24"/>
          <w:szCs w:val="24"/>
          <w:shd w:val="clear" w:color="auto" w:fill="FFFFFF"/>
        </w:rPr>
        <w:t>IFRS Foundation publishes the 2016 Pocket Guide to IFRS Standards</w:t>
      </w:r>
      <w:r w:rsidRPr="0091572F">
        <w:rPr>
          <w:rFonts w:ascii="Times New Roman" w:hAnsi="Times New Roman" w:cs="Times New Roman"/>
          <w:color w:val="222222"/>
          <w:sz w:val="24"/>
          <w:szCs w:val="24"/>
          <w:shd w:val="clear" w:color="auto" w:fill="FFFFFF"/>
        </w:rPr>
        <w:t>, IFRS Foundation.</w:t>
      </w:r>
    </w:p>
    <w:p w14:paraId="252C4A24"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sz w:val="24"/>
          <w:szCs w:val="24"/>
        </w:rPr>
        <w:t>Jaggi, B. and Tsui, J. (1999), “Determinants of audit report lag: further evidence from</w:t>
      </w:r>
      <w:r w:rsidRPr="0091572F">
        <w:rPr>
          <w:rFonts w:ascii="Times New Roman" w:hAnsi="Times New Roman" w:cs="Times New Roman"/>
          <w:color w:val="000000"/>
          <w:sz w:val="24"/>
          <w:szCs w:val="24"/>
        </w:rPr>
        <w:t xml:space="preserve"> </w:t>
      </w:r>
      <w:r w:rsidRPr="0091572F">
        <w:rPr>
          <w:rFonts w:ascii="Times New Roman" w:hAnsi="Times New Roman" w:cs="Times New Roman"/>
          <w:sz w:val="24"/>
          <w:szCs w:val="24"/>
        </w:rPr>
        <w:t xml:space="preserve">Hong Kong”, </w:t>
      </w:r>
      <w:r w:rsidRPr="0091572F">
        <w:rPr>
          <w:rFonts w:ascii="Times New Roman" w:hAnsi="Times New Roman" w:cs="Times New Roman"/>
          <w:i/>
          <w:sz w:val="24"/>
          <w:szCs w:val="24"/>
        </w:rPr>
        <w:t>Accounting and Business Research</w:t>
      </w:r>
      <w:r w:rsidRPr="0091572F">
        <w:rPr>
          <w:rFonts w:ascii="Times New Roman" w:hAnsi="Times New Roman" w:cs="Times New Roman"/>
          <w:sz w:val="24"/>
          <w:szCs w:val="24"/>
        </w:rPr>
        <w:t>, Vol. 30 No. 1, pp. 17-28.</w:t>
      </w:r>
    </w:p>
    <w:p w14:paraId="39A9DFE1" w14:textId="5461DB8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highlight w:val="yellow"/>
        </w:rPr>
      </w:pPr>
      <w:r w:rsidRPr="0091572F">
        <w:rPr>
          <w:rFonts w:ascii="Times New Roman" w:hAnsi="Times New Roman" w:cs="Times New Roman"/>
          <w:sz w:val="24"/>
          <w:szCs w:val="24"/>
        </w:rPr>
        <w:t>Jensen, M. C. and Meckling, W. H. (1976), “Theory of the firm: Managerial behavior, agency costs and ownership structure</w:t>
      </w:r>
      <w:r w:rsidR="00C70686">
        <w:rPr>
          <w:rFonts w:ascii="Times New Roman" w:hAnsi="Times New Roman" w:cs="Times New Roman"/>
          <w:sz w:val="24"/>
          <w:szCs w:val="24"/>
        </w:rPr>
        <w:t>”</w:t>
      </w:r>
      <w:r w:rsidRPr="0091572F">
        <w:rPr>
          <w:rFonts w:ascii="Times New Roman" w:hAnsi="Times New Roman" w:cs="Times New Roman"/>
          <w:sz w:val="24"/>
          <w:szCs w:val="24"/>
        </w:rPr>
        <w:t xml:space="preserve">, </w:t>
      </w:r>
      <w:r w:rsidRPr="0091572F">
        <w:rPr>
          <w:rFonts w:ascii="Times New Roman" w:hAnsi="Times New Roman" w:cs="Times New Roman"/>
          <w:i/>
          <w:sz w:val="24"/>
          <w:szCs w:val="24"/>
        </w:rPr>
        <w:t>Journal of Financial Economics</w:t>
      </w:r>
      <w:r w:rsidRPr="0091572F">
        <w:rPr>
          <w:rFonts w:ascii="Times New Roman" w:hAnsi="Times New Roman" w:cs="Times New Roman"/>
          <w:sz w:val="24"/>
          <w:szCs w:val="24"/>
        </w:rPr>
        <w:t>, Vol. 3 No. 4, pp. 305-360.</w:t>
      </w:r>
    </w:p>
    <w:p w14:paraId="44FE82BF" w14:textId="26A3CF32"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lang w:val="en-GB"/>
        </w:rPr>
      </w:pPr>
      <w:r w:rsidRPr="0091572F">
        <w:rPr>
          <w:rFonts w:ascii="Times New Roman" w:hAnsi="Times New Roman" w:cs="Times New Roman"/>
          <w:sz w:val="24"/>
          <w:szCs w:val="24"/>
          <w:lang w:val="en-GB"/>
        </w:rPr>
        <w:t xml:space="preserve">Kent P, Zunker </w:t>
      </w:r>
      <w:r w:rsidR="00C70686">
        <w:rPr>
          <w:rFonts w:ascii="Times New Roman" w:hAnsi="Times New Roman" w:cs="Times New Roman"/>
          <w:sz w:val="24"/>
          <w:szCs w:val="24"/>
          <w:lang w:val="en-GB"/>
        </w:rPr>
        <w:t>T. (2013), “</w:t>
      </w:r>
      <w:r w:rsidRPr="0091572F">
        <w:rPr>
          <w:rFonts w:ascii="Times New Roman" w:hAnsi="Times New Roman" w:cs="Times New Roman"/>
          <w:sz w:val="24"/>
          <w:szCs w:val="24"/>
          <w:lang w:val="en-GB"/>
        </w:rPr>
        <w:t>Attaining legitimacy by employee information in annual reports</w:t>
      </w:r>
      <w:r w:rsidR="00C70686">
        <w:rPr>
          <w:rFonts w:ascii="Times New Roman" w:hAnsi="Times New Roman" w:cs="Times New Roman"/>
          <w:sz w:val="24"/>
          <w:szCs w:val="24"/>
          <w:lang w:val="en-GB"/>
        </w:rPr>
        <w:t xml:space="preserve">”, </w:t>
      </w:r>
      <w:r w:rsidRPr="00C70686">
        <w:rPr>
          <w:rFonts w:ascii="Times New Roman" w:hAnsi="Times New Roman" w:cs="Times New Roman"/>
          <w:i/>
          <w:sz w:val="24"/>
          <w:szCs w:val="24"/>
          <w:lang w:val="en-GB"/>
        </w:rPr>
        <w:t>Accounting, Auditing and Accountability Journal</w:t>
      </w:r>
      <w:r w:rsidRPr="0091572F">
        <w:rPr>
          <w:rFonts w:ascii="Times New Roman" w:hAnsi="Times New Roman" w:cs="Times New Roman"/>
          <w:sz w:val="24"/>
          <w:szCs w:val="24"/>
          <w:lang w:val="en-GB"/>
        </w:rPr>
        <w:t>, Vol. 26 No. 7, pp. 1072-1106.</w:t>
      </w:r>
    </w:p>
    <w:p w14:paraId="72EAA237"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Khan, A., Mihret, D.G. and Muttakin, M. B. (2016), “Corporate political connections, agency costs and audit quality”, </w:t>
      </w:r>
      <w:r w:rsidRPr="0091572F">
        <w:rPr>
          <w:rFonts w:ascii="Times New Roman" w:hAnsi="Times New Roman" w:cs="Times New Roman"/>
          <w:i/>
          <w:sz w:val="24"/>
          <w:szCs w:val="24"/>
        </w:rPr>
        <w:t>International Journal of Accounting &amp; Information Management</w:t>
      </w:r>
      <w:r w:rsidRPr="0091572F">
        <w:rPr>
          <w:rFonts w:ascii="Times New Roman" w:hAnsi="Times New Roman" w:cs="Times New Roman"/>
          <w:sz w:val="24"/>
          <w:szCs w:val="24"/>
        </w:rPr>
        <w:t>, Vol. 24 No. 4, pp. 357-374.</w:t>
      </w:r>
    </w:p>
    <w:p w14:paraId="2E5E071A"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sz w:val="24"/>
          <w:szCs w:val="24"/>
        </w:rPr>
        <w:t xml:space="preserve">Lee, H-Y., Jahng, G-J. (2008), “Determinants of Audit Report Lag: Evidence from Korea - An Examination of Auditor-Related Factors”, </w:t>
      </w:r>
      <w:r w:rsidRPr="0091572F">
        <w:rPr>
          <w:rFonts w:ascii="Times New Roman" w:hAnsi="Times New Roman" w:cs="Times New Roman"/>
          <w:i/>
          <w:sz w:val="24"/>
          <w:szCs w:val="24"/>
        </w:rPr>
        <w:t>The Journal of Applied Business Research</w:t>
      </w:r>
      <w:r w:rsidRPr="0091572F">
        <w:rPr>
          <w:rFonts w:ascii="Times New Roman" w:hAnsi="Times New Roman" w:cs="Times New Roman"/>
          <w:sz w:val="24"/>
          <w:szCs w:val="24"/>
        </w:rPr>
        <w:t>, Vol. 24 No. 2, pp. 27-44.</w:t>
      </w:r>
    </w:p>
    <w:p w14:paraId="6843324E" w14:textId="2C97C148"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1572F">
        <w:rPr>
          <w:rFonts w:ascii="Times New Roman" w:hAnsi="Times New Roman" w:cs="Times New Roman"/>
          <w:noProof/>
          <w:sz w:val="24"/>
          <w:szCs w:val="24"/>
        </w:rPr>
        <w:t>Leventis, S., We</w:t>
      </w:r>
      <w:r w:rsidR="002516A5">
        <w:rPr>
          <w:rFonts w:ascii="Times New Roman" w:hAnsi="Times New Roman" w:cs="Times New Roman"/>
          <w:noProof/>
          <w:sz w:val="24"/>
          <w:szCs w:val="24"/>
        </w:rPr>
        <w:t>etman, P., Caramanis, C. (2005), “</w:t>
      </w:r>
      <w:r w:rsidRPr="0091572F">
        <w:rPr>
          <w:rFonts w:ascii="Times New Roman" w:hAnsi="Times New Roman" w:cs="Times New Roman"/>
          <w:noProof/>
          <w:sz w:val="24"/>
          <w:szCs w:val="24"/>
        </w:rPr>
        <w:t>Determinants of audit report lag: Some evidence from the Athens Stock Exchange</w:t>
      </w:r>
      <w:r w:rsidR="002516A5">
        <w:rPr>
          <w:rFonts w:ascii="Times New Roman" w:hAnsi="Times New Roman" w:cs="Times New Roman"/>
          <w:noProof/>
          <w:sz w:val="24"/>
          <w:szCs w:val="24"/>
        </w:rPr>
        <w:t xml:space="preserve">”, </w:t>
      </w:r>
      <w:r w:rsidRPr="0091572F">
        <w:rPr>
          <w:rFonts w:ascii="Times New Roman" w:hAnsi="Times New Roman" w:cs="Times New Roman"/>
          <w:i/>
          <w:iCs/>
          <w:noProof/>
          <w:sz w:val="24"/>
          <w:szCs w:val="24"/>
        </w:rPr>
        <w:t>International Journal of Auditing</w:t>
      </w:r>
      <w:r w:rsidRPr="0091572F">
        <w:rPr>
          <w:rFonts w:ascii="Times New Roman" w:hAnsi="Times New Roman" w:cs="Times New Roman"/>
          <w:noProof/>
          <w:sz w:val="24"/>
          <w:szCs w:val="24"/>
        </w:rPr>
        <w:t xml:space="preserve">, </w:t>
      </w:r>
      <w:r w:rsidRPr="00255183">
        <w:rPr>
          <w:rFonts w:ascii="Times New Roman" w:hAnsi="Times New Roman" w:cs="Times New Roman"/>
          <w:noProof/>
          <w:sz w:val="24"/>
          <w:szCs w:val="24"/>
        </w:rPr>
        <w:t xml:space="preserve">Vol. </w:t>
      </w:r>
      <w:r w:rsidRPr="00255183">
        <w:rPr>
          <w:rFonts w:ascii="Times New Roman" w:hAnsi="Times New Roman" w:cs="Times New Roman"/>
          <w:iCs/>
          <w:noProof/>
          <w:sz w:val="24"/>
          <w:szCs w:val="24"/>
        </w:rPr>
        <w:t>9</w:t>
      </w:r>
      <w:r w:rsidR="002516A5">
        <w:rPr>
          <w:rFonts w:ascii="Times New Roman" w:hAnsi="Times New Roman" w:cs="Times New Roman"/>
          <w:noProof/>
          <w:sz w:val="24"/>
          <w:szCs w:val="24"/>
        </w:rPr>
        <w:t xml:space="preserve"> No. 1, pp.45 - </w:t>
      </w:r>
      <w:r w:rsidRPr="00255183">
        <w:rPr>
          <w:rFonts w:ascii="Times New Roman" w:hAnsi="Times New Roman" w:cs="Times New Roman"/>
          <w:noProof/>
          <w:sz w:val="24"/>
          <w:szCs w:val="24"/>
        </w:rPr>
        <w:t>58.</w:t>
      </w:r>
    </w:p>
    <w:p w14:paraId="74EDCD93" w14:textId="5048CDAB"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1572F">
        <w:rPr>
          <w:rFonts w:ascii="Times New Roman" w:hAnsi="Times New Roman" w:cs="Times New Roman"/>
          <w:noProof/>
          <w:sz w:val="24"/>
          <w:szCs w:val="24"/>
        </w:rPr>
        <w:t xml:space="preserve">Meckfessel, </w:t>
      </w:r>
      <w:r>
        <w:rPr>
          <w:rFonts w:ascii="Times New Roman" w:hAnsi="Times New Roman" w:cs="Times New Roman"/>
          <w:noProof/>
          <w:sz w:val="24"/>
          <w:szCs w:val="24"/>
        </w:rPr>
        <w:t>M. D., and Sellers, D. (2017), “</w:t>
      </w:r>
      <w:r w:rsidRPr="0091572F">
        <w:rPr>
          <w:rFonts w:ascii="Times New Roman" w:hAnsi="Times New Roman" w:cs="Times New Roman"/>
          <w:noProof/>
          <w:sz w:val="24"/>
          <w:szCs w:val="24"/>
        </w:rPr>
        <w:t>The impact of Big 4 consulting on audit reporting lag and restate</w:t>
      </w:r>
      <w:r>
        <w:rPr>
          <w:rFonts w:ascii="Times New Roman" w:hAnsi="Times New Roman" w:cs="Times New Roman"/>
          <w:noProof/>
          <w:sz w:val="24"/>
          <w:szCs w:val="24"/>
        </w:rPr>
        <w:t xml:space="preserve">ments”, </w:t>
      </w:r>
      <w:r w:rsidRPr="0091572F">
        <w:rPr>
          <w:rFonts w:ascii="Times New Roman" w:hAnsi="Times New Roman" w:cs="Times New Roman"/>
          <w:i/>
          <w:iCs/>
          <w:noProof/>
          <w:sz w:val="24"/>
          <w:szCs w:val="24"/>
        </w:rPr>
        <w:t>Managerial Auditing Journal</w:t>
      </w:r>
      <w:r w:rsidRPr="0091572F">
        <w:rPr>
          <w:rFonts w:ascii="Times New Roman" w:hAnsi="Times New Roman" w:cs="Times New Roman"/>
          <w:noProof/>
          <w:sz w:val="24"/>
          <w:szCs w:val="24"/>
        </w:rPr>
        <w:t xml:space="preserve">, </w:t>
      </w:r>
      <w:r w:rsidRPr="002516A5">
        <w:rPr>
          <w:rFonts w:ascii="Times New Roman" w:hAnsi="Times New Roman" w:cs="Times New Roman"/>
          <w:noProof/>
          <w:sz w:val="24"/>
          <w:szCs w:val="24"/>
        </w:rPr>
        <w:t xml:space="preserve">Vol </w:t>
      </w:r>
      <w:r w:rsidRPr="002516A5">
        <w:rPr>
          <w:rFonts w:ascii="Times New Roman" w:hAnsi="Times New Roman" w:cs="Times New Roman"/>
          <w:iCs/>
          <w:noProof/>
          <w:sz w:val="24"/>
          <w:szCs w:val="24"/>
        </w:rPr>
        <w:t>32</w:t>
      </w:r>
      <w:r w:rsidRPr="002516A5">
        <w:rPr>
          <w:rFonts w:ascii="Times New Roman" w:hAnsi="Times New Roman" w:cs="Times New Roman"/>
          <w:noProof/>
          <w:sz w:val="24"/>
          <w:szCs w:val="24"/>
        </w:rPr>
        <w:t xml:space="preserve"> No.1,</w:t>
      </w:r>
      <w:r w:rsidR="002516A5" w:rsidRPr="002516A5">
        <w:rPr>
          <w:rFonts w:ascii="Times New Roman" w:hAnsi="Times New Roman" w:cs="Times New Roman"/>
          <w:noProof/>
          <w:sz w:val="24"/>
          <w:szCs w:val="24"/>
        </w:rPr>
        <w:t xml:space="preserve"> </w:t>
      </w:r>
      <w:r w:rsidR="002516A5">
        <w:rPr>
          <w:rFonts w:ascii="Times New Roman" w:hAnsi="Times New Roman" w:cs="Times New Roman"/>
          <w:noProof/>
          <w:sz w:val="24"/>
          <w:szCs w:val="24"/>
        </w:rPr>
        <w:t xml:space="preserve">pp. 19 - </w:t>
      </w:r>
      <w:r w:rsidRPr="002516A5">
        <w:rPr>
          <w:rFonts w:ascii="Times New Roman" w:hAnsi="Times New Roman" w:cs="Times New Roman"/>
          <w:noProof/>
          <w:sz w:val="24"/>
          <w:szCs w:val="24"/>
        </w:rPr>
        <w:t>49.</w:t>
      </w:r>
    </w:p>
    <w:p w14:paraId="61F4682D"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Mintzberg, H. (1983), </w:t>
      </w:r>
      <w:r w:rsidRPr="00255183">
        <w:rPr>
          <w:rFonts w:ascii="Times New Roman" w:hAnsi="Times New Roman" w:cs="Times New Roman"/>
          <w:i/>
          <w:sz w:val="24"/>
          <w:szCs w:val="24"/>
        </w:rPr>
        <w:t>Power In and Around Organizations</w:t>
      </w:r>
      <w:r w:rsidRPr="0091572F">
        <w:rPr>
          <w:rFonts w:ascii="Times New Roman" w:hAnsi="Times New Roman" w:cs="Times New Roman"/>
          <w:sz w:val="24"/>
          <w:szCs w:val="24"/>
        </w:rPr>
        <w:t>, Englewood Cliffs: Prentice-Hall Inc.</w:t>
      </w:r>
    </w:p>
    <w:p w14:paraId="784D7636"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Muniandy, B. (2007), “</w:t>
      </w:r>
      <w:r w:rsidRPr="0091572F">
        <w:rPr>
          <w:rFonts w:ascii="Times New Roman" w:hAnsi="Times New Roman" w:cs="Times New Roman"/>
          <w:sz w:val="24"/>
          <w:szCs w:val="24"/>
        </w:rPr>
        <w:t xml:space="preserve">CEO duality audit committee effectiveness and audit </w:t>
      </w:r>
      <w:r>
        <w:rPr>
          <w:rFonts w:ascii="Times New Roman" w:hAnsi="Times New Roman" w:cs="Times New Roman"/>
          <w:sz w:val="24"/>
          <w:szCs w:val="24"/>
        </w:rPr>
        <w:t xml:space="preserve">risks”, </w:t>
      </w:r>
      <w:r w:rsidRPr="00255183">
        <w:rPr>
          <w:rFonts w:ascii="Times New Roman" w:hAnsi="Times New Roman" w:cs="Times New Roman"/>
          <w:i/>
          <w:sz w:val="24"/>
          <w:szCs w:val="24"/>
        </w:rPr>
        <w:t>Managerial Auditing Journal,</w:t>
      </w:r>
      <w:r w:rsidRPr="0091572F">
        <w:rPr>
          <w:rFonts w:ascii="Times New Roman" w:hAnsi="Times New Roman" w:cs="Times New Roman"/>
          <w:sz w:val="24"/>
          <w:szCs w:val="24"/>
        </w:rPr>
        <w:t xml:space="preserve"> Vol. 22 No. 7, pp. 716-728.</w:t>
      </w:r>
    </w:p>
    <w:p w14:paraId="4EBCFD16"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91572F">
        <w:rPr>
          <w:rFonts w:ascii="Times New Roman" w:hAnsi="Times New Roman" w:cs="Times New Roman"/>
          <w:color w:val="000000"/>
          <w:sz w:val="24"/>
          <w:szCs w:val="24"/>
        </w:rPr>
        <w:t xml:space="preserve">Nehme, R., Assaker, G. and Khalife, R. (2015), “Dynamics of Audit Lag − Board of Directors and Audit Committees' Effect”, </w:t>
      </w:r>
      <w:r w:rsidRPr="0091572F">
        <w:rPr>
          <w:rFonts w:ascii="Times New Roman" w:hAnsi="Times New Roman" w:cs="Times New Roman"/>
          <w:i/>
          <w:color w:val="000000"/>
          <w:sz w:val="24"/>
          <w:szCs w:val="24"/>
        </w:rPr>
        <w:t>Corporate Ownership &amp; Control</w:t>
      </w:r>
      <w:r w:rsidRPr="0091572F">
        <w:rPr>
          <w:rFonts w:ascii="Times New Roman" w:hAnsi="Times New Roman" w:cs="Times New Roman"/>
          <w:color w:val="000000"/>
          <w:sz w:val="24"/>
          <w:szCs w:val="24"/>
        </w:rPr>
        <w:t>, Vol. 12 No. 3, 281-294.</w:t>
      </w:r>
    </w:p>
    <w:p w14:paraId="43461E6B"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OECD (2004), </w:t>
      </w:r>
      <w:r w:rsidRPr="00BC66EF">
        <w:rPr>
          <w:rFonts w:ascii="Times New Roman" w:hAnsi="Times New Roman" w:cs="Times New Roman"/>
          <w:i/>
          <w:sz w:val="24"/>
          <w:szCs w:val="24"/>
        </w:rPr>
        <w:t>OECD Principles of Corporate Governance</w:t>
      </w:r>
      <w:r w:rsidRPr="0091572F">
        <w:rPr>
          <w:rFonts w:ascii="Times New Roman" w:hAnsi="Times New Roman" w:cs="Times New Roman"/>
          <w:sz w:val="24"/>
          <w:szCs w:val="24"/>
        </w:rPr>
        <w:t>, OECD Publications Service, Paris, France.</w:t>
      </w:r>
    </w:p>
    <w:p w14:paraId="7409B826" w14:textId="381409CF"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 xml:space="preserve">Oussii, A. A. and Taktak, N. B. (2018), “Audit committee effectiveness and financial reporting timeliness: The case of Tunisian listed companies”, </w:t>
      </w:r>
      <w:r w:rsidRPr="00BC66EF">
        <w:rPr>
          <w:rFonts w:ascii="Times New Roman" w:hAnsi="Times New Roman" w:cs="Times New Roman"/>
          <w:i/>
          <w:color w:val="222222"/>
          <w:sz w:val="24"/>
          <w:szCs w:val="24"/>
          <w:shd w:val="clear" w:color="auto" w:fill="FFFFFF"/>
        </w:rPr>
        <w:t>African Journal of Economic and Management Studies</w:t>
      </w:r>
      <w:r w:rsidRPr="0091572F">
        <w:rPr>
          <w:rFonts w:ascii="Times New Roman" w:hAnsi="Times New Roman" w:cs="Times New Roman"/>
          <w:color w:val="222222"/>
          <w:sz w:val="24"/>
          <w:szCs w:val="24"/>
          <w:shd w:val="clear" w:color="auto" w:fill="FFFFFF"/>
        </w:rPr>
        <w:t>, Vol. 9 No.1, pp.</w:t>
      </w:r>
      <w:r w:rsidR="00BC66EF">
        <w:rPr>
          <w:rFonts w:ascii="Times New Roman" w:hAnsi="Times New Roman" w:cs="Times New Roman"/>
          <w:color w:val="222222"/>
          <w:sz w:val="24"/>
          <w:szCs w:val="24"/>
          <w:shd w:val="clear" w:color="auto" w:fill="FFFFFF"/>
        </w:rPr>
        <w:t xml:space="preserve"> </w:t>
      </w:r>
      <w:r w:rsidRPr="0091572F">
        <w:rPr>
          <w:rFonts w:ascii="Times New Roman" w:hAnsi="Times New Roman" w:cs="Times New Roman"/>
          <w:color w:val="222222"/>
          <w:sz w:val="24"/>
          <w:szCs w:val="24"/>
          <w:shd w:val="clear" w:color="auto" w:fill="FFFFFF"/>
        </w:rPr>
        <w:t>34</w:t>
      </w:r>
      <w:r w:rsidR="00BC66EF">
        <w:rPr>
          <w:rFonts w:ascii="Times New Roman" w:hAnsi="Times New Roman" w:cs="Times New Roman"/>
          <w:color w:val="222222"/>
          <w:sz w:val="24"/>
          <w:szCs w:val="24"/>
          <w:shd w:val="clear" w:color="auto" w:fill="FFFFFF"/>
        </w:rPr>
        <w:t xml:space="preserve"> </w:t>
      </w:r>
      <w:r w:rsidRPr="0091572F">
        <w:rPr>
          <w:rFonts w:ascii="Times New Roman" w:hAnsi="Times New Roman" w:cs="Times New Roman"/>
          <w:color w:val="222222"/>
          <w:sz w:val="24"/>
          <w:szCs w:val="24"/>
          <w:shd w:val="clear" w:color="auto" w:fill="FFFFFF"/>
        </w:rPr>
        <w:t>-</w:t>
      </w:r>
      <w:r w:rsidR="00BC66EF">
        <w:rPr>
          <w:rFonts w:ascii="Times New Roman" w:hAnsi="Times New Roman" w:cs="Times New Roman"/>
          <w:color w:val="222222"/>
          <w:sz w:val="24"/>
          <w:szCs w:val="24"/>
          <w:shd w:val="clear" w:color="auto" w:fill="FFFFFF"/>
        </w:rPr>
        <w:t xml:space="preserve"> </w:t>
      </w:r>
      <w:r w:rsidRPr="0091572F">
        <w:rPr>
          <w:rFonts w:ascii="Times New Roman" w:hAnsi="Times New Roman" w:cs="Times New Roman"/>
          <w:color w:val="222222"/>
          <w:sz w:val="24"/>
          <w:szCs w:val="24"/>
          <w:shd w:val="clear" w:color="auto" w:fill="FFFFFF"/>
        </w:rPr>
        <w:t>55.</w:t>
      </w:r>
    </w:p>
    <w:p w14:paraId="33EA7C5F" w14:textId="77777777"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Powell, M., and Anisc, D.  (1997), “Gender differences in risk behavior”, </w:t>
      </w:r>
      <w:r w:rsidRPr="00BC66EF">
        <w:rPr>
          <w:rFonts w:ascii="Times New Roman" w:hAnsi="Times New Roman" w:cs="Times New Roman"/>
          <w:i/>
          <w:sz w:val="24"/>
          <w:szCs w:val="24"/>
        </w:rPr>
        <w:t>Journal of Economic Psychology</w:t>
      </w:r>
      <w:r w:rsidRPr="0091572F">
        <w:rPr>
          <w:rFonts w:ascii="Times New Roman" w:hAnsi="Times New Roman" w:cs="Times New Roman"/>
          <w:sz w:val="24"/>
          <w:szCs w:val="24"/>
        </w:rPr>
        <w:t>, Vol. 18 No. 6, pp. 605-628.</w:t>
      </w:r>
    </w:p>
    <w:p w14:paraId="45B21803" w14:textId="73C92981"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Rezaei, F. M. and Mohd</w:t>
      </w:r>
      <w:r w:rsidRPr="0091572F">
        <w:rPr>
          <w:rFonts w:ascii="Cambria Math" w:hAnsi="Cambria Math" w:cs="Cambria Math"/>
          <w:color w:val="222222"/>
          <w:sz w:val="24"/>
          <w:szCs w:val="24"/>
          <w:shd w:val="clear" w:color="auto" w:fill="FFFFFF"/>
        </w:rPr>
        <w:t>‐</w:t>
      </w:r>
      <w:r w:rsidRPr="0091572F">
        <w:rPr>
          <w:rFonts w:ascii="Times New Roman" w:hAnsi="Times New Roman" w:cs="Times New Roman"/>
          <w:color w:val="222222"/>
          <w:sz w:val="24"/>
          <w:szCs w:val="24"/>
          <w:shd w:val="clear" w:color="auto" w:fill="FFFFFF"/>
        </w:rPr>
        <w:t>Saleh, N. (2018), “Audit report lag: the role of auditor type and increased competition in the audit market”</w:t>
      </w:r>
      <w:r w:rsidR="00BC66EF">
        <w:rPr>
          <w:rFonts w:ascii="Times New Roman" w:hAnsi="Times New Roman" w:cs="Times New Roman"/>
          <w:color w:val="222222"/>
          <w:sz w:val="24"/>
          <w:szCs w:val="24"/>
          <w:shd w:val="clear" w:color="auto" w:fill="FFFFFF"/>
        </w:rPr>
        <w:t>,</w:t>
      </w:r>
      <w:r w:rsidRPr="0091572F">
        <w:rPr>
          <w:rFonts w:ascii="Times New Roman" w:hAnsi="Times New Roman" w:cs="Times New Roman"/>
          <w:color w:val="222222"/>
          <w:sz w:val="24"/>
          <w:szCs w:val="24"/>
          <w:shd w:val="clear" w:color="auto" w:fill="FFFFFF"/>
        </w:rPr>
        <w:t xml:space="preserve"> </w:t>
      </w:r>
      <w:r w:rsidRPr="00BC66EF">
        <w:rPr>
          <w:rFonts w:ascii="Times New Roman" w:hAnsi="Times New Roman" w:cs="Times New Roman"/>
          <w:i/>
          <w:color w:val="222222"/>
          <w:sz w:val="24"/>
          <w:szCs w:val="24"/>
          <w:shd w:val="clear" w:color="auto" w:fill="FFFFFF"/>
        </w:rPr>
        <w:t>Accounting &amp; Finance</w:t>
      </w:r>
      <w:r w:rsidRPr="0091572F">
        <w:rPr>
          <w:rFonts w:ascii="Times New Roman" w:hAnsi="Times New Roman" w:cs="Times New Roman"/>
          <w:color w:val="222222"/>
          <w:sz w:val="24"/>
          <w:szCs w:val="24"/>
          <w:shd w:val="clear" w:color="auto" w:fill="FFFFFF"/>
        </w:rPr>
        <w:t>, Vol. 58 No. 3, pp. 885-920.</w:t>
      </w:r>
    </w:p>
    <w:p w14:paraId="5C4FFA36" w14:textId="0B0074C4" w:rsidR="00CA3FBD" w:rsidRPr="0091572F" w:rsidRDefault="00EF7A40"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Rusmin, R. and </w:t>
      </w:r>
      <w:r w:rsidR="00CA3FBD" w:rsidRPr="0091572F">
        <w:rPr>
          <w:rFonts w:ascii="Times New Roman" w:hAnsi="Times New Roman" w:cs="Times New Roman"/>
          <w:color w:val="222222"/>
          <w:sz w:val="24"/>
          <w:szCs w:val="24"/>
          <w:shd w:val="clear" w:color="auto" w:fill="FFFFFF"/>
        </w:rPr>
        <w:t xml:space="preserve">Evans, J. (2017), “Audit quality and audit report lag: case of Indonesian listed companies”, </w:t>
      </w:r>
      <w:r w:rsidR="00CA3FBD" w:rsidRPr="0091572F">
        <w:rPr>
          <w:rFonts w:ascii="Times New Roman" w:hAnsi="Times New Roman" w:cs="Times New Roman"/>
          <w:i/>
          <w:color w:val="222222"/>
          <w:sz w:val="24"/>
          <w:szCs w:val="24"/>
          <w:shd w:val="clear" w:color="auto" w:fill="FFFFFF"/>
        </w:rPr>
        <w:t>Asian Review of Accounting,</w:t>
      </w:r>
      <w:r w:rsidR="00CA3FBD" w:rsidRPr="0091572F">
        <w:rPr>
          <w:rFonts w:ascii="Times New Roman" w:hAnsi="Times New Roman" w:cs="Times New Roman"/>
          <w:color w:val="222222"/>
          <w:sz w:val="24"/>
          <w:szCs w:val="24"/>
          <w:shd w:val="clear" w:color="auto" w:fill="FFFFFF"/>
        </w:rPr>
        <w:t> Vol. 25 No. 2, pp. 191-210.</w:t>
      </w:r>
    </w:p>
    <w:p w14:paraId="033EE2A1" w14:textId="11B13F87" w:rsidR="00CA3FBD" w:rsidRPr="0091572F" w:rsidRDefault="00EF7A40"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Salleh, Z., Baatwah, S. R. and Ahmad, N. (2017), “</w:t>
      </w:r>
      <w:r w:rsidR="00CA3FBD" w:rsidRPr="0091572F">
        <w:rPr>
          <w:rFonts w:ascii="Times New Roman" w:hAnsi="Times New Roman" w:cs="Times New Roman"/>
          <w:color w:val="222222"/>
          <w:sz w:val="24"/>
          <w:szCs w:val="24"/>
          <w:shd w:val="clear" w:color="auto" w:fill="FFFFFF"/>
        </w:rPr>
        <w:t>Audit Committee Financial Expertise and Audit Report</w:t>
      </w:r>
      <w:r>
        <w:rPr>
          <w:rFonts w:ascii="Times New Roman" w:hAnsi="Times New Roman" w:cs="Times New Roman"/>
          <w:color w:val="222222"/>
          <w:sz w:val="24"/>
          <w:szCs w:val="24"/>
          <w:shd w:val="clear" w:color="auto" w:fill="FFFFFF"/>
        </w:rPr>
        <w:t xml:space="preserve"> Lag: Malaysia Further Insight”, </w:t>
      </w:r>
      <w:r w:rsidR="00CA3FBD" w:rsidRPr="00EF7A40">
        <w:rPr>
          <w:rFonts w:ascii="Times New Roman" w:hAnsi="Times New Roman" w:cs="Times New Roman"/>
          <w:i/>
          <w:color w:val="222222"/>
          <w:sz w:val="24"/>
          <w:szCs w:val="24"/>
          <w:shd w:val="clear" w:color="auto" w:fill="FFFFFF"/>
        </w:rPr>
        <w:t>Asian Journal of Accounting and Governance</w:t>
      </w:r>
      <w:r w:rsidR="00CA3FBD" w:rsidRPr="0091572F">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Vol. </w:t>
      </w:r>
      <w:r w:rsidR="00D655E0">
        <w:rPr>
          <w:rFonts w:ascii="Times New Roman" w:hAnsi="Times New Roman" w:cs="Times New Roman"/>
          <w:color w:val="222222"/>
          <w:sz w:val="24"/>
          <w:szCs w:val="24"/>
          <w:shd w:val="clear" w:color="auto" w:fill="FFFFFF"/>
        </w:rPr>
        <w:t xml:space="preserve">8 No. 1, </w:t>
      </w:r>
      <w:r>
        <w:rPr>
          <w:rFonts w:ascii="Times New Roman" w:hAnsi="Times New Roman" w:cs="Times New Roman"/>
          <w:color w:val="222222"/>
          <w:sz w:val="24"/>
          <w:szCs w:val="24"/>
          <w:shd w:val="clear" w:color="auto" w:fill="FFFFFF"/>
        </w:rPr>
        <w:t xml:space="preserve">pp. </w:t>
      </w:r>
      <w:r w:rsidR="00CA3FBD" w:rsidRPr="0091572F">
        <w:rPr>
          <w:rFonts w:ascii="Times New Roman" w:hAnsi="Times New Roman" w:cs="Times New Roman"/>
          <w:color w:val="222222"/>
          <w:sz w:val="24"/>
          <w:szCs w:val="24"/>
          <w:shd w:val="clear" w:color="auto" w:fill="FFFFFF"/>
        </w:rPr>
        <w:t>137-150.</w:t>
      </w:r>
    </w:p>
    <w:p w14:paraId="1E88FB61" w14:textId="1D3D9448"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 xml:space="preserve">Shin, I-L, Lee, H-Y., Lee, H-A. and Son, M. (2016), “How does human resource investment in internal control affect audit reporting lag?”, </w:t>
      </w:r>
      <w:r w:rsidRPr="00D655E0">
        <w:rPr>
          <w:rFonts w:ascii="Times New Roman" w:hAnsi="Times New Roman" w:cs="Times New Roman"/>
          <w:i/>
          <w:color w:val="222222"/>
          <w:sz w:val="24"/>
          <w:szCs w:val="24"/>
          <w:shd w:val="clear" w:color="auto" w:fill="FFFFFF"/>
        </w:rPr>
        <w:t>Asia-Pacific Journal of Accounting &amp; Economics</w:t>
      </w:r>
      <w:r w:rsidR="00D655E0">
        <w:rPr>
          <w:rFonts w:ascii="Times New Roman" w:hAnsi="Times New Roman" w:cs="Times New Roman"/>
          <w:color w:val="222222"/>
          <w:sz w:val="24"/>
          <w:szCs w:val="24"/>
          <w:shd w:val="clear" w:color="auto" w:fill="FFFFFF"/>
        </w:rPr>
        <w:t xml:space="preserve">, Vol. 24 Nos. 1-2, pp. 195 - </w:t>
      </w:r>
      <w:r w:rsidRPr="0091572F">
        <w:rPr>
          <w:rFonts w:ascii="Times New Roman" w:hAnsi="Times New Roman" w:cs="Times New Roman"/>
          <w:color w:val="222222"/>
          <w:sz w:val="24"/>
          <w:szCs w:val="24"/>
          <w:shd w:val="clear" w:color="auto" w:fill="FFFFFF"/>
        </w:rPr>
        <w:t>215.</w:t>
      </w:r>
    </w:p>
    <w:p w14:paraId="08207742" w14:textId="77777777"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sz w:val="24"/>
          <w:szCs w:val="24"/>
        </w:rPr>
        <w:t xml:space="preserve">Sultana, N., Singh, H. and Van der Zahn, J-L., W. M. (2015), “Audit Committee Characteristics and Audit Report Lag”, </w:t>
      </w:r>
      <w:r w:rsidRPr="0091572F">
        <w:rPr>
          <w:rFonts w:ascii="Times New Roman" w:hAnsi="Times New Roman" w:cs="Times New Roman"/>
          <w:i/>
          <w:sz w:val="24"/>
          <w:szCs w:val="24"/>
        </w:rPr>
        <w:t>International Journal of Auditing</w:t>
      </w:r>
      <w:r w:rsidRPr="0091572F">
        <w:rPr>
          <w:rFonts w:ascii="Times New Roman" w:hAnsi="Times New Roman" w:cs="Times New Roman"/>
          <w:sz w:val="24"/>
          <w:szCs w:val="24"/>
        </w:rPr>
        <w:t>, Vol. 19 No. 2, pp. 72–87.</w:t>
      </w:r>
    </w:p>
    <w:p w14:paraId="608BE03D" w14:textId="487418A4" w:rsidR="00CA3FBD" w:rsidRPr="0091572F" w:rsidRDefault="00A84D84"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Swanson, Z. </w:t>
      </w:r>
      <w:r w:rsidR="00CA3FBD" w:rsidRPr="0091572F">
        <w:rPr>
          <w:rFonts w:ascii="Times New Roman" w:hAnsi="Times New Roman" w:cs="Times New Roman"/>
          <w:color w:val="222222"/>
          <w:sz w:val="24"/>
          <w:szCs w:val="24"/>
          <w:shd w:val="clear" w:color="auto" w:fill="FFFFFF"/>
        </w:rPr>
        <w:t>and Zhang, Y. (2018)</w:t>
      </w:r>
      <w:r>
        <w:rPr>
          <w:rFonts w:ascii="Times New Roman" w:hAnsi="Times New Roman" w:cs="Times New Roman"/>
          <w:color w:val="222222"/>
          <w:sz w:val="24"/>
          <w:szCs w:val="24"/>
          <w:shd w:val="clear" w:color="auto" w:fill="FFFFFF"/>
        </w:rPr>
        <w:t>,</w:t>
      </w:r>
      <w:r w:rsidR="00CA3FBD" w:rsidRPr="0091572F">
        <w:rPr>
          <w:rFonts w:ascii="Times New Roman" w:hAnsi="Times New Roman" w:cs="Times New Roman"/>
          <w:color w:val="222222"/>
          <w:sz w:val="24"/>
          <w:szCs w:val="24"/>
          <w:shd w:val="clear" w:color="auto" w:fill="FFFFFF"/>
        </w:rPr>
        <w:t xml:space="preserve"> “Do covenant violations </w:t>
      </w:r>
      <w:r>
        <w:rPr>
          <w:rFonts w:ascii="Times New Roman" w:hAnsi="Times New Roman" w:cs="Times New Roman"/>
          <w:color w:val="222222"/>
          <w:sz w:val="24"/>
          <w:szCs w:val="24"/>
          <w:shd w:val="clear" w:color="auto" w:fill="FFFFFF"/>
        </w:rPr>
        <w:t>affect audit report timeliness?</w:t>
      </w:r>
      <w:r w:rsidR="00CA3FBD" w:rsidRPr="0091572F">
        <w:rPr>
          <w:rFonts w:ascii="Times New Roman" w:hAnsi="Times New Roman" w:cs="Times New Roman"/>
          <w:color w:val="222222"/>
          <w:sz w:val="24"/>
          <w:szCs w:val="24"/>
          <w:shd w:val="clear" w:color="auto" w:fill="FFFFFF"/>
        </w:rPr>
        <w:t>” </w:t>
      </w:r>
      <w:r w:rsidR="00CA3FBD" w:rsidRPr="00A84D84">
        <w:rPr>
          <w:rFonts w:ascii="Times New Roman" w:hAnsi="Times New Roman" w:cs="Times New Roman"/>
          <w:i/>
          <w:color w:val="222222"/>
          <w:sz w:val="24"/>
          <w:szCs w:val="24"/>
          <w:shd w:val="clear" w:color="auto" w:fill="FFFFFF"/>
        </w:rPr>
        <w:t>International Journal of Accounting, Auditing and Performance Evaluation</w:t>
      </w:r>
      <w:r w:rsidR="00CA3FBD" w:rsidRPr="0091572F">
        <w:rPr>
          <w:rFonts w:ascii="Times New Roman" w:hAnsi="Times New Roman" w:cs="Times New Roman"/>
          <w:color w:val="222222"/>
          <w:sz w:val="24"/>
          <w:szCs w:val="24"/>
          <w:shd w:val="clear" w:color="auto" w:fill="FFFFFF"/>
        </w:rPr>
        <w:t>, Vol</w:t>
      </w:r>
      <w:r>
        <w:rPr>
          <w:rFonts w:ascii="Times New Roman" w:hAnsi="Times New Roman" w:cs="Times New Roman"/>
          <w:color w:val="222222"/>
          <w:sz w:val="24"/>
          <w:szCs w:val="24"/>
          <w:shd w:val="clear" w:color="auto" w:fill="FFFFFF"/>
        </w:rPr>
        <w:t>.</w:t>
      </w:r>
      <w:r w:rsidR="00CA3FBD" w:rsidRPr="0091572F">
        <w:rPr>
          <w:rFonts w:ascii="Times New Roman" w:hAnsi="Times New Roman" w:cs="Times New Roman"/>
          <w:color w:val="222222"/>
          <w:sz w:val="24"/>
          <w:szCs w:val="24"/>
          <w:shd w:val="clear" w:color="auto" w:fill="FFFFFF"/>
        </w:rPr>
        <w:t xml:space="preserve"> 14 No.1, pp. 1-23.</w:t>
      </w:r>
    </w:p>
    <w:p w14:paraId="71266604" w14:textId="50D51A38" w:rsidR="00CA3FBD" w:rsidRPr="0091572F" w:rsidRDefault="00CA3FBD" w:rsidP="00CA3FBD">
      <w:pPr>
        <w:autoSpaceDE w:val="0"/>
        <w:autoSpaceDN w:val="0"/>
        <w:adjustRightInd w:val="0"/>
        <w:spacing w:after="0" w:line="240" w:lineRule="auto"/>
        <w:ind w:left="720" w:hanging="720"/>
        <w:jc w:val="both"/>
        <w:rPr>
          <w:rFonts w:ascii="Times New Roman" w:hAnsi="Times New Roman" w:cs="Times New Roman"/>
          <w:sz w:val="24"/>
          <w:szCs w:val="24"/>
        </w:rPr>
      </w:pPr>
      <w:r w:rsidRPr="0091572F">
        <w:rPr>
          <w:rFonts w:ascii="Times New Roman" w:hAnsi="Times New Roman" w:cs="Times New Roman"/>
          <w:sz w:val="24"/>
          <w:szCs w:val="24"/>
        </w:rPr>
        <w:t>Tauringana, V., Kyeyun</w:t>
      </w:r>
      <w:r w:rsidR="00A84D84">
        <w:rPr>
          <w:rFonts w:ascii="Times New Roman" w:hAnsi="Times New Roman" w:cs="Times New Roman"/>
          <w:sz w:val="24"/>
          <w:szCs w:val="24"/>
        </w:rPr>
        <w:t xml:space="preserve">e, M.F. and Opio, P.J. (2008), </w:t>
      </w:r>
      <w:r w:rsidRPr="00A84D84">
        <w:rPr>
          <w:rFonts w:ascii="Times New Roman" w:hAnsi="Times New Roman" w:cs="Times New Roman"/>
          <w:i/>
          <w:sz w:val="24"/>
          <w:szCs w:val="24"/>
        </w:rPr>
        <w:t>Corporate governance, dual language reporting and the timeliness of annual reports on the Nairobi Stock Exchange</w:t>
      </w:r>
      <w:r w:rsidRPr="0091572F">
        <w:rPr>
          <w:rFonts w:ascii="Times New Roman" w:hAnsi="Times New Roman" w:cs="Times New Roman"/>
          <w:sz w:val="24"/>
          <w:szCs w:val="24"/>
        </w:rPr>
        <w:t>, in Tsamenyi, M. and Uddin, S. (Eds), Research in Accounting in Emerging Economies, Corporate Governance in Less Developed and Emerging Economies, Vol. 8, Emerald, Bingley, West Yorkshire, pp. 13-37.</w:t>
      </w:r>
    </w:p>
    <w:p w14:paraId="692489D5" w14:textId="4DA1E8CB"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Turley, S. and Zaman, M. (2004), “The Corporate Governance Effects of Audit Committees”, </w:t>
      </w:r>
      <w:r w:rsidRPr="0091572F">
        <w:rPr>
          <w:rFonts w:ascii="Times New Roman" w:hAnsi="Times New Roman" w:cs="Times New Roman"/>
          <w:i/>
          <w:sz w:val="24"/>
          <w:szCs w:val="24"/>
        </w:rPr>
        <w:t>Journal of Management &amp; Governance</w:t>
      </w:r>
      <w:r w:rsidR="00A84D84">
        <w:rPr>
          <w:rFonts w:ascii="Times New Roman" w:hAnsi="Times New Roman" w:cs="Times New Roman"/>
          <w:sz w:val="24"/>
          <w:szCs w:val="24"/>
        </w:rPr>
        <w:t>, Vol. 8 No. 3, pp 305 -</w:t>
      </w:r>
      <w:r w:rsidRPr="0091572F">
        <w:rPr>
          <w:rFonts w:ascii="Times New Roman" w:hAnsi="Times New Roman" w:cs="Times New Roman"/>
          <w:sz w:val="24"/>
          <w:szCs w:val="24"/>
        </w:rPr>
        <w:t xml:space="preserve"> 332.</w:t>
      </w:r>
    </w:p>
    <w:p w14:paraId="39C89D40" w14:textId="3B347E04"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color w:val="222222"/>
          <w:sz w:val="24"/>
          <w:szCs w:val="24"/>
          <w:shd w:val="clear" w:color="auto" w:fill="FFFFFF"/>
        </w:rPr>
      </w:pPr>
      <w:r w:rsidRPr="0091572F">
        <w:rPr>
          <w:rFonts w:ascii="Times New Roman" w:hAnsi="Times New Roman" w:cs="Times New Roman"/>
          <w:color w:val="222222"/>
          <w:sz w:val="24"/>
          <w:szCs w:val="24"/>
          <w:shd w:val="clear" w:color="auto" w:fill="FFFFFF"/>
        </w:rPr>
        <w:t>Wan Hussin, W. N., Bamahros, H</w:t>
      </w:r>
      <w:r w:rsidR="00113FC8">
        <w:rPr>
          <w:rFonts w:ascii="Times New Roman" w:hAnsi="Times New Roman" w:cs="Times New Roman"/>
          <w:color w:val="222222"/>
          <w:sz w:val="24"/>
          <w:szCs w:val="24"/>
          <w:shd w:val="clear" w:color="auto" w:fill="FFFFFF"/>
        </w:rPr>
        <w:t>. M., and Shukeri, S. N. (2018), “</w:t>
      </w:r>
      <w:r w:rsidRPr="0091572F">
        <w:rPr>
          <w:rFonts w:ascii="Times New Roman" w:hAnsi="Times New Roman" w:cs="Times New Roman"/>
          <w:color w:val="222222"/>
          <w:sz w:val="24"/>
          <w:szCs w:val="24"/>
          <w:shd w:val="clear" w:color="auto" w:fill="FFFFFF"/>
        </w:rPr>
        <w:t>Lead engagement partner workload, partner-client tenure and audit reporting lag: Evidence from Malaysia</w:t>
      </w:r>
      <w:r w:rsidR="00113FC8">
        <w:rPr>
          <w:rFonts w:ascii="Times New Roman" w:hAnsi="Times New Roman" w:cs="Times New Roman"/>
          <w:color w:val="222222"/>
          <w:sz w:val="24"/>
          <w:szCs w:val="24"/>
          <w:shd w:val="clear" w:color="auto" w:fill="FFFFFF"/>
        </w:rPr>
        <w:t>”</w:t>
      </w:r>
      <w:r w:rsidR="001C3E79">
        <w:rPr>
          <w:rFonts w:ascii="Times New Roman" w:hAnsi="Times New Roman" w:cs="Times New Roman"/>
          <w:color w:val="222222"/>
          <w:sz w:val="24"/>
          <w:szCs w:val="24"/>
          <w:shd w:val="clear" w:color="auto" w:fill="FFFFFF"/>
        </w:rPr>
        <w:t xml:space="preserve">, </w:t>
      </w:r>
      <w:r w:rsidR="001C3E79" w:rsidRPr="001C3E79">
        <w:rPr>
          <w:rFonts w:ascii="Times New Roman" w:hAnsi="Times New Roman" w:cs="Times New Roman"/>
          <w:i/>
          <w:color w:val="222222"/>
          <w:sz w:val="24"/>
          <w:szCs w:val="24"/>
          <w:shd w:val="clear" w:color="auto" w:fill="FFFFFF"/>
        </w:rPr>
        <w:t>Managerial</w:t>
      </w:r>
      <w:r w:rsidRPr="00113FC8">
        <w:rPr>
          <w:rFonts w:ascii="Times New Roman" w:hAnsi="Times New Roman" w:cs="Times New Roman"/>
          <w:i/>
          <w:color w:val="222222"/>
          <w:sz w:val="24"/>
          <w:szCs w:val="24"/>
          <w:shd w:val="clear" w:color="auto" w:fill="FFFFFF"/>
        </w:rPr>
        <w:t xml:space="preserve"> Auditing Journal</w:t>
      </w:r>
      <w:r w:rsidRPr="0091572F">
        <w:rPr>
          <w:rFonts w:ascii="Times New Roman" w:hAnsi="Times New Roman" w:cs="Times New Roman"/>
          <w:color w:val="222222"/>
          <w:sz w:val="24"/>
          <w:szCs w:val="24"/>
          <w:shd w:val="clear" w:color="auto" w:fill="FFFFFF"/>
        </w:rPr>
        <w:t>, Vol</w:t>
      </w:r>
      <w:r w:rsidR="00113FC8">
        <w:rPr>
          <w:rFonts w:ascii="Times New Roman" w:hAnsi="Times New Roman" w:cs="Times New Roman"/>
          <w:color w:val="222222"/>
          <w:sz w:val="24"/>
          <w:szCs w:val="24"/>
          <w:shd w:val="clear" w:color="auto" w:fill="FFFFFF"/>
        </w:rPr>
        <w:t xml:space="preserve">. 33 No. 3, pp. 246 - </w:t>
      </w:r>
      <w:r w:rsidRPr="0091572F">
        <w:rPr>
          <w:rFonts w:ascii="Times New Roman" w:hAnsi="Times New Roman" w:cs="Times New Roman"/>
          <w:color w:val="222222"/>
          <w:sz w:val="24"/>
          <w:szCs w:val="24"/>
          <w:shd w:val="clear" w:color="auto" w:fill="FFFFFF"/>
        </w:rPr>
        <w:t>266.</w:t>
      </w:r>
    </w:p>
    <w:p w14:paraId="6045772A" w14:textId="63F97B12" w:rsidR="00CA3FBD" w:rsidRPr="0091572F" w:rsidRDefault="00CA3FBD" w:rsidP="00CA3FB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1572F">
        <w:rPr>
          <w:rFonts w:ascii="Times New Roman" w:hAnsi="Times New Roman" w:cs="Times New Roman"/>
          <w:sz w:val="24"/>
          <w:szCs w:val="24"/>
        </w:rPr>
        <w:t xml:space="preserve">Watts, R.L. and Zimmerman, J.L. (1986), </w:t>
      </w:r>
      <w:r w:rsidRPr="001C3E79">
        <w:rPr>
          <w:rFonts w:ascii="Times New Roman" w:hAnsi="Times New Roman" w:cs="Times New Roman"/>
          <w:i/>
          <w:sz w:val="24"/>
          <w:szCs w:val="24"/>
        </w:rPr>
        <w:t>Positive accounting theory</w:t>
      </w:r>
      <w:r w:rsidRPr="0091572F">
        <w:rPr>
          <w:rFonts w:ascii="Times New Roman" w:hAnsi="Times New Roman" w:cs="Times New Roman"/>
          <w:sz w:val="24"/>
          <w:szCs w:val="24"/>
        </w:rPr>
        <w:t>, Prentice-Hall</w:t>
      </w:r>
      <w:r>
        <w:rPr>
          <w:rFonts w:ascii="Times New Roman" w:hAnsi="Times New Roman" w:cs="Times New Roman"/>
          <w:sz w:val="24"/>
          <w:szCs w:val="24"/>
        </w:rPr>
        <w:t>.</w:t>
      </w:r>
    </w:p>
    <w:p w14:paraId="26B17705" w14:textId="77777777" w:rsidR="00CA3FBD" w:rsidRPr="004F538D" w:rsidRDefault="00CA3FBD" w:rsidP="00F42842">
      <w:pPr>
        <w:jc w:val="both"/>
        <w:rPr>
          <w:rFonts w:ascii="Times New Roman" w:hAnsi="Times New Roman" w:cs="Times New Roman"/>
          <w:sz w:val="24"/>
          <w:szCs w:val="24"/>
        </w:rPr>
      </w:pPr>
    </w:p>
    <w:p w14:paraId="4768ABFD" w14:textId="5C71517A" w:rsidR="00222E63" w:rsidRPr="004F538D" w:rsidRDefault="00222E63" w:rsidP="00222E63">
      <w:pPr>
        <w:autoSpaceDE w:val="0"/>
        <w:autoSpaceDN w:val="0"/>
        <w:adjustRightInd w:val="0"/>
        <w:spacing w:after="0" w:line="240" w:lineRule="auto"/>
        <w:rPr>
          <w:rFonts w:ascii="Times New Roman" w:hAnsi="Times New Roman" w:cs="Times New Roman"/>
          <w:b/>
          <w:sz w:val="24"/>
          <w:szCs w:val="24"/>
        </w:rPr>
      </w:pPr>
      <w:r w:rsidRPr="004F538D">
        <w:rPr>
          <w:rFonts w:ascii="Times New Roman" w:hAnsi="Times New Roman" w:cs="Times New Roman"/>
          <w:b/>
          <w:sz w:val="24"/>
          <w:szCs w:val="24"/>
        </w:rPr>
        <w:t>Acknowledgements</w:t>
      </w:r>
    </w:p>
    <w:p w14:paraId="14DD5D18" w14:textId="20BC335D" w:rsidR="005C0DFC" w:rsidRDefault="00222E63" w:rsidP="0045799A">
      <w:pPr>
        <w:autoSpaceDE w:val="0"/>
        <w:autoSpaceDN w:val="0"/>
        <w:adjustRightInd w:val="0"/>
        <w:spacing w:after="0" w:line="240" w:lineRule="auto"/>
        <w:jc w:val="both"/>
        <w:rPr>
          <w:rFonts w:ascii="Times New Roman" w:hAnsi="Times New Roman" w:cs="Times New Roman"/>
          <w:sz w:val="24"/>
          <w:szCs w:val="24"/>
        </w:rPr>
      </w:pPr>
      <w:r w:rsidRPr="004F538D">
        <w:rPr>
          <w:rFonts w:ascii="Times New Roman" w:hAnsi="Times New Roman" w:cs="Times New Roman"/>
          <w:sz w:val="24"/>
          <w:szCs w:val="24"/>
        </w:rPr>
        <w:t xml:space="preserve">We are grateful for the </w:t>
      </w:r>
      <w:r w:rsidR="0030673B">
        <w:rPr>
          <w:rFonts w:ascii="Times New Roman" w:hAnsi="Times New Roman" w:cs="Times New Roman"/>
          <w:sz w:val="24"/>
          <w:szCs w:val="24"/>
        </w:rPr>
        <w:t xml:space="preserve">incisive, </w:t>
      </w:r>
      <w:r w:rsidRPr="004F538D">
        <w:rPr>
          <w:rFonts w:ascii="Times New Roman" w:hAnsi="Times New Roman" w:cs="Times New Roman"/>
          <w:sz w:val="24"/>
          <w:szCs w:val="24"/>
        </w:rPr>
        <w:t xml:space="preserve">useful and value-adding feedback provided by the two anonymous reviewers </w:t>
      </w:r>
      <w:r w:rsidR="0030673B">
        <w:rPr>
          <w:rFonts w:ascii="Times New Roman" w:hAnsi="Times New Roman" w:cs="Times New Roman"/>
          <w:sz w:val="24"/>
          <w:szCs w:val="24"/>
        </w:rPr>
        <w:t>which resulted into a substantial revision of the paper</w:t>
      </w:r>
      <w:r w:rsidRPr="004F538D">
        <w:rPr>
          <w:rFonts w:ascii="Times New Roman" w:hAnsi="Times New Roman" w:cs="Times New Roman"/>
          <w:sz w:val="24"/>
          <w:szCs w:val="24"/>
        </w:rPr>
        <w:t xml:space="preserve">. </w:t>
      </w:r>
      <w:r w:rsidR="00CA320E" w:rsidRPr="004F538D">
        <w:rPr>
          <w:rFonts w:ascii="Times New Roman" w:hAnsi="Times New Roman" w:cs="Times New Roman"/>
          <w:sz w:val="24"/>
          <w:szCs w:val="24"/>
        </w:rPr>
        <w:t xml:space="preserve">We also thank the </w:t>
      </w:r>
      <w:r w:rsidR="00B46A23" w:rsidRPr="004F538D">
        <w:rPr>
          <w:rFonts w:ascii="Times New Roman" w:hAnsi="Times New Roman" w:cs="Times New Roman"/>
          <w:sz w:val="24"/>
          <w:szCs w:val="24"/>
        </w:rPr>
        <w:t xml:space="preserve">Associate </w:t>
      </w:r>
      <w:r w:rsidR="00CA320E" w:rsidRPr="004F538D">
        <w:rPr>
          <w:rFonts w:ascii="Times New Roman" w:hAnsi="Times New Roman" w:cs="Times New Roman"/>
          <w:sz w:val="24"/>
          <w:szCs w:val="24"/>
        </w:rPr>
        <w:t xml:space="preserve">Editor, Professor Musa Mangena for his </w:t>
      </w:r>
      <w:r w:rsidR="00B46A23" w:rsidRPr="004F538D">
        <w:rPr>
          <w:rFonts w:ascii="Times New Roman" w:hAnsi="Times New Roman" w:cs="Times New Roman"/>
          <w:sz w:val="24"/>
          <w:szCs w:val="24"/>
        </w:rPr>
        <w:t xml:space="preserve">useful </w:t>
      </w:r>
      <w:r w:rsidR="00CA320E" w:rsidRPr="004F538D">
        <w:rPr>
          <w:rFonts w:ascii="Times New Roman" w:hAnsi="Times New Roman" w:cs="Times New Roman"/>
          <w:sz w:val="24"/>
          <w:szCs w:val="24"/>
        </w:rPr>
        <w:t xml:space="preserve">insights on the paper. </w:t>
      </w:r>
      <w:r w:rsidR="0037484F" w:rsidRPr="004F538D">
        <w:rPr>
          <w:rFonts w:ascii="Times New Roman" w:hAnsi="Times New Roman" w:cs="Times New Roman"/>
          <w:sz w:val="24"/>
          <w:szCs w:val="24"/>
        </w:rPr>
        <w:t>W</w:t>
      </w:r>
      <w:r w:rsidR="00CA320E" w:rsidRPr="004F538D">
        <w:rPr>
          <w:rFonts w:ascii="Times New Roman" w:hAnsi="Times New Roman" w:cs="Times New Roman"/>
          <w:sz w:val="24"/>
          <w:szCs w:val="24"/>
        </w:rPr>
        <w:t xml:space="preserve">e </w:t>
      </w:r>
      <w:r w:rsidR="0030673B">
        <w:rPr>
          <w:rFonts w:ascii="Times New Roman" w:hAnsi="Times New Roman" w:cs="Times New Roman"/>
          <w:sz w:val="24"/>
          <w:szCs w:val="24"/>
        </w:rPr>
        <w:t>are grateful to</w:t>
      </w:r>
      <w:r w:rsidR="00CA320E" w:rsidRPr="004F538D">
        <w:rPr>
          <w:rFonts w:ascii="Times New Roman" w:hAnsi="Times New Roman" w:cs="Times New Roman"/>
          <w:sz w:val="24"/>
          <w:szCs w:val="24"/>
        </w:rPr>
        <w:t xml:space="preserve"> the members of Strathmore Accounting Research Group who provided useful comments.</w:t>
      </w:r>
      <w:r w:rsidR="0030673B">
        <w:rPr>
          <w:rFonts w:ascii="Times New Roman" w:hAnsi="Times New Roman" w:cs="Times New Roman"/>
          <w:sz w:val="24"/>
          <w:szCs w:val="24"/>
        </w:rPr>
        <w:t xml:space="preserve"> The usual disclaimer applies.</w:t>
      </w:r>
    </w:p>
    <w:p w14:paraId="6F0B356C" w14:textId="77777777" w:rsidR="0045799A" w:rsidRDefault="0045799A" w:rsidP="0045799A">
      <w:pPr>
        <w:autoSpaceDE w:val="0"/>
        <w:autoSpaceDN w:val="0"/>
        <w:adjustRightInd w:val="0"/>
        <w:spacing w:after="0" w:line="240" w:lineRule="auto"/>
        <w:jc w:val="both"/>
        <w:rPr>
          <w:rFonts w:ascii="Times New Roman" w:hAnsi="Times New Roman" w:cs="Times New Roman"/>
          <w:sz w:val="24"/>
          <w:szCs w:val="24"/>
        </w:rPr>
      </w:pPr>
    </w:p>
    <w:p w14:paraId="1F0FF4FE" w14:textId="77777777" w:rsidR="0045799A" w:rsidRDefault="0045799A" w:rsidP="0045799A">
      <w:pPr>
        <w:autoSpaceDE w:val="0"/>
        <w:autoSpaceDN w:val="0"/>
        <w:adjustRightInd w:val="0"/>
        <w:spacing w:after="0" w:line="240" w:lineRule="auto"/>
        <w:jc w:val="both"/>
        <w:rPr>
          <w:rFonts w:ascii="Times New Roman" w:hAnsi="Times New Roman" w:cs="Times New Roman"/>
          <w:sz w:val="24"/>
          <w:szCs w:val="24"/>
        </w:rPr>
      </w:pPr>
    </w:p>
    <w:p w14:paraId="1C0D6ABF" w14:textId="49C4D443" w:rsidR="0045799A" w:rsidRPr="0045799A" w:rsidRDefault="0045799A" w:rsidP="0045799A">
      <w:pPr>
        <w:autoSpaceDE w:val="0"/>
        <w:autoSpaceDN w:val="0"/>
        <w:adjustRightInd w:val="0"/>
        <w:spacing w:after="0" w:line="240" w:lineRule="auto"/>
        <w:jc w:val="center"/>
        <w:rPr>
          <w:rFonts w:ascii="Times New Roman" w:hAnsi="Times New Roman" w:cs="Times New Roman"/>
          <w:b/>
          <w:sz w:val="24"/>
          <w:szCs w:val="24"/>
        </w:rPr>
      </w:pPr>
      <w:r w:rsidRPr="0045799A">
        <w:rPr>
          <w:rFonts w:ascii="Times New Roman" w:hAnsi="Times New Roman" w:cs="Times New Roman"/>
          <w:b/>
          <w:sz w:val="24"/>
          <w:szCs w:val="24"/>
        </w:rPr>
        <w:t>[Insert Appendix 1 about here]</w:t>
      </w:r>
    </w:p>
    <w:sectPr w:rsidR="0045799A" w:rsidRPr="0045799A" w:rsidSect="001970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BEE1A" w14:textId="77777777" w:rsidR="00517E3A" w:rsidRDefault="00517E3A" w:rsidP="00763B16">
      <w:pPr>
        <w:spacing w:after="0" w:line="240" w:lineRule="auto"/>
      </w:pPr>
      <w:r>
        <w:separator/>
      </w:r>
    </w:p>
  </w:endnote>
  <w:endnote w:type="continuationSeparator" w:id="0">
    <w:p w14:paraId="25698E0F" w14:textId="77777777" w:rsidR="00517E3A" w:rsidRDefault="00517E3A" w:rsidP="0076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110992"/>
      <w:docPartObj>
        <w:docPartGallery w:val="Page Numbers (Bottom of Page)"/>
        <w:docPartUnique/>
      </w:docPartObj>
    </w:sdtPr>
    <w:sdtEndPr/>
    <w:sdtContent>
      <w:p w14:paraId="4F368392" w14:textId="7E685767" w:rsidR="000C39AA" w:rsidRPr="004F41E2" w:rsidRDefault="000C39AA">
        <w:pPr>
          <w:pStyle w:val="Footer"/>
          <w:jc w:val="center"/>
        </w:pPr>
        <w:r w:rsidRPr="004F41E2">
          <w:rPr>
            <w:rFonts w:cs="Times New Roman"/>
            <w:sz w:val="24"/>
          </w:rPr>
          <w:fldChar w:fldCharType="begin"/>
        </w:r>
        <w:r w:rsidRPr="004F41E2">
          <w:rPr>
            <w:rFonts w:cs="Times New Roman"/>
            <w:sz w:val="24"/>
          </w:rPr>
          <w:instrText xml:space="preserve"> PAGE   \* MERGEFORMAT </w:instrText>
        </w:r>
        <w:r w:rsidRPr="004F41E2">
          <w:rPr>
            <w:rFonts w:cs="Times New Roman"/>
            <w:sz w:val="24"/>
          </w:rPr>
          <w:fldChar w:fldCharType="separate"/>
        </w:r>
        <w:r w:rsidR="00FF16EF">
          <w:rPr>
            <w:rFonts w:cs="Times New Roman"/>
            <w:noProof/>
            <w:sz w:val="24"/>
          </w:rPr>
          <w:t>1</w:t>
        </w:r>
        <w:r w:rsidRPr="004F41E2">
          <w:rPr>
            <w:rFonts w:cs="Times New Roman"/>
            <w:sz w:val="24"/>
          </w:rPr>
          <w:fldChar w:fldCharType="end"/>
        </w:r>
      </w:p>
    </w:sdtContent>
  </w:sdt>
  <w:p w14:paraId="796244EA" w14:textId="77777777" w:rsidR="000C39AA" w:rsidRPr="004F41E2" w:rsidRDefault="000C3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D413B" w14:textId="77777777" w:rsidR="00517E3A" w:rsidRDefault="00517E3A" w:rsidP="00763B16">
      <w:pPr>
        <w:spacing w:after="0" w:line="240" w:lineRule="auto"/>
      </w:pPr>
      <w:r>
        <w:separator/>
      </w:r>
    </w:p>
  </w:footnote>
  <w:footnote w:type="continuationSeparator" w:id="0">
    <w:p w14:paraId="3F0EA835" w14:textId="77777777" w:rsidR="00517E3A" w:rsidRDefault="00517E3A" w:rsidP="00763B16">
      <w:pPr>
        <w:spacing w:after="0" w:line="240" w:lineRule="auto"/>
      </w:pPr>
      <w:r>
        <w:continuationSeparator/>
      </w:r>
    </w:p>
  </w:footnote>
  <w:footnote w:id="1">
    <w:p w14:paraId="182BF4B7" w14:textId="28719CBE"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Prior studies such as Durand (2019) and Habib, Bhuiyan and Huang (2018) have performed extensive meta-analyses on the determinants of ARD and established an array of firm-, corporate-governance-, and auditor-related factors that influence length of ARD.</w:t>
      </w:r>
    </w:p>
  </w:footnote>
  <w:footnote w:id="2">
    <w:p w14:paraId="25AC476F" w14:textId="766DD0AF" w:rsidR="000C39AA" w:rsidRPr="00920EB0" w:rsidRDefault="000C39AA" w:rsidP="001C7470">
      <w:pPr>
        <w:autoSpaceDE w:val="0"/>
        <w:autoSpaceDN w:val="0"/>
        <w:adjustRightInd w:val="0"/>
        <w:spacing w:after="0" w:line="240" w:lineRule="auto"/>
        <w:jc w:val="both"/>
        <w:rPr>
          <w:rFonts w:ascii="Times New Roman" w:hAnsi="Times New Roman" w:cs="Times New Roman"/>
          <w:sz w:val="20"/>
          <w:szCs w:val="20"/>
        </w:rPr>
      </w:pPr>
      <w:r w:rsidRPr="00920EB0">
        <w:rPr>
          <w:rStyle w:val="FootnoteReference"/>
          <w:rFonts w:ascii="Times New Roman" w:hAnsi="Times New Roman" w:cs="Times New Roman"/>
          <w:sz w:val="20"/>
          <w:szCs w:val="20"/>
        </w:rPr>
        <w:footnoteRef/>
      </w:r>
      <w:r w:rsidRPr="00920EB0">
        <w:rPr>
          <w:rStyle w:val="FootnoteReference"/>
          <w:rFonts w:ascii="Times New Roman" w:hAnsi="Times New Roman" w:cs="Times New Roman"/>
          <w:sz w:val="20"/>
          <w:szCs w:val="20"/>
        </w:rPr>
        <w:t xml:space="preserve"> </w:t>
      </w:r>
      <w:r w:rsidRPr="00920EB0">
        <w:rPr>
          <w:rFonts w:ascii="Times New Roman" w:hAnsi="Times New Roman" w:cs="Times New Roman"/>
          <w:sz w:val="20"/>
          <w:szCs w:val="20"/>
        </w:rPr>
        <w:t>Afify (2009) reports improved model reliability when corporate governance (CG) characteristics (board independence, duality of the CEO, and the existence of an AC) are considered in ARD studies. Afify (2009) recommends future studies to focus on the association between CG quality and ARD.</w:t>
      </w:r>
    </w:p>
  </w:footnote>
  <w:footnote w:id="3">
    <w:p w14:paraId="6F876324" w14:textId="1C1B80E2"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For brevity purposes, we only cite a few of the many studies examining the association between CG and audit report delay (ARD). The omitted studies, based on our extensive literature review include (Lee &amp; Jahng, 2008; Habib &amp; Bhuiyan, 2011; Ika &amp; Ghazali, 2012; Dao &amp; Pham, 2014; Singh &amp; Zahn, 2015; Nehme, Assaker &amp; Khalife, 2015; Habib, 2015; Tauringana, Kyeyune &amp; Opio, 2015; Hassan, 2016; Chan, Luo &amp; Mo, 2016; Shin, Lee, Lee &amp; Son, 2016; Alfraih, 2016; Rezaei &amp; Mohd-Saleh, 2016; Ghafran &amp; Yasmin, 2017; Rusmin &amp; Evans, 2017; Salleh, Baatwah &amp; Ahmad, 2017; Meckfessel &amp; Sellers, 2017; Durand, 2019; Habib &amp; Muhammadi, 2018; Habib, Bhuiyan &amp; Huang, 2018; Hussin, Bamahros &amp; Shukeri, 2018).</w:t>
      </w:r>
    </w:p>
  </w:footnote>
  <w:footnote w:id="4">
    <w:p w14:paraId="2A68BEAB" w14:textId="53DEEEDA"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Kenya ranks 144 out of 180 in the 2018 Corruption Perceptions Index survey by Transparency International (TI, 2018).</w:t>
      </w:r>
    </w:p>
  </w:footnote>
  <w:footnote w:id="5">
    <w:p w14:paraId="2AAAAA4E" w14:textId="1BE3D921"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Kiswahili is the second most spoken language in Africa (140 million people), after English (150 million people) and is among six rarest languages globally (</w:t>
      </w:r>
      <w:hyperlink r:id="rId1" w:history="1">
        <w:r w:rsidRPr="00920EB0">
          <w:rPr>
            <w:rStyle w:val="Hyperlink"/>
            <w:rFonts w:ascii="Times New Roman" w:hAnsi="Times New Roman" w:cs="Times New Roman"/>
          </w:rPr>
          <w:t>https://www.elearning-africa.com/eLA_Newsportal/</w:t>
        </w:r>
      </w:hyperlink>
      <w:r w:rsidRPr="00920EB0">
        <w:rPr>
          <w:rFonts w:ascii="Times New Roman" w:hAnsi="Times New Roman" w:cs="Times New Roman"/>
        </w:rPr>
        <w:t>).</w:t>
      </w:r>
    </w:p>
  </w:footnote>
  <w:footnote w:id="6">
    <w:p w14:paraId="2D1D2E65" w14:textId="10A3FF28"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Owing to the myriad of studies on the drivers of ARD</w:t>
      </w:r>
      <w:r w:rsidR="00EC5099">
        <w:rPr>
          <w:rFonts w:ascii="Times New Roman" w:hAnsi="Times New Roman" w:cs="Times New Roman"/>
        </w:rPr>
        <w:t xml:space="preserve"> spanning four decades, we focus on more recent </w:t>
      </w:r>
      <w:r w:rsidRPr="00920EB0">
        <w:rPr>
          <w:rFonts w:ascii="Times New Roman" w:hAnsi="Times New Roman" w:cs="Times New Roman"/>
        </w:rPr>
        <w:t>studies which had a bearing on CG and ARD. This resulted into a review of 27 more recent studies on the phenomenon under investigation.</w:t>
      </w:r>
    </w:p>
  </w:footnote>
  <w:footnote w:id="7">
    <w:p w14:paraId="0BDFA3E3" w14:textId="158851E0"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We note that from the reviewed literature, the adjusted R</w:t>
      </w:r>
      <w:r w:rsidRPr="00920EB0">
        <w:rPr>
          <w:rFonts w:ascii="Times New Roman" w:hAnsi="Times New Roman" w:cs="Times New Roman"/>
          <w:vertAlign w:val="superscript"/>
        </w:rPr>
        <w:t>2</w:t>
      </w:r>
      <w:r w:rsidRPr="00920EB0">
        <w:rPr>
          <w:rFonts w:ascii="Times New Roman" w:hAnsi="Times New Roman" w:cs="Times New Roman"/>
        </w:rPr>
        <w:t xml:space="preserve"> ranged from 5.6 percent to 67.27 percent, with a typical study reporting an adjusted R</w:t>
      </w:r>
      <w:r w:rsidRPr="00920EB0">
        <w:rPr>
          <w:rFonts w:ascii="Times New Roman" w:hAnsi="Times New Roman" w:cs="Times New Roman"/>
          <w:vertAlign w:val="superscript"/>
        </w:rPr>
        <w:t>2</w:t>
      </w:r>
      <w:r w:rsidRPr="00920EB0">
        <w:rPr>
          <w:rFonts w:ascii="Times New Roman" w:hAnsi="Times New Roman" w:cs="Times New Roman"/>
        </w:rPr>
        <w:t xml:space="preserve"> of 26 percent. This implies that the explanatory power of the models used could be improved.</w:t>
      </w:r>
    </w:p>
  </w:footnote>
  <w:footnote w:id="8">
    <w:p w14:paraId="4F16DF51" w14:textId="3A0731E8"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Durand (2019) argues that most ARD studies consider the most significant control variables. In this study, we analysed 31 potential control variables used by prior studies. The regression model includes 11 most relevant (not necessarily significant) variables.</w:t>
      </w:r>
    </w:p>
  </w:footnote>
  <w:footnote w:id="9">
    <w:p w14:paraId="67CEE93F" w14:textId="57D9BC79"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We note that none of the 37 CG items were dropped from the model and the VIFs were below 10, indicating that multicollinearity was not a serious problem among the variables. The model’s adjusted R</w:t>
      </w:r>
      <w:r w:rsidRPr="00920EB0">
        <w:rPr>
          <w:rFonts w:ascii="Times New Roman" w:hAnsi="Times New Roman" w:cs="Times New Roman"/>
          <w:vertAlign w:val="superscript"/>
        </w:rPr>
        <w:t>2</w:t>
      </w:r>
      <w:r w:rsidRPr="00920EB0">
        <w:rPr>
          <w:rFonts w:ascii="Times New Roman" w:hAnsi="Times New Roman" w:cs="Times New Roman"/>
        </w:rPr>
        <w:t xml:space="preserve"> was 61.1 percent. </w:t>
      </w:r>
    </w:p>
  </w:footnote>
  <w:footnote w:id="10">
    <w:p w14:paraId="15FC6D59" w14:textId="787B05A6"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We note that the company in question had obtained approval from the C</w:t>
      </w:r>
      <w:r>
        <w:rPr>
          <w:rFonts w:ascii="Times New Roman" w:hAnsi="Times New Roman" w:cs="Times New Roman"/>
        </w:rPr>
        <w:t xml:space="preserve">apital </w:t>
      </w:r>
      <w:r w:rsidRPr="00920EB0">
        <w:rPr>
          <w:rFonts w:ascii="Times New Roman" w:hAnsi="Times New Roman" w:cs="Times New Roman"/>
        </w:rPr>
        <w:t>M</w:t>
      </w:r>
      <w:r>
        <w:rPr>
          <w:rFonts w:ascii="Times New Roman" w:hAnsi="Times New Roman" w:cs="Times New Roman"/>
        </w:rPr>
        <w:t xml:space="preserve">arkets </w:t>
      </w:r>
      <w:r w:rsidRPr="00920EB0">
        <w:rPr>
          <w:rFonts w:ascii="Times New Roman" w:hAnsi="Times New Roman" w:cs="Times New Roman"/>
        </w:rPr>
        <w:t>A</w:t>
      </w:r>
      <w:r>
        <w:rPr>
          <w:rFonts w:ascii="Times New Roman" w:hAnsi="Times New Roman" w:cs="Times New Roman"/>
        </w:rPr>
        <w:t>uthority</w:t>
      </w:r>
      <w:r w:rsidRPr="00920EB0">
        <w:rPr>
          <w:rFonts w:ascii="Times New Roman" w:hAnsi="Times New Roman" w:cs="Times New Roman"/>
        </w:rPr>
        <w:t xml:space="preserve"> to delay the release of their audited financial statements. We further note that the company had issued a profit warning that its losses would widen. The delay was occasioned by a delay in the completion of </w:t>
      </w:r>
      <w:r>
        <w:rPr>
          <w:rFonts w:ascii="Times New Roman" w:hAnsi="Times New Roman" w:cs="Times New Roman"/>
        </w:rPr>
        <w:t xml:space="preserve">the </w:t>
      </w:r>
      <w:r w:rsidRPr="00920EB0">
        <w:rPr>
          <w:rFonts w:ascii="Times New Roman" w:hAnsi="Times New Roman" w:cs="Times New Roman"/>
        </w:rPr>
        <w:t>audit in a subsidiary operating unit (</w:t>
      </w:r>
      <w:hyperlink r:id="rId2" w:history="1">
        <w:r w:rsidRPr="00920EB0">
          <w:rPr>
            <w:rStyle w:val="Hyperlink"/>
            <w:rFonts w:ascii="Times New Roman" w:hAnsi="Times New Roman" w:cs="Times New Roman"/>
          </w:rPr>
          <w:t>https://www.standardmedia.co.ke/article/2001278884/transcentury-its-subsidiary-to-delay-release-of-financial-results</w:t>
        </w:r>
      </w:hyperlink>
      <w:r w:rsidRPr="00920EB0">
        <w:rPr>
          <w:rFonts w:ascii="Times New Roman" w:hAnsi="Times New Roman" w:cs="Times New Roman"/>
        </w:rPr>
        <w:t>).</w:t>
      </w:r>
    </w:p>
  </w:footnote>
  <w:footnote w:id="11">
    <w:p w14:paraId="4E0E6042" w14:textId="4A2A517C"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The skewness and Kurtosis of the variable </w:t>
      </w:r>
      <w:r w:rsidRPr="00B30B66">
        <w:rPr>
          <w:rFonts w:ascii="Times New Roman" w:hAnsi="Times New Roman" w:cs="Times New Roman"/>
          <w:i/>
        </w:rPr>
        <w:t>lnARD</w:t>
      </w:r>
      <w:r w:rsidR="00A7512E">
        <w:rPr>
          <w:rFonts w:ascii="Times New Roman" w:hAnsi="Times New Roman" w:cs="Times New Roman"/>
        </w:rPr>
        <w:t xml:space="preserve"> i</w:t>
      </w:r>
      <w:r w:rsidRPr="00920EB0">
        <w:rPr>
          <w:rFonts w:ascii="Times New Roman" w:hAnsi="Times New Roman" w:cs="Times New Roman"/>
        </w:rPr>
        <w:t>s -0.90 and 4.09 respectively.</w:t>
      </w:r>
    </w:p>
  </w:footnote>
  <w:footnote w:id="12">
    <w:p w14:paraId="0013A9F1" w14:textId="2C773759" w:rsidR="000C39AA" w:rsidRPr="00920EB0" w:rsidRDefault="000C39AA" w:rsidP="001C7470">
      <w:pPr>
        <w:pStyle w:val="FootnoteText"/>
        <w:jc w:val="both"/>
        <w:rPr>
          <w:rFonts w:ascii="Times New Roman" w:hAnsi="Times New Roman" w:cs="Times New Roman"/>
        </w:rPr>
      </w:pPr>
      <w:r w:rsidRPr="00920EB0">
        <w:rPr>
          <w:rStyle w:val="FootnoteReference"/>
          <w:rFonts w:ascii="Times New Roman" w:hAnsi="Times New Roman" w:cs="Times New Roman"/>
        </w:rPr>
        <w:footnoteRef/>
      </w:r>
      <w:r w:rsidRPr="00920EB0">
        <w:rPr>
          <w:rFonts w:ascii="Times New Roman" w:hAnsi="Times New Roman" w:cs="Times New Roman"/>
        </w:rPr>
        <w:t xml:space="preserve"> We retain ROE in the estimation model since we do not find a strong correlation between ROA and ROE (the correlation coefficient is 0.259).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1A64"/>
    <w:multiLevelType w:val="hybridMultilevel"/>
    <w:tmpl w:val="E28A53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31F2E"/>
    <w:multiLevelType w:val="hybridMultilevel"/>
    <w:tmpl w:val="BAEEF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954256"/>
    <w:multiLevelType w:val="hybridMultilevel"/>
    <w:tmpl w:val="52D8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EE6"/>
    <w:multiLevelType w:val="hybridMultilevel"/>
    <w:tmpl w:val="215E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96B34"/>
    <w:multiLevelType w:val="hybridMultilevel"/>
    <w:tmpl w:val="98544B7C"/>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D9445A"/>
    <w:multiLevelType w:val="hybridMultilevel"/>
    <w:tmpl w:val="D5FE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42FD"/>
    <w:multiLevelType w:val="hybridMultilevel"/>
    <w:tmpl w:val="2528DE8C"/>
    <w:lvl w:ilvl="0" w:tplc="110A267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D2CCA"/>
    <w:multiLevelType w:val="hybridMultilevel"/>
    <w:tmpl w:val="F7E0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06CB8"/>
    <w:multiLevelType w:val="hybridMultilevel"/>
    <w:tmpl w:val="0EDA31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187D1F"/>
    <w:multiLevelType w:val="hybridMultilevel"/>
    <w:tmpl w:val="15B8B0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DB52C0"/>
    <w:multiLevelType w:val="hybridMultilevel"/>
    <w:tmpl w:val="A710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45894"/>
    <w:multiLevelType w:val="hybridMultilevel"/>
    <w:tmpl w:val="C40EFF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C3CE8"/>
    <w:multiLevelType w:val="multilevel"/>
    <w:tmpl w:val="803A97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A42A46"/>
    <w:multiLevelType w:val="hybridMultilevel"/>
    <w:tmpl w:val="EBC2F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A57A64"/>
    <w:multiLevelType w:val="hybridMultilevel"/>
    <w:tmpl w:val="A2F8B3B4"/>
    <w:lvl w:ilvl="0" w:tplc="8A7400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896F7D"/>
    <w:multiLevelType w:val="hybridMultilevel"/>
    <w:tmpl w:val="CF0A5C8A"/>
    <w:lvl w:ilvl="0" w:tplc="00A04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67DEC"/>
    <w:multiLevelType w:val="hybridMultilevel"/>
    <w:tmpl w:val="3E546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8C76BE"/>
    <w:multiLevelType w:val="multilevel"/>
    <w:tmpl w:val="5E4C28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7C0EAE"/>
    <w:multiLevelType w:val="hybridMultilevel"/>
    <w:tmpl w:val="DD60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A06F9"/>
    <w:multiLevelType w:val="hybridMultilevel"/>
    <w:tmpl w:val="AE7445CA"/>
    <w:lvl w:ilvl="0" w:tplc="2A2E6F48">
      <w:start w:val="1"/>
      <w:numFmt w:val="lowerLetter"/>
      <w:lvlText w:val="(%1)"/>
      <w:lvlJc w:val="left"/>
      <w:pPr>
        <w:ind w:left="360" w:hanging="360"/>
      </w:pPr>
      <w:rPr>
        <w:rFonts w:eastAsia="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A4469"/>
    <w:multiLevelType w:val="hybridMultilevel"/>
    <w:tmpl w:val="686A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F1672"/>
    <w:multiLevelType w:val="hybridMultilevel"/>
    <w:tmpl w:val="854C51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A60DF"/>
    <w:multiLevelType w:val="hybridMultilevel"/>
    <w:tmpl w:val="7C1A4EB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275307"/>
    <w:multiLevelType w:val="hybridMultilevel"/>
    <w:tmpl w:val="7678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50788"/>
    <w:multiLevelType w:val="hybridMultilevel"/>
    <w:tmpl w:val="573037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15F57"/>
    <w:multiLevelType w:val="hybridMultilevel"/>
    <w:tmpl w:val="A0FE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212CD"/>
    <w:multiLevelType w:val="hybridMultilevel"/>
    <w:tmpl w:val="35FAF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E5835"/>
    <w:multiLevelType w:val="multilevel"/>
    <w:tmpl w:val="482E91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776F45"/>
    <w:multiLevelType w:val="hybridMultilevel"/>
    <w:tmpl w:val="0CE03B7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86BFE"/>
    <w:multiLevelType w:val="hybridMultilevel"/>
    <w:tmpl w:val="33245734"/>
    <w:lvl w:ilvl="0" w:tplc="D400C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44EDB"/>
    <w:multiLevelType w:val="hybridMultilevel"/>
    <w:tmpl w:val="0EDA31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DE2062"/>
    <w:multiLevelType w:val="hybridMultilevel"/>
    <w:tmpl w:val="8EF0FB50"/>
    <w:lvl w:ilvl="0" w:tplc="9F88B1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3972A5"/>
    <w:multiLevelType w:val="multilevel"/>
    <w:tmpl w:val="0D5498A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91708ED"/>
    <w:multiLevelType w:val="hybridMultilevel"/>
    <w:tmpl w:val="1D384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C37977"/>
    <w:multiLevelType w:val="hybridMultilevel"/>
    <w:tmpl w:val="CF00C7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5D121A"/>
    <w:multiLevelType w:val="multilevel"/>
    <w:tmpl w:val="33EAF870"/>
    <w:lvl w:ilvl="0">
      <w:start w:val="3"/>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36" w15:restartNumberingAfterBreak="0">
    <w:nsid w:val="60461BA7"/>
    <w:multiLevelType w:val="hybridMultilevel"/>
    <w:tmpl w:val="F6EC5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E2103C"/>
    <w:multiLevelType w:val="hybridMultilevel"/>
    <w:tmpl w:val="0CF802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F57E8"/>
    <w:multiLevelType w:val="hybridMultilevel"/>
    <w:tmpl w:val="D618011C"/>
    <w:lvl w:ilvl="0" w:tplc="A6E8B8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70491B"/>
    <w:multiLevelType w:val="hybridMultilevel"/>
    <w:tmpl w:val="A656B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333FD"/>
    <w:multiLevelType w:val="hybridMultilevel"/>
    <w:tmpl w:val="6FBAC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682B6D"/>
    <w:multiLevelType w:val="hybridMultilevel"/>
    <w:tmpl w:val="595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A7FA9"/>
    <w:multiLevelType w:val="hybridMultilevel"/>
    <w:tmpl w:val="8354C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6"/>
  </w:num>
  <w:num w:numId="3">
    <w:abstractNumId w:val="33"/>
  </w:num>
  <w:num w:numId="4">
    <w:abstractNumId w:val="32"/>
  </w:num>
  <w:num w:numId="5">
    <w:abstractNumId w:val="42"/>
  </w:num>
  <w:num w:numId="6">
    <w:abstractNumId w:val="38"/>
  </w:num>
  <w:num w:numId="7">
    <w:abstractNumId w:val="10"/>
  </w:num>
  <w:num w:numId="8">
    <w:abstractNumId w:val="6"/>
  </w:num>
  <w:num w:numId="9">
    <w:abstractNumId w:val="19"/>
  </w:num>
  <w:num w:numId="10">
    <w:abstractNumId w:val="23"/>
  </w:num>
  <w:num w:numId="11">
    <w:abstractNumId w:val="0"/>
  </w:num>
  <w:num w:numId="12">
    <w:abstractNumId w:val="31"/>
  </w:num>
  <w:num w:numId="13">
    <w:abstractNumId w:val="9"/>
  </w:num>
  <w:num w:numId="14">
    <w:abstractNumId w:val="34"/>
  </w:num>
  <w:num w:numId="15">
    <w:abstractNumId w:val="4"/>
  </w:num>
  <w:num w:numId="16">
    <w:abstractNumId w:val="20"/>
  </w:num>
  <w:num w:numId="17">
    <w:abstractNumId w:val="28"/>
  </w:num>
  <w:num w:numId="18">
    <w:abstractNumId w:val="39"/>
  </w:num>
  <w:num w:numId="19">
    <w:abstractNumId w:val="16"/>
  </w:num>
  <w:num w:numId="20">
    <w:abstractNumId w:val="29"/>
  </w:num>
  <w:num w:numId="21">
    <w:abstractNumId w:val="7"/>
  </w:num>
  <w:num w:numId="22">
    <w:abstractNumId w:val="13"/>
  </w:num>
  <w:num w:numId="23">
    <w:abstractNumId w:val="8"/>
  </w:num>
  <w:num w:numId="24">
    <w:abstractNumId w:val="35"/>
  </w:num>
  <w:num w:numId="25">
    <w:abstractNumId w:val="17"/>
  </w:num>
  <w:num w:numId="26">
    <w:abstractNumId w:val="27"/>
  </w:num>
  <w:num w:numId="27">
    <w:abstractNumId w:val="12"/>
  </w:num>
  <w:num w:numId="28">
    <w:abstractNumId w:val="2"/>
  </w:num>
  <w:num w:numId="29">
    <w:abstractNumId w:val="22"/>
  </w:num>
  <w:num w:numId="30">
    <w:abstractNumId w:val="30"/>
  </w:num>
  <w:num w:numId="31">
    <w:abstractNumId w:val="18"/>
  </w:num>
  <w:num w:numId="32">
    <w:abstractNumId w:val="15"/>
  </w:num>
  <w:num w:numId="33">
    <w:abstractNumId w:val="41"/>
  </w:num>
  <w:num w:numId="34">
    <w:abstractNumId w:val="24"/>
  </w:num>
  <w:num w:numId="35">
    <w:abstractNumId w:val="37"/>
  </w:num>
  <w:num w:numId="36">
    <w:abstractNumId w:val="21"/>
  </w:num>
  <w:num w:numId="37">
    <w:abstractNumId w:val="11"/>
  </w:num>
  <w:num w:numId="38">
    <w:abstractNumId w:val="5"/>
  </w:num>
  <w:num w:numId="39">
    <w:abstractNumId w:val="3"/>
  </w:num>
  <w:num w:numId="40">
    <w:abstractNumId w:val="14"/>
  </w:num>
  <w:num w:numId="41">
    <w:abstractNumId w:val="26"/>
  </w:num>
  <w:num w:numId="42">
    <w:abstractNumId w:val="25"/>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B16"/>
    <w:rsid w:val="00000567"/>
    <w:rsid w:val="00002598"/>
    <w:rsid w:val="000025D0"/>
    <w:rsid w:val="00003083"/>
    <w:rsid w:val="000032CE"/>
    <w:rsid w:val="000048DF"/>
    <w:rsid w:val="00004FA5"/>
    <w:rsid w:val="0000507C"/>
    <w:rsid w:val="00005B5A"/>
    <w:rsid w:val="00005E8C"/>
    <w:rsid w:val="00006C49"/>
    <w:rsid w:val="00007F46"/>
    <w:rsid w:val="00011677"/>
    <w:rsid w:val="000128E9"/>
    <w:rsid w:val="00012D56"/>
    <w:rsid w:val="000134C4"/>
    <w:rsid w:val="000140F6"/>
    <w:rsid w:val="000150F7"/>
    <w:rsid w:val="000159D5"/>
    <w:rsid w:val="000173A9"/>
    <w:rsid w:val="00017EA3"/>
    <w:rsid w:val="00020CC2"/>
    <w:rsid w:val="00021487"/>
    <w:rsid w:val="000222CF"/>
    <w:rsid w:val="00023BAE"/>
    <w:rsid w:val="000248D9"/>
    <w:rsid w:val="000263B9"/>
    <w:rsid w:val="00026FD1"/>
    <w:rsid w:val="00027C94"/>
    <w:rsid w:val="000300C4"/>
    <w:rsid w:val="00031350"/>
    <w:rsid w:val="000327E4"/>
    <w:rsid w:val="000330CD"/>
    <w:rsid w:val="00033BFC"/>
    <w:rsid w:val="00033C4C"/>
    <w:rsid w:val="000342A6"/>
    <w:rsid w:val="00034E44"/>
    <w:rsid w:val="00036F1F"/>
    <w:rsid w:val="00036FD3"/>
    <w:rsid w:val="000410A1"/>
    <w:rsid w:val="000411F6"/>
    <w:rsid w:val="00042837"/>
    <w:rsid w:val="000428C4"/>
    <w:rsid w:val="000431E9"/>
    <w:rsid w:val="00043602"/>
    <w:rsid w:val="0004480D"/>
    <w:rsid w:val="00044D9C"/>
    <w:rsid w:val="00044E5C"/>
    <w:rsid w:val="00045005"/>
    <w:rsid w:val="00046684"/>
    <w:rsid w:val="00046939"/>
    <w:rsid w:val="0004723D"/>
    <w:rsid w:val="000526E7"/>
    <w:rsid w:val="00054912"/>
    <w:rsid w:val="000549EF"/>
    <w:rsid w:val="00054E92"/>
    <w:rsid w:val="000559DB"/>
    <w:rsid w:val="00055AB9"/>
    <w:rsid w:val="00056B7B"/>
    <w:rsid w:val="00056F47"/>
    <w:rsid w:val="0005715D"/>
    <w:rsid w:val="0006024F"/>
    <w:rsid w:val="00061EF5"/>
    <w:rsid w:val="00062E77"/>
    <w:rsid w:val="00063631"/>
    <w:rsid w:val="00063F39"/>
    <w:rsid w:val="00065DDE"/>
    <w:rsid w:val="0006798A"/>
    <w:rsid w:val="000712BB"/>
    <w:rsid w:val="0007214D"/>
    <w:rsid w:val="00072290"/>
    <w:rsid w:val="00072BE5"/>
    <w:rsid w:val="00073263"/>
    <w:rsid w:val="00073823"/>
    <w:rsid w:val="00074B33"/>
    <w:rsid w:val="000753F4"/>
    <w:rsid w:val="00075CE8"/>
    <w:rsid w:val="00075D6C"/>
    <w:rsid w:val="00075F23"/>
    <w:rsid w:val="00076011"/>
    <w:rsid w:val="00077054"/>
    <w:rsid w:val="000770C5"/>
    <w:rsid w:val="00080060"/>
    <w:rsid w:val="00080370"/>
    <w:rsid w:val="000815F1"/>
    <w:rsid w:val="00082892"/>
    <w:rsid w:val="00083D10"/>
    <w:rsid w:val="00083E00"/>
    <w:rsid w:val="00084B88"/>
    <w:rsid w:val="00084E13"/>
    <w:rsid w:val="00084F95"/>
    <w:rsid w:val="00086FA9"/>
    <w:rsid w:val="00090629"/>
    <w:rsid w:val="00093829"/>
    <w:rsid w:val="00094295"/>
    <w:rsid w:val="00094880"/>
    <w:rsid w:val="00094E19"/>
    <w:rsid w:val="00095527"/>
    <w:rsid w:val="000957CC"/>
    <w:rsid w:val="00096CD1"/>
    <w:rsid w:val="00096D58"/>
    <w:rsid w:val="00097539"/>
    <w:rsid w:val="000A11DB"/>
    <w:rsid w:val="000A1902"/>
    <w:rsid w:val="000A1C4F"/>
    <w:rsid w:val="000A3E29"/>
    <w:rsid w:val="000A4426"/>
    <w:rsid w:val="000A6271"/>
    <w:rsid w:val="000A66FF"/>
    <w:rsid w:val="000B0493"/>
    <w:rsid w:val="000B105C"/>
    <w:rsid w:val="000B15E2"/>
    <w:rsid w:val="000B1802"/>
    <w:rsid w:val="000B1B39"/>
    <w:rsid w:val="000B4328"/>
    <w:rsid w:val="000B463E"/>
    <w:rsid w:val="000B6A66"/>
    <w:rsid w:val="000C07B1"/>
    <w:rsid w:val="000C1F50"/>
    <w:rsid w:val="000C2184"/>
    <w:rsid w:val="000C2C87"/>
    <w:rsid w:val="000C2E59"/>
    <w:rsid w:val="000C3793"/>
    <w:rsid w:val="000C39AA"/>
    <w:rsid w:val="000C3EB7"/>
    <w:rsid w:val="000C71F9"/>
    <w:rsid w:val="000C7608"/>
    <w:rsid w:val="000D0A45"/>
    <w:rsid w:val="000D1244"/>
    <w:rsid w:val="000D359F"/>
    <w:rsid w:val="000D3652"/>
    <w:rsid w:val="000D3E07"/>
    <w:rsid w:val="000D4016"/>
    <w:rsid w:val="000D4C33"/>
    <w:rsid w:val="000D5146"/>
    <w:rsid w:val="000D5B2F"/>
    <w:rsid w:val="000D6184"/>
    <w:rsid w:val="000D682A"/>
    <w:rsid w:val="000D69C7"/>
    <w:rsid w:val="000D730E"/>
    <w:rsid w:val="000D7334"/>
    <w:rsid w:val="000D78DF"/>
    <w:rsid w:val="000E1460"/>
    <w:rsid w:val="000E2132"/>
    <w:rsid w:val="000E2681"/>
    <w:rsid w:val="000E2697"/>
    <w:rsid w:val="000E2D2D"/>
    <w:rsid w:val="000E566B"/>
    <w:rsid w:val="000E5EE1"/>
    <w:rsid w:val="000E607E"/>
    <w:rsid w:val="000E634B"/>
    <w:rsid w:val="000E7482"/>
    <w:rsid w:val="000E78CD"/>
    <w:rsid w:val="000F06F6"/>
    <w:rsid w:val="000F0FC6"/>
    <w:rsid w:val="000F111E"/>
    <w:rsid w:val="000F2600"/>
    <w:rsid w:val="000F53AD"/>
    <w:rsid w:val="000F6A11"/>
    <w:rsid w:val="000F6D12"/>
    <w:rsid w:val="00100DCF"/>
    <w:rsid w:val="001012AD"/>
    <w:rsid w:val="001016EB"/>
    <w:rsid w:val="001031B7"/>
    <w:rsid w:val="00103378"/>
    <w:rsid w:val="00103432"/>
    <w:rsid w:val="001053B7"/>
    <w:rsid w:val="00105632"/>
    <w:rsid w:val="00106048"/>
    <w:rsid w:val="0010766F"/>
    <w:rsid w:val="00110D88"/>
    <w:rsid w:val="00110DD5"/>
    <w:rsid w:val="00111C5A"/>
    <w:rsid w:val="00113706"/>
    <w:rsid w:val="00113763"/>
    <w:rsid w:val="00113FC8"/>
    <w:rsid w:val="00114B7C"/>
    <w:rsid w:val="0011739B"/>
    <w:rsid w:val="00117E63"/>
    <w:rsid w:val="001205AA"/>
    <w:rsid w:val="0012081B"/>
    <w:rsid w:val="00120FB2"/>
    <w:rsid w:val="001225FF"/>
    <w:rsid w:val="0012333E"/>
    <w:rsid w:val="00123A16"/>
    <w:rsid w:val="00123D2F"/>
    <w:rsid w:val="00123E78"/>
    <w:rsid w:val="00126A6C"/>
    <w:rsid w:val="00130BBD"/>
    <w:rsid w:val="00130F7C"/>
    <w:rsid w:val="00131CA6"/>
    <w:rsid w:val="00131CFA"/>
    <w:rsid w:val="001320C5"/>
    <w:rsid w:val="00132AE7"/>
    <w:rsid w:val="00132F5C"/>
    <w:rsid w:val="00134AFF"/>
    <w:rsid w:val="00134DD5"/>
    <w:rsid w:val="00135776"/>
    <w:rsid w:val="001411CE"/>
    <w:rsid w:val="0014293C"/>
    <w:rsid w:val="00144BF9"/>
    <w:rsid w:val="00144E58"/>
    <w:rsid w:val="00145E41"/>
    <w:rsid w:val="00146C8E"/>
    <w:rsid w:val="001476AD"/>
    <w:rsid w:val="00150E26"/>
    <w:rsid w:val="00152630"/>
    <w:rsid w:val="00152724"/>
    <w:rsid w:val="00152DE1"/>
    <w:rsid w:val="00154EB2"/>
    <w:rsid w:val="00156C08"/>
    <w:rsid w:val="0015713F"/>
    <w:rsid w:val="00157234"/>
    <w:rsid w:val="00161B54"/>
    <w:rsid w:val="0016277A"/>
    <w:rsid w:val="00163467"/>
    <w:rsid w:val="0016427A"/>
    <w:rsid w:val="001645F4"/>
    <w:rsid w:val="0016522C"/>
    <w:rsid w:val="00165D87"/>
    <w:rsid w:val="00166C4E"/>
    <w:rsid w:val="00167353"/>
    <w:rsid w:val="001673F4"/>
    <w:rsid w:val="00167BF5"/>
    <w:rsid w:val="00167E9D"/>
    <w:rsid w:val="00170D06"/>
    <w:rsid w:val="001711C6"/>
    <w:rsid w:val="00171590"/>
    <w:rsid w:val="001717B0"/>
    <w:rsid w:val="00171A73"/>
    <w:rsid w:val="0017248A"/>
    <w:rsid w:val="001725B5"/>
    <w:rsid w:val="00173EBA"/>
    <w:rsid w:val="0017594E"/>
    <w:rsid w:val="00175F89"/>
    <w:rsid w:val="0017609F"/>
    <w:rsid w:val="001777DF"/>
    <w:rsid w:val="001803B8"/>
    <w:rsid w:val="0018053E"/>
    <w:rsid w:val="00180961"/>
    <w:rsid w:val="00180F06"/>
    <w:rsid w:val="00181657"/>
    <w:rsid w:val="001816CC"/>
    <w:rsid w:val="00185B81"/>
    <w:rsid w:val="00185D7C"/>
    <w:rsid w:val="00190633"/>
    <w:rsid w:val="00190E1F"/>
    <w:rsid w:val="001925C2"/>
    <w:rsid w:val="0019473C"/>
    <w:rsid w:val="00195844"/>
    <w:rsid w:val="0019611C"/>
    <w:rsid w:val="00196FE8"/>
    <w:rsid w:val="001970EE"/>
    <w:rsid w:val="00197385"/>
    <w:rsid w:val="001A080F"/>
    <w:rsid w:val="001A2A19"/>
    <w:rsid w:val="001A322D"/>
    <w:rsid w:val="001A61BB"/>
    <w:rsid w:val="001A639B"/>
    <w:rsid w:val="001A6429"/>
    <w:rsid w:val="001A73FC"/>
    <w:rsid w:val="001A7916"/>
    <w:rsid w:val="001B1C44"/>
    <w:rsid w:val="001B227C"/>
    <w:rsid w:val="001B27B8"/>
    <w:rsid w:val="001B2F73"/>
    <w:rsid w:val="001B4BBC"/>
    <w:rsid w:val="001B5B9A"/>
    <w:rsid w:val="001B62E8"/>
    <w:rsid w:val="001B669C"/>
    <w:rsid w:val="001B67CB"/>
    <w:rsid w:val="001B6C93"/>
    <w:rsid w:val="001C003A"/>
    <w:rsid w:val="001C06A4"/>
    <w:rsid w:val="001C194E"/>
    <w:rsid w:val="001C1E47"/>
    <w:rsid w:val="001C2DDC"/>
    <w:rsid w:val="001C3A64"/>
    <w:rsid w:val="001C3E79"/>
    <w:rsid w:val="001C5317"/>
    <w:rsid w:val="001C559B"/>
    <w:rsid w:val="001C5B43"/>
    <w:rsid w:val="001C60C8"/>
    <w:rsid w:val="001C7470"/>
    <w:rsid w:val="001C77F9"/>
    <w:rsid w:val="001C7BB9"/>
    <w:rsid w:val="001D2596"/>
    <w:rsid w:val="001D25FF"/>
    <w:rsid w:val="001D45F4"/>
    <w:rsid w:val="001D509C"/>
    <w:rsid w:val="001D77FA"/>
    <w:rsid w:val="001E1E98"/>
    <w:rsid w:val="001E219B"/>
    <w:rsid w:val="001E2540"/>
    <w:rsid w:val="001E31FE"/>
    <w:rsid w:val="001E3C4A"/>
    <w:rsid w:val="001E4810"/>
    <w:rsid w:val="001E580D"/>
    <w:rsid w:val="001E69FF"/>
    <w:rsid w:val="001E7B45"/>
    <w:rsid w:val="001F0058"/>
    <w:rsid w:val="001F053A"/>
    <w:rsid w:val="001F165A"/>
    <w:rsid w:val="001F18F9"/>
    <w:rsid w:val="001F3780"/>
    <w:rsid w:val="001F48A3"/>
    <w:rsid w:val="001F5A58"/>
    <w:rsid w:val="001F6553"/>
    <w:rsid w:val="001F7ED8"/>
    <w:rsid w:val="001F7FDD"/>
    <w:rsid w:val="00200234"/>
    <w:rsid w:val="002003C1"/>
    <w:rsid w:val="00201CDA"/>
    <w:rsid w:val="00202F28"/>
    <w:rsid w:val="00203FE2"/>
    <w:rsid w:val="00204165"/>
    <w:rsid w:val="002065A0"/>
    <w:rsid w:val="00206C0B"/>
    <w:rsid w:val="002101FF"/>
    <w:rsid w:val="00210F8F"/>
    <w:rsid w:val="0021178F"/>
    <w:rsid w:val="00211A0E"/>
    <w:rsid w:val="00211A24"/>
    <w:rsid w:val="00211D5A"/>
    <w:rsid w:val="0021232A"/>
    <w:rsid w:val="00214E5F"/>
    <w:rsid w:val="00215255"/>
    <w:rsid w:val="00215505"/>
    <w:rsid w:val="0021668F"/>
    <w:rsid w:val="00217946"/>
    <w:rsid w:val="00220A3B"/>
    <w:rsid w:val="00222734"/>
    <w:rsid w:val="002228D2"/>
    <w:rsid w:val="00222984"/>
    <w:rsid w:val="00222E63"/>
    <w:rsid w:val="00223E2A"/>
    <w:rsid w:val="002243B5"/>
    <w:rsid w:val="0022454E"/>
    <w:rsid w:val="002249C6"/>
    <w:rsid w:val="00225293"/>
    <w:rsid w:val="002255C3"/>
    <w:rsid w:val="00225848"/>
    <w:rsid w:val="00226D90"/>
    <w:rsid w:val="002303F9"/>
    <w:rsid w:val="00232964"/>
    <w:rsid w:val="00234A3E"/>
    <w:rsid w:val="00235909"/>
    <w:rsid w:val="002359C5"/>
    <w:rsid w:val="00236257"/>
    <w:rsid w:val="002368B1"/>
    <w:rsid w:val="00236A0E"/>
    <w:rsid w:val="002371DA"/>
    <w:rsid w:val="00237A86"/>
    <w:rsid w:val="002405FD"/>
    <w:rsid w:val="00240ED1"/>
    <w:rsid w:val="00240F98"/>
    <w:rsid w:val="0024110C"/>
    <w:rsid w:val="00241F14"/>
    <w:rsid w:val="00242EC8"/>
    <w:rsid w:val="00243E6C"/>
    <w:rsid w:val="00244218"/>
    <w:rsid w:val="00244299"/>
    <w:rsid w:val="00246A6F"/>
    <w:rsid w:val="00250048"/>
    <w:rsid w:val="00250513"/>
    <w:rsid w:val="00250A1D"/>
    <w:rsid w:val="002516A5"/>
    <w:rsid w:val="002520AC"/>
    <w:rsid w:val="002521E4"/>
    <w:rsid w:val="00255BF8"/>
    <w:rsid w:val="002567E2"/>
    <w:rsid w:val="00256D8E"/>
    <w:rsid w:val="00260791"/>
    <w:rsid w:val="002615B7"/>
    <w:rsid w:val="002627CD"/>
    <w:rsid w:val="002641FB"/>
    <w:rsid w:val="00264A86"/>
    <w:rsid w:val="00265188"/>
    <w:rsid w:val="00265B7A"/>
    <w:rsid w:val="00265BE7"/>
    <w:rsid w:val="00266768"/>
    <w:rsid w:val="002725D8"/>
    <w:rsid w:val="00272F47"/>
    <w:rsid w:val="002732F0"/>
    <w:rsid w:val="00273842"/>
    <w:rsid w:val="00273B58"/>
    <w:rsid w:val="00275165"/>
    <w:rsid w:val="00276061"/>
    <w:rsid w:val="002762A4"/>
    <w:rsid w:val="002765BA"/>
    <w:rsid w:val="00277044"/>
    <w:rsid w:val="00281CCE"/>
    <w:rsid w:val="00282706"/>
    <w:rsid w:val="00283BE4"/>
    <w:rsid w:val="002848E4"/>
    <w:rsid w:val="00284B91"/>
    <w:rsid w:val="0028535D"/>
    <w:rsid w:val="0028622D"/>
    <w:rsid w:val="00286543"/>
    <w:rsid w:val="00287A01"/>
    <w:rsid w:val="002917C8"/>
    <w:rsid w:val="00293C76"/>
    <w:rsid w:val="002948E3"/>
    <w:rsid w:val="0029633E"/>
    <w:rsid w:val="00296D89"/>
    <w:rsid w:val="0029789D"/>
    <w:rsid w:val="00297BEC"/>
    <w:rsid w:val="002A01F1"/>
    <w:rsid w:val="002A1C5A"/>
    <w:rsid w:val="002A1FC8"/>
    <w:rsid w:val="002A2A4C"/>
    <w:rsid w:val="002A3453"/>
    <w:rsid w:val="002A352B"/>
    <w:rsid w:val="002A6D8E"/>
    <w:rsid w:val="002A7685"/>
    <w:rsid w:val="002A7F76"/>
    <w:rsid w:val="002B108F"/>
    <w:rsid w:val="002B1F9F"/>
    <w:rsid w:val="002B26AA"/>
    <w:rsid w:val="002B2FF9"/>
    <w:rsid w:val="002B371C"/>
    <w:rsid w:val="002B4530"/>
    <w:rsid w:val="002B50D6"/>
    <w:rsid w:val="002B53A2"/>
    <w:rsid w:val="002B54BF"/>
    <w:rsid w:val="002B61DC"/>
    <w:rsid w:val="002B782D"/>
    <w:rsid w:val="002B7852"/>
    <w:rsid w:val="002C0D12"/>
    <w:rsid w:val="002C1320"/>
    <w:rsid w:val="002C1A8A"/>
    <w:rsid w:val="002C35D0"/>
    <w:rsid w:val="002C4A39"/>
    <w:rsid w:val="002C4EA6"/>
    <w:rsid w:val="002C599D"/>
    <w:rsid w:val="002C6002"/>
    <w:rsid w:val="002C6B09"/>
    <w:rsid w:val="002C70D2"/>
    <w:rsid w:val="002C78B5"/>
    <w:rsid w:val="002D0C8D"/>
    <w:rsid w:val="002D109B"/>
    <w:rsid w:val="002D3A86"/>
    <w:rsid w:val="002D448F"/>
    <w:rsid w:val="002D4D63"/>
    <w:rsid w:val="002D7018"/>
    <w:rsid w:val="002D7C80"/>
    <w:rsid w:val="002E0061"/>
    <w:rsid w:val="002E3428"/>
    <w:rsid w:val="002E34B6"/>
    <w:rsid w:val="002E4AE9"/>
    <w:rsid w:val="002E6DB2"/>
    <w:rsid w:val="002E7D23"/>
    <w:rsid w:val="002F00F4"/>
    <w:rsid w:val="002F0A41"/>
    <w:rsid w:val="002F14A1"/>
    <w:rsid w:val="002F2474"/>
    <w:rsid w:val="002F3C99"/>
    <w:rsid w:val="002F47D3"/>
    <w:rsid w:val="002F57B9"/>
    <w:rsid w:val="002F6537"/>
    <w:rsid w:val="002F6953"/>
    <w:rsid w:val="002F6DF1"/>
    <w:rsid w:val="00300311"/>
    <w:rsid w:val="00302775"/>
    <w:rsid w:val="00302A5B"/>
    <w:rsid w:val="00303872"/>
    <w:rsid w:val="00303CD8"/>
    <w:rsid w:val="003044A7"/>
    <w:rsid w:val="00304D02"/>
    <w:rsid w:val="00305E7E"/>
    <w:rsid w:val="0030673B"/>
    <w:rsid w:val="0031051A"/>
    <w:rsid w:val="00310F1D"/>
    <w:rsid w:val="00311BE2"/>
    <w:rsid w:val="003126F4"/>
    <w:rsid w:val="003131FA"/>
    <w:rsid w:val="00314535"/>
    <w:rsid w:val="00315C06"/>
    <w:rsid w:val="00315C60"/>
    <w:rsid w:val="00316362"/>
    <w:rsid w:val="003164E3"/>
    <w:rsid w:val="003169AA"/>
    <w:rsid w:val="00317ED3"/>
    <w:rsid w:val="003201BB"/>
    <w:rsid w:val="00320AEE"/>
    <w:rsid w:val="0032120F"/>
    <w:rsid w:val="0032159A"/>
    <w:rsid w:val="00321637"/>
    <w:rsid w:val="00321FA4"/>
    <w:rsid w:val="00322827"/>
    <w:rsid w:val="003237AF"/>
    <w:rsid w:val="00324BDC"/>
    <w:rsid w:val="003256D4"/>
    <w:rsid w:val="003270C7"/>
    <w:rsid w:val="003323C1"/>
    <w:rsid w:val="00333897"/>
    <w:rsid w:val="00333AA8"/>
    <w:rsid w:val="00333AFE"/>
    <w:rsid w:val="00333D85"/>
    <w:rsid w:val="00333E0E"/>
    <w:rsid w:val="00335DD3"/>
    <w:rsid w:val="00335E3A"/>
    <w:rsid w:val="00336472"/>
    <w:rsid w:val="00340177"/>
    <w:rsid w:val="003427A8"/>
    <w:rsid w:val="003439BF"/>
    <w:rsid w:val="0034409F"/>
    <w:rsid w:val="0034461C"/>
    <w:rsid w:val="00344E65"/>
    <w:rsid w:val="00345B93"/>
    <w:rsid w:val="00347210"/>
    <w:rsid w:val="00350A1F"/>
    <w:rsid w:val="003521DA"/>
    <w:rsid w:val="00353804"/>
    <w:rsid w:val="00355B60"/>
    <w:rsid w:val="00356AC8"/>
    <w:rsid w:val="0036126B"/>
    <w:rsid w:val="003617EC"/>
    <w:rsid w:val="0036191E"/>
    <w:rsid w:val="00363DFD"/>
    <w:rsid w:val="00363F0C"/>
    <w:rsid w:val="00364C52"/>
    <w:rsid w:val="00364E8F"/>
    <w:rsid w:val="00365493"/>
    <w:rsid w:val="00365E7B"/>
    <w:rsid w:val="003666C2"/>
    <w:rsid w:val="00366A8E"/>
    <w:rsid w:val="00366E96"/>
    <w:rsid w:val="00370D3C"/>
    <w:rsid w:val="0037176A"/>
    <w:rsid w:val="00371C64"/>
    <w:rsid w:val="003722FA"/>
    <w:rsid w:val="00372990"/>
    <w:rsid w:val="00372CAD"/>
    <w:rsid w:val="0037482A"/>
    <w:rsid w:val="0037484F"/>
    <w:rsid w:val="00376A8C"/>
    <w:rsid w:val="0038131D"/>
    <w:rsid w:val="003814CB"/>
    <w:rsid w:val="0038230B"/>
    <w:rsid w:val="00382C68"/>
    <w:rsid w:val="00383315"/>
    <w:rsid w:val="00384177"/>
    <w:rsid w:val="0038425B"/>
    <w:rsid w:val="00385FE5"/>
    <w:rsid w:val="003868F9"/>
    <w:rsid w:val="00387ED9"/>
    <w:rsid w:val="00390528"/>
    <w:rsid w:val="00391CE1"/>
    <w:rsid w:val="00392BDE"/>
    <w:rsid w:val="00392E2B"/>
    <w:rsid w:val="0039335D"/>
    <w:rsid w:val="003935C7"/>
    <w:rsid w:val="00394066"/>
    <w:rsid w:val="00394CB6"/>
    <w:rsid w:val="003973D4"/>
    <w:rsid w:val="003975C3"/>
    <w:rsid w:val="003A0DAE"/>
    <w:rsid w:val="003A1458"/>
    <w:rsid w:val="003A18B5"/>
    <w:rsid w:val="003A23DB"/>
    <w:rsid w:val="003A28F2"/>
    <w:rsid w:val="003A30E0"/>
    <w:rsid w:val="003A3CD9"/>
    <w:rsid w:val="003A74C1"/>
    <w:rsid w:val="003A76D3"/>
    <w:rsid w:val="003B0729"/>
    <w:rsid w:val="003B0D37"/>
    <w:rsid w:val="003B23F9"/>
    <w:rsid w:val="003B4364"/>
    <w:rsid w:val="003B4395"/>
    <w:rsid w:val="003B4A44"/>
    <w:rsid w:val="003B5193"/>
    <w:rsid w:val="003B5F53"/>
    <w:rsid w:val="003B7AF9"/>
    <w:rsid w:val="003C1AFD"/>
    <w:rsid w:val="003C2577"/>
    <w:rsid w:val="003C3E24"/>
    <w:rsid w:val="003C48A7"/>
    <w:rsid w:val="003C4A5D"/>
    <w:rsid w:val="003C63FA"/>
    <w:rsid w:val="003C6690"/>
    <w:rsid w:val="003C7045"/>
    <w:rsid w:val="003C7617"/>
    <w:rsid w:val="003C77C4"/>
    <w:rsid w:val="003D1045"/>
    <w:rsid w:val="003D1B40"/>
    <w:rsid w:val="003D3309"/>
    <w:rsid w:val="003D376B"/>
    <w:rsid w:val="003D4779"/>
    <w:rsid w:val="003D5701"/>
    <w:rsid w:val="003D63E6"/>
    <w:rsid w:val="003D6F6B"/>
    <w:rsid w:val="003D704B"/>
    <w:rsid w:val="003E008A"/>
    <w:rsid w:val="003E13E4"/>
    <w:rsid w:val="003E1D86"/>
    <w:rsid w:val="003E29E2"/>
    <w:rsid w:val="003E3490"/>
    <w:rsid w:val="003E49FF"/>
    <w:rsid w:val="003E4A48"/>
    <w:rsid w:val="003E4E37"/>
    <w:rsid w:val="003E4EC2"/>
    <w:rsid w:val="003E519A"/>
    <w:rsid w:val="003E664A"/>
    <w:rsid w:val="003E7E58"/>
    <w:rsid w:val="003F046F"/>
    <w:rsid w:val="003F1D82"/>
    <w:rsid w:val="003F1E8B"/>
    <w:rsid w:val="003F22AA"/>
    <w:rsid w:val="003F4152"/>
    <w:rsid w:val="003F464A"/>
    <w:rsid w:val="003F4B49"/>
    <w:rsid w:val="003F501D"/>
    <w:rsid w:val="003F5106"/>
    <w:rsid w:val="003F798F"/>
    <w:rsid w:val="00400C1B"/>
    <w:rsid w:val="00400EC4"/>
    <w:rsid w:val="004023C6"/>
    <w:rsid w:val="00402EFF"/>
    <w:rsid w:val="00403FBC"/>
    <w:rsid w:val="00403FF6"/>
    <w:rsid w:val="00404CF6"/>
    <w:rsid w:val="004057F8"/>
    <w:rsid w:val="004067C7"/>
    <w:rsid w:val="00410CBE"/>
    <w:rsid w:val="00410D4C"/>
    <w:rsid w:val="00411302"/>
    <w:rsid w:val="004117EF"/>
    <w:rsid w:val="004147C9"/>
    <w:rsid w:val="00414998"/>
    <w:rsid w:val="00415337"/>
    <w:rsid w:val="00415779"/>
    <w:rsid w:val="00415ED1"/>
    <w:rsid w:val="004177C7"/>
    <w:rsid w:val="00417B61"/>
    <w:rsid w:val="004209D8"/>
    <w:rsid w:val="004210A4"/>
    <w:rsid w:val="00421593"/>
    <w:rsid w:val="0042225C"/>
    <w:rsid w:val="00422E41"/>
    <w:rsid w:val="00423EBF"/>
    <w:rsid w:val="004240AD"/>
    <w:rsid w:val="00424B66"/>
    <w:rsid w:val="00425584"/>
    <w:rsid w:val="00427F8E"/>
    <w:rsid w:val="004305C8"/>
    <w:rsid w:val="00431916"/>
    <w:rsid w:val="00433258"/>
    <w:rsid w:val="00433C0E"/>
    <w:rsid w:val="00434424"/>
    <w:rsid w:val="0043634C"/>
    <w:rsid w:val="004379D3"/>
    <w:rsid w:val="004409C3"/>
    <w:rsid w:val="004414AF"/>
    <w:rsid w:val="00442EB6"/>
    <w:rsid w:val="004437E2"/>
    <w:rsid w:val="00443EE5"/>
    <w:rsid w:val="00443F99"/>
    <w:rsid w:val="0044446E"/>
    <w:rsid w:val="0044573A"/>
    <w:rsid w:val="00446E00"/>
    <w:rsid w:val="00447975"/>
    <w:rsid w:val="00450044"/>
    <w:rsid w:val="0045014F"/>
    <w:rsid w:val="00450441"/>
    <w:rsid w:val="004508C9"/>
    <w:rsid w:val="004510F4"/>
    <w:rsid w:val="004520BE"/>
    <w:rsid w:val="00453A6A"/>
    <w:rsid w:val="004544B5"/>
    <w:rsid w:val="004559F3"/>
    <w:rsid w:val="00456532"/>
    <w:rsid w:val="00456722"/>
    <w:rsid w:val="00456815"/>
    <w:rsid w:val="00456899"/>
    <w:rsid w:val="004578FC"/>
    <w:rsid w:val="0045799A"/>
    <w:rsid w:val="004579F4"/>
    <w:rsid w:val="00457BCD"/>
    <w:rsid w:val="00461FD0"/>
    <w:rsid w:val="004626B4"/>
    <w:rsid w:val="00462B04"/>
    <w:rsid w:val="00462CF8"/>
    <w:rsid w:val="00463A4F"/>
    <w:rsid w:val="00463D46"/>
    <w:rsid w:val="00465EE6"/>
    <w:rsid w:val="0046630C"/>
    <w:rsid w:val="00466840"/>
    <w:rsid w:val="00466CB9"/>
    <w:rsid w:val="00467399"/>
    <w:rsid w:val="00467DC3"/>
    <w:rsid w:val="004701DE"/>
    <w:rsid w:val="004711E9"/>
    <w:rsid w:val="004714E5"/>
    <w:rsid w:val="00471C89"/>
    <w:rsid w:val="004722ED"/>
    <w:rsid w:val="0047311F"/>
    <w:rsid w:val="004731DA"/>
    <w:rsid w:val="00473AF0"/>
    <w:rsid w:val="00473F1C"/>
    <w:rsid w:val="00474402"/>
    <w:rsid w:val="004744E9"/>
    <w:rsid w:val="0047475A"/>
    <w:rsid w:val="004760F0"/>
    <w:rsid w:val="00481AEA"/>
    <w:rsid w:val="00481F12"/>
    <w:rsid w:val="00486488"/>
    <w:rsid w:val="004872C6"/>
    <w:rsid w:val="00490B46"/>
    <w:rsid w:val="00491785"/>
    <w:rsid w:val="00491B48"/>
    <w:rsid w:val="00492561"/>
    <w:rsid w:val="00493505"/>
    <w:rsid w:val="0049368D"/>
    <w:rsid w:val="00496054"/>
    <w:rsid w:val="00496A4F"/>
    <w:rsid w:val="004A02BC"/>
    <w:rsid w:val="004A137A"/>
    <w:rsid w:val="004A14D9"/>
    <w:rsid w:val="004A1ABA"/>
    <w:rsid w:val="004A3260"/>
    <w:rsid w:val="004A3E15"/>
    <w:rsid w:val="004B0265"/>
    <w:rsid w:val="004B152A"/>
    <w:rsid w:val="004B1644"/>
    <w:rsid w:val="004B1AD6"/>
    <w:rsid w:val="004B4457"/>
    <w:rsid w:val="004B63F1"/>
    <w:rsid w:val="004C06BC"/>
    <w:rsid w:val="004C0A93"/>
    <w:rsid w:val="004C1407"/>
    <w:rsid w:val="004C1E1F"/>
    <w:rsid w:val="004C248B"/>
    <w:rsid w:val="004C508F"/>
    <w:rsid w:val="004C5A64"/>
    <w:rsid w:val="004C667B"/>
    <w:rsid w:val="004C74DB"/>
    <w:rsid w:val="004D04F5"/>
    <w:rsid w:val="004D050A"/>
    <w:rsid w:val="004D0E5D"/>
    <w:rsid w:val="004D1844"/>
    <w:rsid w:val="004D1C00"/>
    <w:rsid w:val="004D2B82"/>
    <w:rsid w:val="004D2BD4"/>
    <w:rsid w:val="004D3BB9"/>
    <w:rsid w:val="004D4EDD"/>
    <w:rsid w:val="004D4FC5"/>
    <w:rsid w:val="004D5170"/>
    <w:rsid w:val="004D66DB"/>
    <w:rsid w:val="004D70BC"/>
    <w:rsid w:val="004E0DF1"/>
    <w:rsid w:val="004E1C4B"/>
    <w:rsid w:val="004E1C55"/>
    <w:rsid w:val="004E1D52"/>
    <w:rsid w:val="004E1E7B"/>
    <w:rsid w:val="004E6072"/>
    <w:rsid w:val="004E778E"/>
    <w:rsid w:val="004F0171"/>
    <w:rsid w:val="004F290D"/>
    <w:rsid w:val="004F2995"/>
    <w:rsid w:val="004F41E2"/>
    <w:rsid w:val="004F42DB"/>
    <w:rsid w:val="004F4920"/>
    <w:rsid w:val="004F538D"/>
    <w:rsid w:val="004F5830"/>
    <w:rsid w:val="005002FD"/>
    <w:rsid w:val="00500660"/>
    <w:rsid w:val="00500970"/>
    <w:rsid w:val="00500B50"/>
    <w:rsid w:val="0050120C"/>
    <w:rsid w:val="00501774"/>
    <w:rsid w:val="00506EB2"/>
    <w:rsid w:val="00507F0F"/>
    <w:rsid w:val="0051023F"/>
    <w:rsid w:val="005109B4"/>
    <w:rsid w:val="00511325"/>
    <w:rsid w:val="005115F2"/>
    <w:rsid w:val="00511822"/>
    <w:rsid w:val="00511B93"/>
    <w:rsid w:val="00512EBA"/>
    <w:rsid w:val="00517E3A"/>
    <w:rsid w:val="00517EF4"/>
    <w:rsid w:val="005235A8"/>
    <w:rsid w:val="00525572"/>
    <w:rsid w:val="005302BD"/>
    <w:rsid w:val="005309CF"/>
    <w:rsid w:val="00531A49"/>
    <w:rsid w:val="00532354"/>
    <w:rsid w:val="005327C6"/>
    <w:rsid w:val="005353F5"/>
    <w:rsid w:val="005366C2"/>
    <w:rsid w:val="00536793"/>
    <w:rsid w:val="00537C19"/>
    <w:rsid w:val="00540A3C"/>
    <w:rsid w:val="00541758"/>
    <w:rsid w:val="00542789"/>
    <w:rsid w:val="00542FFA"/>
    <w:rsid w:val="0054420B"/>
    <w:rsid w:val="00544FE5"/>
    <w:rsid w:val="00546355"/>
    <w:rsid w:val="00546442"/>
    <w:rsid w:val="005467D4"/>
    <w:rsid w:val="005472C5"/>
    <w:rsid w:val="005521BF"/>
    <w:rsid w:val="00552B3A"/>
    <w:rsid w:val="00552C61"/>
    <w:rsid w:val="005544BF"/>
    <w:rsid w:val="005558E7"/>
    <w:rsid w:val="00555B32"/>
    <w:rsid w:val="005605AC"/>
    <w:rsid w:val="00561A9C"/>
    <w:rsid w:val="00561C21"/>
    <w:rsid w:val="00561C78"/>
    <w:rsid w:val="0056304A"/>
    <w:rsid w:val="00563197"/>
    <w:rsid w:val="00564832"/>
    <w:rsid w:val="00571739"/>
    <w:rsid w:val="00572B05"/>
    <w:rsid w:val="005731A9"/>
    <w:rsid w:val="00573BCA"/>
    <w:rsid w:val="0057502E"/>
    <w:rsid w:val="005767C5"/>
    <w:rsid w:val="00576BF7"/>
    <w:rsid w:val="00576FF5"/>
    <w:rsid w:val="00580780"/>
    <w:rsid w:val="005808A1"/>
    <w:rsid w:val="005811E5"/>
    <w:rsid w:val="005827F8"/>
    <w:rsid w:val="00582969"/>
    <w:rsid w:val="00582A04"/>
    <w:rsid w:val="00583FA6"/>
    <w:rsid w:val="005857BF"/>
    <w:rsid w:val="00585AB4"/>
    <w:rsid w:val="0058620F"/>
    <w:rsid w:val="0058671A"/>
    <w:rsid w:val="00586C74"/>
    <w:rsid w:val="00586FFF"/>
    <w:rsid w:val="00590458"/>
    <w:rsid w:val="00591AAA"/>
    <w:rsid w:val="00591CAA"/>
    <w:rsid w:val="00592ECF"/>
    <w:rsid w:val="005936EF"/>
    <w:rsid w:val="00595658"/>
    <w:rsid w:val="00596288"/>
    <w:rsid w:val="00596844"/>
    <w:rsid w:val="0059685F"/>
    <w:rsid w:val="00597372"/>
    <w:rsid w:val="00597D20"/>
    <w:rsid w:val="005A0C4A"/>
    <w:rsid w:val="005A245E"/>
    <w:rsid w:val="005A3061"/>
    <w:rsid w:val="005A3248"/>
    <w:rsid w:val="005A331E"/>
    <w:rsid w:val="005A3D74"/>
    <w:rsid w:val="005A477A"/>
    <w:rsid w:val="005A494A"/>
    <w:rsid w:val="005A4A46"/>
    <w:rsid w:val="005A7B64"/>
    <w:rsid w:val="005B1542"/>
    <w:rsid w:val="005B18C7"/>
    <w:rsid w:val="005B20A8"/>
    <w:rsid w:val="005B2FC4"/>
    <w:rsid w:val="005B3271"/>
    <w:rsid w:val="005B3283"/>
    <w:rsid w:val="005B44B0"/>
    <w:rsid w:val="005B4BB2"/>
    <w:rsid w:val="005B535F"/>
    <w:rsid w:val="005B7FDB"/>
    <w:rsid w:val="005C07EA"/>
    <w:rsid w:val="005C0C62"/>
    <w:rsid w:val="005C0DFC"/>
    <w:rsid w:val="005C1A04"/>
    <w:rsid w:val="005C2CD1"/>
    <w:rsid w:val="005C3BCE"/>
    <w:rsid w:val="005C3E9D"/>
    <w:rsid w:val="005C434F"/>
    <w:rsid w:val="005C4697"/>
    <w:rsid w:val="005C6A4D"/>
    <w:rsid w:val="005C6CA5"/>
    <w:rsid w:val="005C6FAB"/>
    <w:rsid w:val="005D0C3E"/>
    <w:rsid w:val="005D1116"/>
    <w:rsid w:val="005D17FD"/>
    <w:rsid w:val="005D3BA2"/>
    <w:rsid w:val="005D3D1F"/>
    <w:rsid w:val="005D48CA"/>
    <w:rsid w:val="005D4AA0"/>
    <w:rsid w:val="005D7820"/>
    <w:rsid w:val="005D796D"/>
    <w:rsid w:val="005D7AB6"/>
    <w:rsid w:val="005D7C82"/>
    <w:rsid w:val="005E18E7"/>
    <w:rsid w:val="005E1D51"/>
    <w:rsid w:val="005E21F3"/>
    <w:rsid w:val="005E322D"/>
    <w:rsid w:val="005E325E"/>
    <w:rsid w:val="005E347B"/>
    <w:rsid w:val="005E38CF"/>
    <w:rsid w:val="005E45E2"/>
    <w:rsid w:val="005E4865"/>
    <w:rsid w:val="005E5E57"/>
    <w:rsid w:val="005E7238"/>
    <w:rsid w:val="005E7C8D"/>
    <w:rsid w:val="005F0250"/>
    <w:rsid w:val="005F1E4D"/>
    <w:rsid w:val="005F2975"/>
    <w:rsid w:val="005F2F69"/>
    <w:rsid w:val="005F61F8"/>
    <w:rsid w:val="005F6B51"/>
    <w:rsid w:val="005F6E79"/>
    <w:rsid w:val="005F720E"/>
    <w:rsid w:val="006011B9"/>
    <w:rsid w:val="006026BF"/>
    <w:rsid w:val="00602A10"/>
    <w:rsid w:val="00602E01"/>
    <w:rsid w:val="0060450D"/>
    <w:rsid w:val="006048B6"/>
    <w:rsid w:val="006071B7"/>
    <w:rsid w:val="00607B04"/>
    <w:rsid w:val="006105E6"/>
    <w:rsid w:val="006107F2"/>
    <w:rsid w:val="00611443"/>
    <w:rsid w:val="00611452"/>
    <w:rsid w:val="006121DB"/>
    <w:rsid w:val="00612767"/>
    <w:rsid w:val="00613000"/>
    <w:rsid w:val="0061305E"/>
    <w:rsid w:val="0061358E"/>
    <w:rsid w:val="006140EA"/>
    <w:rsid w:val="006149EE"/>
    <w:rsid w:val="00615F82"/>
    <w:rsid w:val="00620590"/>
    <w:rsid w:val="0062099E"/>
    <w:rsid w:val="00620A56"/>
    <w:rsid w:val="006213AF"/>
    <w:rsid w:val="00621FDE"/>
    <w:rsid w:val="00622DE0"/>
    <w:rsid w:val="00623F62"/>
    <w:rsid w:val="0062579A"/>
    <w:rsid w:val="00625CAB"/>
    <w:rsid w:val="00626FC4"/>
    <w:rsid w:val="006270A0"/>
    <w:rsid w:val="00627A19"/>
    <w:rsid w:val="00633412"/>
    <w:rsid w:val="00634100"/>
    <w:rsid w:val="006341CB"/>
    <w:rsid w:val="00634505"/>
    <w:rsid w:val="00634B7B"/>
    <w:rsid w:val="0063650B"/>
    <w:rsid w:val="0063778C"/>
    <w:rsid w:val="00637A8B"/>
    <w:rsid w:val="00637AB6"/>
    <w:rsid w:val="006405F6"/>
    <w:rsid w:val="0064159E"/>
    <w:rsid w:val="00642775"/>
    <w:rsid w:val="00643290"/>
    <w:rsid w:val="00644322"/>
    <w:rsid w:val="00644603"/>
    <w:rsid w:val="00646268"/>
    <w:rsid w:val="00646944"/>
    <w:rsid w:val="00647148"/>
    <w:rsid w:val="00647D71"/>
    <w:rsid w:val="006506F7"/>
    <w:rsid w:val="0065135C"/>
    <w:rsid w:val="00652594"/>
    <w:rsid w:val="006539C0"/>
    <w:rsid w:val="00653BEB"/>
    <w:rsid w:val="00655B4B"/>
    <w:rsid w:val="00655ED7"/>
    <w:rsid w:val="00656628"/>
    <w:rsid w:val="0065662E"/>
    <w:rsid w:val="00657011"/>
    <w:rsid w:val="006570D8"/>
    <w:rsid w:val="0066049E"/>
    <w:rsid w:val="006611D5"/>
    <w:rsid w:val="00662168"/>
    <w:rsid w:val="006636CE"/>
    <w:rsid w:val="006637D5"/>
    <w:rsid w:val="00664756"/>
    <w:rsid w:val="006658FB"/>
    <w:rsid w:val="00666F8B"/>
    <w:rsid w:val="00667589"/>
    <w:rsid w:val="0067029E"/>
    <w:rsid w:val="00671F9F"/>
    <w:rsid w:val="0067273E"/>
    <w:rsid w:val="00673615"/>
    <w:rsid w:val="0067577B"/>
    <w:rsid w:val="00675D47"/>
    <w:rsid w:val="00677067"/>
    <w:rsid w:val="00677B00"/>
    <w:rsid w:val="00681559"/>
    <w:rsid w:val="00681AFE"/>
    <w:rsid w:val="006828C0"/>
    <w:rsid w:val="00682BFB"/>
    <w:rsid w:val="00684741"/>
    <w:rsid w:val="0068502E"/>
    <w:rsid w:val="00685717"/>
    <w:rsid w:val="0068589B"/>
    <w:rsid w:val="006859C2"/>
    <w:rsid w:val="00685B04"/>
    <w:rsid w:val="00685DBF"/>
    <w:rsid w:val="0069017F"/>
    <w:rsid w:val="006901BE"/>
    <w:rsid w:val="00690DBF"/>
    <w:rsid w:val="0069117A"/>
    <w:rsid w:val="0069173A"/>
    <w:rsid w:val="00691780"/>
    <w:rsid w:val="006925B8"/>
    <w:rsid w:val="006925D9"/>
    <w:rsid w:val="0069267B"/>
    <w:rsid w:val="00692C1C"/>
    <w:rsid w:val="00693174"/>
    <w:rsid w:val="006936CA"/>
    <w:rsid w:val="00695702"/>
    <w:rsid w:val="00695891"/>
    <w:rsid w:val="006967C4"/>
    <w:rsid w:val="00696AA4"/>
    <w:rsid w:val="006970C0"/>
    <w:rsid w:val="0069785A"/>
    <w:rsid w:val="006A0635"/>
    <w:rsid w:val="006A09DB"/>
    <w:rsid w:val="006A0CF5"/>
    <w:rsid w:val="006A14E1"/>
    <w:rsid w:val="006A29A4"/>
    <w:rsid w:val="006A2C3E"/>
    <w:rsid w:val="006A2F11"/>
    <w:rsid w:val="006A3305"/>
    <w:rsid w:val="006A3803"/>
    <w:rsid w:val="006A42EF"/>
    <w:rsid w:val="006A4A9F"/>
    <w:rsid w:val="006A5AEC"/>
    <w:rsid w:val="006A6172"/>
    <w:rsid w:val="006B161D"/>
    <w:rsid w:val="006B2470"/>
    <w:rsid w:val="006B2499"/>
    <w:rsid w:val="006B275A"/>
    <w:rsid w:val="006B295B"/>
    <w:rsid w:val="006B44FA"/>
    <w:rsid w:val="006B484D"/>
    <w:rsid w:val="006B531B"/>
    <w:rsid w:val="006B53D7"/>
    <w:rsid w:val="006B54E3"/>
    <w:rsid w:val="006B6809"/>
    <w:rsid w:val="006B6FFD"/>
    <w:rsid w:val="006C1426"/>
    <w:rsid w:val="006C27D8"/>
    <w:rsid w:val="006C2EC1"/>
    <w:rsid w:val="006C39C6"/>
    <w:rsid w:val="006C3D1E"/>
    <w:rsid w:val="006C5B81"/>
    <w:rsid w:val="006C5E7A"/>
    <w:rsid w:val="006C63FE"/>
    <w:rsid w:val="006C6636"/>
    <w:rsid w:val="006D218B"/>
    <w:rsid w:val="006D24C5"/>
    <w:rsid w:val="006D2B4C"/>
    <w:rsid w:val="006D49E3"/>
    <w:rsid w:val="006D56C2"/>
    <w:rsid w:val="006D5D1D"/>
    <w:rsid w:val="006D6270"/>
    <w:rsid w:val="006E34DA"/>
    <w:rsid w:val="006E4C8C"/>
    <w:rsid w:val="006E567C"/>
    <w:rsid w:val="006E65A8"/>
    <w:rsid w:val="006F058F"/>
    <w:rsid w:val="006F214D"/>
    <w:rsid w:val="006F3885"/>
    <w:rsid w:val="006F572B"/>
    <w:rsid w:val="006F6A44"/>
    <w:rsid w:val="006F7554"/>
    <w:rsid w:val="007003D0"/>
    <w:rsid w:val="00702D6E"/>
    <w:rsid w:val="007041AB"/>
    <w:rsid w:val="0070599A"/>
    <w:rsid w:val="007076BC"/>
    <w:rsid w:val="00707716"/>
    <w:rsid w:val="00710185"/>
    <w:rsid w:val="00710616"/>
    <w:rsid w:val="0071120E"/>
    <w:rsid w:val="0071194D"/>
    <w:rsid w:val="007119C9"/>
    <w:rsid w:val="00711FE1"/>
    <w:rsid w:val="0071223C"/>
    <w:rsid w:val="00712270"/>
    <w:rsid w:val="007123FC"/>
    <w:rsid w:val="00712665"/>
    <w:rsid w:val="0071350F"/>
    <w:rsid w:val="00715CC9"/>
    <w:rsid w:val="007163CC"/>
    <w:rsid w:val="00716486"/>
    <w:rsid w:val="007169A8"/>
    <w:rsid w:val="00717BD6"/>
    <w:rsid w:val="00721BD7"/>
    <w:rsid w:val="00721C68"/>
    <w:rsid w:val="00722882"/>
    <w:rsid w:val="0072294F"/>
    <w:rsid w:val="00722A7B"/>
    <w:rsid w:val="00722D47"/>
    <w:rsid w:val="00724205"/>
    <w:rsid w:val="007252DD"/>
    <w:rsid w:val="00725B37"/>
    <w:rsid w:val="00726E99"/>
    <w:rsid w:val="007273FE"/>
    <w:rsid w:val="007276A0"/>
    <w:rsid w:val="00730494"/>
    <w:rsid w:val="007344F5"/>
    <w:rsid w:val="00737CC5"/>
    <w:rsid w:val="00740E97"/>
    <w:rsid w:val="007411B2"/>
    <w:rsid w:val="00741613"/>
    <w:rsid w:val="00741919"/>
    <w:rsid w:val="00741CA8"/>
    <w:rsid w:val="00741E71"/>
    <w:rsid w:val="00744492"/>
    <w:rsid w:val="007447D0"/>
    <w:rsid w:val="00744A64"/>
    <w:rsid w:val="00744BCB"/>
    <w:rsid w:val="00745C43"/>
    <w:rsid w:val="00747B46"/>
    <w:rsid w:val="00747D78"/>
    <w:rsid w:val="00750976"/>
    <w:rsid w:val="00751DB6"/>
    <w:rsid w:val="00752AF6"/>
    <w:rsid w:val="007531B3"/>
    <w:rsid w:val="0075343D"/>
    <w:rsid w:val="00753CDB"/>
    <w:rsid w:val="00755B95"/>
    <w:rsid w:val="00756588"/>
    <w:rsid w:val="00756B45"/>
    <w:rsid w:val="007570A1"/>
    <w:rsid w:val="00757DD9"/>
    <w:rsid w:val="00757E4C"/>
    <w:rsid w:val="00757F1C"/>
    <w:rsid w:val="00761DAC"/>
    <w:rsid w:val="00761FD9"/>
    <w:rsid w:val="00763B16"/>
    <w:rsid w:val="00764519"/>
    <w:rsid w:val="00766C55"/>
    <w:rsid w:val="007675EC"/>
    <w:rsid w:val="0077128D"/>
    <w:rsid w:val="0077342A"/>
    <w:rsid w:val="00773513"/>
    <w:rsid w:val="007747FA"/>
    <w:rsid w:val="00776C36"/>
    <w:rsid w:val="0078044B"/>
    <w:rsid w:val="00780677"/>
    <w:rsid w:val="00780E6E"/>
    <w:rsid w:val="00781236"/>
    <w:rsid w:val="00781C45"/>
    <w:rsid w:val="0078248E"/>
    <w:rsid w:val="007828B5"/>
    <w:rsid w:val="00782B75"/>
    <w:rsid w:val="007834A3"/>
    <w:rsid w:val="00783C69"/>
    <w:rsid w:val="00783D48"/>
    <w:rsid w:val="00786F42"/>
    <w:rsid w:val="0079006A"/>
    <w:rsid w:val="007901FB"/>
    <w:rsid w:val="0079220E"/>
    <w:rsid w:val="007923A8"/>
    <w:rsid w:val="00793930"/>
    <w:rsid w:val="00793AEE"/>
    <w:rsid w:val="00793CB7"/>
    <w:rsid w:val="00795F10"/>
    <w:rsid w:val="00796BAD"/>
    <w:rsid w:val="00797664"/>
    <w:rsid w:val="007A000B"/>
    <w:rsid w:val="007A1296"/>
    <w:rsid w:val="007A3140"/>
    <w:rsid w:val="007A378E"/>
    <w:rsid w:val="007A40C9"/>
    <w:rsid w:val="007A4C01"/>
    <w:rsid w:val="007A5AB7"/>
    <w:rsid w:val="007A5B6B"/>
    <w:rsid w:val="007A5CAB"/>
    <w:rsid w:val="007A781F"/>
    <w:rsid w:val="007B0209"/>
    <w:rsid w:val="007B14A4"/>
    <w:rsid w:val="007B3306"/>
    <w:rsid w:val="007B3C78"/>
    <w:rsid w:val="007B4748"/>
    <w:rsid w:val="007B5353"/>
    <w:rsid w:val="007B71AE"/>
    <w:rsid w:val="007B7B3F"/>
    <w:rsid w:val="007C0881"/>
    <w:rsid w:val="007C0F83"/>
    <w:rsid w:val="007C165B"/>
    <w:rsid w:val="007C3280"/>
    <w:rsid w:val="007C3BA3"/>
    <w:rsid w:val="007C40D0"/>
    <w:rsid w:val="007C4316"/>
    <w:rsid w:val="007C54E1"/>
    <w:rsid w:val="007C7233"/>
    <w:rsid w:val="007C7D20"/>
    <w:rsid w:val="007D00DA"/>
    <w:rsid w:val="007D127B"/>
    <w:rsid w:val="007D1C7D"/>
    <w:rsid w:val="007D32DB"/>
    <w:rsid w:val="007D5003"/>
    <w:rsid w:val="007D69FA"/>
    <w:rsid w:val="007E08B1"/>
    <w:rsid w:val="007E25B4"/>
    <w:rsid w:val="007E261F"/>
    <w:rsid w:val="007E2647"/>
    <w:rsid w:val="007E2759"/>
    <w:rsid w:val="007E503F"/>
    <w:rsid w:val="007E526E"/>
    <w:rsid w:val="007E5981"/>
    <w:rsid w:val="007E7754"/>
    <w:rsid w:val="007E7E71"/>
    <w:rsid w:val="007F05BF"/>
    <w:rsid w:val="007F11AB"/>
    <w:rsid w:val="007F1AC6"/>
    <w:rsid w:val="007F1E2A"/>
    <w:rsid w:val="007F331F"/>
    <w:rsid w:val="007F3808"/>
    <w:rsid w:val="007F4436"/>
    <w:rsid w:val="007F56CB"/>
    <w:rsid w:val="007F59EF"/>
    <w:rsid w:val="007F5FDE"/>
    <w:rsid w:val="007F68C1"/>
    <w:rsid w:val="007F6DE8"/>
    <w:rsid w:val="00801937"/>
    <w:rsid w:val="00802472"/>
    <w:rsid w:val="008045C8"/>
    <w:rsid w:val="00804647"/>
    <w:rsid w:val="00804BA4"/>
    <w:rsid w:val="0080531D"/>
    <w:rsid w:val="0080619A"/>
    <w:rsid w:val="008061EF"/>
    <w:rsid w:val="00806770"/>
    <w:rsid w:val="00806C30"/>
    <w:rsid w:val="00810012"/>
    <w:rsid w:val="008104B3"/>
    <w:rsid w:val="00811E19"/>
    <w:rsid w:val="00811E1D"/>
    <w:rsid w:val="008129E2"/>
    <w:rsid w:val="00812B26"/>
    <w:rsid w:val="00813700"/>
    <w:rsid w:val="0081401B"/>
    <w:rsid w:val="0081407A"/>
    <w:rsid w:val="008152C9"/>
    <w:rsid w:val="0081553A"/>
    <w:rsid w:val="00815A8A"/>
    <w:rsid w:val="00820026"/>
    <w:rsid w:val="00821B5D"/>
    <w:rsid w:val="0082242E"/>
    <w:rsid w:val="008224F0"/>
    <w:rsid w:val="0082279F"/>
    <w:rsid w:val="008228FA"/>
    <w:rsid w:val="00822ACD"/>
    <w:rsid w:val="00824185"/>
    <w:rsid w:val="008245F4"/>
    <w:rsid w:val="00824842"/>
    <w:rsid w:val="00825BF6"/>
    <w:rsid w:val="008268B2"/>
    <w:rsid w:val="00826917"/>
    <w:rsid w:val="00830171"/>
    <w:rsid w:val="00830E1B"/>
    <w:rsid w:val="008322BA"/>
    <w:rsid w:val="00832C81"/>
    <w:rsid w:val="0083374E"/>
    <w:rsid w:val="008339D5"/>
    <w:rsid w:val="00833B83"/>
    <w:rsid w:val="0083619C"/>
    <w:rsid w:val="00836D36"/>
    <w:rsid w:val="008375A7"/>
    <w:rsid w:val="008375AE"/>
    <w:rsid w:val="00840C3E"/>
    <w:rsid w:val="00841F65"/>
    <w:rsid w:val="00842014"/>
    <w:rsid w:val="0084259F"/>
    <w:rsid w:val="00843AFF"/>
    <w:rsid w:val="00844CB2"/>
    <w:rsid w:val="00850C2F"/>
    <w:rsid w:val="00852D4D"/>
    <w:rsid w:val="00852F9E"/>
    <w:rsid w:val="00853687"/>
    <w:rsid w:val="00853942"/>
    <w:rsid w:val="00854628"/>
    <w:rsid w:val="008555E0"/>
    <w:rsid w:val="0085636A"/>
    <w:rsid w:val="008563E6"/>
    <w:rsid w:val="008571E7"/>
    <w:rsid w:val="00857405"/>
    <w:rsid w:val="00860B8D"/>
    <w:rsid w:val="0086172C"/>
    <w:rsid w:val="00862861"/>
    <w:rsid w:val="008628E1"/>
    <w:rsid w:val="00863264"/>
    <w:rsid w:val="00863F27"/>
    <w:rsid w:val="00865AD6"/>
    <w:rsid w:val="008671BD"/>
    <w:rsid w:val="00870349"/>
    <w:rsid w:val="008706E1"/>
    <w:rsid w:val="00871690"/>
    <w:rsid w:val="008723D3"/>
    <w:rsid w:val="00873767"/>
    <w:rsid w:val="008741FC"/>
    <w:rsid w:val="0087473B"/>
    <w:rsid w:val="00876507"/>
    <w:rsid w:val="00876888"/>
    <w:rsid w:val="00876B4F"/>
    <w:rsid w:val="00876C85"/>
    <w:rsid w:val="00877A50"/>
    <w:rsid w:val="00880EA1"/>
    <w:rsid w:val="008815D0"/>
    <w:rsid w:val="008825CF"/>
    <w:rsid w:val="00882EE8"/>
    <w:rsid w:val="008846CC"/>
    <w:rsid w:val="00884BC7"/>
    <w:rsid w:val="008867AE"/>
    <w:rsid w:val="008873C7"/>
    <w:rsid w:val="00890824"/>
    <w:rsid w:val="008909E6"/>
    <w:rsid w:val="0089104C"/>
    <w:rsid w:val="00891D5C"/>
    <w:rsid w:val="008925A4"/>
    <w:rsid w:val="00892648"/>
    <w:rsid w:val="00892BD5"/>
    <w:rsid w:val="00893027"/>
    <w:rsid w:val="0089796A"/>
    <w:rsid w:val="008979B6"/>
    <w:rsid w:val="008A0E98"/>
    <w:rsid w:val="008A1BF0"/>
    <w:rsid w:val="008A20E1"/>
    <w:rsid w:val="008A2191"/>
    <w:rsid w:val="008A261C"/>
    <w:rsid w:val="008A2891"/>
    <w:rsid w:val="008A5054"/>
    <w:rsid w:val="008A5C5B"/>
    <w:rsid w:val="008A6095"/>
    <w:rsid w:val="008A7B82"/>
    <w:rsid w:val="008B03FC"/>
    <w:rsid w:val="008B0BBA"/>
    <w:rsid w:val="008B1345"/>
    <w:rsid w:val="008B1AEF"/>
    <w:rsid w:val="008B1B77"/>
    <w:rsid w:val="008B33D5"/>
    <w:rsid w:val="008B3E61"/>
    <w:rsid w:val="008B48BF"/>
    <w:rsid w:val="008B4D07"/>
    <w:rsid w:val="008B54AC"/>
    <w:rsid w:val="008B6EA5"/>
    <w:rsid w:val="008B722F"/>
    <w:rsid w:val="008C22D1"/>
    <w:rsid w:val="008C2518"/>
    <w:rsid w:val="008C3119"/>
    <w:rsid w:val="008C3B1C"/>
    <w:rsid w:val="008C5BA6"/>
    <w:rsid w:val="008C6052"/>
    <w:rsid w:val="008C6555"/>
    <w:rsid w:val="008C6858"/>
    <w:rsid w:val="008D2B1B"/>
    <w:rsid w:val="008D3083"/>
    <w:rsid w:val="008D368B"/>
    <w:rsid w:val="008D38E6"/>
    <w:rsid w:val="008D4EBA"/>
    <w:rsid w:val="008D5E44"/>
    <w:rsid w:val="008D6C8F"/>
    <w:rsid w:val="008D7B2C"/>
    <w:rsid w:val="008D7C7E"/>
    <w:rsid w:val="008E0340"/>
    <w:rsid w:val="008E0601"/>
    <w:rsid w:val="008E0DCE"/>
    <w:rsid w:val="008E0FA2"/>
    <w:rsid w:val="008E10BD"/>
    <w:rsid w:val="008E2A03"/>
    <w:rsid w:val="008E2B9A"/>
    <w:rsid w:val="008E2D31"/>
    <w:rsid w:val="008E2F62"/>
    <w:rsid w:val="008E34FB"/>
    <w:rsid w:val="008E3D16"/>
    <w:rsid w:val="008E50EB"/>
    <w:rsid w:val="008E50FF"/>
    <w:rsid w:val="008E5304"/>
    <w:rsid w:val="008E651C"/>
    <w:rsid w:val="008E75A9"/>
    <w:rsid w:val="008E7A1E"/>
    <w:rsid w:val="008F04D9"/>
    <w:rsid w:val="008F099F"/>
    <w:rsid w:val="008F1471"/>
    <w:rsid w:val="008F2087"/>
    <w:rsid w:val="008F212A"/>
    <w:rsid w:val="008F2874"/>
    <w:rsid w:val="008F477F"/>
    <w:rsid w:val="008F5445"/>
    <w:rsid w:val="009002D9"/>
    <w:rsid w:val="009012A7"/>
    <w:rsid w:val="0090146C"/>
    <w:rsid w:val="00902F2D"/>
    <w:rsid w:val="00902FB1"/>
    <w:rsid w:val="00903103"/>
    <w:rsid w:val="009031CB"/>
    <w:rsid w:val="009035D1"/>
    <w:rsid w:val="00904411"/>
    <w:rsid w:val="0090533A"/>
    <w:rsid w:val="00905FA2"/>
    <w:rsid w:val="00906942"/>
    <w:rsid w:val="00906CE7"/>
    <w:rsid w:val="00907259"/>
    <w:rsid w:val="00907F2A"/>
    <w:rsid w:val="00910D47"/>
    <w:rsid w:val="00911744"/>
    <w:rsid w:val="0091341F"/>
    <w:rsid w:val="00913B42"/>
    <w:rsid w:val="009145C9"/>
    <w:rsid w:val="00914A2E"/>
    <w:rsid w:val="00914AAF"/>
    <w:rsid w:val="0091527B"/>
    <w:rsid w:val="00915539"/>
    <w:rsid w:val="00916B61"/>
    <w:rsid w:val="00916D82"/>
    <w:rsid w:val="009205AC"/>
    <w:rsid w:val="00920BA4"/>
    <w:rsid w:val="00920EB0"/>
    <w:rsid w:val="009217BD"/>
    <w:rsid w:val="009218C9"/>
    <w:rsid w:val="00921E50"/>
    <w:rsid w:val="009221D4"/>
    <w:rsid w:val="0092441B"/>
    <w:rsid w:val="00924C8B"/>
    <w:rsid w:val="009255D7"/>
    <w:rsid w:val="009257DB"/>
    <w:rsid w:val="00925BED"/>
    <w:rsid w:val="00925D13"/>
    <w:rsid w:val="00931A0D"/>
    <w:rsid w:val="00933428"/>
    <w:rsid w:val="00934EA4"/>
    <w:rsid w:val="009357D6"/>
    <w:rsid w:val="009359AE"/>
    <w:rsid w:val="00937465"/>
    <w:rsid w:val="0093774A"/>
    <w:rsid w:val="00937FAE"/>
    <w:rsid w:val="00940DBB"/>
    <w:rsid w:val="009423A9"/>
    <w:rsid w:val="00942414"/>
    <w:rsid w:val="0094386D"/>
    <w:rsid w:val="00943DA4"/>
    <w:rsid w:val="00943EB2"/>
    <w:rsid w:val="00943F5D"/>
    <w:rsid w:val="00944C56"/>
    <w:rsid w:val="00944EDD"/>
    <w:rsid w:val="009459A2"/>
    <w:rsid w:val="009469F9"/>
    <w:rsid w:val="00946A3A"/>
    <w:rsid w:val="0095070B"/>
    <w:rsid w:val="00951E64"/>
    <w:rsid w:val="0095214F"/>
    <w:rsid w:val="00953791"/>
    <w:rsid w:val="00954522"/>
    <w:rsid w:val="00954CC0"/>
    <w:rsid w:val="0095620A"/>
    <w:rsid w:val="00956929"/>
    <w:rsid w:val="00956DB1"/>
    <w:rsid w:val="00956DF8"/>
    <w:rsid w:val="0095716D"/>
    <w:rsid w:val="00957663"/>
    <w:rsid w:val="00957927"/>
    <w:rsid w:val="00960603"/>
    <w:rsid w:val="00960A99"/>
    <w:rsid w:val="0096571C"/>
    <w:rsid w:val="00965CDB"/>
    <w:rsid w:val="00966E2B"/>
    <w:rsid w:val="00967E46"/>
    <w:rsid w:val="00970DAC"/>
    <w:rsid w:val="00971F2C"/>
    <w:rsid w:val="0097418F"/>
    <w:rsid w:val="00974CD8"/>
    <w:rsid w:val="00976D76"/>
    <w:rsid w:val="00976DDE"/>
    <w:rsid w:val="009771CD"/>
    <w:rsid w:val="0097759C"/>
    <w:rsid w:val="00977CB4"/>
    <w:rsid w:val="009812C5"/>
    <w:rsid w:val="009838D1"/>
    <w:rsid w:val="0098404C"/>
    <w:rsid w:val="009858DD"/>
    <w:rsid w:val="00986148"/>
    <w:rsid w:val="0098660F"/>
    <w:rsid w:val="00986EA2"/>
    <w:rsid w:val="00987EF3"/>
    <w:rsid w:val="009901B4"/>
    <w:rsid w:val="00990443"/>
    <w:rsid w:val="00990ED9"/>
    <w:rsid w:val="0099118C"/>
    <w:rsid w:val="00991CC7"/>
    <w:rsid w:val="009939ED"/>
    <w:rsid w:val="0099568B"/>
    <w:rsid w:val="00996750"/>
    <w:rsid w:val="009A1D3A"/>
    <w:rsid w:val="009A2339"/>
    <w:rsid w:val="009A27C6"/>
    <w:rsid w:val="009A2DBF"/>
    <w:rsid w:val="009A3496"/>
    <w:rsid w:val="009A441D"/>
    <w:rsid w:val="009A4A70"/>
    <w:rsid w:val="009A54E3"/>
    <w:rsid w:val="009A54F3"/>
    <w:rsid w:val="009A69FB"/>
    <w:rsid w:val="009B19E0"/>
    <w:rsid w:val="009B1E18"/>
    <w:rsid w:val="009B3D82"/>
    <w:rsid w:val="009B3E8A"/>
    <w:rsid w:val="009B4150"/>
    <w:rsid w:val="009B4C94"/>
    <w:rsid w:val="009B4F15"/>
    <w:rsid w:val="009B500D"/>
    <w:rsid w:val="009B6CCD"/>
    <w:rsid w:val="009B7F8E"/>
    <w:rsid w:val="009C039F"/>
    <w:rsid w:val="009C2241"/>
    <w:rsid w:val="009C38EA"/>
    <w:rsid w:val="009C4233"/>
    <w:rsid w:val="009C438E"/>
    <w:rsid w:val="009C49AD"/>
    <w:rsid w:val="009C7842"/>
    <w:rsid w:val="009C7C79"/>
    <w:rsid w:val="009D05AE"/>
    <w:rsid w:val="009D1C5C"/>
    <w:rsid w:val="009D3109"/>
    <w:rsid w:val="009D3836"/>
    <w:rsid w:val="009D386B"/>
    <w:rsid w:val="009D4295"/>
    <w:rsid w:val="009D65C8"/>
    <w:rsid w:val="009D662B"/>
    <w:rsid w:val="009E1AB1"/>
    <w:rsid w:val="009E26B6"/>
    <w:rsid w:val="009E2BE0"/>
    <w:rsid w:val="009E3B20"/>
    <w:rsid w:val="009E4311"/>
    <w:rsid w:val="009E436C"/>
    <w:rsid w:val="009E4EE5"/>
    <w:rsid w:val="009E6A70"/>
    <w:rsid w:val="009E6AD1"/>
    <w:rsid w:val="009F03D7"/>
    <w:rsid w:val="009F0B6B"/>
    <w:rsid w:val="009F2217"/>
    <w:rsid w:val="009F31B6"/>
    <w:rsid w:val="009F38C6"/>
    <w:rsid w:val="009F412E"/>
    <w:rsid w:val="009F42AE"/>
    <w:rsid w:val="009F6A04"/>
    <w:rsid w:val="009F790A"/>
    <w:rsid w:val="009F7937"/>
    <w:rsid w:val="009F7BC6"/>
    <w:rsid w:val="00A004CC"/>
    <w:rsid w:val="00A016A3"/>
    <w:rsid w:val="00A028A2"/>
    <w:rsid w:val="00A03119"/>
    <w:rsid w:val="00A041AB"/>
    <w:rsid w:val="00A07E36"/>
    <w:rsid w:val="00A07FC2"/>
    <w:rsid w:val="00A1019D"/>
    <w:rsid w:val="00A13486"/>
    <w:rsid w:val="00A139EB"/>
    <w:rsid w:val="00A15C68"/>
    <w:rsid w:val="00A16BCF"/>
    <w:rsid w:val="00A20C27"/>
    <w:rsid w:val="00A20C3B"/>
    <w:rsid w:val="00A214E0"/>
    <w:rsid w:val="00A21E12"/>
    <w:rsid w:val="00A225E2"/>
    <w:rsid w:val="00A24A64"/>
    <w:rsid w:val="00A26868"/>
    <w:rsid w:val="00A27E2E"/>
    <w:rsid w:val="00A312FC"/>
    <w:rsid w:val="00A3456C"/>
    <w:rsid w:val="00A34A4E"/>
    <w:rsid w:val="00A360FB"/>
    <w:rsid w:val="00A37129"/>
    <w:rsid w:val="00A37BF2"/>
    <w:rsid w:val="00A37ED5"/>
    <w:rsid w:val="00A416FC"/>
    <w:rsid w:val="00A42B80"/>
    <w:rsid w:val="00A436F2"/>
    <w:rsid w:val="00A4412C"/>
    <w:rsid w:val="00A44857"/>
    <w:rsid w:val="00A44B10"/>
    <w:rsid w:val="00A46A2A"/>
    <w:rsid w:val="00A46DA0"/>
    <w:rsid w:val="00A4764A"/>
    <w:rsid w:val="00A517B9"/>
    <w:rsid w:val="00A51DC2"/>
    <w:rsid w:val="00A528E5"/>
    <w:rsid w:val="00A52D0D"/>
    <w:rsid w:val="00A52E1B"/>
    <w:rsid w:val="00A542B8"/>
    <w:rsid w:val="00A60066"/>
    <w:rsid w:val="00A61075"/>
    <w:rsid w:val="00A61433"/>
    <w:rsid w:val="00A61F5C"/>
    <w:rsid w:val="00A62015"/>
    <w:rsid w:val="00A62955"/>
    <w:rsid w:val="00A62C54"/>
    <w:rsid w:val="00A62D7A"/>
    <w:rsid w:val="00A64A0A"/>
    <w:rsid w:val="00A65BF3"/>
    <w:rsid w:val="00A65CBF"/>
    <w:rsid w:val="00A71F74"/>
    <w:rsid w:val="00A74CCE"/>
    <w:rsid w:val="00A7512E"/>
    <w:rsid w:val="00A75888"/>
    <w:rsid w:val="00A76EA5"/>
    <w:rsid w:val="00A76F73"/>
    <w:rsid w:val="00A80C0A"/>
    <w:rsid w:val="00A827DC"/>
    <w:rsid w:val="00A82839"/>
    <w:rsid w:val="00A82B82"/>
    <w:rsid w:val="00A82C1B"/>
    <w:rsid w:val="00A84D84"/>
    <w:rsid w:val="00A8696C"/>
    <w:rsid w:val="00A874C3"/>
    <w:rsid w:val="00A87518"/>
    <w:rsid w:val="00A87579"/>
    <w:rsid w:val="00A90DBE"/>
    <w:rsid w:val="00A92F45"/>
    <w:rsid w:val="00A9396C"/>
    <w:rsid w:val="00A93DCB"/>
    <w:rsid w:val="00A94BA4"/>
    <w:rsid w:val="00A95442"/>
    <w:rsid w:val="00A960E7"/>
    <w:rsid w:val="00A966C6"/>
    <w:rsid w:val="00AA0C2A"/>
    <w:rsid w:val="00AA1676"/>
    <w:rsid w:val="00AA1B81"/>
    <w:rsid w:val="00AA2014"/>
    <w:rsid w:val="00AA2917"/>
    <w:rsid w:val="00AA3317"/>
    <w:rsid w:val="00AA3919"/>
    <w:rsid w:val="00AA54F0"/>
    <w:rsid w:val="00AA6250"/>
    <w:rsid w:val="00AA71AD"/>
    <w:rsid w:val="00AB0425"/>
    <w:rsid w:val="00AB1A56"/>
    <w:rsid w:val="00AB1A58"/>
    <w:rsid w:val="00AB2197"/>
    <w:rsid w:val="00AB23B7"/>
    <w:rsid w:val="00AB2964"/>
    <w:rsid w:val="00AB2C12"/>
    <w:rsid w:val="00AB2FD3"/>
    <w:rsid w:val="00AB46E0"/>
    <w:rsid w:val="00AB4847"/>
    <w:rsid w:val="00AB48D6"/>
    <w:rsid w:val="00AB514B"/>
    <w:rsid w:val="00AB73B4"/>
    <w:rsid w:val="00AB740F"/>
    <w:rsid w:val="00AC0340"/>
    <w:rsid w:val="00AC040D"/>
    <w:rsid w:val="00AC2D52"/>
    <w:rsid w:val="00AC2F90"/>
    <w:rsid w:val="00AC3405"/>
    <w:rsid w:val="00AC3699"/>
    <w:rsid w:val="00AC384D"/>
    <w:rsid w:val="00AC574A"/>
    <w:rsid w:val="00AC7AA0"/>
    <w:rsid w:val="00AC7DCC"/>
    <w:rsid w:val="00AD0D8F"/>
    <w:rsid w:val="00AD20D7"/>
    <w:rsid w:val="00AD260C"/>
    <w:rsid w:val="00AD2CC8"/>
    <w:rsid w:val="00AD36E4"/>
    <w:rsid w:val="00AD3B69"/>
    <w:rsid w:val="00AD3CA4"/>
    <w:rsid w:val="00AD4477"/>
    <w:rsid w:val="00AD5BF0"/>
    <w:rsid w:val="00AD7552"/>
    <w:rsid w:val="00AD7B5F"/>
    <w:rsid w:val="00AE01C9"/>
    <w:rsid w:val="00AE0590"/>
    <w:rsid w:val="00AE0EAF"/>
    <w:rsid w:val="00AE16B3"/>
    <w:rsid w:val="00AE1714"/>
    <w:rsid w:val="00AE2D1E"/>
    <w:rsid w:val="00AE3448"/>
    <w:rsid w:val="00AE476C"/>
    <w:rsid w:val="00AE5B3F"/>
    <w:rsid w:val="00AE5CF3"/>
    <w:rsid w:val="00AE5FA4"/>
    <w:rsid w:val="00AE6286"/>
    <w:rsid w:val="00AE6E11"/>
    <w:rsid w:val="00AE765F"/>
    <w:rsid w:val="00AF0386"/>
    <w:rsid w:val="00AF08F7"/>
    <w:rsid w:val="00AF2F82"/>
    <w:rsid w:val="00AF3779"/>
    <w:rsid w:val="00AF4D48"/>
    <w:rsid w:val="00AF529E"/>
    <w:rsid w:val="00AF52CD"/>
    <w:rsid w:val="00AF6926"/>
    <w:rsid w:val="00B00455"/>
    <w:rsid w:val="00B01ECF"/>
    <w:rsid w:val="00B0201E"/>
    <w:rsid w:val="00B0210A"/>
    <w:rsid w:val="00B02887"/>
    <w:rsid w:val="00B031B1"/>
    <w:rsid w:val="00B04B92"/>
    <w:rsid w:val="00B0767E"/>
    <w:rsid w:val="00B079F9"/>
    <w:rsid w:val="00B136C2"/>
    <w:rsid w:val="00B13B4A"/>
    <w:rsid w:val="00B1535C"/>
    <w:rsid w:val="00B15D5A"/>
    <w:rsid w:val="00B16459"/>
    <w:rsid w:val="00B1750B"/>
    <w:rsid w:val="00B201FA"/>
    <w:rsid w:val="00B210FC"/>
    <w:rsid w:val="00B22A8B"/>
    <w:rsid w:val="00B24F45"/>
    <w:rsid w:val="00B260B0"/>
    <w:rsid w:val="00B260DE"/>
    <w:rsid w:val="00B261F5"/>
    <w:rsid w:val="00B2682B"/>
    <w:rsid w:val="00B27164"/>
    <w:rsid w:val="00B27318"/>
    <w:rsid w:val="00B30B66"/>
    <w:rsid w:val="00B318AC"/>
    <w:rsid w:val="00B31D25"/>
    <w:rsid w:val="00B33CB2"/>
    <w:rsid w:val="00B3489A"/>
    <w:rsid w:val="00B35B46"/>
    <w:rsid w:val="00B37F34"/>
    <w:rsid w:val="00B427CA"/>
    <w:rsid w:val="00B42AFB"/>
    <w:rsid w:val="00B43A8F"/>
    <w:rsid w:val="00B45C19"/>
    <w:rsid w:val="00B46A23"/>
    <w:rsid w:val="00B50116"/>
    <w:rsid w:val="00B50233"/>
    <w:rsid w:val="00B51282"/>
    <w:rsid w:val="00B51597"/>
    <w:rsid w:val="00B51C9D"/>
    <w:rsid w:val="00B53F99"/>
    <w:rsid w:val="00B543C3"/>
    <w:rsid w:val="00B54D93"/>
    <w:rsid w:val="00B5581F"/>
    <w:rsid w:val="00B564FC"/>
    <w:rsid w:val="00B566F2"/>
    <w:rsid w:val="00B567F6"/>
    <w:rsid w:val="00B5705C"/>
    <w:rsid w:val="00B5743C"/>
    <w:rsid w:val="00B5751D"/>
    <w:rsid w:val="00B57574"/>
    <w:rsid w:val="00B606D7"/>
    <w:rsid w:val="00B61709"/>
    <w:rsid w:val="00B61BBD"/>
    <w:rsid w:val="00B61D1D"/>
    <w:rsid w:val="00B6327A"/>
    <w:rsid w:val="00B63374"/>
    <w:rsid w:val="00B6422E"/>
    <w:rsid w:val="00B65043"/>
    <w:rsid w:val="00B65ADF"/>
    <w:rsid w:val="00B66587"/>
    <w:rsid w:val="00B66A4E"/>
    <w:rsid w:val="00B67B08"/>
    <w:rsid w:val="00B7024A"/>
    <w:rsid w:val="00B75C1A"/>
    <w:rsid w:val="00B76012"/>
    <w:rsid w:val="00B77367"/>
    <w:rsid w:val="00B77990"/>
    <w:rsid w:val="00B77BB4"/>
    <w:rsid w:val="00B801F4"/>
    <w:rsid w:val="00B8039F"/>
    <w:rsid w:val="00B80A94"/>
    <w:rsid w:val="00B80DF2"/>
    <w:rsid w:val="00B8132F"/>
    <w:rsid w:val="00B827DD"/>
    <w:rsid w:val="00B84082"/>
    <w:rsid w:val="00B84EDF"/>
    <w:rsid w:val="00B8587C"/>
    <w:rsid w:val="00B86C4C"/>
    <w:rsid w:val="00B87255"/>
    <w:rsid w:val="00B9044D"/>
    <w:rsid w:val="00B9153D"/>
    <w:rsid w:val="00B92B51"/>
    <w:rsid w:val="00B92F20"/>
    <w:rsid w:val="00B9590E"/>
    <w:rsid w:val="00B965A5"/>
    <w:rsid w:val="00B971E0"/>
    <w:rsid w:val="00B97B8F"/>
    <w:rsid w:val="00BA0A48"/>
    <w:rsid w:val="00BA1876"/>
    <w:rsid w:val="00BA26D9"/>
    <w:rsid w:val="00BA29A2"/>
    <w:rsid w:val="00BA589F"/>
    <w:rsid w:val="00BA69C7"/>
    <w:rsid w:val="00BA69EF"/>
    <w:rsid w:val="00BA7075"/>
    <w:rsid w:val="00BB0FE9"/>
    <w:rsid w:val="00BB1694"/>
    <w:rsid w:val="00BB19A2"/>
    <w:rsid w:val="00BB21BE"/>
    <w:rsid w:val="00BB2B03"/>
    <w:rsid w:val="00BB4CF5"/>
    <w:rsid w:val="00BB4E93"/>
    <w:rsid w:val="00BB50A3"/>
    <w:rsid w:val="00BB5AEF"/>
    <w:rsid w:val="00BB7560"/>
    <w:rsid w:val="00BB7B04"/>
    <w:rsid w:val="00BB7E0E"/>
    <w:rsid w:val="00BC02C2"/>
    <w:rsid w:val="00BC1B43"/>
    <w:rsid w:val="00BC26B7"/>
    <w:rsid w:val="00BC339C"/>
    <w:rsid w:val="00BC66EF"/>
    <w:rsid w:val="00BD1F9B"/>
    <w:rsid w:val="00BD37C3"/>
    <w:rsid w:val="00BD3840"/>
    <w:rsid w:val="00BD3D82"/>
    <w:rsid w:val="00BD5BBA"/>
    <w:rsid w:val="00BD6D00"/>
    <w:rsid w:val="00BD7514"/>
    <w:rsid w:val="00BE04DC"/>
    <w:rsid w:val="00BE054D"/>
    <w:rsid w:val="00BE0B96"/>
    <w:rsid w:val="00BE1BD9"/>
    <w:rsid w:val="00BE2EFC"/>
    <w:rsid w:val="00BE2F5C"/>
    <w:rsid w:val="00BE70A0"/>
    <w:rsid w:val="00BE798C"/>
    <w:rsid w:val="00BF085F"/>
    <w:rsid w:val="00BF1A2E"/>
    <w:rsid w:val="00BF2A44"/>
    <w:rsid w:val="00BF2EE6"/>
    <w:rsid w:val="00BF2FE8"/>
    <w:rsid w:val="00BF381E"/>
    <w:rsid w:val="00BF5C05"/>
    <w:rsid w:val="00BF5C4C"/>
    <w:rsid w:val="00BF5FD6"/>
    <w:rsid w:val="00BF5FEC"/>
    <w:rsid w:val="00BF6122"/>
    <w:rsid w:val="00BF7AAE"/>
    <w:rsid w:val="00BF7D4B"/>
    <w:rsid w:val="00C012BE"/>
    <w:rsid w:val="00C018D5"/>
    <w:rsid w:val="00C03D08"/>
    <w:rsid w:val="00C03FAA"/>
    <w:rsid w:val="00C054AE"/>
    <w:rsid w:val="00C05830"/>
    <w:rsid w:val="00C102A0"/>
    <w:rsid w:val="00C103EA"/>
    <w:rsid w:val="00C1154B"/>
    <w:rsid w:val="00C12266"/>
    <w:rsid w:val="00C13D80"/>
    <w:rsid w:val="00C14304"/>
    <w:rsid w:val="00C14689"/>
    <w:rsid w:val="00C14977"/>
    <w:rsid w:val="00C166D0"/>
    <w:rsid w:val="00C179AC"/>
    <w:rsid w:val="00C179B5"/>
    <w:rsid w:val="00C22188"/>
    <w:rsid w:val="00C23A84"/>
    <w:rsid w:val="00C23EF0"/>
    <w:rsid w:val="00C26084"/>
    <w:rsid w:val="00C26626"/>
    <w:rsid w:val="00C27026"/>
    <w:rsid w:val="00C27385"/>
    <w:rsid w:val="00C32005"/>
    <w:rsid w:val="00C324F0"/>
    <w:rsid w:val="00C32C2D"/>
    <w:rsid w:val="00C34D0D"/>
    <w:rsid w:val="00C35E3C"/>
    <w:rsid w:val="00C361F7"/>
    <w:rsid w:val="00C376B8"/>
    <w:rsid w:val="00C37F73"/>
    <w:rsid w:val="00C40C3E"/>
    <w:rsid w:val="00C41F61"/>
    <w:rsid w:val="00C4288E"/>
    <w:rsid w:val="00C4307D"/>
    <w:rsid w:val="00C430D5"/>
    <w:rsid w:val="00C43390"/>
    <w:rsid w:val="00C43AEE"/>
    <w:rsid w:val="00C45403"/>
    <w:rsid w:val="00C460FA"/>
    <w:rsid w:val="00C51E7A"/>
    <w:rsid w:val="00C5253D"/>
    <w:rsid w:val="00C525C7"/>
    <w:rsid w:val="00C52EC3"/>
    <w:rsid w:val="00C54336"/>
    <w:rsid w:val="00C54594"/>
    <w:rsid w:val="00C5468F"/>
    <w:rsid w:val="00C54FDE"/>
    <w:rsid w:val="00C55211"/>
    <w:rsid w:val="00C55412"/>
    <w:rsid w:val="00C555A7"/>
    <w:rsid w:val="00C5700B"/>
    <w:rsid w:val="00C6143E"/>
    <w:rsid w:val="00C61729"/>
    <w:rsid w:val="00C65A60"/>
    <w:rsid w:val="00C65DF6"/>
    <w:rsid w:val="00C65F41"/>
    <w:rsid w:val="00C66492"/>
    <w:rsid w:val="00C668BE"/>
    <w:rsid w:val="00C70115"/>
    <w:rsid w:val="00C70686"/>
    <w:rsid w:val="00C71382"/>
    <w:rsid w:val="00C71EBA"/>
    <w:rsid w:val="00C73902"/>
    <w:rsid w:val="00C73FBF"/>
    <w:rsid w:val="00C742E8"/>
    <w:rsid w:val="00C743CE"/>
    <w:rsid w:val="00C743DF"/>
    <w:rsid w:val="00C75536"/>
    <w:rsid w:val="00C765DA"/>
    <w:rsid w:val="00C80537"/>
    <w:rsid w:val="00C80753"/>
    <w:rsid w:val="00C807E1"/>
    <w:rsid w:val="00C80A11"/>
    <w:rsid w:val="00C81812"/>
    <w:rsid w:val="00C83969"/>
    <w:rsid w:val="00C83A5A"/>
    <w:rsid w:val="00C83D6C"/>
    <w:rsid w:val="00C84F07"/>
    <w:rsid w:val="00C850C1"/>
    <w:rsid w:val="00C854B1"/>
    <w:rsid w:val="00C85E82"/>
    <w:rsid w:val="00C861AD"/>
    <w:rsid w:val="00C870EA"/>
    <w:rsid w:val="00C87D62"/>
    <w:rsid w:val="00C909A2"/>
    <w:rsid w:val="00C90D34"/>
    <w:rsid w:val="00C91F50"/>
    <w:rsid w:val="00C937A1"/>
    <w:rsid w:val="00C93FE5"/>
    <w:rsid w:val="00C949FE"/>
    <w:rsid w:val="00C969F1"/>
    <w:rsid w:val="00C96B60"/>
    <w:rsid w:val="00C96CB8"/>
    <w:rsid w:val="00C97C33"/>
    <w:rsid w:val="00CA0432"/>
    <w:rsid w:val="00CA0672"/>
    <w:rsid w:val="00CA0B5F"/>
    <w:rsid w:val="00CA3051"/>
    <w:rsid w:val="00CA320E"/>
    <w:rsid w:val="00CA3F28"/>
    <w:rsid w:val="00CA3FBD"/>
    <w:rsid w:val="00CA407C"/>
    <w:rsid w:val="00CA424E"/>
    <w:rsid w:val="00CA5499"/>
    <w:rsid w:val="00CA6263"/>
    <w:rsid w:val="00CA7FA8"/>
    <w:rsid w:val="00CB0430"/>
    <w:rsid w:val="00CB25B7"/>
    <w:rsid w:val="00CB2A3D"/>
    <w:rsid w:val="00CB40B7"/>
    <w:rsid w:val="00CB44F0"/>
    <w:rsid w:val="00CB4B47"/>
    <w:rsid w:val="00CC0171"/>
    <w:rsid w:val="00CC0421"/>
    <w:rsid w:val="00CC2F19"/>
    <w:rsid w:val="00CC3402"/>
    <w:rsid w:val="00CC36E4"/>
    <w:rsid w:val="00CC3D69"/>
    <w:rsid w:val="00CC3F9C"/>
    <w:rsid w:val="00CC4A5D"/>
    <w:rsid w:val="00CC678E"/>
    <w:rsid w:val="00CC6CE7"/>
    <w:rsid w:val="00CD00D8"/>
    <w:rsid w:val="00CD0F72"/>
    <w:rsid w:val="00CD2488"/>
    <w:rsid w:val="00CD2706"/>
    <w:rsid w:val="00CD28B6"/>
    <w:rsid w:val="00CD34E1"/>
    <w:rsid w:val="00CD36F1"/>
    <w:rsid w:val="00CD4AF4"/>
    <w:rsid w:val="00CD6ADA"/>
    <w:rsid w:val="00CD6E48"/>
    <w:rsid w:val="00CD700F"/>
    <w:rsid w:val="00CE39C7"/>
    <w:rsid w:val="00CE4033"/>
    <w:rsid w:val="00CE4899"/>
    <w:rsid w:val="00CE48D6"/>
    <w:rsid w:val="00CE4B80"/>
    <w:rsid w:val="00CE6223"/>
    <w:rsid w:val="00CE6DBC"/>
    <w:rsid w:val="00CE6F44"/>
    <w:rsid w:val="00CE7455"/>
    <w:rsid w:val="00CE7821"/>
    <w:rsid w:val="00CF248B"/>
    <w:rsid w:val="00CF26F7"/>
    <w:rsid w:val="00CF2995"/>
    <w:rsid w:val="00CF3100"/>
    <w:rsid w:val="00CF502D"/>
    <w:rsid w:val="00CF5196"/>
    <w:rsid w:val="00CF6266"/>
    <w:rsid w:val="00CF6D09"/>
    <w:rsid w:val="00CF6E51"/>
    <w:rsid w:val="00CF6E96"/>
    <w:rsid w:val="00D00F0E"/>
    <w:rsid w:val="00D01C93"/>
    <w:rsid w:val="00D03DAE"/>
    <w:rsid w:val="00D0444F"/>
    <w:rsid w:val="00D04F9E"/>
    <w:rsid w:val="00D053FD"/>
    <w:rsid w:val="00D111CF"/>
    <w:rsid w:val="00D11AE1"/>
    <w:rsid w:val="00D11E49"/>
    <w:rsid w:val="00D1249F"/>
    <w:rsid w:val="00D12D44"/>
    <w:rsid w:val="00D12F87"/>
    <w:rsid w:val="00D14F46"/>
    <w:rsid w:val="00D152F6"/>
    <w:rsid w:val="00D16984"/>
    <w:rsid w:val="00D17856"/>
    <w:rsid w:val="00D20380"/>
    <w:rsid w:val="00D2040D"/>
    <w:rsid w:val="00D21CAD"/>
    <w:rsid w:val="00D22298"/>
    <w:rsid w:val="00D22E7A"/>
    <w:rsid w:val="00D2311E"/>
    <w:rsid w:val="00D23529"/>
    <w:rsid w:val="00D2379B"/>
    <w:rsid w:val="00D238A1"/>
    <w:rsid w:val="00D24665"/>
    <w:rsid w:val="00D24C48"/>
    <w:rsid w:val="00D25C8B"/>
    <w:rsid w:val="00D2618A"/>
    <w:rsid w:val="00D2626E"/>
    <w:rsid w:val="00D26B31"/>
    <w:rsid w:val="00D27092"/>
    <w:rsid w:val="00D30515"/>
    <w:rsid w:val="00D33B69"/>
    <w:rsid w:val="00D347EF"/>
    <w:rsid w:val="00D34B1B"/>
    <w:rsid w:val="00D40E89"/>
    <w:rsid w:val="00D40EE5"/>
    <w:rsid w:val="00D416FB"/>
    <w:rsid w:val="00D431FF"/>
    <w:rsid w:val="00D43688"/>
    <w:rsid w:val="00D449DB"/>
    <w:rsid w:val="00D460FB"/>
    <w:rsid w:val="00D5049E"/>
    <w:rsid w:val="00D50783"/>
    <w:rsid w:val="00D5088D"/>
    <w:rsid w:val="00D512D3"/>
    <w:rsid w:val="00D51393"/>
    <w:rsid w:val="00D51CBF"/>
    <w:rsid w:val="00D538D6"/>
    <w:rsid w:val="00D53D46"/>
    <w:rsid w:val="00D5453A"/>
    <w:rsid w:val="00D54E91"/>
    <w:rsid w:val="00D5506A"/>
    <w:rsid w:val="00D5621F"/>
    <w:rsid w:val="00D57176"/>
    <w:rsid w:val="00D57AA4"/>
    <w:rsid w:val="00D60037"/>
    <w:rsid w:val="00D601B1"/>
    <w:rsid w:val="00D60EFB"/>
    <w:rsid w:val="00D62A1E"/>
    <w:rsid w:val="00D63026"/>
    <w:rsid w:val="00D6304A"/>
    <w:rsid w:val="00D63D94"/>
    <w:rsid w:val="00D64F6F"/>
    <w:rsid w:val="00D655E0"/>
    <w:rsid w:val="00D65875"/>
    <w:rsid w:val="00D65B3A"/>
    <w:rsid w:val="00D65E2A"/>
    <w:rsid w:val="00D735C6"/>
    <w:rsid w:val="00D73D02"/>
    <w:rsid w:val="00D76D91"/>
    <w:rsid w:val="00D7706D"/>
    <w:rsid w:val="00D771F7"/>
    <w:rsid w:val="00D77872"/>
    <w:rsid w:val="00D778FB"/>
    <w:rsid w:val="00D80D55"/>
    <w:rsid w:val="00D8156B"/>
    <w:rsid w:val="00D845FA"/>
    <w:rsid w:val="00D85743"/>
    <w:rsid w:val="00D85E2C"/>
    <w:rsid w:val="00D86A01"/>
    <w:rsid w:val="00D86C12"/>
    <w:rsid w:val="00D9009C"/>
    <w:rsid w:val="00D90136"/>
    <w:rsid w:val="00D90280"/>
    <w:rsid w:val="00D90E39"/>
    <w:rsid w:val="00D9101E"/>
    <w:rsid w:val="00D9234C"/>
    <w:rsid w:val="00D923C9"/>
    <w:rsid w:val="00D92B3E"/>
    <w:rsid w:val="00D96499"/>
    <w:rsid w:val="00D96AB3"/>
    <w:rsid w:val="00DA20C6"/>
    <w:rsid w:val="00DA221F"/>
    <w:rsid w:val="00DA2B8D"/>
    <w:rsid w:val="00DA3973"/>
    <w:rsid w:val="00DA4C4C"/>
    <w:rsid w:val="00DA50C8"/>
    <w:rsid w:val="00DA566C"/>
    <w:rsid w:val="00DA6C2C"/>
    <w:rsid w:val="00DA728D"/>
    <w:rsid w:val="00DB0505"/>
    <w:rsid w:val="00DB3C7F"/>
    <w:rsid w:val="00DB4097"/>
    <w:rsid w:val="00DB44A2"/>
    <w:rsid w:val="00DB4E20"/>
    <w:rsid w:val="00DB546F"/>
    <w:rsid w:val="00DB6948"/>
    <w:rsid w:val="00DB77AA"/>
    <w:rsid w:val="00DC0DF1"/>
    <w:rsid w:val="00DC0F83"/>
    <w:rsid w:val="00DC7845"/>
    <w:rsid w:val="00DC78DE"/>
    <w:rsid w:val="00DC7CCC"/>
    <w:rsid w:val="00DD141D"/>
    <w:rsid w:val="00DD1CDA"/>
    <w:rsid w:val="00DD2057"/>
    <w:rsid w:val="00DD35FF"/>
    <w:rsid w:val="00DD3BD9"/>
    <w:rsid w:val="00DD3D03"/>
    <w:rsid w:val="00DD50A4"/>
    <w:rsid w:val="00DD5649"/>
    <w:rsid w:val="00DD645B"/>
    <w:rsid w:val="00DD7AF2"/>
    <w:rsid w:val="00DE0FF3"/>
    <w:rsid w:val="00DE264D"/>
    <w:rsid w:val="00DE34DE"/>
    <w:rsid w:val="00DE390F"/>
    <w:rsid w:val="00DE5043"/>
    <w:rsid w:val="00DE71F3"/>
    <w:rsid w:val="00DE7E75"/>
    <w:rsid w:val="00DF1AB9"/>
    <w:rsid w:val="00DF1B34"/>
    <w:rsid w:val="00DF2978"/>
    <w:rsid w:val="00DF3066"/>
    <w:rsid w:val="00DF42F0"/>
    <w:rsid w:val="00DF62A9"/>
    <w:rsid w:val="00E00C0E"/>
    <w:rsid w:val="00E026F6"/>
    <w:rsid w:val="00E02FEC"/>
    <w:rsid w:val="00E03327"/>
    <w:rsid w:val="00E044CF"/>
    <w:rsid w:val="00E05D9F"/>
    <w:rsid w:val="00E076D1"/>
    <w:rsid w:val="00E10B78"/>
    <w:rsid w:val="00E11051"/>
    <w:rsid w:val="00E1109B"/>
    <w:rsid w:val="00E114F6"/>
    <w:rsid w:val="00E12818"/>
    <w:rsid w:val="00E12FE0"/>
    <w:rsid w:val="00E14161"/>
    <w:rsid w:val="00E14AF5"/>
    <w:rsid w:val="00E15309"/>
    <w:rsid w:val="00E15C13"/>
    <w:rsid w:val="00E1675C"/>
    <w:rsid w:val="00E16D8C"/>
    <w:rsid w:val="00E175FF"/>
    <w:rsid w:val="00E2076F"/>
    <w:rsid w:val="00E2137F"/>
    <w:rsid w:val="00E21998"/>
    <w:rsid w:val="00E22316"/>
    <w:rsid w:val="00E240C6"/>
    <w:rsid w:val="00E24283"/>
    <w:rsid w:val="00E249A9"/>
    <w:rsid w:val="00E2712D"/>
    <w:rsid w:val="00E32460"/>
    <w:rsid w:val="00E32B7F"/>
    <w:rsid w:val="00E32BEF"/>
    <w:rsid w:val="00E335D7"/>
    <w:rsid w:val="00E340F2"/>
    <w:rsid w:val="00E356F7"/>
    <w:rsid w:val="00E35898"/>
    <w:rsid w:val="00E4081A"/>
    <w:rsid w:val="00E41295"/>
    <w:rsid w:val="00E413E9"/>
    <w:rsid w:val="00E41D13"/>
    <w:rsid w:val="00E432B1"/>
    <w:rsid w:val="00E46BEB"/>
    <w:rsid w:val="00E47EE7"/>
    <w:rsid w:val="00E502CC"/>
    <w:rsid w:val="00E50464"/>
    <w:rsid w:val="00E51FDC"/>
    <w:rsid w:val="00E5282E"/>
    <w:rsid w:val="00E52D26"/>
    <w:rsid w:val="00E5374E"/>
    <w:rsid w:val="00E55C9A"/>
    <w:rsid w:val="00E56FB8"/>
    <w:rsid w:val="00E5738A"/>
    <w:rsid w:val="00E579E3"/>
    <w:rsid w:val="00E6001A"/>
    <w:rsid w:val="00E603B3"/>
    <w:rsid w:val="00E613C5"/>
    <w:rsid w:val="00E625F2"/>
    <w:rsid w:val="00E65DF0"/>
    <w:rsid w:val="00E66446"/>
    <w:rsid w:val="00E66DCD"/>
    <w:rsid w:val="00E678A5"/>
    <w:rsid w:val="00E70001"/>
    <w:rsid w:val="00E700DF"/>
    <w:rsid w:val="00E7056F"/>
    <w:rsid w:val="00E707E1"/>
    <w:rsid w:val="00E70C96"/>
    <w:rsid w:val="00E71222"/>
    <w:rsid w:val="00E72A1D"/>
    <w:rsid w:val="00E74B25"/>
    <w:rsid w:val="00E757D6"/>
    <w:rsid w:val="00E76420"/>
    <w:rsid w:val="00E76B91"/>
    <w:rsid w:val="00E773FE"/>
    <w:rsid w:val="00E77FB4"/>
    <w:rsid w:val="00E808BD"/>
    <w:rsid w:val="00E81073"/>
    <w:rsid w:val="00E81D8D"/>
    <w:rsid w:val="00E825A0"/>
    <w:rsid w:val="00E8302E"/>
    <w:rsid w:val="00E83795"/>
    <w:rsid w:val="00E84D0C"/>
    <w:rsid w:val="00E85129"/>
    <w:rsid w:val="00E85623"/>
    <w:rsid w:val="00E85B1F"/>
    <w:rsid w:val="00E87235"/>
    <w:rsid w:val="00E8740B"/>
    <w:rsid w:val="00E876B0"/>
    <w:rsid w:val="00E87D77"/>
    <w:rsid w:val="00E87E54"/>
    <w:rsid w:val="00E905F2"/>
    <w:rsid w:val="00E90D4C"/>
    <w:rsid w:val="00E90EBD"/>
    <w:rsid w:val="00E91FA7"/>
    <w:rsid w:val="00E93C0F"/>
    <w:rsid w:val="00E948D2"/>
    <w:rsid w:val="00E96FF6"/>
    <w:rsid w:val="00E97F54"/>
    <w:rsid w:val="00EA174F"/>
    <w:rsid w:val="00EA24C3"/>
    <w:rsid w:val="00EA2944"/>
    <w:rsid w:val="00EA3F3D"/>
    <w:rsid w:val="00EA432B"/>
    <w:rsid w:val="00EA4628"/>
    <w:rsid w:val="00EA480C"/>
    <w:rsid w:val="00EA5D2F"/>
    <w:rsid w:val="00EA70F2"/>
    <w:rsid w:val="00EA77CA"/>
    <w:rsid w:val="00EB0060"/>
    <w:rsid w:val="00EB0CD6"/>
    <w:rsid w:val="00EB1D34"/>
    <w:rsid w:val="00EB2CEB"/>
    <w:rsid w:val="00EB2DC7"/>
    <w:rsid w:val="00EB33CA"/>
    <w:rsid w:val="00EB3AB2"/>
    <w:rsid w:val="00EB4B1C"/>
    <w:rsid w:val="00EB6934"/>
    <w:rsid w:val="00EB73A3"/>
    <w:rsid w:val="00EB76BF"/>
    <w:rsid w:val="00EB7D9A"/>
    <w:rsid w:val="00EC031F"/>
    <w:rsid w:val="00EC19E9"/>
    <w:rsid w:val="00EC40B4"/>
    <w:rsid w:val="00EC5099"/>
    <w:rsid w:val="00EC608C"/>
    <w:rsid w:val="00EC6634"/>
    <w:rsid w:val="00EC73AB"/>
    <w:rsid w:val="00EC7A81"/>
    <w:rsid w:val="00ED2197"/>
    <w:rsid w:val="00ED33E7"/>
    <w:rsid w:val="00ED435B"/>
    <w:rsid w:val="00ED530E"/>
    <w:rsid w:val="00ED5550"/>
    <w:rsid w:val="00ED5608"/>
    <w:rsid w:val="00ED5BA1"/>
    <w:rsid w:val="00ED5DE5"/>
    <w:rsid w:val="00ED63F1"/>
    <w:rsid w:val="00ED6D3E"/>
    <w:rsid w:val="00EE1650"/>
    <w:rsid w:val="00EE2962"/>
    <w:rsid w:val="00EE2DF3"/>
    <w:rsid w:val="00EE3089"/>
    <w:rsid w:val="00EE42F0"/>
    <w:rsid w:val="00EE4BAB"/>
    <w:rsid w:val="00EE533B"/>
    <w:rsid w:val="00EE5518"/>
    <w:rsid w:val="00EE6699"/>
    <w:rsid w:val="00EE7682"/>
    <w:rsid w:val="00EE79B4"/>
    <w:rsid w:val="00EF1B08"/>
    <w:rsid w:val="00EF206B"/>
    <w:rsid w:val="00EF251C"/>
    <w:rsid w:val="00EF4B90"/>
    <w:rsid w:val="00EF4C4B"/>
    <w:rsid w:val="00EF51F2"/>
    <w:rsid w:val="00EF5231"/>
    <w:rsid w:val="00EF60C3"/>
    <w:rsid w:val="00EF7A40"/>
    <w:rsid w:val="00EF7BD1"/>
    <w:rsid w:val="00F005B3"/>
    <w:rsid w:val="00F03209"/>
    <w:rsid w:val="00F04260"/>
    <w:rsid w:val="00F04F37"/>
    <w:rsid w:val="00F05533"/>
    <w:rsid w:val="00F05B8F"/>
    <w:rsid w:val="00F060D4"/>
    <w:rsid w:val="00F065C2"/>
    <w:rsid w:val="00F072C3"/>
    <w:rsid w:val="00F078C2"/>
    <w:rsid w:val="00F10766"/>
    <w:rsid w:val="00F10A32"/>
    <w:rsid w:val="00F10B66"/>
    <w:rsid w:val="00F1146D"/>
    <w:rsid w:val="00F12124"/>
    <w:rsid w:val="00F123C6"/>
    <w:rsid w:val="00F12614"/>
    <w:rsid w:val="00F14E66"/>
    <w:rsid w:val="00F158E5"/>
    <w:rsid w:val="00F17628"/>
    <w:rsid w:val="00F17A59"/>
    <w:rsid w:val="00F17FE2"/>
    <w:rsid w:val="00F20531"/>
    <w:rsid w:val="00F205BC"/>
    <w:rsid w:val="00F2147E"/>
    <w:rsid w:val="00F217A7"/>
    <w:rsid w:val="00F21E45"/>
    <w:rsid w:val="00F230B8"/>
    <w:rsid w:val="00F2339B"/>
    <w:rsid w:val="00F23815"/>
    <w:rsid w:val="00F24B6A"/>
    <w:rsid w:val="00F24C76"/>
    <w:rsid w:val="00F24FF5"/>
    <w:rsid w:val="00F2670E"/>
    <w:rsid w:val="00F2695E"/>
    <w:rsid w:val="00F27A03"/>
    <w:rsid w:val="00F31166"/>
    <w:rsid w:val="00F315C1"/>
    <w:rsid w:val="00F315F1"/>
    <w:rsid w:val="00F32997"/>
    <w:rsid w:val="00F332A7"/>
    <w:rsid w:val="00F336C9"/>
    <w:rsid w:val="00F33F56"/>
    <w:rsid w:val="00F342A4"/>
    <w:rsid w:val="00F3468D"/>
    <w:rsid w:val="00F34892"/>
    <w:rsid w:val="00F34B0F"/>
    <w:rsid w:val="00F36C6A"/>
    <w:rsid w:val="00F370B6"/>
    <w:rsid w:val="00F375C8"/>
    <w:rsid w:val="00F37A5E"/>
    <w:rsid w:val="00F404B0"/>
    <w:rsid w:val="00F42842"/>
    <w:rsid w:val="00F42ABC"/>
    <w:rsid w:val="00F42DAF"/>
    <w:rsid w:val="00F43D39"/>
    <w:rsid w:val="00F4688A"/>
    <w:rsid w:val="00F51175"/>
    <w:rsid w:val="00F521C9"/>
    <w:rsid w:val="00F53707"/>
    <w:rsid w:val="00F5489A"/>
    <w:rsid w:val="00F55B60"/>
    <w:rsid w:val="00F55FC3"/>
    <w:rsid w:val="00F567E8"/>
    <w:rsid w:val="00F569F1"/>
    <w:rsid w:val="00F56CC1"/>
    <w:rsid w:val="00F56E8F"/>
    <w:rsid w:val="00F60297"/>
    <w:rsid w:val="00F608E6"/>
    <w:rsid w:val="00F614A6"/>
    <w:rsid w:val="00F61F27"/>
    <w:rsid w:val="00F62BDE"/>
    <w:rsid w:val="00F63425"/>
    <w:rsid w:val="00F63A7F"/>
    <w:rsid w:val="00F64FD8"/>
    <w:rsid w:val="00F654D0"/>
    <w:rsid w:val="00F66AB9"/>
    <w:rsid w:val="00F66E89"/>
    <w:rsid w:val="00F67C47"/>
    <w:rsid w:val="00F705A1"/>
    <w:rsid w:val="00F709C0"/>
    <w:rsid w:val="00F71D8C"/>
    <w:rsid w:val="00F74BB6"/>
    <w:rsid w:val="00F74D36"/>
    <w:rsid w:val="00F75093"/>
    <w:rsid w:val="00F750CC"/>
    <w:rsid w:val="00F7536D"/>
    <w:rsid w:val="00F756EE"/>
    <w:rsid w:val="00F77C4E"/>
    <w:rsid w:val="00F77EB2"/>
    <w:rsid w:val="00F810B7"/>
    <w:rsid w:val="00F8223B"/>
    <w:rsid w:val="00F82B37"/>
    <w:rsid w:val="00F83408"/>
    <w:rsid w:val="00F83F84"/>
    <w:rsid w:val="00F84883"/>
    <w:rsid w:val="00F85DB1"/>
    <w:rsid w:val="00F8763F"/>
    <w:rsid w:val="00F90FA4"/>
    <w:rsid w:val="00F919A3"/>
    <w:rsid w:val="00F91A61"/>
    <w:rsid w:val="00F927A4"/>
    <w:rsid w:val="00F93722"/>
    <w:rsid w:val="00F95057"/>
    <w:rsid w:val="00F96699"/>
    <w:rsid w:val="00F966ED"/>
    <w:rsid w:val="00F96889"/>
    <w:rsid w:val="00F96E0D"/>
    <w:rsid w:val="00F96F8C"/>
    <w:rsid w:val="00FA0181"/>
    <w:rsid w:val="00FA01CD"/>
    <w:rsid w:val="00FA15A0"/>
    <w:rsid w:val="00FA18D4"/>
    <w:rsid w:val="00FA1A5D"/>
    <w:rsid w:val="00FA1AC0"/>
    <w:rsid w:val="00FA28AB"/>
    <w:rsid w:val="00FA3BE9"/>
    <w:rsid w:val="00FA3C0F"/>
    <w:rsid w:val="00FA42D0"/>
    <w:rsid w:val="00FA4388"/>
    <w:rsid w:val="00FA51C1"/>
    <w:rsid w:val="00FA5D23"/>
    <w:rsid w:val="00FA66F0"/>
    <w:rsid w:val="00FA6836"/>
    <w:rsid w:val="00FB0CE8"/>
    <w:rsid w:val="00FB11B4"/>
    <w:rsid w:val="00FB12EB"/>
    <w:rsid w:val="00FB2294"/>
    <w:rsid w:val="00FB3F8D"/>
    <w:rsid w:val="00FB60A5"/>
    <w:rsid w:val="00FC0556"/>
    <w:rsid w:val="00FC0D97"/>
    <w:rsid w:val="00FC1AD4"/>
    <w:rsid w:val="00FC24DF"/>
    <w:rsid w:val="00FC5E9F"/>
    <w:rsid w:val="00FC714E"/>
    <w:rsid w:val="00FC72D3"/>
    <w:rsid w:val="00FC763F"/>
    <w:rsid w:val="00FC7C2C"/>
    <w:rsid w:val="00FD0264"/>
    <w:rsid w:val="00FD029A"/>
    <w:rsid w:val="00FD06EA"/>
    <w:rsid w:val="00FD4E9D"/>
    <w:rsid w:val="00FD540B"/>
    <w:rsid w:val="00FD56BF"/>
    <w:rsid w:val="00FD5EF3"/>
    <w:rsid w:val="00FD6643"/>
    <w:rsid w:val="00FD6A44"/>
    <w:rsid w:val="00FD78CA"/>
    <w:rsid w:val="00FE0408"/>
    <w:rsid w:val="00FE1235"/>
    <w:rsid w:val="00FE1D7C"/>
    <w:rsid w:val="00FE21A4"/>
    <w:rsid w:val="00FE3A1B"/>
    <w:rsid w:val="00FF0FA7"/>
    <w:rsid w:val="00FF16EF"/>
    <w:rsid w:val="00FF2508"/>
    <w:rsid w:val="00FF3937"/>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02EF"/>
  <w15:chartTrackingRefBased/>
  <w15:docId w15:val="{1331D05B-BE5E-406A-A423-BD59A76D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B16"/>
    <w:pPr>
      <w:spacing w:after="200" w:line="276" w:lineRule="auto"/>
    </w:pPr>
  </w:style>
  <w:style w:type="paragraph" w:styleId="Heading1">
    <w:name w:val="heading 1"/>
    <w:basedOn w:val="Normal"/>
    <w:link w:val="Heading1Char"/>
    <w:uiPriority w:val="9"/>
    <w:qFormat/>
    <w:rsid w:val="005648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1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48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B16"/>
    <w:pPr>
      <w:ind w:left="720"/>
      <w:contextualSpacing/>
    </w:pPr>
  </w:style>
  <w:style w:type="paragraph" w:styleId="Header">
    <w:name w:val="header"/>
    <w:basedOn w:val="Normal"/>
    <w:link w:val="HeaderChar"/>
    <w:uiPriority w:val="99"/>
    <w:unhideWhenUsed/>
    <w:rsid w:val="00763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B16"/>
  </w:style>
  <w:style w:type="paragraph" w:styleId="Footer">
    <w:name w:val="footer"/>
    <w:basedOn w:val="Normal"/>
    <w:link w:val="FooterChar"/>
    <w:uiPriority w:val="99"/>
    <w:unhideWhenUsed/>
    <w:rsid w:val="00763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B16"/>
  </w:style>
  <w:style w:type="paragraph" w:styleId="FootnoteText">
    <w:name w:val="footnote text"/>
    <w:basedOn w:val="Normal"/>
    <w:link w:val="FootnoteTextChar"/>
    <w:uiPriority w:val="99"/>
    <w:semiHidden/>
    <w:unhideWhenUsed/>
    <w:rsid w:val="00763B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B16"/>
    <w:rPr>
      <w:sz w:val="20"/>
      <w:szCs w:val="20"/>
    </w:rPr>
  </w:style>
  <w:style w:type="character" w:styleId="FootnoteReference">
    <w:name w:val="footnote reference"/>
    <w:basedOn w:val="DefaultParagraphFont"/>
    <w:uiPriority w:val="99"/>
    <w:semiHidden/>
    <w:unhideWhenUsed/>
    <w:rsid w:val="00763B16"/>
    <w:rPr>
      <w:vertAlign w:val="superscript"/>
    </w:rPr>
  </w:style>
  <w:style w:type="paragraph" w:customStyle="1" w:styleId="Default">
    <w:name w:val="Default"/>
    <w:rsid w:val="00763B1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63B16"/>
    <w:rPr>
      <w:color w:val="0563C1" w:themeColor="hyperlink"/>
      <w:u w:val="single"/>
    </w:rPr>
  </w:style>
  <w:style w:type="table" w:styleId="TableGrid">
    <w:name w:val="Table Grid"/>
    <w:basedOn w:val="TableNormal"/>
    <w:uiPriority w:val="39"/>
    <w:rsid w:val="00763B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63B16"/>
    <w:rPr>
      <w:sz w:val="16"/>
      <w:szCs w:val="16"/>
    </w:rPr>
  </w:style>
  <w:style w:type="paragraph" w:styleId="CommentText">
    <w:name w:val="annotation text"/>
    <w:basedOn w:val="Normal"/>
    <w:link w:val="CommentTextChar"/>
    <w:uiPriority w:val="99"/>
    <w:semiHidden/>
    <w:unhideWhenUsed/>
    <w:rsid w:val="00763B16"/>
    <w:pPr>
      <w:spacing w:line="240" w:lineRule="auto"/>
    </w:pPr>
    <w:rPr>
      <w:sz w:val="20"/>
      <w:szCs w:val="20"/>
    </w:rPr>
  </w:style>
  <w:style w:type="character" w:customStyle="1" w:styleId="CommentTextChar">
    <w:name w:val="Comment Text Char"/>
    <w:basedOn w:val="DefaultParagraphFont"/>
    <w:link w:val="CommentText"/>
    <w:uiPriority w:val="99"/>
    <w:semiHidden/>
    <w:rsid w:val="00763B16"/>
    <w:rPr>
      <w:sz w:val="20"/>
      <w:szCs w:val="20"/>
    </w:rPr>
  </w:style>
  <w:style w:type="paragraph" w:styleId="CommentSubject">
    <w:name w:val="annotation subject"/>
    <w:basedOn w:val="CommentText"/>
    <w:next w:val="CommentText"/>
    <w:link w:val="CommentSubjectChar"/>
    <w:uiPriority w:val="99"/>
    <w:semiHidden/>
    <w:unhideWhenUsed/>
    <w:rsid w:val="00763B16"/>
    <w:rPr>
      <w:b/>
      <w:bCs/>
    </w:rPr>
  </w:style>
  <w:style w:type="character" w:customStyle="1" w:styleId="CommentSubjectChar">
    <w:name w:val="Comment Subject Char"/>
    <w:basedOn w:val="CommentTextChar"/>
    <w:link w:val="CommentSubject"/>
    <w:uiPriority w:val="99"/>
    <w:semiHidden/>
    <w:rsid w:val="00763B16"/>
    <w:rPr>
      <w:b/>
      <w:bCs/>
      <w:sz w:val="20"/>
      <w:szCs w:val="20"/>
    </w:rPr>
  </w:style>
  <w:style w:type="paragraph" w:styleId="BalloonText">
    <w:name w:val="Balloon Text"/>
    <w:basedOn w:val="Normal"/>
    <w:link w:val="BalloonTextChar"/>
    <w:uiPriority w:val="99"/>
    <w:semiHidden/>
    <w:unhideWhenUsed/>
    <w:rsid w:val="00763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16"/>
    <w:rPr>
      <w:rFonts w:ascii="Tahoma" w:hAnsi="Tahoma" w:cs="Tahoma"/>
      <w:sz w:val="16"/>
      <w:szCs w:val="16"/>
    </w:rPr>
  </w:style>
  <w:style w:type="paragraph" w:styleId="Revision">
    <w:name w:val="Revision"/>
    <w:hidden/>
    <w:uiPriority w:val="99"/>
    <w:semiHidden/>
    <w:rsid w:val="00763B16"/>
    <w:pPr>
      <w:spacing w:after="0" w:line="240" w:lineRule="auto"/>
    </w:pPr>
  </w:style>
  <w:style w:type="character" w:styleId="Emphasis">
    <w:name w:val="Emphasis"/>
    <w:basedOn w:val="DefaultParagraphFont"/>
    <w:uiPriority w:val="20"/>
    <w:qFormat/>
    <w:rsid w:val="00763B16"/>
    <w:rPr>
      <w:i/>
      <w:iCs/>
    </w:rPr>
  </w:style>
  <w:style w:type="character" w:customStyle="1" w:styleId="apple-converted-space">
    <w:name w:val="apple-converted-space"/>
    <w:basedOn w:val="DefaultParagraphFont"/>
    <w:rsid w:val="00763B16"/>
  </w:style>
  <w:style w:type="table" w:styleId="PlainTable2">
    <w:name w:val="Plain Table 2"/>
    <w:basedOn w:val="TableNormal"/>
    <w:uiPriority w:val="42"/>
    <w:rsid w:val="00F927A4"/>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56483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56483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1E1E9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E1E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1E1E9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217BD"/>
    <w:pPr>
      <w:spacing w:line="240" w:lineRule="auto"/>
    </w:pPr>
    <w:rPr>
      <w:i/>
      <w:iCs/>
      <w:color w:val="44546A" w:themeColor="text2"/>
      <w:sz w:val="18"/>
      <w:szCs w:val="18"/>
    </w:rPr>
  </w:style>
  <w:style w:type="character" w:styleId="PlaceholderText">
    <w:name w:val="Placeholder Text"/>
    <w:basedOn w:val="DefaultParagraphFont"/>
    <w:uiPriority w:val="99"/>
    <w:semiHidden/>
    <w:rsid w:val="00152724"/>
    <w:rPr>
      <w:color w:val="808080"/>
    </w:rPr>
  </w:style>
  <w:style w:type="paragraph" w:styleId="Bibliography">
    <w:name w:val="Bibliography"/>
    <w:basedOn w:val="Normal"/>
    <w:next w:val="Normal"/>
    <w:uiPriority w:val="37"/>
    <w:unhideWhenUsed/>
    <w:rsid w:val="0082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820">
      <w:bodyDiv w:val="1"/>
      <w:marLeft w:val="0"/>
      <w:marRight w:val="0"/>
      <w:marTop w:val="0"/>
      <w:marBottom w:val="0"/>
      <w:divBdr>
        <w:top w:val="none" w:sz="0" w:space="0" w:color="auto"/>
        <w:left w:val="none" w:sz="0" w:space="0" w:color="auto"/>
        <w:bottom w:val="none" w:sz="0" w:space="0" w:color="auto"/>
        <w:right w:val="none" w:sz="0" w:space="0" w:color="auto"/>
      </w:divBdr>
    </w:div>
    <w:div w:id="63842238">
      <w:bodyDiv w:val="1"/>
      <w:marLeft w:val="0"/>
      <w:marRight w:val="0"/>
      <w:marTop w:val="0"/>
      <w:marBottom w:val="0"/>
      <w:divBdr>
        <w:top w:val="none" w:sz="0" w:space="0" w:color="auto"/>
        <w:left w:val="none" w:sz="0" w:space="0" w:color="auto"/>
        <w:bottom w:val="none" w:sz="0" w:space="0" w:color="auto"/>
        <w:right w:val="none" w:sz="0" w:space="0" w:color="auto"/>
      </w:divBdr>
    </w:div>
    <w:div w:id="110590754">
      <w:bodyDiv w:val="1"/>
      <w:marLeft w:val="0"/>
      <w:marRight w:val="0"/>
      <w:marTop w:val="0"/>
      <w:marBottom w:val="0"/>
      <w:divBdr>
        <w:top w:val="none" w:sz="0" w:space="0" w:color="auto"/>
        <w:left w:val="none" w:sz="0" w:space="0" w:color="auto"/>
        <w:bottom w:val="none" w:sz="0" w:space="0" w:color="auto"/>
        <w:right w:val="none" w:sz="0" w:space="0" w:color="auto"/>
      </w:divBdr>
    </w:div>
    <w:div w:id="113671894">
      <w:bodyDiv w:val="1"/>
      <w:marLeft w:val="0"/>
      <w:marRight w:val="0"/>
      <w:marTop w:val="0"/>
      <w:marBottom w:val="0"/>
      <w:divBdr>
        <w:top w:val="none" w:sz="0" w:space="0" w:color="auto"/>
        <w:left w:val="none" w:sz="0" w:space="0" w:color="auto"/>
        <w:bottom w:val="none" w:sz="0" w:space="0" w:color="auto"/>
        <w:right w:val="none" w:sz="0" w:space="0" w:color="auto"/>
      </w:divBdr>
    </w:div>
    <w:div w:id="140659291">
      <w:bodyDiv w:val="1"/>
      <w:marLeft w:val="0"/>
      <w:marRight w:val="0"/>
      <w:marTop w:val="0"/>
      <w:marBottom w:val="0"/>
      <w:divBdr>
        <w:top w:val="none" w:sz="0" w:space="0" w:color="auto"/>
        <w:left w:val="none" w:sz="0" w:space="0" w:color="auto"/>
        <w:bottom w:val="none" w:sz="0" w:space="0" w:color="auto"/>
        <w:right w:val="none" w:sz="0" w:space="0" w:color="auto"/>
      </w:divBdr>
    </w:div>
    <w:div w:id="166673489">
      <w:bodyDiv w:val="1"/>
      <w:marLeft w:val="0"/>
      <w:marRight w:val="0"/>
      <w:marTop w:val="0"/>
      <w:marBottom w:val="0"/>
      <w:divBdr>
        <w:top w:val="none" w:sz="0" w:space="0" w:color="auto"/>
        <w:left w:val="none" w:sz="0" w:space="0" w:color="auto"/>
        <w:bottom w:val="none" w:sz="0" w:space="0" w:color="auto"/>
        <w:right w:val="none" w:sz="0" w:space="0" w:color="auto"/>
      </w:divBdr>
    </w:div>
    <w:div w:id="186867904">
      <w:bodyDiv w:val="1"/>
      <w:marLeft w:val="0"/>
      <w:marRight w:val="0"/>
      <w:marTop w:val="0"/>
      <w:marBottom w:val="0"/>
      <w:divBdr>
        <w:top w:val="none" w:sz="0" w:space="0" w:color="auto"/>
        <w:left w:val="none" w:sz="0" w:space="0" w:color="auto"/>
        <w:bottom w:val="none" w:sz="0" w:space="0" w:color="auto"/>
        <w:right w:val="none" w:sz="0" w:space="0" w:color="auto"/>
      </w:divBdr>
    </w:div>
    <w:div w:id="193809881">
      <w:bodyDiv w:val="1"/>
      <w:marLeft w:val="0"/>
      <w:marRight w:val="0"/>
      <w:marTop w:val="0"/>
      <w:marBottom w:val="0"/>
      <w:divBdr>
        <w:top w:val="none" w:sz="0" w:space="0" w:color="auto"/>
        <w:left w:val="none" w:sz="0" w:space="0" w:color="auto"/>
        <w:bottom w:val="none" w:sz="0" w:space="0" w:color="auto"/>
        <w:right w:val="none" w:sz="0" w:space="0" w:color="auto"/>
      </w:divBdr>
    </w:div>
    <w:div w:id="213735014">
      <w:bodyDiv w:val="1"/>
      <w:marLeft w:val="0"/>
      <w:marRight w:val="0"/>
      <w:marTop w:val="0"/>
      <w:marBottom w:val="0"/>
      <w:divBdr>
        <w:top w:val="none" w:sz="0" w:space="0" w:color="auto"/>
        <w:left w:val="none" w:sz="0" w:space="0" w:color="auto"/>
        <w:bottom w:val="none" w:sz="0" w:space="0" w:color="auto"/>
        <w:right w:val="none" w:sz="0" w:space="0" w:color="auto"/>
      </w:divBdr>
    </w:div>
    <w:div w:id="236982350">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274295309">
      <w:bodyDiv w:val="1"/>
      <w:marLeft w:val="0"/>
      <w:marRight w:val="0"/>
      <w:marTop w:val="0"/>
      <w:marBottom w:val="0"/>
      <w:divBdr>
        <w:top w:val="none" w:sz="0" w:space="0" w:color="auto"/>
        <w:left w:val="none" w:sz="0" w:space="0" w:color="auto"/>
        <w:bottom w:val="none" w:sz="0" w:space="0" w:color="auto"/>
        <w:right w:val="none" w:sz="0" w:space="0" w:color="auto"/>
      </w:divBdr>
    </w:div>
    <w:div w:id="329603915">
      <w:bodyDiv w:val="1"/>
      <w:marLeft w:val="0"/>
      <w:marRight w:val="0"/>
      <w:marTop w:val="0"/>
      <w:marBottom w:val="0"/>
      <w:divBdr>
        <w:top w:val="none" w:sz="0" w:space="0" w:color="auto"/>
        <w:left w:val="none" w:sz="0" w:space="0" w:color="auto"/>
        <w:bottom w:val="none" w:sz="0" w:space="0" w:color="auto"/>
        <w:right w:val="none" w:sz="0" w:space="0" w:color="auto"/>
      </w:divBdr>
    </w:div>
    <w:div w:id="368997504">
      <w:bodyDiv w:val="1"/>
      <w:marLeft w:val="0"/>
      <w:marRight w:val="0"/>
      <w:marTop w:val="0"/>
      <w:marBottom w:val="0"/>
      <w:divBdr>
        <w:top w:val="none" w:sz="0" w:space="0" w:color="auto"/>
        <w:left w:val="none" w:sz="0" w:space="0" w:color="auto"/>
        <w:bottom w:val="none" w:sz="0" w:space="0" w:color="auto"/>
        <w:right w:val="none" w:sz="0" w:space="0" w:color="auto"/>
      </w:divBdr>
    </w:div>
    <w:div w:id="371733064">
      <w:bodyDiv w:val="1"/>
      <w:marLeft w:val="0"/>
      <w:marRight w:val="0"/>
      <w:marTop w:val="0"/>
      <w:marBottom w:val="0"/>
      <w:divBdr>
        <w:top w:val="none" w:sz="0" w:space="0" w:color="auto"/>
        <w:left w:val="none" w:sz="0" w:space="0" w:color="auto"/>
        <w:bottom w:val="none" w:sz="0" w:space="0" w:color="auto"/>
        <w:right w:val="none" w:sz="0" w:space="0" w:color="auto"/>
      </w:divBdr>
    </w:div>
    <w:div w:id="479348995">
      <w:bodyDiv w:val="1"/>
      <w:marLeft w:val="0"/>
      <w:marRight w:val="0"/>
      <w:marTop w:val="0"/>
      <w:marBottom w:val="0"/>
      <w:divBdr>
        <w:top w:val="none" w:sz="0" w:space="0" w:color="auto"/>
        <w:left w:val="none" w:sz="0" w:space="0" w:color="auto"/>
        <w:bottom w:val="none" w:sz="0" w:space="0" w:color="auto"/>
        <w:right w:val="none" w:sz="0" w:space="0" w:color="auto"/>
      </w:divBdr>
    </w:div>
    <w:div w:id="484126478">
      <w:bodyDiv w:val="1"/>
      <w:marLeft w:val="0"/>
      <w:marRight w:val="0"/>
      <w:marTop w:val="0"/>
      <w:marBottom w:val="0"/>
      <w:divBdr>
        <w:top w:val="none" w:sz="0" w:space="0" w:color="auto"/>
        <w:left w:val="none" w:sz="0" w:space="0" w:color="auto"/>
        <w:bottom w:val="none" w:sz="0" w:space="0" w:color="auto"/>
        <w:right w:val="none" w:sz="0" w:space="0" w:color="auto"/>
      </w:divBdr>
    </w:div>
    <w:div w:id="549389528">
      <w:bodyDiv w:val="1"/>
      <w:marLeft w:val="0"/>
      <w:marRight w:val="0"/>
      <w:marTop w:val="0"/>
      <w:marBottom w:val="0"/>
      <w:divBdr>
        <w:top w:val="none" w:sz="0" w:space="0" w:color="auto"/>
        <w:left w:val="none" w:sz="0" w:space="0" w:color="auto"/>
        <w:bottom w:val="none" w:sz="0" w:space="0" w:color="auto"/>
        <w:right w:val="none" w:sz="0" w:space="0" w:color="auto"/>
      </w:divBdr>
    </w:div>
    <w:div w:id="553274798">
      <w:bodyDiv w:val="1"/>
      <w:marLeft w:val="0"/>
      <w:marRight w:val="0"/>
      <w:marTop w:val="0"/>
      <w:marBottom w:val="0"/>
      <w:divBdr>
        <w:top w:val="none" w:sz="0" w:space="0" w:color="auto"/>
        <w:left w:val="none" w:sz="0" w:space="0" w:color="auto"/>
        <w:bottom w:val="none" w:sz="0" w:space="0" w:color="auto"/>
        <w:right w:val="none" w:sz="0" w:space="0" w:color="auto"/>
      </w:divBdr>
    </w:div>
    <w:div w:id="584801769">
      <w:bodyDiv w:val="1"/>
      <w:marLeft w:val="0"/>
      <w:marRight w:val="0"/>
      <w:marTop w:val="0"/>
      <w:marBottom w:val="0"/>
      <w:divBdr>
        <w:top w:val="none" w:sz="0" w:space="0" w:color="auto"/>
        <w:left w:val="none" w:sz="0" w:space="0" w:color="auto"/>
        <w:bottom w:val="none" w:sz="0" w:space="0" w:color="auto"/>
        <w:right w:val="none" w:sz="0" w:space="0" w:color="auto"/>
      </w:divBdr>
    </w:div>
    <w:div w:id="588272781">
      <w:bodyDiv w:val="1"/>
      <w:marLeft w:val="0"/>
      <w:marRight w:val="0"/>
      <w:marTop w:val="0"/>
      <w:marBottom w:val="0"/>
      <w:divBdr>
        <w:top w:val="none" w:sz="0" w:space="0" w:color="auto"/>
        <w:left w:val="none" w:sz="0" w:space="0" w:color="auto"/>
        <w:bottom w:val="none" w:sz="0" w:space="0" w:color="auto"/>
        <w:right w:val="none" w:sz="0" w:space="0" w:color="auto"/>
      </w:divBdr>
    </w:div>
    <w:div w:id="626818050">
      <w:bodyDiv w:val="1"/>
      <w:marLeft w:val="0"/>
      <w:marRight w:val="0"/>
      <w:marTop w:val="0"/>
      <w:marBottom w:val="0"/>
      <w:divBdr>
        <w:top w:val="none" w:sz="0" w:space="0" w:color="auto"/>
        <w:left w:val="none" w:sz="0" w:space="0" w:color="auto"/>
        <w:bottom w:val="none" w:sz="0" w:space="0" w:color="auto"/>
        <w:right w:val="none" w:sz="0" w:space="0" w:color="auto"/>
      </w:divBdr>
    </w:div>
    <w:div w:id="632713614">
      <w:bodyDiv w:val="1"/>
      <w:marLeft w:val="0"/>
      <w:marRight w:val="0"/>
      <w:marTop w:val="0"/>
      <w:marBottom w:val="0"/>
      <w:divBdr>
        <w:top w:val="none" w:sz="0" w:space="0" w:color="auto"/>
        <w:left w:val="none" w:sz="0" w:space="0" w:color="auto"/>
        <w:bottom w:val="none" w:sz="0" w:space="0" w:color="auto"/>
        <w:right w:val="none" w:sz="0" w:space="0" w:color="auto"/>
      </w:divBdr>
    </w:div>
    <w:div w:id="661930565">
      <w:bodyDiv w:val="1"/>
      <w:marLeft w:val="0"/>
      <w:marRight w:val="0"/>
      <w:marTop w:val="0"/>
      <w:marBottom w:val="0"/>
      <w:divBdr>
        <w:top w:val="none" w:sz="0" w:space="0" w:color="auto"/>
        <w:left w:val="none" w:sz="0" w:space="0" w:color="auto"/>
        <w:bottom w:val="none" w:sz="0" w:space="0" w:color="auto"/>
        <w:right w:val="none" w:sz="0" w:space="0" w:color="auto"/>
      </w:divBdr>
    </w:div>
    <w:div w:id="671445530">
      <w:bodyDiv w:val="1"/>
      <w:marLeft w:val="0"/>
      <w:marRight w:val="0"/>
      <w:marTop w:val="0"/>
      <w:marBottom w:val="0"/>
      <w:divBdr>
        <w:top w:val="none" w:sz="0" w:space="0" w:color="auto"/>
        <w:left w:val="none" w:sz="0" w:space="0" w:color="auto"/>
        <w:bottom w:val="none" w:sz="0" w:space="0" w:color="auto"/>
        <w:right w:val="none" w:sz="0" w:space="0" w:color="auto"/>
      </w:divBdr>
    </w:div>
    <w:div w:id="702750159">
      <w:bodyDiv w:val="1"/>
      <w:marLeft w:val="0"/>
      <w:marRight w:val="0"/>
      <w:marTop w:val="0"/>
      <w:marBottom w:val="0"/>
      <w:divBdr>
        <w:top w:val="none" w:sz="0" w:space="0" w:color="auto"/>
        <w:left w:val="none" w:sz="0" w:space="0" w:color="auto"/>
        <w:bottom w:val="none" w:sz="0" w:space="0" w:color="auto"/>
        <w:right w:val="none" w:sz="0" w:space="0" w:color="auto"/>
      </w:divBdr>
    </w:div>
    <w:div w:id="743795002">
      <w:bodyDiv w:val="1"/>
      <w:marLeft w:val="0"/>
      <w:marRight w:val="0"/>
      <w:marTop w:val="0"/>
      <w:marBottom w:val="0"/>
      <w:divBdr>
        <w:top w:val="none" w:sz="0" w:space="0" w:color="auto"/>
        <w:left w:val="none" w:sz="0" w:space="0" w:color="auto"/>
        <w:bottom w:val="none" w:sz="0" w:space="0" w:color="auto"/>
        <w:right w:val="none" w:sz="0" w:space="0" w:color="auto"/>
      </w:divBdr>
    </w:div>
    <w:div w:id="757604672">
      <w:bodyDiv w:val="1"/>
      <w:marLeft w:val="0"/>
      <w:marRight w:val="0"/>
      <w:marTop w:val="0"/>
      <w:marBottom w:val="0"/>
      <w:divBdr>
        <w:top w:val="none" w:sz="0" w:space="0" w:color="auto"/>
        <w:left w:val="none" w:sz="0" w:space="0" w:color="auto"/>
        <w:bottom w:val="none" w:sz="0" w:space="0" w:color="auto"/>
        <w:right w:val="none" w:sz="0" w:space="0" w:color="auto"/>
      </w:divBdr>
    </w:div>
    <w:div w:id="820150122">
      <w:bodyDiv w:val="1"/>
      <w:marLeft w:val="0"/>
      <w:marRight w:val="0"/>
      <w:marTop w:val="0"/>
      <w:marBottom w:val="0"/>
      <w:divBdr>
        <w:top w:val="none" w:sz="0" w:space="0" w:color="auto"/>
        <w:left w:val="none" w:sz="0" w:space="0" w:color="auto"/>
        <w:bottom w:val="none" w:sz="0" w:space="0" w:color="auto"/>
        <w:right w:val="none" w:sz="0" w:space="0" w:color="auto"/>
      </w:divBdr>
    </w:div>
    <w:div w:id="827133371">
      <w:bodyDiv w:val="1"/>
      <w:marLeft w:val="0"/>
      <w:marRight w:val="0"/>
      <w:marTop w:val="0"/>
      <w:marBottom w:val="0"/>
      <w:divBdr>
        <w:top w:val="none" w:sz="0" w:space="0" w:color="auto"/>
        <w:left w:val="none" w:sz="0" w:space="0" w:color="auto"/>
        <w:bottom w:val="none" w:sz="0" w:space="0" w:color="auto"/>
        <w:right w:val="none" w:sz="0" w:space="0" w:color="auto"/>
      </w:divBdr>
    </w:div>
    <w:div w:id="830413137">
      <w:bodyDiv w:val="1"/>
      <w:marLeft w:val="0"/>
      <w:marRight w:val="0"/>
      <w:marTop w:val="0"/>
      <w:marBottom w:val="0"/>
      <w:divBdr>
        <w:top w:val="none" w:sz="0" w:space="0" w:color="auto"/>
        <w:left w:val="none" w:sz="0" w:space="0" w:color="auto"/>
        <w:bottom w:val="none" w:sz="0" w:space="0" w:color="auto"/>
        <w:right w:val="none" w:sz="0" w:space="0" w:color="auto"/>
      </w:divBdr>
    </w:div>
    <w:div w:id="838811067">
      <w:bodyDiv w:val="1"/>
      <w:marLeft w:val="0"/>
      <w:marRight w:val="0"/>
      <w:marTop w:val="0"/>
      <w:marBottom w:val="0"/>
      <w:divBdr>
        <w:top w:val="none" w:sz="0" w:space="0" w:color="auto"/>
        <w:left w:val="none" w:sz="0" w:space="0" w:color="auto"/>
        <w:bottom w:val="none" w:sz="0" w:space="0" w:color="auto"/>
        <w:right w:val="none" w:sz="0" w:space="0" w:color="auto"/>
      </w:divBdr>
    </w:div>
    <w:div w:id="897666347">
      <w:bodyDiv w:val="1"/>
      <w:marLeft w:val="0"/>
      <w:marRight w:val="0"/>
      <w:marTop w:val="0"/>
      <w:marBottom w:val="0"/>
      <w:divBdr>
        <w:top w:val="none" w:sz="0" w:space="0" w:color="auto"/>
        <w:left w:val="none" w:sz="0" w:space="0" w:color="auto"/>
        <w:bottom w:val="none" w:sz="0" w:space="0" w:color="auto"/>
        <w:right w:val="none" w:sz="0" w:space="0" w:color="auto"/>
      </w:divBdr>
    </w:div>
    <w:div w:id="905844019">
      <w:bodyDiv w:val="1"/>
      <w:marLeft w:val="0"/>
      <w:marRight w:val="0"/>
      <w:marTop w:val="0"/>
      <w:marBottom w:val="0"/>
      <w:divBdr>
        <w:top w:val="none" w:sz="0" w:space="0" w:color="auto"/>
        <w:left w:val="none" w:sz="0" w:space="0" w:color="auto"/>
        <w:bottom w:val="none" w:sz="0" w:space="0" w:color="auto"/>
        <w:right w:val="none" w:sz="0" w:space="0" w:color="auto"/>
      </w:divBdr>
    </w:div>
    <w:div w:id="912005937">
      <w:bodyDiv w:val="1"/>
      <w:marLeft w:val="0"/>
      <w:marRight w:val="0"/>
      <w:marTop w:val="0"/>
      <w:marBottom w:val="0"/>
      <w:divBdr>
        <w:top w:val="none" w:sz="0" w:space="0" w:color="auto"/>
        <w:left w:val="none" w:sz="0" w:space="0" w:color="auto"/>
        <w:bottom w:val="none" w:sz="0" w:space="0" w:color="auto"/>
        <w:right w:val="none" w:sz="0" w:space="0" w:color="auto"/>
      </w:divBdr>
    </w:div>
    <w:div w:id="929042341">
      <w:bodyDiv w:val="1"/>
      <w:marLeft w:val="0"/>
      <w:marRight w:val="0"/>
      <w:marTop w:val="0"/>
      <w:marBottom w:val="0"/>
      <w:divBdr>
        <w:top w:val="none" w:sz="0" w:space="0" w:color="auto"/>
        <w:left w:val="none" w:sz="0" w:space="0" w:color="auto"/>
        <w:bottom w:val="none" w:sz="0" w:space="0" w:color="auto"/>
        <w:right w:val="none" w:sz="0" w:space="0" w:color="auto"/>
      </w:divBdr>
    </w:div>
    <w:div w:id="935988635">
      <w:bodyDiv w:val="1"/>
      <w:marLeft w:val="0"/>
      <w:marRight w:val="0"/>
      <w:marTop w:val="0"/>
      <w:marBottom w:val="0"/>
      <w:divBdr>
        <w:top w:val="none" w:sz="0" w:space="0" w:color="auto"/>
        <w:left w:val="none" w:sz="0" w:space="0" w:color="auto"/>
        <w:bottom w:val="none" w:sz="0" w:space="0" w:color="auto"/>
        <w:right w:val="none" w:sz="0" w:space="0" w:color="auto"/>
      </w:divBdr>
    </w:div>
    <w:div w:id="957221475">
      <w:bodyDiv w:val="1"/>
      <w:marLeft w:val="0"/>
      <w:marRight w:val="0"/>
      <w:marTop w:val="0"/>
      <w:marBottom w:val="0"/>
      <w:divBdr>
        <w:top w:val="none" w:sz="0" w:space="0" w:color="auto"/>
        <w:left w:val="none" w:sz="0" w:space="0" w:color="auto"/>
        <w:bottom w:val="none" w:sz="0" w:space="0" w:color="auto"/>
        <w:right w:val="none" w:sz="0" w:space="0" w:color="auto"/>
      </w:divBdr>
    </w:div>
    <w:div w:id="996809516">
      <w:bodyDiv w:val="1"/>
      <w:marLeft w:val="0"/>
      <w:marRight w:val="0"/>
      <w:marTop w:val="0"/>
      <w:marBottom w:val="0"/>
      <w:divBdr>
        <w:top w:val="none" w:sz="0" w:space="0" w:color="auto"/>
        <w:left w:val="none" w:sz="0" w:space="0" w:color="auto"/>
        <w:bottom w:val="none" w:sz="0" w:space="0" w:color="auto"/>
        <w:right w:val="none" w:sz="0" w:space="0" w:color="auto"/>
      </w:divBdr>
      <w:divsChild>
        <w:div w:id="375353840">
          <w:marLeft w:val="0"/>
          <w:marRight w:val="0"/>
          <w:marTop w:val="0"/>
          <w:marBottom w:val="0"/>
          <w:divBdr>
            <w:top w:val="none" w:sz="0" w:space="0" w:color="auto"/>
            <w:left w:val="none" w:sz="0" w:space="0" w:color="auto"/>
            <w:bottom w:val="none" w:sz="0" w:space="0" w:color="auto"/>
            <w:right w:val="none" w:sz="0" w:space="0" w:color="auto"/>
          </w:divBdr>
        </w:div>
        <w:div w:id="1932161476">
          <w:marLeft w:val="0"/>
          <w:marRight w:val="0"/>
          <w:marTop w:val="0"/>
          <w:marBottom w:val="195"/>
          <w:divBdr>
            <w:top w:val="none" w:sz="0" w:space="0" w:color="auto"/>
            <w:left w:val="none" w:sz="0" w:space="0" w:color="auto"/>
            <w:bottom w:val="none" w:sz="0" w:space="0" w:color="auto"/>
            <w:right w:val="none" w:sz="0" w:space="0" w:color="auto"/>
          </w:divBdr>
        </w:div>
      </w:divsChild>
    </w:div>
    <w:div w:id="1000814861">
      <w:bodyDiv w:val="1"/>
      <w:marLeft w:val="0"/>
      <w:marRight w:val="0"/>
      <w:marTop w:val="0"/>
      <w:marBottom w:val="0"/>
      <w:divBdr>
        <w:top w:val="none" w:sz="0" w:space="0" w:color="auto"/>
        <w:left w:val="none" w:sz="0" w:space="0" w:color="auto"/>
        <w:bottom w:val="none" w:sz="0" w:space="0" w:color="auto"/>
        <w:right w:val="none" w:sz="0" w:space="0" w:color="auto"/>
      </w:divBdr>
    </w:div>
    <w:div w:id="1027020331">
      <w:bodyDiv w:val="1"/>
      <w:marLeft w:val="0"/>
      <w:marRight w:val="0"/>
      <w:marTop w:val="0"/>
      <w:marBottom w:val="0"/>
      <w:divBdr>
        <w:top w:val="none" w:sz="0" w:space="0" w:color="auto"/>
        <w:left w:val="none" w:sz="0" w:space="0" w:color="auto"/>
        <w:bottom w:val="none" w:sz="0" w:space="0" w:color="auto"/>
        <w:right w:val="none" w:sz="0" w:space="0" w:color="auto"/>
      </w:divBdr>
    </w:div>
    <w:div w:id="1077896609">
      <w:bodyDiv w:val="1"/>
      <w:marLeft w:val="0"/>
      <w:marRight w:val="0"/>
      <w:marTop w:val="0"/>
      <w:marBottom w:val="0"/>
      <w:divBdr>
        <w:top w:val="none" w:sz="0" w:space="0" w:color="auto"/>
        <w:left w:val="none" w:sz="0" w:space="0" w:color="auto"/>
        <w:bottom w:val="none" w:sz="0" w:space="0" w:color="auto"/>
        <w:right w:val="none" w:sz="0" w:space="0" w:color="auto"/>
      </w:divBdr>
    </w:div>
    <w:div w:id="1117985322">
      <w:bodyDiv w:val="1"/>
      <w:marLeft w:val="0"/>
      <w:marRight w:val="0"/>
      <w:marTop w:val="0"/>
      <w:marBottom w:val="0"/>
      <w:divBdr>
        <w:top w:val="none" w:sz="0" w:space="0" w:color="auto"/>
        <w:left w:val="none" w:sz="0" w:space="0" w:color="auto"/>
        <w:bottom w:val="none" w:sz="0" w:space="0" w:color="auto"/>
        <w:right w:val="none" w:sz="0" w:space="0" w:color="auto"/>
      </w:divBdr>
    </w:div>
    <w:div w:id="1121726607">
      <w:bodyDiv w:val="1"/>
      <w:marLeft w:val="0"/>
      <w:marRight w:val="0"/>
      <w:marTop w:val="0"/>
      <w:marBottom w:val="0"/>
      <w:divBdr>
        <w:top w:val="none" w:sz="0" w:space="0" w:color="auto"/>
        <w:left w:val="none" w:sz="0" w:space="0" w:color="auto"/>
        <w:bottom w:val="none" w:sz="0" w:space="0" w:color="auto"/>
        <w:right w:val="none" w:sz="0" w:space="0" w:color="auto"/>
      </w:divBdr>
    </w:div>
    <w:div w:id="1122185377">
      <w:bodyDiv w:val="1"/>
      <w:marLeft w:val="0"/>
      <w:marRight w:val="0"/>
      <w:marTop w:val="0"/>
      <w:marBottom w:val="0"/>
      <w:divBdr>
        <w:top w:val="none" w:sz="0" w:space="0" w:color="auto"/>
        <w:left w:val="none" w:sz="0" w:space="0" w:color="auto"/>
        <w:bottom w:val="none" w:sz="0" w:space="0" w:color="auto"/>
        <w:right w:val="none" w:sz="0" w:space="0" w:color="auto"/>
      </w:divBdr>
    </w:div>
    <w:div w:id="1194155871">
      <w:bodyDiv w:val="1"/>
      <w:marLeft w:val="0"/>
      <w:marRight w:val="0"/>
      <w:marTop w:val="0"/>
      <w:marBottom w:val="0"/>
      <w:divBdr>
        <w:top w:val="none" w:sz="0" w:space="0" w:color="auto"/>
        <w:left w:val="none" w:sz="0" w:space="0" w:color="auto"/>
        <w:bottom w:val="none" w:sz="0" w:space="0" w:color="auto"/>
        <w:right w:val="none" w:sz="0" w:space="0" w:color="auto"/>
      </w:divBdr>
    </w:div>
    <w:div w:id="1219050131">
      <w:bodyDiv w:val="1"/>
      <w:marLeft w:val="0"/>
      <w:marRight w:val="0"/>
      <w:marTop w:val="0"/>
      <w:marBottom w:val="0"/>
      <w:divBdr>
        <w:top w:val="none" w:sz="0" w:space="0" w:color="auto"/>
        <w:left w:val="none" w:sz="0" w:space="0" w:color="auto"/>
        <w:bottom w:val="none" w:sz="0" w:space="0" w:color="auto"/>
        <w:right w:val="none" w:sz="0" w:space="0" w:color="auto"/>
      </w:divBdr>
    </w:div>
    <w:div w:id="1235898788">
      <w:bodyDiv w:val="1"/>
      <w:marLeft w:val="0"/>
      <w:marRight w:val="0"/>
      <w:marTop w:val="0"/>
      <w:marBottom w:val="0"/>
      <w:divBdr>
        <w:top w:val="none" w:sz="0" w:space="0" w:color="auto"/>
        <w:left w:val="none" w:sz="0" w:space="0" w:color="auto"/>
        <w:bottom w:val="none" w:sz="0" w:space="0" w:color="auto"/>
        <w:right w:val="none" w:sz="0" w:space="0" w:color="auto"/>
      </w:divBdr>
    </w:div>
    <w:div w:id="1307778246">
      <w:bodyDiv w:val="1"/>
      <w:marLeft w:val="0"/>
      <w:marRight w:val="0"/>
      <w:marTop w:val="0"/>
      <w:marBottom w:val="0"/>
      <w:divBdr>
        <w:top w:val="none" w:sz="0" w:space="0" w:color="auto"/>
        <w:left w:val="none" w:sz="0" w:space="0" w:color="auto"/>
        <w:bottom w:val="none" w:sz="0" w:space="0" w:color="auto"/>
        <w:right w:val="none" w:sz="0" w:space="0" w:color="auto"/>
      </w:divBdr>
    </w:div>
    <w:div w:id="1326015208">
      <w:bodyDiv w:val="1"/>
      <w:marLeft w:val="0"/>
      <w:marRight w:val="0"/>
      <w:marTop w:val="0"/>
      <w:marBottom w:val="0"/>
      <w:divBdr>
        <w:top w:val="none" w:sz="0" w:space="0" w:color="auto"/>
        <w:left w:val="none" w:sz="0" w:space="0" w:color="auto"/>
        <w:bottom w:val="none" w:sz="0" w:space="0" w:color="auto"/>
        <w:right w:val="none" w:sz="0" w:space="0" w:color="auto"/>
      </w:divBdr>
    </w:div>
    <w:div w:id="1373071114">
      <w:bodyDiv w:val="1"/>
      <w:marLeft w:val="0"/>
      <w:marRight w:val="0"/>
      <w:marTop w:val="0"/>
      <w:marBottom w:val="0"/>
      <w:divBdr>
        <w:top w:val="none" w:sz="0" w:space="0" w:color="auto"/>
        <w:left w:val="none" w:sz="0" w:space="0" w:color="auto"/>
        <w:bottom w:val="none" w:sz="0" w:space="0" w:color="auto"/>
        <w:right w:val="none" w:sz="0" w:space="0" w:color="auto"/>
      </w:divBdr>
    </w:div>
    <w:div w:id="1396011330">
      <w:bodyDiv w:val="1"/>
      <w:marLeft w:val="0"/>
      <w:marRight w:val="0"/>
      <w:marTop w:val="0"/>
      <w:marBottom w:val="0"/>
      <w:divBdr>
        <w:top w:val="none" w:sz="0" w:space="0" w:color="auto"/>
        <w:left w:val="none" w:sz="0" w:space="0" w:color="auto"/>
        <w:bottom w:val="none" w:sz="0" w:space="0" w:color="auto"/>
        <w:right w:val="none" w:sz="0" w:space="0" w:color="auto"/>
      </w:divBdr>
    </w:div>
    <w:div w:id="1417482815">
      <w:bodyDiv w:val="1"/>
      <w:marLeft w:val="0"/>
      <w:marRight w:val="0"/>
      <w:marTop w:val="0"/>
      <w:marBottom w:val="0"/>
      <w:divBdr>
        <w:top w:val="none" w:sz="0" w:space="0" w:color="auto"/>
        <w:left w:val="none" w:sz="0" w:space="0" w:color="auto"/>
        <w:bottom w:val="none" w:sz="0" w:space="0" w:color="auto"/>
        <w:right w:val="none" w:sz="0" w:space="0" w:color="auto"/>
      </w:divBdr>
    </w:div>
    <w:div w:id="1426341472">
      <w:bodyDiv w:val="1"/>
      <w:marLeft w:val="0"/>
      <w:marRight w:val="0"/>
      <w:marTop w:val="0"/>
      <w:marBottom w:val="0"/>
      <w:divBdr>
        <w:top w:val="none" w:sz="0" w:space="0" w:color="auto"/>
        <w:left w:val="none" w:sz="0" w:space="0" w:color="auto"/>
        <w:bottom w:val="none" w:sz="0" w:space="0" w:color="auto"/>
        <w:right w:val="none" w:sz="0" w:space="0" w:color="auto"/>
      </w:divBdr>
    </w:div>
    <w:div w:id="1465586051">
      <w:bodyDiv w:val="1"/>
      <w:marLeft w:val="0"/>
      <w:marRight w:val="0"/>
      <w:marTop w:val="0"/>
      <w:marBottom w:val="0"/>
      <w:divBdr>
        <w:top w:val="none" w:sz="0" w:space="0" w:color="auto"/>
        <w:left w:val="none" w:sz="0" w:space="0" w:color="auto"/>
        <w:bottom w:val="none" w:sz="0" w:space="0" w:color="auto"/>
        <w:right w:val="none" w:sz="0" w:space="0" w:color="auto"/>
      </w:divBdr>
    </w:div>
    <w:div w:id="1485926017">
      <w:bodyDiv w:val="1"/>
      <w:marLeft w:val="0"/>
      <w:marRight w:val="0"/>
      <w:marTop w:val="0"/>
      <w:marBottom w:val="0"/>
      <w:divBdr>
        <w:top w:val="none" w:sz="0" w:space="0" w:color="auto"/>
        <w:left w:val="none" w:sz="0" w:space="0" w:color="auto"/>
        <w:bottom w:val="none" w:sz="0" w:space="0" w:color="auto"/>
        <w:right w:val="none" w:sz="0" w:space="0" w:color="auto"/>
      </w:divBdr>
    </w:div>
    <w:div w:id="1508255632">
      <w:bodyDiv w:val="1"/>
      <w:marLeft w:val="0"/>
      <w:marRight w:val="0"/>
      <w:marTop w:val="0"/>
      <w:marBottom w:val="0"/>
      <w:divBdr>
        <w:top w:val="none" w:sz="0" w:space="0" w:color="auto"/>
        <w:left w:val="none" w:sz="0" w:space="0" w:color="auto"/>
        <w:bottom w:val="none" w:sz="0" w:space="0" w:color="auto"/>
        <w:right w:val="none" w:sz="0" w:space="0" w:color="auto"/>
      </w:divBdr>
    </w:div>
    <w:div w:id="1576696303">
      <w:bodyDiv w:val="1"/>
      <w:marLeft w:val="0"/>
      <w:marRight w:val="0"/>
      <w:marTop w:val="0"/>
      <w:marBottom w:val="0"/>
      <w:divBdr>
        <w:top w:val="none" w:sz="0" w:space="0" w:color="auto"/>
        <w:left w:val="none" w:sz="0" w:space="0" w:color="auto"/>
        <w:bottom w:val="none" w:sz="0" w:space="0" w:color="auto"/>
        <w:right w:val="none" w:sz="0" w:space="0" w:color="auto"/>
      </w:divBdr>
    </w:div>
    <w:div w:id="1580020113">
      <w:bodyDiv w:val="1"/>
      <w:marLeft w:val="0"/>
      <w:marRight w:val="0"/>
      <w:marTop w:val="0"/>
      <w:marBottom w:val="0"/>
      <w:divBdr>
        <w:top w:val="none" w:sz="0" w:space="0" w:color="auto"/>
        <w:left w:val="none" w:sz="0" w:space="0" w:color="auto"/>
        <w:bottom w:val="none" w:sz="0" w:space="0" w:color="auto"/>
        <w:right w:val="none" w:sz="0" w:space="0" w:color="auto"/>
      </w:divBdr>
    </w:div>
    <w:div w:id="1596934649">
      <w:bodyDiv w:val="1"/>
      <w:marLeft w:val="0"/>
      <w:marRight w:val="0"/>
      <w:marTop w:val="0"/>
      <w:marBottom w:val="0"/>
      <w:divBdr>
        <w:top w:val="none" w:sz="0" w:space="0" w:color="auto"/>
        <w:left w:val="none" w:sz="0" w:space="0" w:color="auto"/>
        <w:bottom w:val="none" w:sz="0" w:space="0" w:color="auto"/>
        <w:right w:val="none" w:sz="0" w:space="0" w:color="auto"/>
      </w:divBdr>
    </w:div>
    <w:div w:id="1634214048">
      <w:bodyDiv w:val="1"/>
      <w:marLeft w:val="0"/>
      <w:marRight w:val="0"/>
      <w:marTop w:val="0"/>
      <w:marBottom w:val="0"/>
      <w:divBdr>
        <w:top w:val="none" w:sz="0" w:space="0" w:color="auto"/>
        <w:left w:val="none" w:sz="0" w:space="0" w:color="auto"/>
        <w:bottom w:val="none" w:sz="0" w:space="0" w:color="auto"/>
        <w:right w:val="none" w:sz="0" w:space="0" w:color="auto"/>
      </w:divBdr>
    </w:div>
    <w:div w:id="1674066357">
      <w:bodyDiv w:val="1"/>
      <w:marLeft w:val="0"/>
      <w:marRight w:val="0"/>
      <w:marTop w:val="0"/>
      <w:marBottom w:val="0"/>
      <w:divBdr>
        <w:top w:val="none" w:sz="0" w:space="0" w:color="auto"/>
        <w:left w:val="none" w:sz="0" w:space="0" w:color="auto"/>
        <w:bottom w:val="none" w:sz="0" w:space="0" w:color="auto"/>
        <w:right w:val="none" w:sz="0" w:space="0" w:color="auto"/>
      </w:divBdr>
    </w:div>
    <w:div w:id="1678340039">
      <w:bodyDiv w:val="1"/>
      <w:marLeft w:val="0"/>
      <w:marRight w:val="0"/>
      <w:marTop w:val="0"/>
      <w:marBottom w:val="0"/>
      <w:divBdr>
        <w:top w:val="none" w:sz="0" w:space="0" w:color="auto"/>
        <w:left w:val="none" w:sz="0" w:space="0" w:color="auto"/>
        <w:bottom w:val="none" w:sz="0" w:space="0" w:color="auto"/>
        <w:right w:val="none" w:sz="0" w:space="0" w:color="auto"/>
      </w:divBdr>
    </w:div>
    <w:div w:id="1707750738">
      <w:bodyDiv w:val="1"/>
      <w:marLeft w:val="0"/>
      <w:marRight w:val="0"/>
      <w:marTop w:val="0"/>
      <w:marBottom w:val="0"/>
      <w:divBdr>
        <w:top w:val="none" w:sz="0" w:space="0" w:color="auto"/>
        <w:left w:val="none" w:sz="0" w:space="0" w:color="auto"/>
        <w:bottom w:val="none" w:sz="0" w:space="0" w:color="auto"/>
        <w:right w:val="none" w:sz="0" w:space="0" w:color="auto"/>
      </w:divBdr>
    </w:div>
    <w:div w:id="1718550642">
      <w:bodyDiv w:val="1"/>
      <w:marLeft w:val="0"/>
      <w:marRight w:val="0"/>
      <w:marTop w:val="0"/>
      <w:marBottom w:val="0"/>
      <w:divBdr>
        <w:top w:val="none" w:sz="0" w:space="0" w:color="auto"/>
        <w:left w:val="none" w:sz="0" w:space="0" w:color="auto"/>
        <w:bottom w:val="none" w:sz="0" w:space="0" w:color="auto"/>
        <w:right w:val="none" w:sz="0" w:space="0" w:color="auto"/>
      </w:divBdr>
    </w:div>
    <w:div w:id="1735009011">
      <w:bodyDiv w:val="1"/>
      <w:marLeft w:val="0"/>
      <w:marRight w:val="0"/>
      <w:marTop w:val="0"/>
      <w:marBottom w:val="0"/>
      <w:divBdr>
        <w:top w:val="none" w:sz="0" w:space="0" w:color="auto"/>
        <w:left w:val="none" w:sz="0" w:space="0" w:color="auto"/>
        <w:bottom w:val="none" w:sz="0" w:space="0" w:color="auto"/>
        <w:right w:val="none" w:sz="0" w:space="0" w:color="auto"/>
      </w:divBdr>
    </w:div>
    <w:div w:id="1741051519">
      <w:bodyDiv w:val="1"/>
      <w:marLeft w:val="0"/>
      <w:marRight w:val="0"/>
      <w:marTop w:val="0"/>
      <w:marBottom w:val="0"/>
      <w:divBdr>
        <w:top w:val="none" w:sz="0" w:space="0" w:color="auto"/>
        <w:left w:val="none" w:sz="0" w:space="0" w:color="auto"/>
        <w:bottom w:val="none" w:sz="0" w:space="0" w:color="auto"/>
        <w:right w:val="none" w:sz="0" w:space="0" w:color="auto"/>
      </w:divBdr>
    </w:div>
    <w:div w:id="1841702234">
      <w:bodyDiv w:val="1"/>
      <w:marLeft w:val="0"/>
      <w:marRight w:val="0"/>
      <w:marTop w:val="0"/>
      <w:marBottom w:val="0"/>
      <w:divBdr>
        <w:top w:val="none" w:sz="0" w:space="0" w:color="auto"/>
        <w:left w:val="none" w:sz="0" w:space="0" w:color="auto"/>
        <w:bottom w:val="none" w:sz="0" w:space="0" w:color="auto"/>
        <w:right w:val="none" w:sz="0" w:space="0" w:color="auto"/>
      </w:divBdr>
    </w:div>
    <w:div w:id="1870606429">
      <w:bodyDiv w:val="1"/>
      <w:marLeft w:val="0"/>
      <w:marRight w:val="0"/>
      <w:marTop w:val="0"/>
      <w:marBottom w:val="0"/>
      <w:divBdr>
        <w:top w:val="none" w:sz="0" w:space="0" w:color="auto"/>
        <w:left w:val="none" w:sz="0" w:space="0" w:color="auto"/>
        <w:bottom w:val="none" w:sz="0" w:space="0" w:color="auto"/>
        <w:right w:val="none" w:sz="0" w:space="0" w:color="auto"/>
      </w:divBdr>
    </w:div>
    <w:div w:id="1886679969">
      <w:bodyDiv w:val="1"/>
      <w:marLeft w:val="0"/>
      <w:marRight w:val="0"/>
      <w:marTop w:val="0"/>
      <w:marBottom w:val="0"/>
      <w:divBdr>
        <w:top w:val="none" w:sz="0" w:space="0" w:color="auto"/>
        <w:left w:val="none" w:sz="0" w:space="0" w:color="auto"/>
        <w:bottom w:val="none" w:sz="0" w:space="0" w:color="auto"/>
        <w:right w:val="none" w:sz="0" w:space="0" w:color="auto"/>
      </w:divBdr>
    </w:div>
    <w:div w:id="1897858594">
      <w:bodyDiv w:val="1"/>
      <w:marLeft w:val="0"/>
      <w:marRight w:val="0"/>
      <w:marTop w:val="0"/>
      <w:marBottom w:val="0"/>
      <w:divBdr>
        <w:top w:val="none" w:sz="0" w:space="0" w:color="auto"/>
        <w:left w:val="none" w:sz="0" w:space="0" w:color="auto"/>
        <w:bottom w:val="none" w:sz="0" w:space="0" w:color="auto"/>
        <w:right w:val="none" w:sz="0" w:space="0" w:color="auto"/>
      </w:divBdr>
    </w:div>
    <w:div w:id="1928154270">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 w:id="1976717993">
      <w:bodyDiv w:val="1"/>
      <w:marLeft w:val="0"/>
      <w:marRight w:val="0"/>
      <w:marTop w:val="0"/>
      <w:marBottom w:val="0"/>
      <w:divBdr>
        <w:top w:val="none" w:sz="0" w:space="0" w:color="auto"/>
        <w:left w:val="none" w:sz="0" w:space="0" w:color="auto"/>
        <w:bottom w:val="none" w:sz="0" w:space="0" w:color="auto"/>
        <w:right w:val="none" w:sz="0" w:space="0" w:color="auto"/>
      </w:divBdr>
    </w:div>
    <w:div w:id="1980183408">
      <w:bodyDiv w:val="1"/>
      <w:marLeft w:val="0"/>
      <w:marRight w:val="0"/>
      <w:marTop w:val="0"/>
      <w:marBottom w:val="0"/>
      <w:divBdr>
        <w:top w:val="none" w:sz="0" w:space="0" w:color="auto"/>
        <w:left w:val="none" w:sz="0" w:space="0" w:color="auto"/>
        <w:bottom w:val="none" w:sz="0" w:space="0" w:color="auto"/>
        <w:right w:val="none" w:sz="0" w:space="0" w:color="auto"/>
      </w:divBdr>
    </w:div>
    <w:div w:id="1984649759">
      <w:bodyDiv w:val="1"/>
      <w:marLeft w:val="0"/>
      <w:marRight w:val="0"/>
      <w:marTop w:val="0"/>
      <w:marBottom w:val="0"/>
      <w:divBdr>
        <w:top w:val="none" w:sz="0" w:space="0" w:color="auto"/>
        <w:left w:val="none" w:sz="0" w:space="0" w:color="auto"/>
        <w:bottom w:val="none" w:sz="0" w:space="0" w:color="auto"/>
        <w:right w:val="none" w:sz="0" w:space="0" w:color="auto"/>
      </w:divBdr>
    </w:div>
    <w:div w:id="2014524068">
      <w:bodyDiv w:val="1"/>
      <w:marLeft w:val="0"/>
      <w:marRight w:val="0"/>
      <w:marTop w:val="0"/>
      <w:marBottom w:val="0"/>
      <w:divBdr>
        <w:top w:val="none" w:sz="0" w:space="0" w:color="auto"/>
        <w:left w:val="none" w:sz="0" w:space="0" w:color="auto"/>
        <w:bottom w:val="none" w:sz="0" w:space="0" w:color="auto"/>
        <w:right w:val="none" w:sz="0" w:space="0" w:color="auto"/>
      </w:divBdr>
    </w:div>
    <w:div w:id="2029721983">
      <w:bodyDiv w:val="1"/>
      <w:marLeft w:val="0"/>
      <w:marRight w:val="0"/>
      <w:marTop w:val="0"/>
      <w:marBottom w:val="0"/>
      <w:divBdr>
        <w:top w:val="none" w:sz="0" w:space="0" w:color="auto"/>
        <w:left w:val="none" w:sz="0" w:space="0" w:color="auto"/>
        <w:bottom w:val="none" w:sz="0" w:space="0" w:color="auto"/>
        <w:right w:val="none" w:sz="0" w:space="0" w:color="auto"/>
      </w:divBdr>
    </w:div>
    <w:div w:id="2061897755">
      <w:bodyDiv w:val="1"/>
      <w:marLeft w:val="0"/>
      <w:marRight w:val="0"/>
      <w:marTop w:val="0"/>
      <w:marBottom w:val="0"/>
      <w:divBdr>
        <w:top w:val="none" w:sz="0" w:space="0" w:color="auto"/>
        <w:left w:val="none" w:sz="0" w:space="0" w:color="auto"/>
        <w:bottom w:val="none" w:sz="0" w:space="0" w:color="auto"/>
        <w:right w:val="none" w:sz="0" w:space="0" w:color="auto"/>
      </w:divBdr>
    </w:div>
    <w:div w:id="2087142149">
      <w:bodyDiv w:val="1"/>
      <w:marLeft w:val="0"/>
      <w:marRight w:val="0"/>
      <w:marTop w:val="0"/>
      <w:marBottom w:val="0"/>
      <w:divBdr>
        <w:top w:val="none" w:sz="0" w:space="0" w:color="auto"/>
        <w:left w:val="none" w:sz="0" w:space="0" w:color="auto"/>
        <w:bottom w:val="none" w:sz="0" w:space="0" w:color="auto"/>
        <w:right w:val="none" w:sz="0" w:space="0" w:color="auto"/>
      </w:divBdr>
    </w:div>
    <w:div w:id="2103524557">
      <w:bodyDiv w:val="1"/>
      <w:marLeft w:val="0"/>
      <w:marRight w:val="0"/>
      <w:marTop w:val="0"/>
      <w:marBottom w:val="0"/>
      <w:divBdr>
        <w:top w:val="none" w:sz="0" w:space="0" w:color="auto"/>
        <w:left w:val="none" w:sz="0" w:space="0" w:color="auto"/>
        <w:bottom w:val="none" w:sz="0" w:space="0" w:color="auto"/>
        <w:right w:val="none" w:sz="0" w:space="0" w:color="auto"/>
      </w:divBdr>
    </w:div>
    <w:div w:id="2119133716">
      <w:bodyDiv w:val="1"/>
      <w:marLeft w:val="0"/>
      <w:marRight w:val="0"/>
      <w:marTop w:val="0"/>
      <w:marBottom w:val="0"/>
      <w:divBdr>
        <w:top w:val="none" w:sz="0" w:space="0" w:color="auto"/>
        <w:left w:val="none" w:sz="0" w:space="0" w:color="auto"/>
        <w:bottom w:val="none" w:sz="0" w:space="0" w:color="auto"/>
        <w:right w:val="none" w:sz="0" w:space="0" w:color="auto"/>
      </w:divBdr>
    </w:div>
    <w:div w:id="2130929984">
      <w:bodyDiv w:val="1"/>
      <w:marLeft w:val="0"/>
      <w:marRight w:val="0"/>
      <w:marTop w:val="0"/>
      <w:marBottom w:val="0"/>
      <w:divBdr>
        <w:top w:val="none" w:sz="0" w:space="0" w:color="auto"/>
        <w:left w:val="none" w:sz="0" w:space="0" w:color="auto"/>
        <w:bottom w:val="none" w:sz="0" w:space="0" w:color="auto"/>
        <w:right w:val="none" w:sz="0" w:space="0" w:color="auto"/>
      </w:divBdr>
    </w:div>
    <w:div w:id="21382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rketscreener.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tandardmedia.co.ke/article/2001278884/transcentury-its-subsidiary-to-delay-release-of-financial-results" TargetMode="External"/><Relationship Id="rId1" Type="http://schemas.openxmlformats.org/officeDocument/2006/relationships/hyperlink" Target="https://www.elearning-africa.com/eLA_News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Hab15</b:Tag>
    <b:SourceType>JournalArticle</b:SourceType>
    <b:Guid>{8498C259-73A1-4073-8297-50DED5D1BC2A}</b:Guid>
    <b:Author>
      <b:Author>
        <b:NameList>
          <b:Person>
            <b:Last>Habib</b:Last>
            <b:First>A</b:First>
          </b:Person>
        </b:NameList>
      </b:Author>
    </b:Author>
    <b:Title>The New Chinese Accounting Standards and Audit Report Lag</b:Title>
    <b:JournalName>International Journal of Auditing</b:JournalName>
    <b:Year>2015</b:Year>
    <b:Pages>1-14</b:Pages>
    <b:Volume>19</b:Volume>
    <b:Issue>1</b:Issue>
    <b:RefOrder>1</b:RefOrder>
  </b:Source>
</b:Sources>
</file>

<file path=customXml/itemProps1.xml><?xml version="1.0" encoding="utf-8"?>
<ds:datastoreItem xmlns:ds="http://schemas.openxmlformats.org/officeDocument/2006/customXml" ds:itemID="{64C54B28-6CFD-4D68-B885-CDA4D7AC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9091</Words>
  <Characters>51821</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Mathuva</dc:creator>
  <cp:keywords/>
  <dc:description/>
  <cp:lastModifiedBy>Tauringana V.</cp:lastModifiedBy>
  <cp:revision>2</cp:revision>
  <cp:lastPrinted>2019-03-25T17:31:00Z</cp:lastPrinted>
  <dcterms:created xsi:type="dcterms:W3CDTF">2019-06-18T08:41:00Z</dcterms:created>
  <dcterms:modified xsi:type="dcterms:W3CDTF">2019-06-18T08:41:00Z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dfb7f53c-a4e3-3172-a98b-84f03ba14be3</vt:lpwstr>
  </property>
  <property fmtid="{D5CDD505-2E9C-101B-9397-08002B2CF9AE}" pid="24" name="Mendeley Citation Style_1">
    <vt:lpwstr>http://www.zotero.org/styles/apa</vt:lpwstr>
  </property>
</Properties>
</file>